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Role-Based Training Curriculum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Training &amp; Competency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CD-T1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Learning &amp; Development]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Duty Oversight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curriculum sets out the Consumer Duty training required for each role across [Insert Company Name], ensuring staff have the knowledge and skills to deliver good customer outcomes, informed by the Training Needs Analysis (CD-T1) and the Competency Assessment Framework (CD-T1).</w:t>
      </w:r>
    </w:p>
    <w:p>
      <w:pPr>
        <w:pStyle w:val="Heading1"/>
        <w:spacing w:after="140" w:before="280"/>
      </w:pPr>
      <w:r>
        <w:t xml:space="preserve">2. Curriculum by Role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Modules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Staff (Induction)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Duty overview; the four Outcomes; cross-cutting rules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Induction + annual refresher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Customer-Facing Staff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Above, plus: recognising vulnerability; plain language communication; sludge practices and good complaint handling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Induction + annual refresher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Managers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Above, plus: target market definition; Fair Value Assessment methodology; product governance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Induction + annual refresher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&amp; Communications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Above, plus: plain language and accessible communications; behavioural testing awareness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Induction + annual refresher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&amp; Risk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Above, plus: control testing methodology; outcome testing; regulatory reporting requirements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Induction + annual refresher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Management / SMF Holders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Above, plus: governance accountability; Board reporting requirements; escalation pathway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Induction + annual refresher</w:t>
            </w:r>
          </w:p>
        </w:tc>
      </w:tr>
    </w:tbl>
    <w:p>
      <w:pPr>
        <w:pStyle w:val="Heading1"/>
        <w:spacing w:after="140" w:before="280"/>
      </w:pPr>
      <w:r>
        <w:t xml:space="preserve">3. Delivery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Training is delivered via [e-learning / workshop / blended approach — insert] and combines mandatory core content with role-specific modules. New joiners complete induction training within [Insert timeframe, e.g. 4 weeks] of starting.</w:t>
      </w:r>
    </w:p>
    <w:p>
      <w:pPr>
        <w:pStyle w:val="Heading1"/>
        <w:spacing w:after="140" w:before="280"/>
      </w:pPr>
      <w:r>
        <w:t xml:space="preserve">4. Assessment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Completion requires passing a knowledge check for each module. Competency is assessed against the Competency Assessment Framework (CD-T1), not just completion of training.</w:t>
      </w:r>
    </w:p>
    <w:p>
      <w:pPr>
        <w:pStyle w:val="Heading1"/>
        <w:spacing w:after="140" w:before="280"/>
      </w:pPr>
      <w:r>
        <w:t xml:space="preserve">5. Monitoring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Training completion rates are tracked centrally and reported quarterly to the Consumer Duty Oversight Committee. Persistent low completion in any team should be logged in the Gap Analysis Framework (CD-F1).</w:t>
      </w:r>
    </w:p>
    <w:p>
      <w:pPr>
        <w:pStyle w:val="Heading1"/>
        <w:spacing w:after="140" w:before="280"/>
      </w:pPr>
      <w:r>
        <w:t xml:space="preserve">6. Related Documents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Training Needs Analysis (CD-T1)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Competency Assessment Framework (CD-T1)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Training Curriculum (CD-I5) — vulnerable customer specific content</w:t>
      </w:r>
    </w:p>
    <w:p>
      <w:pPr>
        <w:pStyle w:val="Heading1"/>
        <w:spacing w:after="140" w:before="280"/>
      </w:pPr>
      <w:r>
        <w:t xml:space="preserve">7.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2026-08-06T08:02:33.504Z</dcterms:created>
  <dcterms:modified xsi:type="dcterms:W3CDTF">2026-08-06T08:02:33.504Z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