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Arial" w:cs="Arial" w:eastAsia="Arial" w:hAnsi="Arial"/>
          <w:b/>
          <w:bCs/>
          <w:color w:val="1F3864"/>
          <w:sz w:val="48"/>
          <w:szCs w:val="48"/>
        </w:rPr>
        <w:t xml:space="preserve">Fair Value Assessment Framework</w:t>
      </w:r>
    </w:p>
    <w:p>
      <w:pPr>
        <w:spacing w:after="200"/>
        <w:jc w:val="center"/>
      </w:pPr>
      <w:r>
        <w:rPr>
          <w:rFonts w:ascii="Arial" w:cs="Arial" w:eastAsia="Arial" w:hAnsi="Arial"/>
          <w:i/>
          <w:iCs/>
          <w:color w:val="2E5C8A"/>
          <w:sz w:val="26"/>
          <w:szCs w:val="26"/>
        </w:rPr>
        <w:t xml:space="preserve">Consumer Duty Implementation — Price &amp; Value Outcome</w:t>
      </w:r>
    </w:p>
    <w:p>
      <w:pPr>
        <w:spacing w:after="2000"/>
        <w:jc w:val="center"/>
      </w:pPr>
      <w:r>
        <w:rPr>
          <w:rFonts w:ascii="Arial" w:cs="Arial" w:eastAsia="Arial" w:hAnsi="Arial"/>
          <w:color w:val="595959"/>
          <w:sz w:val="22"/>
          <w:szCs w:val="22"/>
        </w:rPr>
        <w:t xml:space="preserve">Reference: CD-I2</w:t>
      </w:r>
    </w:p>
    <w:p>
      <w:r>
        <w:br w:type="page"/>
      </w:r>
    </w:p>
    <w:p>
      <w:pPr>
        <w:pStyle w:val="Heading1"/>
        <w:spacing w:after="140" w:before="280"/>
      </w:pPr>
      <w:r>
        <w:t xml:space="preserve">Document Control</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Version</w:t>
            </w:r>
          </w:p>
        </w:tc>
        <w:tc>
          <w:tcPr>
            <w:tcW w:type="dxa" w:w="22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Date</w:t>
            </w:r>
          </w:p>
        </w:tc>
        <w:tc>
          <w:tcPr>
            <w:tcW w:type="dxa" w:w="22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Author</w:t>
            </w:r>
          </w:p>
        </w:tc>
        <w:tc>
          <w:tcPr>
            <w:tcW w:type="dxa" w:w="31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Summary of Changes</w:t>
            </w:r>
          </w:p>
        </w:tc>
      </w:tr>
      <w:tr>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1.0</w:t>
            </w:r>
          </w:p>
        </w:tc>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Date]</w:t>
            </w:r>
          </w:p>
        </w:tc>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Author]</w:t>
            </w:r>
          </w:p>
        </w:tc>
        <w:tc>
          <w:tcPr>
            <w:tcW w:type="dxa" w:w="31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Initial draft for Board/Committee review</w:t>
            </w:r>
          </w:p>
        </w:tc>
      </w:tr>
      <w:tr>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c>
          <w:tcPr>
            <w:tcW w:type="dxa" w:w="2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c>
          <w:tcPr>
            <w:tcW w:type="dxa" w:w="31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
            </w:r>
          </w:p>
        </w:tc>
      </w:tr>
    </w:tbl>
    <w:p>
      <w:pPr>
        <w:spacing w:after="160" w:line="276"/>
      </w:pPr>
      <w:r>
        <w:rPr>
          <w:rFonts w:ascii="Arial" w:cs="Arial" w:eastAsia="Arial" w:hAnsi="Arial"/>
          <w:b w:val="false"/>
          <w:bCs w:val="false"/>
          <w:i w:val="false"/>
          <w:iCs w:val="false"/>
          <w:sz w:val="21"/>
          <w:szCs w:val="21"/>
        </w:rPr>
        <w:t xml:space="preserve"/>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Document Owner</w:t>
            </w:r>
          </w:p>
        </w:tc>
        <w:tc>
          <w:tcPr>
            <w:tcW w:type="dxa" w:w="6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Name/Role — e.g., Head of Pricing]</w:t>
            </w:r>
          </w:p>
        </w:tc>
      </w:tr>
      <w:tr>
        <w:tc>
          <w:tcPr>
            <w:tcW w:type="dxa" w:w="300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Approving Body</w:t>
            </w:r>
          </w:p>
        </w:tc>
        <w:tc>
          <w:tcPr>
            <w:tcW w:type="dxa" w:w="6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 e.g., Product Governance Committee]</w:t>
            </w:r>
          </w:p>
        </w:tc>
      </w:tr>
      <w:tr>
        <w:tc>
          <w:tcPr>
            <w:tcW w:type="dxa" w:w="300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Next Review Date</w:t>
            </w:r>
          </w:p>
        </w:tc>
        <w:tc>
          <w:tcPr>
            <w:tcW w:type="dxa" w:w="6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Date — recommended annual review]</w:t>
            </w:r>
          </w:p>
        </w:tc>
      </w:tr>
    </w:tbl>
    <w:p>
      <w:pPr>
        <w:spacing w:after="160" w:line="276"/>
      </w:pPr>
      <w:r>
        <w:rPr>
          <w:rFonts w:ascii="Arial" w:cs="Arial" w:eastAsia="Arial" w:hAnsi="Arial"/>
          <w:b w:val="false"/>
          <w:bCs w:val="false"/>
          <w:i w:val="false"/>
          <w:iCs w:val="false"/>
          <w:sz w:val="21"/>
          <w:szCs w:val="21"/>
        </w:rPr>
        <w:t xml:space="preserve"/>
      </w:r>
    </w:p>
    <w:p>
      <w:pPr>
        <w:pStyle w:val="Heading1"/>
        <w:spacing w:after="140" w:before="280"/>
      </w:pPr>
      <w:r>
        <w:t xml:space="preserve">1. Purpose and Scope</w:t>
      </w:r>
    </w:p>
    <w:p>
      <w:pPr>
        <w:spacing w:after="160" w:line="276"/>
      </w:pPr>
      <w:r>
        <w:rPr>
          <w:rFonts w:ascii="Arial" w:cs="Arial" w:eastAsia="Arial" w:hAnsi="Arial"/>
          <w:b w:val="false"/>
          <w:bCs w:val="false"/>
          <w:i w:val="false"/>
          <w:iCs w:val="false"/>
          <w:sz w:val="21"/>
          <w:szCs w:val="21"/>
        </w:rPr>
        <w:t xml:space="preserve">This framework sets out how [Insert Company Name] assesses whether its products and services provide fair value to retail customers, in line with the FCA Consumer Duty requirement under PRIN 2A.4 that the price a customer pays for a product or service must be reasonable relative to the benefits they receive.</w:t>
      </w:r>
    </w:p>
    <w:p>
      <w:pPr>
        <w:spacing w:after="160" w:line="276"/>
      </w:pPr>
      <w:r>
        <w:rPr>
          <w:rFonts w:ascii="Arial" w:cs="Arial" w:eastAsia="Arial" w:hAnsi="Arial"/>
          <w:b w:val="false"/>
          <w:bCs w:val="false"/>
          <w:i w:val="false"/>
          <w:iCs w:val="false"/>
          <w:sz w:val="21"/>
          <w:szCs w:val="21"/>
        </w:rPr>
        <w:t xml:space="preserve">This framework applies to all products and services manufactured by the firm, including products that generate revenue indirectly (e.g., through cross-subsidy or ancillary charges), and must be applied before launch and on an ongoing basis throughout the product lifecycle.</w:t>
      </w:r>
    </w:p>
    <w:p>
      <w:pPr>
        <w:pStyle w:val="Heading1"/>
        <w:spacing w:after="140" w:before="280"/>
      </w:pPr>
      <w:r>
        <w:t xml:space="preserve">2. What is Fair Value?</w:t>
      </w:r>
    </w:p>
    <w:p>
      <w:pPr>
        <w:spacing w:after="160" w:line="276"/>
      </w:pPr>
      <w:r>
        <w:rPr>
          <w:rFonts w:ascii="Arial" w:cs="Arial" w:eastAsia="Arial" w:hAnsi="Arial"/>
          <w:b w:val="false"/>
          <w:bCs w:val="false"/>
          <w:i w:val="false"/>
          <w:iCs w:val="false"/>
          <w:sz w:val="21"/>
          <w:szCs w:val="21"/>
        </w:rPr>
        <w:t xml:space="preserve">A product provides fair value where the amount paid for it is reasonable relative to the overall benefits (monetary and non-monetary) that consumers receive. Fair value does not mean the lowest price in the market — it means the relationship between price and benefit is reasonable and can be evidenced.</w:t>
      </w:r>
    </w:p>
    <w:p>
      <w:pPr>
        <w:spacing w:after="160" w:line="276"/>
      </w:pPr>
      <w:r>
        <w:rPr>
          <w:rFonts w:ascii="Arial" w:cs="Arial" w:eastAsia="Arial" w:hAnsi="Arial"/>
          <w:b w:val="false"/>
          <w:bCs w:val="false"/>
          <w:i w:val="false"/>
          <w:iCs w:val="false"/>
          <w:sz w:val="21"/>
          <w:szCs w:val="21"/>
        </w:rPr>
        <w:t xml:space="preserve">Fair value is not assessed in isolation from other Consumer Duty outcomes: a product cannot be fair value if it is poorly understood by customers, difficult to access support for, or sold outside its target market.</w:t>
      </w:r>
    </w:p>
    <w:p>
      <w:pPr>
        <w:pStyle w:val="Heading1"/>
        <w:spacing w:after="140" w:before="280"/>
      </w:pPr>
      <w:r>
        <w:t xml:space="preserve">3. Assessment Methodology</w:t>
      </w:r>
    </w:p>
    <w:p>
      <w:pPr>
        <w:spacing w:after="160" w:line="276"/>
      </w:pPr>
      <w:r>
        <w:rPr>
          <w:rFonts w:ascii="Arial" w:cs="Arial" w:eastAsia="Arial" w:hAnsi="Arial"/>
          <w:b w:val="false"/>
          <w:bCs w:val="false"/>
          <w:i w:val="false"/>
          <w:iCs w:val="false"/>
          <w:sz w:val="21"/>
          <w:szCs w:val="21"/>
        </w:rPr>
        <w:t xml:space="preserve">Each Fair Value Assessment must consider the following elements, using the supporting tools referenced:</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Element</w:t>
            </w:r>
          </w:p>
        </w:tc>
        <w:tc>
          <w:tcPr>
            <w:tcW w:type="dxa" w:w="5200"/>
            <w:shd w:fill="1F3864" w:val="clear"/>
            <w:tcMar>
              <w:top w:type="dxa" w:w="80"/>
              <w:left w:type="dxa" w:w="100"/>
              <w:bottom w:type="dxa" w:w="80"/>
              <w:right w:type="dxa" w:w="100"/>
            </w:tcMar>
            <w:vAlign w:val="center"/>
          </w:tcPr>
          <w:p>
            <w:pPr>
              <w:jc w:val="center"/>
            </w:pPr>
            <w:r>
              <w:rPr>
                <w:rFonts w:ascii="Arial" w:cs="Arial" w:eastAsia="Arial" w:hAnsi="Arial"/>
                <w:b/>
                <w:bCs/>
                <w:color w:val="FFFFFF"/>
                <w:sz w:val="20"/>
                <w:szCs w:val="20"/>
              </w:rPr>
              <w:t xml:space="preserve">Supporting Tool</w:t>
            </w:r>
          </w:p>
        </w:tc>
      </w:tr>
      <w:tr>
        <w:tc>
          <w:tcPr>
            <w:tcW w:type="dxa" w:w="45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Market price benchmarking against comparable products</w:t>
            </w:r>
          </w:p>
        </w:tc>
        <w:tc>
          <w:tcPr>
            <w:tcW w:type="dxa" w:w="5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Price Benchmarking Template (CD-I2)</w:t>
            </w:r>
          </w:p>
        </w:tc>
      </w:tr>
      <w:tr>
        <w:tc>
          <w:tcPr>
            <w:tcW w:type="dxa" w:w="45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Weighted assessment of price, quality, service, and benefits</w:t>
            </w:r>
          </w:p>
        </w:tc>
        <w:tc>
          <w:tcPr>
            <w:tcW w:type="dxa" w:w="5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Value for Money Scorecard (CD-I2)</w:t>
            </w:r>
          </w:p>
        </w:tc>
      </w:tr>
      <w:tr>
        <w:tc>
          <w:tcPr>
            <w:tcW w:type="dxa" w:w="45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Quantified comparison of monetary/non-monetary benefits vs total price</w:t>
            </w:r>
          </w:p>
        </w:tc>
        <w:tc>
          <w:tcPr>
            <w:tcW w:type="dxa" w:w="5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Benefits vs Price Analysis (CD-I2)</w:t>
            </w:r>
          </w:p>
        </w:tc>
      </w:tr>
      <w:tr>
        <w:tc>
          <w:tcPr>
            <w:tcW w:type="dxa" w:w="45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Identification of unjustified differential pricing across customer groups</w:t>
            </w:r>
          </w:p>
        </w:tc>
        <w:tc>
          <w:tcPr>
            <w:tcW w:type="dxa" w:w="5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Differential Outcomes Analysis (CD-I2)</w:t>
            </w:r>
          </w:p>
        </w:tc>
      </w:tr>
      <w:tr>
        <w:tc>
          <w:tcPr>
            <w:tcW w:type="dxa" w:w="45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All costs to the customer, including fees, charges, and cross-subsidies</w:t>
            </w:r>
          </w:p>
        </w:tc>
        <w:tc>
          <w:tcPr>
            <w:tcW w:type="dxa" w:w="52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Costs Register (maintained by Product Owner)</w:t>
            </w:r>
          </w:p>
        </w:tc>
      </w:tr>
    </w:tbl>
    <w:p>
      <w:pPr>
        <w:spacing w:after="160" w:line="276"/>
      </w:pPr>
      <w:r>
        <w:rPr>
          <w:rFonts w:ascii="Arial" w:cs="Arial" w:eastAsia="Arial" w:hAnsi="Arial"/>
          <w:b w:val="false"/>
          <w:bCs w:val="false"/>
          <w:i w:val="false"/>
          <w:iCs w:val="false"/>
          <w:sz w:val="21"/>
          <w:szCs w:val="21"/>
        </w:rPr>
        <w:t xml:space="preserve"/>
      </w:r>
    </w:p>
    <w:p>
      <w:pPr>
        <w:pStyle w:val="Heading1"/>
        <w:spacing w:after="140" w:before="280"/>
      </w:pPr>
      <w:r>
        <w:t xml:space="preserve">4. Costs to be Considered</w:t>
      </w:r>
    </w:p>
    <w:p>
      <w:pPr>
        <w:spacing w:after="160" w:line="276"/>
      </w:pPr>
      <w:r>
        <w:rPr>
          <w:rFonts w:ascii="Arial" w:cs="Arial" w:eastAsia="Arial" w:hAnsi="Arial"/>
          <w:b w:val="false"/>
          <w:bCs w:val="false"/>
          <w:i w:val="false"/>
          <w:iCs w:val="false"/>
          <w:sz w:val="21"/>
          <w:szCs w:val="21"/>
        </w:rPr>
        <w:t xml:space="preserve">A Fair Value Assessment must capture the full cost to the customer, including:</w:t>
      </w:r>
    </w:p>
    <w:p>
      <w:pPr>
        <w:pStyle w:val="ListParagraph"/>
        <w:numPr>
          <w:ilvl w:val="0"/>
          <w:numId w:val="2"/>
        </w:numPr>
        <w:spacing w:after="100"/>
      </w:pPr>
      <w:r>
        <w:rPr>
          <w:rFonts w:ascii="Arial" w:cs="Arial" w:eastAsia="Arial" w:hAnsi="Arial"/>
          <w:sz w:val="21"/>
          <w:szCs w:val="21"/>
        </w:rPr>
        <w:t xml:space="preserve">Explicit fees and charges (e.g., annual fees, transaction charges, exit fees).</w:t>
      </w:r>
    </w:p>
    <w:p>
      <w:pPr>
        <w:pStyle w:val="ListParagraph"/>
        <w:numPr>
          <w:ilvl w:val="0"/>
          <w:numId w:val="2"/>
        </w:numPr>
        <w:spacing w:after="100"/>
      </w:pPr>
      <w:r>
        <w:rPr>
          <w:rFonts w:ascii="Arial" w:cs="Arial" w:eastAsia="Arial" w:hAnsi="Arial"/>
          <w:sz w:val="21"/>
          <w:szCs w:val="21"/>
        </w:rPr>
        <w:t xml:space="preserve">Interest rates, spreads, or margins earned by the firm.</w:t>
      </w:r>
    </w:p>
    <w:p>
      <w:pPr>
        <w:pStyle w:val="ListParagraph"/>
        <w:numPr>
          <w:ilvl w:val="0"/>
          <w:numId w:val="2"/>
        </w:numPr>
        <w:spacing w:after="100"/>
      </w:pPr>
      <w:r>
        <w:rPr>
          <w:rFonts w:ascii="Arial" w:cs="Arial" w:eastAsia="Arial" w:hAnsi="Arial"/>
          <w:sz w:val="21"/>
          <w:szCs w:val="21"/>
        </w:rPr>
        <w:t xml:space="preserve">Ancillary or add-on product charges.</w:t>
      </w:r>
    </w:p>
    <w:p>
      <w:pPr>
        <w:pStyle w:val="ListParagraph"/>
        <w:numPr>
          <w:ilvl w:val="0"/>
          <w:numId w:val="2"/>
        </w:numPr>
        <w:spacing w:after="100"/>
      </w:pPr>
      <w:r>
        <w:rPr>
          <w:rFonts w:ascii="Arial" w:cs="Arial" w:eastAsia="Arial" w:hAnsi="Arial"/>
          <w:sz w:val="21"/>
          <w:szCs w:val="21"/>
        </w:rPr>
        <w:t xml:space="preserve">Costs arising from cross-subsidy, where one customer group effectively subsidises another.</w:t>
      </w:r>
    </w:p>
    <w:p>
      <w:pPr>
        <w:pStyle w:val="ListParagraph"/>
        <w:numPr>
          <w:ilvl w:val="0"/>
          <w:numId w:val="2"/>
        </w:numPr>
        <w:spacing w:after="100"/>
      </w:pPr>
      <w:r>
        <w:rPr>
          <w:rFonts w:ascii="Arial" w:cs="Arial" w:eastAsia="Arial" w:hAnsi="Arial"/>
          <w:sz w:val="21"/>
          <w:szCs w:val="21"/>
        </w:rPr>
        <w:t xml:space="preserve">Distribution costs and commissions, where these affect the price paid by the customer.</w:t>
      </w:r>
    </w:p>
    <w:p>
      <w:pPr>
        <w:pStyle w:val="Heading1"/>
        <w:spacing w:after="140" w:before="280"/>
      </w:pPr>
      <w:r>
        <w:t xml:space="preserve">5. Differential Pricing</w:t>
      </w:r>
    </w:p>
    <w:p>
      <w:pPr>
        <w:spacing w:after="160" w:line="276"/>
      </w:pPr>
      <w:r>
        <w:rPr>
          <w:rFonts w:ascii="Arial" w:cs="Arial" w:eastAsia="Arial" w:hAnsi="Arial"/>
          <w:b w:val="false"/>
          <w:bCs w:val="false"/>
          <w:i w:val="false"/>
          <w:iCs w:val="false"/>
          <w:sz w:val="21"/>
          <w:szCs w:val="21"/>
        </w:rPr>
        <w:t xml:space="preserve">Where different customer groups pay different prices for materially the same product (for example, existing customers vs new customers, or across distribution channels), this must be identified through the Differential Outcomes Analysis (CD-I2) and justified by reference to a legitimate, evidenced reason such as genuinely different cost-to-serve. Differential pricing that cannot be justified, including loyalty penalties, must be remediated.</w:t>
      </w:r>
    </w:p>
    <w:p>
      <w:pPr>
        <w:pStyle w:val="Heading1"/>
        <w:spacing w:after="140" w:before="280"/>
      </w:pPr>
      <w:r>
        <w:t xml:space="preserve">6. Governance and Sign-Off</w:t>
      </w:r>
    </w:p>
    <w:p>
      <w:pPr>
        <w:spacing w:after="160" w:line="276"/>
      </w:pPr>
      <w:r>
        <w:rPr>
          <w:rFonts w:ascii="Arial" w:cs="Arial" w:eastAsia="Arial" w:hAnsi="Arial"/>
          <w:b w:val="false"/>
          <w:bCs w:val="false"/>
          <w:i w:val="false"/>
          <w:iCs w:val="false"/>
          <w:sz w:val="21"/>
          <w:szCs w:val="21"/>
        </w:rPr>
        <w:t xml:space="preserve">Fair Value Assessments must be:</w:t>
      </w:r>
    </w:p>
    <w:p>
      <w:pPr>
        <w:pStyle w:val="ListParagraph"/>
        <w:numPr>
          <w:ilvl w:val="0"/>
          <w:numId w:val="3"/>
        </w:numPr>
        <w:spacing w:after="100"/>
      </w:pPr>
      <w:r>
        <w:rPr>
          <w:rFonts w:ascii="Arial" w:cs="Arial" w:eastAsia="Arial" w:hAnsi="Arial"/>
          <w:sz w:val="21"/>
          <w:szCs w:val="21"/>
        </w:rPr>
        <w:t xml:space="preserve">Completed by the Product Owner using the tools referenced in Section 3.</w:t>
      </w:r>
    </w:p>
    <w:p>
      <w:pPr>
        <w:pStyle w:val="ListParagraph"/>
        <w:numPr>
          <w:ilvl w:val="0"/>
          <w:numId w:val="3"/>
        </w:numPr>
        <w:spacing w:after="100"/>
      </w:pPr>
      <w:r>
        <w:rPr>
          <w:rFonts w:ascii="Arial" w:cs="Arial" w:eastAsia="Arial" w:hAnsi="Arial"/>
          <w:sz w:val="21"/>
          <w:szCs w:val="21"/>
        </w:rPr>
        <w:t xml:space="preserve">Independently reviewed and challenged by Compliance or an equivalent second-line function.</w:t>
      </w:r>
    </w:p>
    <w:p>
      <w:pPr>
        <w:pStyle w:val="ListParagraph"/>
        <w:numPr>
          <w:ilvl w:val="0"/>
          <w:numId w:val="3"/>
        </w:numPr>
        <w:spacing w:after="100"/>
      </w:pPr>
      <w:r>
        <w:rPr>
          <w:rFonts w:ascii="Arial" w:cs="Arial" w:eastAsia="Arial" w:hAnsi="Arial"/>
          <w:sz w:val="21"/>
          <w:szCs w:val="21"/>
        </w:rPr>
        <w:t xml:space="preserve">Approved by the Product Governance Committee before a new product launches or a material pricing change is made.</w:t>
      </w:r>
    </w:p>
    <w:p>
      <w:pPr>
        <w:pStyle w:val="ListParagraph"/>
        <w:numPr>
          <w:ilvl w:val="0"/>
          <w:numId w:val="3"/>
        </w:numPr>
        <w:spacing w:after="100"/>
      </w:pPr>
      <w:r>
        <w:rPr>
          <w:rFonts w:ascii="Arial" w:cs="Arial" w:eastAsia="Arial" w:hAnsi="Arial"/>
          <w:sz w:val="21"/>
          <w:szCs w:val="21"/>
        </w:rPr>
        <w:t xml:space="preserve">Recorded in the FVA Review Schedule &amp; Tracker (CD-I2) and stored in the Evidence Log &amp; Repository (CD-I7).</w:t>
      </w:r>
    </w:p>
    <w:p>
      <w:pPr>
        <w:pStyle w:val="Heading1"/>
        <w:spacing w:after="140" w:before="280"/>
      </w:pPr>
      <w:r>
        <w:t xml:space="preserve">7. Review Frequency</w:t>
      </w:r>
    </w:p>
    <w:p>
      <w:pPr>
        <w:spacing w:after="160" w:line="276"/>
      </w:pPr>
      <w:r>
        <w:rPr>
          <w:rFonts w:ascii="Arial" w:cs="Arial" w:eastAsia="Arial" w:hAnsi="Arial"/>
          <w:b w:val="false"/>
          <w:bCs w:val="false"/>
          <w:i w:val="false"/>
          <w:iCs w:val="false"/>
          <w:sz w:val="21"/>
          <w:szCs w:val="21"/>
        </w:rPr>
        <w:t xml:space="preserve">Fair Value Assessments are refreshed on a risk-based schedule, managed through the FVA Review Schedule &amp; Tracker (CD-I2):</w:t>
      </w:r>
    </w:p>
    <w:p>
      <w:pPr>
        <w:pStyle w:val="ListParagraph"/>
        <w:numPr>
          <w:ilvl w:val="0"/>
          <w:numId w:val="2"/>
        </w:numPr>
        <w:spacing w:after="100"/>
      </w:pPr>
      <w:r>
        <w:rPr>
          <w:rFonts w:ascii="Arial" w:cs="Arial" w:eastAsia="Arial" w:hAnsi="Arial"/>
          <w:sz w:val="21"/>
          <w:szCs w:val="21"/>
        </w:rPr>
        <w:t xml:space="preserve">High risk products — every 12 months.</w:t>
      </w:r>
    </w:p>
    <w:p>
      <w:pPr>
        <w:pStyle w:val="ListParagraph"/>
        <w:numPr>
          <w:ilvl w:val="0"/>
          <w:numId w:val="2"/>
        </w:numPr>
        <w:spacing w:after="100"/>
      </w:pPr>
      <w:r>
        <w:rPr>
          <w:rFonts w:ascii="Arial" w:cs="Arial" w:eastAsia="Arial" w:hAnsi="Arial"/>
          <w:sz w:val="21"/>
          <w:szCs w:val="21"/>
        </w:rPr>
        <w:t xml:space="preserve">Medium risk products — every 18 months.</w:t>
      </w:r>
    </w:p>
    <w:p>
      <w:pPr>
        <w:pStyle w:val="ListParagraph"/>
        <w:numPr>
          <w:ilvl w:val="0"/>
          <w:numId w:val="2"/>
        </w:numPr>
        <w:spacing w:after="100"/>
      </w:pPr>
      <w:r>
        <w:rPr>
          <w:rFonts w:ascii="Arial" w:cs="Arial" w:eastAsia="Arial" w:hAnsi="Arial"/>
          <w:sz w:val="21"/>
          <w:szCs w:val="21"/>
        </w:rPr>
        <w:t xml:space="preserve">Low risk products — every 36 months.</w:t>
      </w:r>
    </w:p>
    <w:p>
      <w:pPr>
        <w:spacing w:after="160" w:line="276"/>
      </w:pPr>
      <w:r>
        <w:rPr>
          <w:rFonts w:ascii="Arial" w:cs="Arial" w:eastAsia="Arial" w:hAnsi="Arial"/>
          <w:b w:val="false"/>
          <w:bCs w:val="false"/>
          <w:i w:val="false"/>
          <w:iCs w:val="false"/>
          <w:sz w:val="21"/>
          <w:szCs w:val="21"/>
        </w:rPr>
        <w:t xml:space="preserve">An FVA must also be refreshed outside the normal cycle where there is a material pricing change, a significant shift in the competitive market, or evidence from outcomes monitoring suggesting value may have deteriorated.</w:t>
      </w:r>
    </w:p>
    <w:p>
      <w:pPr>
        <w:pStyle w:val="Heading1"/>
        <w:spacing w:after="140" w:before="280"/>
      </w:pPr>
      <w:r>
        <w:t xml:space="preserve">8. Escalation</w:t>
      </w:r>
    </w:p>
    <w:p>
      <w:pPr>
        <w:spacing w:after="160" w:line="276"/>
      </w:pPr>
      <w:r>
        <w:rPr>
          <w:rFonts w:ascii="Arial" w:cs="Arial" w:eastAsia="Arial" w:hAnsi="Arial"/>
          <w:b w:val="false"/>
          <w:bCs w:val="false"/>
          <w:i w:val="false"/>
          <w:iCs w:val="false"/>
          <w:sz w:val="21"/>
          <w:szCs w:val="21"/>
        </w:rPr>
        <w:t xml:space="preserve">Where a Fair Value Assessment identifies that a product does not provide fair value, the Product Owner must: (i) notify the Product Governance Committee within [5 business days]; (ii) log the issue in the Gap Analysis Framework (CD-F1); (iii) develop a remediation plan, which may include price reduction, enhanced benefits, or product withdrawal; and (iv) consider whether affected customers require redress.</w:t>
      </w:r>
    </w:p>
    <w:p>
      <w:pPr>
        <w:pStyle w:val="Heading1"/>
        <w:spacing w:after="140" w:before="280"/>
      </w:pPr>
      <w:r>
        <w:t xml:space="preserve">9. Related Documents</w:t>
      </w:r>
    </w:p>
    <w:p>
      <w:pPr>
        <w:pStyle w:val="ListParagraph"/>
        <w:numPr>
          <w:ilvl w:val="0"/>
          <w:numId w:val="2"/>
        </w:numPr>
        <w:spacing w:after="100"/>
      </w:pPr>
      <w:r>
        <w:rPr>
          <w:rFonts w:ascii="Arial" w:cs="Arial" w:eastAsia="Arial" w:hAnsi="Arial"/>
          <w:sz w:val="21"/>
          <w:szCs w:val="21"/>
        </w:rPr>
        <w:t xml:space="preserve">Price Benchmarking Template (CD-I2)</w:t>
      </w:r>
    </w:p>
    <w:p>
      <w:pPr>
        <w:pStyle w:val="ListParagraph"/>
        <w:numPr>
          <w:ilvl w:val="0"/>
          <w:numId w:val="2"/>
        </w:numPr>
        <w:spacing w:after="100"/>
      </w:pPr>
      <w:r>
        <w:rPr>
          <w:rFonts w:ascii="Arial" w:cs="Arial" w:eastAsia="Arial" w:hAnsi="Arial"/>
          <w:sz w:val="21"/>
          <w:szCs w:val="21"/>
        </w:rPr>
        <w:t xml:space="preserve">Value for Money Scorecard (CD-I2)</w:t>
      </w:r>
    </w:p>
    <w:p>
      <w:pPr>
        <w:pStyle w:val="ListParagraph"/>
        <w:numPr>
          <w:ilvl w:val="0"/>
          <w:numId w:val="2"/>
        </w:numPr>
        <w:spacing w:after="100"/>
      </w:pPr>
      <w:r>
        <w:rPr>
          <w:rFonts w:ascii="Arial" w:cs="Arial" w:eastAsia="Arial" w:hAnsi="Arial"/>
          <w:sz w:val="21"/>
          <w:szCs w:val="21"/>
        </w:rPr>
        <w:t xml:space="preserve">Benefits vs Price Analysis (CD-I2)</w:t>
      </w:r>
    </w:p>
    <w:p>
      <w:pPr>
        <w:pStyle w:val="ListParagraph"/>
        <w:numPr>
          <w:ilvl w:val="0"/>
          <w:numId w:val="2"/>
        </w:numPr>
        <w:spacing w:after="100"/>
      </w:pPr>
      <w:r>
        <w:rPr>
          <w:rFonts w:ascii="Arial" w:cs="Arial" w:eastAsia="Arial" w:hAnsi="Arial"/>
          <w:sz w:val="21"/>
          <w:szCs w:val="21"/>
        </w:rPr>
        <w:t xml:space="preserve">Differential Outcomes Analysis (CD-I2)</w:t>
      </w:r>
    </w:p>
    <w:p>
      <w:pPr>
        <w:pStyle w:val="ListParagraph"/>
        <w:numPr>
          <w:ilvl w:val="0"/>
          <w:numId w:val="2"/>
        </w:numPr>
        <w:spacing w:after="100"/>
      </w:pPr>
      <w:r>
        <w:rPr>
          <w:rFonts w:ascii="Arial" w:cs="Arial" w:eastAsia="Arial" w:hAnsi="Arial"/>
          <w:sz w:val="21"/>
          <w:szCs w:val="21"/>
        </w:rPr>
        <w:t xml:space="preserve">FVA Review Schedule &amp; Tracker (CD-I2)</w:t>
      </w:r>
    </w:p>
    <w:p>
      <w:pPr>
        <w:pStyle w:val="ListParagraph"/>
        <w:numPr>
          <w:ilvl w:val="0"/>
          <w:numId w:val="2"/>
        </w:numPr>
        <w:spacing w:after="100"/>
      </w:pPr>
      <w:r>
        <w:rPr>
          <w:rFonts w:ascii="Arial" w:cs="Arial" w:eastAsia="Arial" w:hAnsi="Arial"/>
          <w:sz w:val="21"/>
          <w:szCs w:val="21"/>
        </w:rPr>
        <w:t xml:space="preserve">Product Governance Framework (CD-I1)</w:t>
      </w:r>
    </w:p>
    <w:p>
      <w:pPr>
        <w:pStyle w:val="Heading1"/>
        <w:spacing w:after="140" w:before="280"/>
      </w:pPr>
      <w:r>
        <w:t xml:space="preserve">10. Approval</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Approved By</w:t>
            </w:r>
          </w:p>
        </w:tc>
        <w:tc>
          <w:tcPr>
            <w:tcW w:type="dxa" w:w="6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Name, Role]</w:t>
            </w:r>
          </w:p>
        </w:tc>
      </w:tr>
      <w:tr>
        <w:tc>
          <w:tcPr>
            <w:tcW w:type="dxa" w:w="300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Approval Date</w:t>
            </w:r>
          </w:p>
        </w:tc>
        <w:tc>
          <w:tcPr>
            <w:tcW w:type="dxa" w:w="6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Date]</w:t>
            </w:r>
          </w:p>
        </w:tc>
      </w:tr>
      <w:tr>
        <w:tc>
          <w:tcPr>
            <w:tcW w:type="dxa" w:w="3000"/>
            <w:shd w:fill="F2F2F2" w:val="clear"/>
            <w:tcMar>
              <w:top w:type="dxa" w:w="80"/>
              <w:left w:type="dxa" w:w="100"/>
              <w:bottom w:type="dxa" w:w="80"/>
              <w:right w:type="dxa" w:w="100"/>
            </w:tcMar>
            <w:vAlign w:val="center"/>
          </w:tcPr>
          <w:p>
            <w:pPr>
              <w:jc w:val="left"/>
            </w:pPr>
            <w:r>
              <w:rPr>
                <w:rFonts w:ascii="Arial" w:cs="Arial" w:eastAsia="Arial" w:hAnsi="Arial"/>
                <w:b/>
                <w:bCs/>
                <w:color w:val="000000"/>
                <w:sz w:val="20"/>
                <w:szCs w:val="20"/>
              </w:rPr>
              <w:t xml:space="preserve">Next Review Date</w:t>
            </w:r>
          </w:p>
        </w:tc>
        <w:tc>
          <w:tcPr>
            <w:tcW w:type="dxa" w:w="6700"/>
            <w:tcMar>
              <w:top w:type="dxa" w:w="80"/>
              <w:left w:type="dxa" w:w="100"/>
              <w:bottom w:type="dxa" w:w="80"/>
              <w:right w:type="dxa" w:w="100"/>
            </w:tcMar>
            <w:vAlign w:val="center"/>
          </w:tcPr>
          <w:p>
            <w:pPr>
              <w:jc w:val="left"/>
            </w:pPr>
            <w:r>
              <w:rPr>
                <w:rFonts w:ascii="Arial" w:cs="Arial" w:eastAsia="Arial" w:hAnsi="Arial"/>
                <w:b w:val="false"/>
                <w:bCs w:val="false"/>
                <w:color w:val="000000"/>
                <w:sz w:val="20"/>
                <w:szCs w:val="20"/>
              </w:rPr>
              <w:t xml:space="preserve">[Insert Date]</w:t>
            </w:r>
          </w:p>
        </w:tc>
      </w:tr>
    </w:tbl>
    <w:p>
      <w:pPr>
        <w:spacing w:after="160" w:line="276"/>
      </w:pPr>
      <w:r>
        <w:rPr>
          <w:rFonts w:ascii="Arial" w:cs="Arial" w:eastAsia="Arial" w:hAnsi="Arial"/>
          <w:b w:val="false"/>
          <w:bCs w:val="false"/>
          <w:i w:val="false"/>
          <w:iCs w:val="false"/>
          <w:sz w:val="21"/>
          <w:szCs w:val="21"/>
        </w:rPr>
        <w:t xml:space="preserve"/>
      </w:r>
    </w:p>
    <w:p>
      <w:pPr>
        <w:spacing w:after="160"/>
      </w:pPr>
      <w:r>
        <w:rPr>
          <w:rFonts w:ascii="Arial" w:cs="Arial" w:eastAsia="Arial" w:hAnsi="Arial"/>
          <w:i/>
          <w:iCs/>
          <w:color w:val="8A8A8A"/>
          <w:sz w:val="21"/>
          <w:szCs w:val="21"/>
        </w:rPr>
        <w:t xml:space="preserve">Note: This framework should be reviewed at least annually and following any material regulatory change affecting pricing or fair value requirements.</w:t>
      </w:r>
    </w:p>
    <w:sectPr>
      <w:footerReference w:type="default" r:id="rId7"/>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CONFIDENTIAL — Internal Use Only   |   Page </w:t>
    </w:r>
    <w:r>
      <w:rPr>
        <w:rFonts w:ascii="Arial" w:cs="Arial" w:eastAsia="Arial" w:hAnsi="Arial"/>
        <w:color w:val="808080"/>
        <w:sz w:val="16"/>
        <w:szCs w:val="16"/>
      </w:rPr>
      <w:fldChar w:fldCharType="begin"/>
      <w:instrText xml:space="preserve">PAGE</w:instrText>
      <w:fldChar w:fldCharType="separate"/>
      <w:fldChar w:fldCharType="end"/>
    </w:r>
    <w:r>
      <w:rPr>
        <w:rFonts w:ascii="Arial" w:cs="Arial" w:eastAsia="Arial" w:hAnsi="Arial"/>
        <w:color w:val="808080"/>
        <w:sz w:val="16"/>
        <w:szCs w:val="16"/>
      </w:rPr>
      <w:t xml:space="preserve"> of </w:t>
    </w:r>
    <w:r>
      <w:rPr>
        <w:rFonts w:ascii="Arial" w:cs="Arial" w:eastAsia="Arial" w:hAnsi="Arial"/>
        <w:color w:val="808080"/>
        <w:sz w:val="16"/>
        <w:szCs w:val="16"/>
      </w:rPr>
      <w:fldChar w:fldCharType="begin"/>
      <w:instrText xml:space="preserve">NUMPAGES</w:instrText>
      <w:fldChar w:fldCharType="separate"/>
      <w:fldChar w:fldCharType="end"/>
    </w:r>
  </w:p>
  <w:p>
    <w:pPr>
      <w:jc w:val="center"/>
    </w:pPr>
    <w:r>
      <w:rPr>
        <w:rFonts w:ascii="Arial" w:cs="Arial" w:eastAsia="Arial" w:hAnsi="Arial"/>
        <w:color w:val="808080"/>
        <w:sz w:val="16"/>
        <w:szCs w:val="16"/>
      </w:rPr>
      <w:t xml:space="preserve">© 2026 xPercept.ai. Copyright and confidential. Do not distribute.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2026-08-05T20:34:11.072Z</dcterms:created>
  <dcterms:modified xsi:type="dcterms:W3CDTF">2026-08-05T20:34:11.084Z</dcterms:modified>
</cp:coreProperties>
</file>

<file path=docProps/custom.xml><?xml version="1.0" encoding="utf-8"?>
<Properties xmlns="http://schemas.openxmlformats.org/officeDocument/2006/custom-properties" xmlns:vt="http://schemas.openxmlformats.org/officeDocument/2006/docPropsVTypes"/>
</file>