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MI Dashboard Specification</w:t>
      </w:r>
    </w:p>
    <w:p>
      <w:pPr>
        <w:spacing w:after="200"/>
        <w:jc w:val="center"/>
      </w:pPr>
      <w:r>
        <w:rPr>
          <w:rFonts w:ascii="Arial" w:cs="Arial" w:eastAsia="Arial" w:hAnsi="Arial"/>
          <w:i/>
          <w:iCs/>
          <w:color w:val="2E5C8A"/>
          <w:sz w:val="26"/>
          <w:szCs w:val="26"/>
        </w:rPr>
        <w:t xml:space="preserve">Consumer Duty Implementation — Monitoring &amp; Management Information</w:t>
      </w:r>
    </w:p>
    <w:p>
      <w:pPr>
        <w:spacing w:after="2000"/>
        <w:jc w:val="center"/>
      </w:pPr>
      <w:r>
        <w:rPr>
          <w:rFonts w:ascii="Arial" w:cs="Arial" w:eastAsia="Arial" w:hAnsi="Arial"/>
          <w:color w:val="595959"/>
          <w:sz w:val="22"/>
          <w:szCs w:val="22"/>
        </w:rPr>
        <w:t xml:space="preserve">Reference: CD-M1</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 — e.g., Head of Data &amp; MI]</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Approving Body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Consumer Duty Oversight Committee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 — recommended annual review]</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w:t>
      </w:r>
    </w:p>
    <w:p>
      <w:pPr>
        <w:spacing w:after="160" w:line="276"/>
      </w:pPr>
      <w:r>
        <w:rPr>
          <w:rFonts w:ascii="Arial" w:cs="Arial" w:eastAsia="Arial" w:hAnsi="Arial"/>
          <w:b w:val="false"/>
          <w:bCs w:val="false"/>
          <w:i w:val="false"/>
          <w:iCs w:val="false"/>
          <w:sz w:val="21"/>
          <w:szCs w:val="21"/>
        </w:rPr>
        <w:t xml:space="preserve">This specification defines the structure, content, and data sources for the Consumer Duty management information dashboard, translating the Consumer Outcomes KPI Framework (CD-M1) into a build specification for the firm's MI/BI team.</w:t>
      </w:r>
    </w:p>
    <w:p>
      <w:pPr>
        <w:pStyle w:val="Heading1"/>
        <w:spacing w:after="140" w:before="280"/>
      </w:pPr>
      <w:r>
        <w:t xml:space="preserve">2. Dashboard Structure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Section</w:t>
            </w:r>
          </w:p>
        </w:tc>
        <w:tc>
          <w:tcPr>
            <w:tcW w:type="dxa" w:w="44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Content</w:t>
            </w:r>
          </w:p>
        </w:tc>
        <w:tc>
          <w:tcPr>
            <w:tcW w:type="dxa" w:w="2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Data Source</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Executive Summary</w:t>
            </w:r>
          </w:p>
        </w:tc>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Outcome-level RAG scores, headline trend</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See Executive Dashboard (CD-M1)</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Products &amp; Services</w:t>
            </w:r>
          </w:p>
        </w:tc>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Target market coverage, product review status</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Target Market Definition Template, Product Review Template (CD-I1)</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Price &amp; Value</w:t>
            </w:r>
          </w:p>
        </w:tc>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FVA schedule status, benchmarking outcomes</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FVA Review Schedule &amp; Tracker, Price Benchmarking Template (CD-I2)</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Consumer Understanding</w:t>
            </w:r>
          </w:p>
        </w:tc>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Comprehension test results, readability scores</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Customer Comprehension Survey, Readability Assessment Framework (CD-I3)</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Consumer Support</w:t>
            </w:r>
          </w:p>
        </w:tc>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Complaint volumes/themes, CSAT, channel performance</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Complaints Analysis Template, Customer Satisfaction Survey (CD-I4)</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Vulnerable Customers</w:t>
            </w:r>
          </w:p>
        </w:tc>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Identification rate, outcomes vs general population</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Quarterly Review Template (CD-I5)</w:t>
            </w:r>
          </w:p>
        </w:tc>
      </w:tr>
    </w:tbl>
    <w:p>
      <w:pPr>
        <w:pStyle w:val="Heading1"/>
        <w:spacing w:after="140" w:before="280"/>
      </w:pPr>
      <w:r>
        <w:t xml:space="preserve">3. Refresh Frequency</w:t>
      </w:r>
    </w:p>
    <w:p>
      <w:pPr>
        <w:spacing w:after="160" w:line="276"/>
      </w:pPr>
      <w:r>
        <w:rPr>
          <w:rFonts w:ascii="Arial" w:cs="Arial" w:eastAsia="Arial" w:hAnsi="Arial"/>
          <w:b w:val="false"/>
          <w:bCs w:val="false"/>
          <w:i w:val="false"/>
          <w:iCs w:val="false"/>
          <w:sz w:val="21"/>
          <w:szCs w:val="21"/>
        </w:rPr>
        <w:t xml:space="preserve">The dashboard should refresh monthly, with the Executive Summary section available on demand for ad hoc Committee or Board requests. Underlying source registers should be updated at the frequency set out in the Leading &amp; Lagging Indicators Library (CD-M1).</w:t>
      </w:r>
    </w:p>
    <w:p>
      <w:pPr>
        <w:pStyle w:val="Heading1"/>
        <w:spacing w:after="140" w:before="280"/>
      </w:pPr>
      <w:r>
        <w:t xml:space="preserve">4. Access and Distribution</w:t>
      </w:r>
    </w:p>
    <w:p>
      <w:pPr>
        <w:pStyle w:val="ListParagraph"/>
        <w:numPr>
          <w:ilvl w:val="0"/>
          <w:numId w:val="2"/>
        </w:numPr>
        <w:spacing w:after="100"/>
      </w:pPr>
      <w:r>
        <w:rPr>
          <w:rFonts w:ascii="Arial" w:cs="Arial" w:eastAsia="Arial" w:hAnsi="Arial"/>
          <w:sz w:val="21"/>
          <w:szCs w:val="21"/>
        </w:rPr>
        <w:t xml:space="preserve">Full dashboard: Consumer Duty Oversight Committee, Product Governance Committee, Compliance, Risk.</w:t>
      </w:r>
    </w:p>
    <w:p>
      <w:pPr>
        <w:pStyle w:val="ListParagraph"/>
        <w:numPr>
          <w:ilvl w:val="0"/>
          <w:numId w:val="2"/>
        </w:numPr>
        <w:spacing w:after="100"/>
      </w:pPr>
      <w:r>
        <w:rPr>
          <w:rFonts w:ascii="Arial" w:cs="Arial" w:eastAsia="Arial" w:hAnsi="Arial"/>
          <w:sz w:val="21"/>
          <w:szCs w:val="21"/>
        </w:rPr>
        <w:t xml:space="preserve">Executive Summary only: Board, Senior Management Function holders.</w:t>
      </w:r>
    </w:p>
    <w:p>
      <w:pPr>
        <w:pStyle w:val="ListParagraph"/>
        <w:numPr>
          <w:ilvl w:val="0"/>
          <w:numId w:val="2"/>
        </w:numPr>
        <w:spacing w:after="100"/>
      </w:pPr>
      <w:r>
        <w:rPr>
          <w:rFonts w:ascii="Arial" w:cs="Arial" w:eastAsia="Arial" w:hAnsi="Arial"/>
          <w:sz w:val="21"/>
          <w:szCs w:val="21"/>
        </w:rPr>
        <w:t xml:space="preserve">Section-level access: relevant business area owners (e.g., Product Owners see their own product data).</w:t>
      </w:r>
    </w:p>
    <w:p>
      <w:pPr>
        <w:pStyle w:val="Heading1"/>
        <w:spacing w:after="140" w:before="280"/>
      </w:pPr>
      <w:r>
        <w:t xml:space="preserve">5. Build Requirements</w:t>
      </w:r>
    </w:p>
    <w:p>
      <w:pPr>
        <w:spacing w:after="160" w:line="276"/>
      </w:pPr>
      <w:r>
        <w:rPr>
          <w:rFonts w:ascii="Arial" w:cs="Arial" w:eastAsia="Arial" w:hAnsi="Arial"/>
          <w:b w:val="false"/>
          <w:bCs w:val="false"/>
          <w:i w:val="false"/>
          <w:iCs w:val="false"/>
          <w:sz w:val="21"/>
          <w:szCs w:val="21"/>
        </w:rPr>
        <w:t xml:space="preserve">[Insert technical requirements — e.g., BI tool, data refresh pipeline, access control mechanism — once the MI/BI team confirms the build approach.]</w:t>
      </w:r>
    </w:p>
    <w:p>
      <w:pPr>
        <w:pStyle w:val="Heading1"/>
        <w:spacing w:after="140" w:before="280"/>
      </w:pPr>
      <w:r>
        <w:t xml:space="preserve">6.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2026-08-05T20:58:30.594Z</dcterms:created>
  <dcterms:modified xsi:type="dcterms:W3CDTF">2026-08-05T20:58:30.594Z</dcterms:modified>
</cp:coreProperties>
</file>

<file path=docProps/custom.xml><?xml version="1.0" encoding="utf-8"?>
<Properties xmlns="http://schemas.openxmlformats.org/officeDocument/2006/custom-properties" xmlns:vt="http://schemas.openxmlformats.org/officeDocument/2006/docPropsVTypes"/>
</file>