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Vulnerable Customer Monitoring Dashboard Specification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Vulnerable Customers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CD-I5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 — e.g., Head of Data &amp; MI]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Duty Oversight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specification defines the management information required to monitor outcomes for customers with characteristics of vulnerability, feeding the Quarterly Review Template (CD-I5) and the wider MI Dashboard Specification (CD-M1).</w:t>
      </w:r>
    </w:p>
    <w:p>
      <w:pPr>
        <w:pStyle w:val="Heading1"/>
        <w:spacing w:after="140" w:before="280"/>
      </w:pPr>
      <w:r>
        <w:t xml:space="preserve">2. Required Metrics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Customers flagged as vulnerable (% of active base)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identification volume and trend over 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Vulnerable customer complaints (% of total complaints)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 whether vulnerable customers are disproportionately affected by poor outcomes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Vulnerable customer complaint resolution time vs overall average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Confirms vulnerable customers are not waiting longer for resolution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Referrals to external support organisations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Tracks use of the External Support Organisations Directory (CD-I5)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training completion rate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Confirms capability to identify and support vulnerable customers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Reasonable adjustments requested vs fulfilled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Confirms adjustments agreed with customers are actually delivered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Quarterly</w:t>
            </w:r>
          </w:p>
        </w:tc>
      </w:tr>
    </w:tbl>
    <w:p>
      <w:pPr>
        <w:pStyle w:val="Heading1"/>
        <w:spacing w:after="140" w:before="280"/>
      </w:pPr>
      <w:r>
        <w:t xml:space="preserve">3. Segmentation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Where data permits, metrics should be segmented by vulnerability driver (health, life events, resilience, capability), product, and channel, to identify whether specific areas require targeted action.</w:t>
      </w:r>
    </w:p>
    <w:p>
      <w:pPr>
        <w:pStyle w:val="Heading1"/>
        <w:spacing w:after="140" w:before="280"/>
      </w:pPr>
      <w:r>
        <w:t xml:space="preserve">4. Reporting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dashboard is reviewed monthly by [Insert Role] and formally reported to the Consumer Duty Oversight Committee quarterly via the Quarterly Review Template (CD-I5). Any adverse trend should be logged in the Gap Analysis Framework (CD-F1).</w:t>
      </w:r>
    </w:p>
    <w:p>
      <w:pPr>
        <w:pStyle w:val="Heading1"/>
        <w:spacing w:after="140" w:before="280"/>
      </w:pPr>
      <w:r>
        <w:t xml:space="preserve">5.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2026-08-05T20:51:37.369Z</dcterms:created>
  <dcterms:modified xsi:type="dcterms:W3CDTF">2026-08-05T20:51:37.369Z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