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ONTARIO FUSION GENERATION</w:t>
      </w:r>
    </w:p>
    <w:p>
      <w:pPr>
        <w:jc w:val="center"/>
      </w:pPr>
      <w:r>
        <w:rPr>
          <w:b/>
          <w:sz w:val="32"/>
        </w:rPr>
        <w:t>DEFINITIVE ENGINEERING ATLAS — REV 3</w:t>
      </w:r>
    </w:p>
    <w:p>
      <w:pPr>
        <w:jc w:val="center"/>
      </w:pPr>
      <w:r>
        <w:rPr>
          <w:b/>
          <w:sz w:val="24"/>
        </w:rPr>
        <w:t>VOLUME 00 — CANON, CONTROL HIERARCHY, PROJECT HISTORY &amp; INSTITUTIONAL WORLD</w:t>
      </w:r>
    </w:p>
    <w:p>
      <w:pPr>
        <w:jc w:val="center"/>
      </w:pPr>
      <w:r>
        <w:t>Canon precedence, technology/project history, organizations, commercial structure, finance, licensing, authority and information flow</w:t>
      </w:r>
    </w:p>
    <w:p>
      <w:pPr>
        <w:jc w:val="center"/>
      </w:pPr>
      <w:r>
        <w:t>CONTROLLED STORY CONFIGURATION CUT: 19 APRIL 2031</w:t>
      </w:r>
    </w:p>
    <w:p>
      <w:pPr>
        <w:pStyle w:val="Heading1"/>
      </w:pPr>
      <w:r>
        <w:t>Atlas control doctrine</w:t>
      </w:r>
    </w:p>
    <w:p>
      <w:r>
        <w:t>This volume is part of the definitive self-contained story bible, not a work-package report. It preserves source-derived granularity and the engineering/configuration thread. C = controlled story/source canon; V = verified real-world precedent; E = controlled fictional engineering reconstruction; OPEN = unresolved. No precedent dimension, screening assumption, sensitivity value, code class, coordinate, vendor property, test result, or physical action is silently promoted to OFG historical fact.</w:t>
      </w:r>
    </w:p>
    <w:p>
      <w:r>
        <w:t>For every material configuration decision the controlling information chain is: originator → information → document/record → recipient → review → authority → decision → authorized action → physical consequence → inspection/test/as-built evidence → turnover/operations baseline → later change/supersession. CLOSED/APPROVED in an information system is not proof of physical execution.</w:t>
      </w:r>
    </w:p>
    <w:p>
      <w:pPr>
        <w:pStyle w:val="Heading1"/>
      </w:pPr>
      <w:r>
        <w:t>Integrated source map</w:t>
      </w:r>
    </w:p>
    <w:p>
      <w:r>
        <w:t>Detailed DOCX sources integrated: 5. Controlled CSV/ledger sources integrated: 0.</w:t>
      </w:r>
    </w:p>
    <w:p>
      <w:r>
        <w:t>DOCX · OFG_Completed_Atlas_Source/OFG_Canonical_Story_Backbone_Master_RevB.docx</w:t>
      </w:r>
    </w:p>
    <w:p>
      <w:r>
        <w:t>DOCX · OFG_Encyclopedia_RevN_Volume_00_Master_Index(6).docx</w:t>
      </w:r>
    </w:p>
    <w:p>
      <w:r>
        <w:t>DOCX · OFG_Engineering_Atlas_Rev0_Plantwide_Pass1/OFG_Atlas_A00_Master_Control_Hierarchy.docx</w:t>
      </w:r>
    </w:p>
    <w:p>
      <w:r>
        <w:t>DOCX · OFG_System_Encyclopedia_Rev1/OFG_S10R1_Master_Index_Dependencies_Canon_Conflict_Register.docx</w:t>
      </w:r>
    </w:p>
    <w:p>
      <w:r>
        <w:t>DOCX · OFG_Engineering_Encyclopedia_Rev2/OFG_E00_Design_Basis_First_Principles_Rev2.docx</w:t>
      </w:r>
    </w:p>
    <w:p>
      <w:r>
        <w:br w:type="page"/>
      </w:r>
    </w:p>
    <w:p>
      <w:pPr>
        <w:pStyle w:val="Heading1"/>
      </w:pPr>
      <w:r>
        <w:t>Integrated controlled source — OFG_Canonical_Story_Backbone_Master_RevB.docx</w:t>
      </w:r>
    </w:p>
    <w:p>
      <w:r>
        <w:t>Preserved at source granularity. Later explicit canon and change-provenance entries govern conflicts; source text is not silently rewritten.</w:t>
      </w:r>
    </w:p>
    <w:p>
      <w:pPr>
        <w:pStyle w:val="Title"/>
        <w:jc w:val="center"/>
      </w:pPr>
      <w:r>
        <w:t>ONTARIO FUSION GENERATION PROJECT</w:t>
      </w:r>
    </w:p>
    <w:p>
      <w:pPr>
        <w:pStyle w:val="Title"/>
        <w:jc w:val="center"/>
      </w:pPr>
      <w:r>
        <w:t>CANONICAL STORY BACKBONE</w:t>
      </w:r>
    </w:p>
    <w:p>
      <w:pPr>
        <w:pStyle w:val="Subtitle"/>
        <w:jc w:val="center"/>
      </w:pPr>
      <w:r>
        <w:t>MASTER COMPILATION · VERIFICATION STUDY · BACKLOG CLOSEOUT</w:t>
      </w:r>
    </w:p>
    <w:p/>
    <w:p>
      <w:pPr>
        <w:jc w:val="center"/>
      </w:pPr>
      <w:r>
        <w:t>Revision B  |  Canonical cut: Saturday, 19 April 2031</w:t>
      </w:r>
    </w:p>
    <w:p>
      <w:pPr>
        <w:jc w:val="center"/>
      </w:pPr>
      <w:r>
        <w:t>Prepared from the complete supplied source corpus and the controlled Rev A equipment baseline</w:t>
      </w:r>
    </w:p>
    <w:p/>
    <w:p>
      <w:pPr>
        <w:spacing w:after="80"/>
      </w:pPr>
      <w:r>
        <w:t>CONTROL NOTE: This document distinguishes locked story canon, controlled register facts, real-world precedent, engineering extrapolation, and unresolved/open items. It does not silently convert research assumptions into canon.</w:t>
      </w:r>
    </w:p>
    <w:p>
      <w:r>
        <w:br w:type="page"/>
      </w:r>
    </w:p>
    <w:p>
      <w:pPr>
        <w:pStyle w:val="Heading1"/>
      </w:pPr>
      <w:r>
        <w:t>0. Executive control statement</w:t>
      </w:r>
    </w:p>
    <w:p>
      <w:pPr>
        <w:spacing w:after="80"/>
      </w:pPr>
      <w:r>
        <w:t>This revision supersedes the earlier Rev 0 compilation as the working canonical backbone. It incorporates the full 219-page journal, the updated Master Asset Register RevA(2), the 130,534-row Equipment Event History, the Register Manifest, previously established character/story canon, and a second verification study against primary or authoritative case-study sources.</w:t>
      </w:r>
    </w:p>
    <w:p>
      <w:pPr>
        <w:spacing w:after="80"/>
      </w:pPr>
      <w:r>
        <w:t>The backbone is deliberately conservative: where the source corpus itself says a value is not yet locked, this document keeps it open. Where later material explicitly corrects earlier material, the later deliberate correction controls. The most important such correction is site population: the old ~680 total is superseded; ~680 is now an execution-contractor/project-support subtotal, while normal weekday controlled-site population in April 2031 is approximately 820-880, with ~850 as the canonical shorthand.</w:t>
      </w:r>
    </w:p>
    <w:p>
      <w:pPr>
        <w:spacing w:after="80"/>
      </w:pPr>
      <w:r>
        <w:t>The physical register remains configuration-controlled. RevA(2) contains 22,647 assets and retains two systematic lifecycle-date defects: 802 records show installation before site arrival and 1,294 show turnover before mechanical completion. Those dates are quarantined from scene-level evidentiary use until corrected or semantically redefined.</w:t>
      </w:r>
    </w:p>
    <w:p>
      <w:pPr>
        <w:pStyle w:val="Heading1"/>
      </w:pPr>
      <w:r>
        <w:t>1. Canon hierarchy and change-control rules</w:t>
      </w:r>
    </w:p>
    <w:p>
      <w:pPr>
        <w:pStyle w:val="ListBullet"/>
        <w:spacing w:after="40"/>
      </w:pPr>
      <w:r>
        <w:t>Locked story canon: deliberate narrative/world decisions, including later explicit corrections.</w:t>
      </w:r>
    </w:p>
    <w:p>
      <w:pPr>
        <w:pStyle w:val="ListBullet"/>
        <w:spacing w:after="40"/>
      </w:pPr>
      <w:r>
        <w:t>Register canon: asset identity, taxonomy, ownership/control, April 19 custody/status and lifecycle history subject to explicit data-quality caveats.</w:t>
      </w:r>
    </w:p>
    <w:p>
      <w:pPr>
        <w:pStyle w:val="ListBullet"/>
        <w:spacing w:after="40"/>
      </w:pPr>
      <w:r>
        <w:t>Real precedent: directly supported by actual fusion, nuclear, megaproject, regulatory, legal or accident-investigation sources.</w:t>
      </w:r>
    </w:p>
    <w:p>
      <w:pPr>
        <w:pStyle w:val="ListBullet"/>
        <w:spacing w:after="40"/>
      </w:pPr>
      <w:r>
        <w:t>HFRP design extrapolation: fictional technology chosen to remain compatible with demonstrated engineering practice and the alternate-history premise.</w:t>
      </w:r>
    </w:p>
    <w:p>
      <w:pPr>
        <w:pStyle w:val="ListBullet"/>
        <w:spacing w:after="40"/>
      </w:pPr>
      <w:r>
        <w:t>OFG project implementation: fictional project-specific organization, contracts, tags, dates and interfaces.</w:t>
      </w:r>
    </w:p>
    <w:p>
      <w:pPr>
        <w:pStyle w:val="ListBullet"/>
        <w:spacing w:after="40"/>
      </w:pPr>
      <w:r>
        <w:t>Open design space: facts intentionally not yet locked, such as exact net MWe and the final catastrophe mechanism.</w:t>
      </w:r>
    </w:p>
    <w:p>
      <w:pPr>
        <w:pStyle w:val="ListBullet"/>
        <w:spacing w:after="40"/>
      </w:pPr>
      <w:r>
        <w:t>Conflict rule: later explicit canon decisions supersede earlier exploratory proposals; register changes require a controlled revision, not silent prose edits.</w:t>
      </w:r>
    </w:p>
    <w:p>
      <w:pPr>
        <w:pStyle w:val="Heading1"/>
      </w:pPr>
      <w:r>
        <w:t>2. Narrative thesis and macro-structure</w:t>
      </w:r>
    </w:p>
    <w:p>
      <w:pPr>
        <w:spacing w:after="80"/>
      </w:pPr>
      <w:r>
        <w:t>The novel is a hard-core techno-political thriller centered on engineering ethics rather than a hero fantasy. Technology is fundamentally pro-progress; the danger arises when technically sophisticated institutions fragment responsibility, normalize weak signals, compress uncertainty into management summaries, and allow schedule, contractual and political incentives to distort how evidence is classified.</w:t>
      </w:r>
    </w:p>
    <w:p>
      <w:pPr>
        <w:spacing w:after="80"/>
      </w:pPr>
      <w:r>
        <w:t>The opening is intentionally small in scale. Ordinary professional lives and institutional viewpoints surround a project that appears almost complete. The April 12 restraint near miss and the missing execution evidence for M-88217 establish a contained anomaly. Engineering, systems integration, law, finance, regulation, corporate governance and Japanese government interests gradually converge. 'Date versus state' becomes the governing tension: a public milestone is a date; readiness is a physical and evidentiary state.</w:t>
      </w:r>
    </w:p>
    <w:p>
      <w:pPr>
        <w:spacing w:after="80"/>
      </w:pPr>
      <w:r>
        <w:t>The later mass-casualty catastrophe is to be built as the terminal alignment of many precursors, not as an unrelated surprise. The second half reconstructs deeper causal chains. The ending contrasts public forgetting with the professional duty to remember.</w:t>
      </w:r>
    </w:p>
    <w:p>
      <w:pPr>
        <w:pStyle w:val="Heading1"/>
      </w:pPr>
      <w:r>
        <w:t>3. Heinrich / precursor architecture</w:t>
      </w:r>
    </w:p>
    <w:p>
      <w:pPr>
        <w:spacing w:after="80"/>
      </w:pPr>
      <w:r>
        <w:t>Heinrich's Law is used thematically, not as a literal fixed 1:29:300 ratio. The plant can generate hundreds of ordinary abnormalities - transmitter drift, loose glands, stale drawings, overdue calibration, scaffold contact, temporary jumpers, minor leaks, incorrect witness marks, support discrepancies, missing firestops, failed limit switches - most of which are corrected and never become accidents.</w:t>
      </w:r>
    </w:p>
    <w:p>
      <w:pPr>
        <w:spacing w:after="80"/>
      </w:pPr>
      <w:r>
        <w:t>A smaller set recur or reveal common latent mechanisms. A very small set are high-potential near misses. The April 12 event is the first such precursor shown directly to the reader. The future catastrophe must arise when several latent mechanisms align across technical and institutional boundaries.</w:t>
      </w:r>
    </w:p>
    <w:p>
      <w:pPr>
        <w:pStyle w:val="Heading1"/>
      </w:pPr>
      <w:r>
        <w:t>4. Story-present alignment: 19 April 2031</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Thread</w:t>
            </w:r>
          </w:p>
        </w:tc>
        <w:tc>
          <w:tcPr>
            <w:tcW w:type="dxa" w:w="5083"/>
            <w:vAlign w:val="center"/>
          </w:tcPr>
          <w:p>
            <w:r>
              <w:rPr>
                <w:b/>
              </w:rPr>
              <w:t>Canonical state</w:t>
            </w:r>
          </w:p>
        </w:tc>
      </w:tr>
      <w:tr>
        <w:tc>
          <w:tcPr>
            <w:tcW w:type="dxa" w:w="5083"/>
            <w:vAlign w:val="top"/>
          </w:tcPr>
          <w:p>
            <w:r>
              <w:rPr>
                <w:sz w:val="15"/>
              </w:rPr>
              <w:t>Yuji Matsushima</w:t>
            </w:r>
          </w:p>
        </w:tc>
        <w:tc>
          <w:tcPr>
            <w:tcW w:type="dxa" w:w="5083"/>
            <w:vAlign w:val="top"/>
          </w:tcPr>
          <w:p>
            <w:r>
              <w:rPr>
                <w:sz w:val="15"/>
              </w:rPr>
              <w:t>Exhausted after working the April 12 physical/configuration problem; one of three HMS secondees serving as Assistants to the Supervising Chief Engineer.</w:t>
            </w:r>
          </w:p>
        </w:tc>
      </w:tr>
      <w:tr>
        <w:tc>
          <w:tcPr>
            <w:tcW w:type="dxa" w:w="5083"/>
            <w:vAlign w:val="top"/>
          </w:tcPr>
          <w:p>
            <w:r>
              <w:rPr>
                <w:sz w:val="15"/>
              </w:rPr>
              <w:t>Monica Thloane</w:t>
            </w:r>
          </w:p>
        </w:tc>
        <w:tc>
          <w:tcPr>
            <w:tcW w:type="dxa" w:w="5083"/>
            <w:vAlign w:val="top"/>
          </w:tcPr>
          <w:p>
            <w:r>
              <w:rPr>
                <w:sz w:val="15"/>
              </w:rPr>
              <w:t>Arrives in Toronto to join E&amp;C Canada's Systems Integration organization precisely as commissioning complexity peaks.</w:t>
            </w:r>
          </w:p>
        </w:tc>
      </w:tr>
      <w:tr>
        <w:tc>
          <w:tcPr>
            <w:tcW w:type="dxa" w:w="5083"/>
            <w:vAlign w:val="top"/>
          </w:tcPr>
          <w:p>
            <w:r>
              <w:rPr>
                <w:sz w:val="15"/>
              </w:rPr>
              <w:t>Vanessa Ester</w:t>
            </w:r>
          </w:p>
        </w:tc>
        <w:tc>
          <w:tcPr>
            <w:tcW w:type="dxa" w:w="5083"/>
            <w:vAlign w:val="top"/>
          </w:tcPr>
          <w:p>
            <w:r>
              <w:rPr>
                <w:sz w:val="15"/>
              </w:rPr>
              <w:t>Outside the project hierarchy but close to Yuji; provides legal/evidentiary reasoning and personal counterpoint.</w:t>
            </w:r>
          </w:p>
        </w:tc>
      </w:tr>
      <w:tr>
        <w:tc>
          <w:tcPr>
            <w:tcW w:type="dxa" w:w="5083"/>
            <w:vAlign w:val="top"/>
          </w:tcPr>
          <w:p>
            <w:r>
              <w:rPr>
                <w:sz w:val="15"/>
              </w:rPr>
              <w:t>Daniel Mercer</w:t>
            </w:r>
          </w:p>
        </w:tc>
        <w:tc>
          <w:tcPr>
            <w:tcW w:type="dxa" w:w="5083"/>
            <w:vAlign w:val="top"/>
          </w:tcPr>
          <w:p>
            <w:r>
              <w:rPr>
                <w:sz w:val="15"/>
              </w:rPr>
              <w:t>In Manhattan reconciling Friday's OFG project data into Project Aurora financing work.</w:t>
            </w:r>
          </w:p>
        </w:tc>
      </w:tr>
      <w:tr>
        <w:tc>
          <w:tcPr>
            <w:tcW w:type="dxa" w:w="5083"/>
            <w:vAlign w:val="top"/>
          </w:tcPr>
          <w:p>
            <w:r>
              <w:rPr>
                <w:sz w:val="15"/>
              </w:rPr>
              <w:t>Japanese government</w:t>
            </w:r>
          </w:p>
        </w:tc>
        <w:tc>
          <w:tcPr>
            <w:tcW w:type="dxa" w:w="5083"/>
            <w:vAlign w:val="top"/>
          </w:tcPr>
          <w:p>
            <w:r>
              <w:rPr>
                <w:sz w:val="15"/>
              </w:rPr>
              <w:t>Watching a flagship Japanese commercial-fusion export approach the outside edge of its public H1 2031 First Plasma commitment.</w:t>
            </w:r>
          </w:p>
        </w:tc>
      </w:tr>
    </w:tbl>
    <w:p>
      <w:pPr>
        <w:spacing w:after="40"/>
      </w:pPr>
    </w:p>
    <w:p>
      <w:pPr>
        <w:pStyle w:val="Heading1"/>
      </w:pPr>
      <w:r>
        <w:t>5. Character bible - locked fundamentals</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Character</w:t>
            </w:r>
          </w:p>
        </w:tc>
        <w:tc>
          <w:tcPr>
            <w:tcW w:type="dxa" w:w="5083"/>
            <w:vAlign w:val="center"/>
          </w:tcPr>
          <w:p>
            <w:r>
              <w:rPr>
                <w:b/>
              </w:rPr>
              <w:t>Locked fundamentals</w:t>
            </w:r>
          </w:p>
        </w:tc>
      </w:tr>
      <w:tr>
        <w:tc>
          <w:tcPr>
            <w:tcW w:type="dxa" w:w="5083"/>
            <w:vAlign w:val="top"/>
          </w:tcPr>
          <w:p>
            <w:r>
              <w:rPr>
                <w:sz w:val="15"/>
              </w:rPr>
              <w:t>Yuji Matsushima</w:t>
            </w:r>
          </w:p>
        </w:tc>
        <w:tc>
          <w:tcPr>
            <w:tcW w:type="dxa" w:w="5083"/>
            <w:vAlign w:val="top"/>
          </w:tcPr>
          <w:p>
            <w:r>
              <w:rPr>
                <w:sz w:val="15"/>
              </w:rPr>
              <w:t>28. HMS Energy &amp; Environment Company / Fusion Energy Domain / Plant Business Division; seconded to E&amp;C Canada. Assistant to the Supervising Chief Engineer. Systems-engineering implementation/system interpretation; stochastic multiphase-flow modelling. Exceptionally articulate professional English; Japanese, English, Mandarin, German, French. ~6 months on OFG. Lean endurance runner; older manual Ford F-150. Long-term girlfriend in Japan; promise to marry after project and return to Japan HQ. Detailed education/career history is a later reveal, not early exposition.</w:t>
            </w:r>
          </w:p>
        </w:tc>
      </w:tr>
      <w:tr>
        <w:tc>
          <w:tcPr>
            <w:tcW w:type="dxa" w:w="5083"/>
            <w:vAlign w:val="top"/>
          </w:tcPr>
          <w:p>
            <w:r>
              <w:rPr>
                <w:sz w:val="15"/>
              </w:rPr>
              <w:t>Monica Thloane</w:t>
            </w:r>
          </w:p>
        </w:tc>
        <w:tc>
          <w:tcPr>
            <w:tcW w:type="dxa" w:w="5083"/>
            <w:vAlign w:val="top"/>
          </w:tcPr>
          <w:p>
            <w:r>
              <w:rPr>
                <w:sz w:val="15"/>
              </w:rPr>
              <w:t>23. UF B.S. Industrial &amp; Systems Engineering. ~10 months experience. Transfers E&amp;C America -&gt; E&amp;C Canada, Project Engineering Associate - Systems Integration. Near-native French through family background and formal study. First time living outside U.S. Corporate apartment near Yonge-Lawrence. Early POV should reveal excitement indirectly, not through explanatory monologue.</w:t>
            </w:r>
          </w:p>
        </w:tc>
      </w:tr>
      <w:tr>
        <w:tc>
          <w:tcPr>
            <w:tcW w:type="dxa" w:w="5083"/>
            <w:vAlign w:val="top"/>
          </w:tcPr>
          <w:p>
            <w:r>
              <w:rPr>
                <w:sz w:val="15"/>
              </w:rPr>
              <w:t>Vanessa Ester</w:t>
            </w:r>
          </w:p>
        </w:tc>
        <w:tc>
          <w:tcPr>
            <w:tcW w:type="dxa" w:w="5083"/>
            <w:vAlign w:val="top"/>
          </w:tcPr>
          <w:p>
            <w:r>
              <w:rPr>
                <w:sz w:val="15"/>
              </w:rPr>
              <w:t>28. Toronto-area origin. University of Toronto undergraduate; McGill Law. Legal specialist; strong composition, argument and evidentiary reasoning. Met Yuji in Montreal at 21; current unresolved/intimate relationship. Not technically trained; Yuji translates engineering content. Professional register, dry wit, occasional legal phrasing.</w:t>
            </w:r>
          </w:p>
        </w:tc>
      </w:tr>
      <w:tr>
        <w:tc>
          <w:tcPr>
            <w:tcW w:type="dxa" w:w="5083"/>
            <w:vAlign w:val="top"/>
          </w:tcPr>
          <w:p>
            <w:r>
              <w:rPr>
                <w:sz w:val="15"/>
              </w:rPr>
              <w:t>Daniel Mercer</w:t>
            </w:r>
          </w:p>
        </w:tc>
        <w:tc>
          <w:tcPr>
            <w:tcW w:type="dxa" w:w="5083"/>
            <w:vAlign w:val="top"/>
          </w:tcPr>
          <w:p>
            <w:r>
              <w:rPr>
                <w:sz w:val="15"/>
              </w:rPr>
              <w:t>29. American, Irish descent. Tufts mathematics; NYU Stern MBA. Former U.S. Navy Supply Corps officer, separated as lieutenant after ~5 years. JPMorgan first-year analyst in infrastructure/project finance / power &amp; utilities. Competitive, status-conscious, contempt for enlisted/NCOs is an intentional flaw. Engineering reaches him through exception-driven finance summaries.</w:t>
            </w:r>
          </w:p>
        </w:tc>
      </w:tr>
    </w:tbl>
    <w:p>
      <w:pPr>
        <w:spacing w:after="40"/>
      </w:pPr>
    </w:p>
    <w:p>
      <w:pPr>
        <w:pStyle w:val="Heading1"/>
      </w:pPr>
      <w:r>
        <w:t>6. OFG project identity, site and ownership</w:t>
      </w:r>
    </w:p>
    <w:p>
      <w:pPr>
        <w:pStyle w:val="ListBullet"/>
        <w:spacing w:after="40"/>
      </w:pPr>
      <w:r>
        <w:t>OFG is a commercial deployment of an already-qualified HMS HFRP reference architecture descended from ITER -&gt; Q-DEMO; it is not an experiment asking whether fusion works.</w:t>
      </w:r>
    </w:p>
    <w:p>
      <w:pPr>
        <w:pStyle w:val="ListBullet"/>
        <w:spacing w:after="40"/>
      </w:pPr>
      <w:r>
        <w:t>Site: Clarington Energy Site, Municipality of Clarington, Ontario, on the Lake Ontario shoreline east of Bowmanville.</w:t>
      </w:r>
    </w:p>
    <w:p>
      <w:pPr>
        <w:pStyle w:val="ListBullet"/>
        <w:spacing w:after="40"/>
      </w:pPr>
      <w:r>
        <w:t>OPG is owner, CNSC licensee and future operator. CNSC is independent safety regulator. IESO handles system planning; OEB economic regulation; Hydro One transmission interfaces; Infrastructure Ontario may support assigned commercial/procurement functions.</w:t>
      </w:r>
    </w:p>
    <w:p>
      <w:pPr>
        <w:pStyle w:val="ListBullet"/>
        <w:spacing w:after="40"/>
      </w:pPr>
      <w:r>
        <w:t>HMS owns the fusion technology/reference-design IP. E&amp;C Canada is plant integrator/EPC contractor and sole E&amp;C Group Canadian representative. E&amp;C Holdings is the listed parent/guarantor for specified obligations, not the field contractor.</w:t>
      </w:r>
    </w:p>
    <w:p>
      <w:pPr>
        <w:pStyle w:val="ListBullet"/>
        <w:spacing w:after="40"/>
      </w:pPr>
      <w:r>
        <w:t>Bechtel is principal construction contractor/constructor in the fictional contract architecture. Aecon, Kiewit, E.S. Fox, Bird and specialist vendors sit below or alongside defined package chains; OEMs do not directly command unrelated field trades.</w:t>
      </w:r>
    </w:p>
    <w:p>
      <w:pPr>
        <w:pStyle w:val="Heading1"/>
      </w:pPr>
      <w:r>
        <w:t>7. Master lifecycle and schedule baselines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Period</w:t>
            </w:r>
          </w:p>
        </w:tc>
        <w:tc>
          <w:tcPr>
            <w:tcW w:type="dxa" w:w="5083"/>
            <w:vAlign w:val="center"/>
          </w:tcPr>
          <w:p>
            <w:r>
              <w:rPr>
                <w:b/>
              </w:rPr>
              <w:t>Canonical meaning</w:t>
            </w:r>
          </w:p>
        </w:tc>
      </w:tr>
      <w:tr>
        <w:tc>
          <w:tcPr>
            <w:tcW w:type="dxa" w:w="5083"/>
            <w:vAlign w:val="top"/>
          </w:tcPr>
          <w:p>
            <w:r>
              <w:rPr>
                <w:sz w:val="15"/>
              </w:rPr>
              <w:t>pre-2023</w:t>
            </w:r>
          </w:p>
        </w:tc>
        <w:tc>
          <w:tcPr>
            <w:tcW w:type="dxa" w:w="5083"/>
            <w:vAlign w:val="top"/>
          </w:tcPr>
          <w:p>
            <w:r>
              <w:rPr>
                <w:sz w:val="15"/>
              </w:rPr>
              <w:t>HFRP qualification and Clarington strategic site reserve.</w:t>
            </w:r>
          </w:p>
        </w:tc>
      </w:tr>
      <w:tr>
        <w:tc>
          <w:tcPr>
            <w:tcW w:type="dxa" w:w="5083"/>
            <w:vAlign w:val="top"/>
          </w:tcPr>
          <w:p>
            <w:r>
              <w:rPr>
                <w:sz w:val="15"/>
              </w:rPr>
              <w:t>Jan 2023-Mar 2024</w:t>
            </w:r>
          </w:p>
        </w:tc>
        <w:tc>
          <w:tcPr>
            <w:tcW w:type="dxa" w:w="5083"/>
            <w:vAlign w:val="top"/>
          </w:tcPr>
          <w:p>
            <w:r>
              <w:rPr>
                <w:sz w:val="15"/>
              </w:rPr>
              <w:t>Commercial origination / technology due diligence.</w:t>
            </w:r>
          </w:p>
        </w:tc>
      </w:tr>
      <w:tr>
        <w:tc>
          <w:tcPr>
            <w:tcW w:type="dxa" w:w="5083"/>
            <w:vAlign w:val="top"/>
          </w:tcPr>
          <w:p>
            <w:r>
              <w:rPr>
                <w:sz w:val="15"/>
              </w:rPr>
              <w:t>Apr 2024</w:t>
            </w:r>
          </w:p>
        </w:tc>
        <w:tc>
          <w:tcPr>
            <w:tcW w:type="dxa" w:w="5083"/>
            <w:vAlign w:val="top"/>
          </w:tcPr>
          <w:p>
            <w:r>
              <w:rPr>
                <w:sz w:val="15"/>
              </w:rPr>
              <w:t>Project authorization; OFG formally exists.</w:t>
            </w:r>
          </w:p>
        </w:tc>
      </w:tr>
      <w:tr>
        <w:tc>
          <w:tcPr>
            <w:tcW w:type="dxa" w:w="5083"/>
            <w:vAlign w:val="top"/>
          </w:tcPr>
          <w:p>
            <w:r>
              <w:rPr>
                <w:sz w:val="15"/>
              </w:rPr>
              <w:t>Apr-Sep 2024</w:t>
            </w:r>
          </w:p>
        </w:tc>
        <w:tc>
          <w:tcPr>
            <w:tcW w:type="dxa" w:w="5083"/>
            <w:vAlign w:val="top"/>
          </w:tcPr>
          <w:p>
            <w:r>
              <w:rPr>
                <w:sz w:val="15"/>
              </w:rPr>
              <w:t>Reference adaptation / pre-FEED.</w:t>
            </w:r>
          </w:p>
        </w:tc>
      </w:tr>
      <w:tr>
        <w:tc>
          <w:tcPr>
            <w:tcW w:type="dxa" w:w="5083"/>
            <w:vAlign w:val="top"/>
          </w:tcPr>
          <w:p>
            <w:r>
              <w:rPr>
                <w:sz w:val="15"/>
              </w:rPr>
              <w:t>Jul 2024-Sep 2025</w:t>
            </w:r>
          </w:p>
        </w:tc>
        <w:tc>
          <w:tcPr>
            <w:tcW w:type="dxa" w:w="5083"/>
            <w:vAlign w:val="top"/>
          </w:tcPr>
          <w:p>
            <w:r>
              <w:rPr>
                <w:sz w:val="15"/>
              </w:rPr>
              <w:t>FEED / Development Phase.</w:t>
            </w:r>
          </w:p>
        </w:tc>
      </w:tr>
      <w:tr>
        <w:tc>
          <w:tcPr>
            <w:tcW w:type="dxa" w:w="5083"/>
            <w:vAlign w:val="top"/>
          </w:tcPr>
          <w:p>
            <w:r>
              <w:rPr>
                <w:sz w:val="15"/>
              </w:rPr>
              <w:t>Sep 2025</w:t>
            </w:r>
          </w:p>
        </w:tc>
        <w:tc>
          <w:tcPr>
            <w:tcW w:type="dxa" w:w="5083"/>
            <w:vAlign w:val="top"/>
          </w:tcPr>
          <w:p>
            <w:r>
              <w:rPr>
                <w:sz w:val="15"/>
              </w:rPr>
              <w:t>FID / execution authorization.</w:t>
            </w:r>
          </w:p>
        </w:tc>
      </w:tr>
      <w:tr>
        <w:tc>
          <w:tcPr>
            <w:tcW w:type="dxa" w:w="5083"/>
            <w:vAlign w:val="top"/>
          </w:tcPr>
          <w:p>
            <w:r>
              <w:rPr>
                <w:sz w:val="15"/>
              </w:rPr>
              <w:t>Jun 2025-May 2026</w:t>
            </w:r>
          </w:p>
        </w:tc>
        <w:tc>
          <w:tcPr>
            <w:tcW w:type="dxa" w:w="5083"/>
            <w:vAlign w:val="top"/>
          </w:tcPr>
          <w:p>
            <w:r>
              <w:rPr>
                <w:sz w:val="15"/>
              </w:rPr>
              <w:t>Site preparation.</w:t>
            </w:r>
          </w:p>
        </w:tc>
      </w:tr>
      <w:tr>
        <w:tc>
          <w:tcPr>
            <w:tcW w:type="dxa" w:w="5083"/>
            <w:vAlign w:val="top"/>
          </w:tcPr>
          <w:p>
            <w:r>
              <w:rPr>
                <w:sz w:val="15"/>
              </w:rPr>
              <w:t>Oct 2025-mid-2029</w:t>
            </w:r>
          </w:p>
        </w:tc>
        <w:tc>
          <w:tcPr>
            <w:tcW w:type="dxa" w:w="5083"/>
            <w:vAlign w:val="top"/>
          </w:tcPr>
          <w:p>
            <w:r>
              <w:rPr>
                <w:sz w:val="15"/>
              </w:rPr>
              <w:t>Detailed engineering.</w:t>
            </w:r>
          </w:p>
        </w:tc>
      </w:tr>
      <w:tr>
        <w:tc>
          <w:tcPr>
            <w:tcW w:type="dxa" w:w="5083"/>
            <w:vAlign w:val="top"/>
          </w:tcPr>
          <w:p>
            <w:r>
              <w:rPr>
                <w:sz w:val="15"/>
              </w:rPr>
              <w:t>late 2024-2030</w:t>
            </w:r>
          </w:p>
        </w:tc>
        <w:tc>
          <w:tcPr>
            <w:tcW w:type="dxa" w:w="5083"/>
            <w:vAlign w:val="top"/>
          </w:tcPr>
          <w:p>
            <w:r>
              <w:rPr>
                <w:sz w:val="15"/>
              </w:rPr>
              <w:t>Long-lead procurement/fabrication.</w:t>
            </w:r>
          </w:p>
        </w:tc>
      </w:tr>
      <w:tr>
        <w:tc>
          <w:tcPr>
            <w:tcW w:type="dxa" w:w="5083"/>
            <w:vAlign w:val="top"/>
          </w:tcPr>
          <w:p>
            <w:r>
              <w:rPr>
                <w:sz w:val="15"/>
              </w:rPr>
              <w:t>May 2026-2029</w:t>
            </w:r>
          </w:p>
        </w:tc>
        <w:tc>
          <w:tcPr>
            <w:tcW w:type="dxa" w:w="5083"/>
            <w:vAlign w:val="top"/>
          </w:tcPr>
          <w:p>
            <w:r>
              <w:rPr>
                <w:sz w:val="15"/>
              </w:rPr>
              <w:t>Permanent nuclear/fusion civil construction.</w:t>
            </w:r>
          </w:p>
        </w:tc>
      </w:tr>
      <w:tr>
        <w:tc>
          <w:tcPr>
            <w:tcW w:type="dxa" w:w="5083"/>
            <w:vAlign w:val="top"/>
          </w:tcPr>
          <w:p>
            <w:r>
              <w:rPr>
                <w:sz w:val="15"/>
              </w:rPr>
              <w:t>late 2027-late 2029</w:t>
            </w:r>
          </w:p>
        </w:tc>
        <w:tc>
          <w:tcPr>
            <w:tcW w:type="dxa" w:w="5083"/>
            <w:vAlign w:val="top"/>
          </w:tcPr>
          <w:p>
            <w:r>
              <w:rPr>
                <w:sz w:val="15"/>
              </w:rPr>
              <w:t>Major machine erection.</w:t>
            </w:r>
          </w:p>
        </w:tc>
      </w:tr>
      <w:tr>
        <w:tc>
          <w:tcPr>
            <w:tcW w:type="dxa" w:w="5083"/>
            <w:vAlign w:val="top"/>
          </w:tcPr>
          <w:p>
            <w:r>
              <w:rPr>
                <w:sz w:val="15"/>
              </w:rPr>
              <w:t>2027-mid-2030</w:t>
            </w:r>
          </w:p>
        </w:tc>
        <w:tc>
          <w:tcPr>
            <w:tcW w:type="dxa" w:w="5083"/>
            <w:vAlign w:val="top"/>
          </w:tcPr>
          <w:p>
            <w:r>
              <w:rPr>
                <w:sz w:val="15"/>
              </w:rPr>
              <w:t>Plant-system installation.</w:t>
            </w:r>
          </w:p>
        </w:tc>
      </w:tr>
      <w:tr>
        <w:tc>
          <w:tcPr>
            <w:tcW w:type="dxa" w:w="5083"/>
            <w:vAlign w:val="top"/>
          </w:tcPr>
          <w:p>
            <w:r>
              <w:rPr>
                <w:sz w:val="15"/>
              </w:rPr>
              <w:t>mid-2029-early 2031</w:t>
            </w:r>
          </w:p>
        </w:tc>
        <w:tc>
          <w:tcPr>
            <w:tcW w:type="dxa" w:w="5083"/>
            <w:vAlign w:val="top"/>
          </w:tcPr>
          <w:p>
            <w:r>
              <w:rPr>
                <w:sz w:val="15"/>
              </w:rPr>
              <w:t>Progressive completion and turnover.</w:t>
            </w:r>
          </w:p>
        </w:tc>
      </w:tr>
      <w:tr>
        <w:tc>
          <w:tcPr>
            <w:tcW w:type="dxa" w:w="5083"/>
            <w:vAlign w:val="top"/>
          </w:tcPr>
          <w:p>
            <w:r>
              <w:rPr>
                <w:sz w:val="15"/>
              </w:rPr>
              <w:t>late 2029-2031</w:t>
            </w:r>
          </w:p>
        </w:tc>
        <w:tc>
          <w:tcPr>
            <w:tcW w:type="dxa" w:w="5083"/>
            <w:vAlign w:val="top"/>
          </w:tcPr>
          <w:p>
            <w:r>
              <w:rPr>
                <w:sz w:val="15"/>
              </w:rPr>
              <w:t>Pre-commissioning.</w:t>
            </w:r>
          </w:p>
        </w:tc>
      </w:tr>
      <w:tr>
        <w:tc>
          <w:tcPr>
            <w:tcW w:type="dxa" w:w="5083"/>
            <w:vAlign w:val="top"/>
          </w:tcPr>
          <w:p>
            <w:r>
              <w:rPr>
                <w:sz w:val="15"/>
              </w:rPr>
              <w:t>2030-2031</w:t>
            </w:r>
          </w:p>
        </w:tc>
        <w:tc>
          <w:tcPr>
            <w:tcW w:type="dxa" w:w="5083"/>
            <w:vAlign w:val="top"/>
          </w:tcPr>
          <w:p>
            <w:r>
              <w:rPr>
                <w:sz w:val="15"/>
              </w:rPr>
              <w:t>System commissioning.</w:t>
            </w:r>
          </w:p>
        </w:tc>
      </w:tr>
      <w:tr>
        <w:tc>
          <w:tcPr>
            <w:tcW w:type="dxa" w:w="5083"/>
            <w:vAlign w:val="top"/>
          </w:tcPr>
          <w:p>
            <w:r>
              <w:rPr>
                <w:sz w:val="15"/>
              </w:rPr>
              <w:t>Jan-Jun 2031</w:t>
            </w:r>
          </w:p>
        </w:tc>
        <w:tc>
          <w:tcPr>
            <w:tcW w:type="dxa" w:w="5083"/>
            <w:vAlign w:val="top"/>
          </w:tcPr>
          <w:p>
            <w:r>
              <w:rPr>
                <w:sz w:val="15"/>
              </w:rPr>
              <w:t>Integrated commissioning.</w:t>
            </w:r>
          </w:p>
        </w:tc>
      </w:tr>
      <w:tr>
        <w:tc>
          <w:tcPr>
            <w:tcW w:type="dxa" w:w="5083"/>
            <w:vAlign w:val="top"/>
          </w:tcPr>
          <w:p>
            <w:r>
              <w:rPr>
                <w:sz w:val="15"/>
              </w:rPr>
              <w:t>19 Apr 2031</w:t>
            </w:r>
          </w:p>
        </w:tc>
        <w:tc>
          <w:tcPr>
            <w:tcW w:type="dxa" w:w="5083"/>
            <w:vAlign w:val="top"/>
          </w:tcPr>
          <w:p>
            <w:r>
              <w:rPr>
                <w:sz w:val="15"/>
              </w:rPr>
              <w:t>Story present.</w:t>
            </w:r>
          </w:p>
        </w:tc>
      </w:tr>
      <w:tr>
        <w:tc>
          <w:tcPr>
            <w:tcW w:type="dxa" w:w="5083"/>
            <w:vAlign w:val="top"/>
          </w:tcPr>
          <w:p>
            <w:r>
              <w:rPr>
                <w:sz w:val="15"/>
              </w:rPr>
              <w:t>30 Jun 2031</w:t>
            </w:r>
          </w:p>
        </w:tc>
        <w:tc>
          <w:tcPr>
            <w:tcW w:type="dxa" w:w="5083"/>
            <w:vAlign w:val="top"/>
          </w:tcPr>
          <w:p>
            <w:r>
              <w:rPr>
                <w:sz w:val="15"/>
              </w:rPr>
              <w:t>Current approved First Plasma milestone.</w:t>
            </w:r>
          </w:p>
        </w:tc>
      </w:tr>
    </w:tbl>
    <w:p>
      <w:pPr>
        <w:spacing w:after="40"/>
      </w:pPr>
    </w:p>
    <w:p>
      <w:pPr>
        <w:spacing w:after="80"/>
      </w:pPr>
      <w:r>
        <w:t>Schedule evolution: 2024 public target H1 2031 -&gt; FID baseline 31 Mar 2031 -&gt; late-2029 rebaseline 31 May 2031 -&gt; November 2030 OEB-3 baseline 30 Jun 2031. Commercial Operation remains targeted for December 2032 before the later accident changes the downstream programme.</w:t>
      </w:r>
    </w:p>
    <w:p>
      <w:pPr>
        <w:spacing w:after="80"/>
      </w:pPr>
      <w:r>
        <w:t>Four schedules coexist: EPC/IMS physical delivery; commissioning Level 3/4 readiness; regulatory submissions/hold points; financing/funding conditions. They are linked but not identical.</w:t>
      </w:r>
    </w:p>
    <w:p>
      <w:pPr>
        <w:pStyle w:val="Heading1"/>
      </w:pPr>
      <w:r>
        <w:t>8. Licensing and regulatory model</w:t>
      </w:r>
    </w:p>
    <w:p>
      <w:pPr>
        <w:spacing w:after="80"/>
      </w:pPr>
      <w:r>
        <w:t>The fictional licensing sequence begins with pre-application engagement in late 2023, construction-licence application in 2024, site-preparation authorization in 2025, Licence to Construct in 2026, and operating/commissioning authorization work from 2029 into early 2031. Exact future fusion licence names remain fictional extrapolation; the institutional logic is based on Canadian reactor-facility practice.</w:t>
      </w:r>
    </w:p>
    <w:p>
      <w:pPr>
        <w:spacing w:after="80"/>
      </w:pPr>
      <w:r>
        <w:t>Critical regulatory principle: OPG cannot contract away its licensee responsibility. Turnover, configuration information, outstanding deficiencies, work authorization, tagging, baseline inspection information and records management must remain controlled across construction and commissioning.</w:t>
      </w:r>
    </w:p>
    <w:p>
      <w:pPr>
        <w:pStyle w:val="Heading1"/>
      </w:pPr>
      <w:r>
        <w:t>9. April 19 plant state - the plant is not in one state</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System family</w:t>
            </w:r>
          </w:p>
        </w:tc>
        <w:tc>
          <w:tcPr>
            <w:tcW w:type="dxa" w:w="5083"/>
            <w:vAlign w:val="center"/>
          </w:tcPr>
          <w:p>
            <w:r>
              <w:rPr>
                <w:b/>
              </w:rPr>
              <w:t>Approximate state</w:t>
            </w:r>
          </w:p>
        </w:tc>
      </w:tr>
      <w:tr>
        <w:tc>
          <w:tcPr>
            <w:tcW w:type="dxa" w:w="5083"/>
            <w:vAlign w:val="top"/>
          </w:tcPr>
          <w:p>
            <w:r>
              <w:rPr>
                <w:sz w:val="15"/>
              </w:rPr>
              <w:t>Permanent electrical distribution</w:t>
            </w:r>
          </w:p>
        </w:tc>
        <w:tc>
          <w:tcPr>
            <w:tcW w:type="dxa" w:w="5083"/>
            <w:vAlign w:val="top"/>
          </w:tcPr>
          <w:p>
            <w:r>
              <w:rPr>
                <w:sz w:val="15"/>
              </w:rPr>
              <w:t>OA / IC</w:t>
            </w:r>
          </w:p>
        </w:tc>
      </w:tr>
      <w:tr>
        <w:tc>
          <w:tcPr>
            <w:tcW w:type="dxa" w:w="5083"/>
            <w:vAlign w:val="top"/>
          </w:tcPr>
          <w:p>
            <w:r>
              <w:rPr>
                <w:sz w:val="15"/>
              </w:rPr>
              <w:t>Emergency/DC/UPS</w:t>
            </w:r>
          </w:p>
        </w:tc>
        <w:tc>
          <w:tcPr>
            <w:tcW w:type="dxa" w:w="5083"/>
            <w:vAlign w:val="top"/>
          </w:tcPr>
          <w:p>
            <w:r>
              <w:rPr>
                <w:sz w:val="15"/>
              </w:rPr>
              <w:t>OA / IC</w:t>
            </w:r>
          </w:p>
        </w:tc>
      </w:tr>
      <w:tr>
        <w:tc>
          <w:tcPr>
            <w:tcW w:type="dxa" w:w="5083"/>
            <w:vAlign w:val="top"/>
          </w:tcPr>
          <w:p>
            <w:r>
              <w:rPr>
                <w:sz w:val="15"/>
              </w:rPr>
              <w:t>Cooling/chilled water</w:t>
            </w:r>
          </w:p>
        </w:tc>
        <w:tc>
          <w:tcPr>
            <w:tcW w:type="dxa" w:w="5083"/>
            <w:vAlign w:val="top"/>
          </w:tcPr>
          <w:p>
            <w:r>
              <w:rPr>
                <w:sz w:val="15"/>
              </w:rPr>
              <w:t>OA</w:t>
            </w:r>
          </w:p>
        </w:tc>
      </w:tr>
      <w:tr>
        <w:tc>
          <w:tcPr>
            <w:tcW w:type="dxa" w:w="5083"/>
            <w:vAlign w:val="top"/>
          </w:tcPr>
          <w:p>
            <w:r>
              <w:rPr>
                <w:sz w:val="15"/>
              </w:rPr>
              <w:t>HVAC / confinement ventilation</w:t>
            </w:r>
          </w:p>
        </w:tc>
        <w:tc>
          <w:tcPr>
            <w:tcW w:type="dxa" w:w="5083"/>
            <w:vAlign w:val="top"/>
          </w:tcPr>
          <w:p>
            <w:r>
              <w:rPr>
                <w:sz w:val="15"/>
              </w:rPr>
              <w:t>OA / IC</w:t>
            </w:r>
          </w:p>
        </w:tc>
      </w:tr>
      <w:tr>
        <w:tc>
          <w:tcPr>
            <w:tcW w:type="dxa" w:w="5083"/>
            <w:vAlign w:val="top"/>
          </w:tcPr>
          <w:p>
            <w:r>
              <w:rPr>
                <w:sz w:val="15"/>
              </w:rPr>
              <w:t>Fire protection</w:t>
            </w:r>
          </w:p>
        </w:tc>
        <w:tc>
          <w:tcPr>
            <w:tcW w:type="dxa" w:w="5083"/>
            <w:vAlign w:val="top"/>
          </w:tcPr>
          <w:p>
            <w:r>
              <w:rPr>
                <w:sz w:val="15"/>
              </w:rPr>
              <w:t>OA</w:t>
            </w:r>
          </w:p>
        </w:tc>
      </w:tr>
      <w:tr>
        <w:tc>
          <w:tcPr>
            <w:tcW w:type="dxa" w:w="5083"/>
            <w:vAlign w:val="top"/>
          </w:tcPr>
          <w:p>
            <w:r>
              <w:rPr>
                <w:sz w:val="15"/>
              </w:rPr>
              <w:t>Radiation monitoring</w:t>
            </w:r>
          </w:p>
        </w:tc>
        <w:tc>
          <w:tcPr>
            <w:tcW w:type="dxa" w:w="5083"/>
            <w:vAlign w:val="top"/>
          </w:tcPr>
          <w:p>
            <w:r>
              <w:rPr>
                <w:sz w:val="15"/>
              </w:rPr>
              <w:t>OA / IC</w:t>
            </w:r>
          </w:p>
        </w:tc>
      </w:tr>
      <w:tr>
        <w:tc>
          <w:tcPr>
            <w:tcW w:type="dxa" w:w="5083"/>
            <w:vAlign w:val="top"/>
          </w:tcPr>
          <w:p>
            <w:r>
              <w:rPr>
                <w:sz w:val="15"/>
              </w:rPr>
              <w:t>Plant DCS / machine protection / safety I&amp;C</w:t>
            </w:r>
          </w:p>
        </w:tc>
        <w:tc>
          <w:tcPr>
            <w:tcW w:type="dxa" w:w="5083"/>
            <w:vAlign w:val="top"/>
          </w:tcPr>
          <w:p>
            <w:r>
              <w:rPr>
                <w:sz w:val="15"/>
              </w:rPr>
              <w:t>IC</w:t>
            </w:r>
          </w:p>
        </w:tc>
      </w:tr>
      <w:tr>
        <w:tc>
          <w:tcPr>
            <w:tcW w:type="dxa" w:w="5083"/>
            <w:vAlign w:val="top"/>
          </w:tcPr>
          <w:p>
            <w:r>
              <w:rPr>
                <w:sz w:val="15"/>
              </w:rPr>
              <w:t>Cryoplant / cryodistribution</w:t>
            </w:r>
          </w:p>
        </w:tc>
        <w:tc>
          <w:tcPr>
            <w:tcW w:type="dxa" w:w="5083"/>
            <w:vAlign w:val="top"/>
          </w:tcPr>
          <w:p>
            <w:r>
              <w:rPr>
                <w:sz w:val="15"/>
              </w:rPr>
              <w:t>IC</w:t>
            </w:r>
          </w:p>
        </w:tc>
      </w:tr>
      <w:tr>
        <w:tc>
          <w:tcPr>
            <w:tcW w:type="dxa" w:w="5083"/>
            <w:vAlign w:val="top"/>
          </w:tcPr>
          <w:p>
            <w:r>
              <w:rPr>
                <w:sz w:val="15"/>
              </w:rPr>
              <w:t>Vacuum system</w:t>
            </w:r>
          </w:p>
        </w:tc>
        <w:tc>
          <w:tcPr>
            <w:tcW w:type="dxa" w:w="5083"/>
            <w:vAlign w:val="top"/>
          </w:tcPr>
          <w:p>
            <w:r>
              <w:rPr>
                <w:sz w:val="15"/>
              </w:rPr>
              <w:t>IC; repeated pump-down/leak/bakeout campaigns</w:t>
            </w:r>
          </w:p>
        </w:tc>
      </w:tr>
      <w:tr>
        <w:tc>
          <w:tcPr>
            <w:tcW w:type="dxa" w:w="5083"/>
            <w:vAlign w:val="top"/>
          </w:tcPr>
          <w:p>
            <w:r>
              <w:rPr>
                <w:sz w:val="15"/>
              </w:rPr>
              <w:t>TF/PF/CS magnets and quench protection</w:t>
            </w:r>
          </w:p>
        </w:tc>
        <w:tc>
          <w:tcPr>
            <w:tcW w:type="dxa" w:w="5083"/>
            <w:vAlign w:val="top"/>
          </w:tcPr>
          <w:p>
            <w:r>
              <w:rPr>
                <w:sz w:val="15"/>
              </w:rPr>
              <w:t>IC; staged energization</w:t>
            </w:r>
          </w:p>
        </w:tc>
      </w:tr>
      <w:tr>
        <w:tc>
          <w:tcPr>
            <w:tcW w:type="dxa" w:w="5083"/>
            <w:vAlign w:val="top"/>
          </w:tcPr>
          <w:p>
            <w:r>
              <w:rPr>
                <w:sz w:val="15"/>
              </w:rPr>
              <w:t>Blanket/divertor/vessel cooling</w:t>
            </w:r>
          </w:p>
        </w:tc>
        <w:tc>
          <w:tcPr>
            <w:tcW w:type="dxa" w:w="5083"/>
            <w:vAlign w:val="top"/>
          </w:tcPr>
          <w:p>
            <w:r>
              <w:rPr>
                <w:sz w:val="15"/>
              </w:rPr>
              <w:t>FC / IC</w:t>
            </w:r>
          </w:p>
        </w:tc>
      </w:tr>
      <w:tr>
        <w:tc>
          <w:tcPr>
            <w:tcW w:type="dxa" w:w="5083"/>
            <w:vAlign w:val="top"/>
          </w:tcPr>
          <w:p>
            <w:r>
              <w:rPr>
                <w:sz w:val="15"/>
              </w:rPr>
              <w:t>Fuelling</w:t>
            </w:r>
          </w:p>
        </w:tc>
        <w:tc>
          <w:tcPr>
            <w:tcW w:type="dxa" w:w="5083"/>
            <w:vAlign w:val="top"/>
          </w:tcPr>
          <w:p>
            <w:r>
              <w:rPr>
                <w:sz w:val="15"/>
              </w:rPr>
              <w:t>FC, non-tritium</w:t>
            </w:r>
          </w:p>
        </w:tc>
      </w:tr>
      <w:tr>
        <w:tc>
          <w:tcPr>
            <w:tcW w:type="dxa" w:w="5083"/>
            <w:vAlign w:val="top"/>
          </w:tcPr>
          <w:p>
            <w:r>
              <w:rPr>
                <w:sz w:val="15"/>
              </w:rPr>
              <w:t>Disruption mitigation / ECH</w:t>
            </w:r>
          </w:p>
        </w:tc>
        <w:tc>
          <w:tcPr>
            <w:tcW w:type="dxa" w:w="5083"/>
            <w:vAlign w:val="top"/>
          </w:tcPr>
          <w:p>
            <w:r>
              <w:rPr>
                <w:sz w:val="15"/>
              </w:rPr>
              <w:t>FC / IC</w:t>
            </w:r>
          </w:p>
        </w:tc>
      </w:tr>
      <w:tr>
        <w:tc>
          <w:tcPr>
            <w:tcW w:type="dxa" w:w="5083"/>
            <w:vAlign w:val="top"/>
          </w:tcPr>
          <w:p>
            <w:r>
              <w:rPr>
                <w:sz w:val="15"/>
              </w:rPr>
              <w:t>ICH</w:t>
            </w:r>
          </w:p>
        </w:tc>
        <w:tc>
          <w:tcPr>
            <w:tcW w:type="dxa" w:w="5083"/>
            <w:vAlign w:val="top"/>
          </w:tcPr>
          <w:p>
            <w:r>
              <w:rPr>
                <w:sz w:val="15"/>
              </w:rPr>
              <w:t>FC</w:t>
            </w:r>
          </w:p>
        </w:tc>
      </w:tr>
      <w:tr>
        <w:tc>
          <w:tcPr>
            <w:tcW w:type="dxa" w:w="5083"/>
            <w:vAlign w:val="top"/>
          </w:tcPr>
          <w:p>
            <w:r>
              <w:rPr>
                <w:sz w:val="15"/>
              </w:rPr>
              <w:t>NBI</w:t>
            </w:r>
          </w:p>
        </w:tc>
        <w:tc>
          <w:tcPr>
            <w:tcW w:type="dxa" w:w="5083"/>
            <w:vAlign w:val="top"/>
          </w:tcPr>
          <w:p>
            <w:r>
              <w:rPr>
                <w:sz w:val="15"/>
              </w:rPr>
              <w:t>PC / FC; portions may trail First Plasma</w:t>
            </w:r>
          </w:p>
        </w:tc>
      </w:tr>
      <w:tr>
        <w:tc>
          <w:tcPr>
            <w:tcW w:type="dxa" w:w="5083"/>
            <w:vAlign w:val="top"/>
          </w:tcPr>
          <w:p>
            <w:r>
              <w:rPr>
                <w:sz w:val="15"/>
              </w:rPr>
              <w:t>Tritium/fuel cycle / breeder extraction</w:t>
            </w:r>
          </w:p>
        </w:tc>
        <w:tc>
          <w:tcPr>
            <w:tcW w:type="dxa" w:w="5083"/>
            <w:vAlign w:val="top"/>
          </w:tcPr>
          <w:p>
            <w:r>
              <w:rPr>
                <w:sz w:val="15"/>
              </w:rPr>
              <w:t>PC / FC; no full D-T service</w:t>
            </w:r>
          </w:p>
        </w:tc>
      </w:tr>
      <w:tr>
        <w:tc>
          <w:tcPr>
            <w:tcW w:type="dxa" w:w="5083"/>
            <w:vAlign w:val="top"/>
          </w:tcPr>
          <w:p>
            <w:r>
              <w:rPr>
                <w:sz w:val="15"/>
              </w:rPr>
              <w:t>Hot cell / remote handling</w:t>
            </w:r>
          </w:p>
        </w:tc>
        <w:tc>
          <w:tcPr>
            <w:tcW w:type="dxa" w:w="5083"/>
            <w:vAlign w:val="top"/>
          </w:tcPr>
          <w:p>
            <w:r>
              <w:rPr>
                <w:sz w:val="15"/>
              </w:rPr>
              <w:t>FC</w:t>
            </w:r>
          </w:p>
        </w:tc>
      </w:tr>
      <w:tr>
        <w:tc>
          <w:tcPr>
            <w:tcW w:type="dxa" w:w="5083"/>
            <w:vAlign w:val="top"/>
          </w:tcPr>
          <w:p>
            <w:r>
              <w:rPr>
                <w:sz w:val="15"/>
              </w:rPr>
              <w:t>Steam / turbine / feedwater / condensate</w:t>
            </w:r>
          </w:p>
        </w:tc>
        <w:tc>
          <w:tcPr>
            <w:tcW w:type="dxa" w:w="5083"/>
            <w:vAlign w:val="top"/>
          </w:tcPr>
          <w:p>
            <w:r>
              <w:rPr>
                <w:sz w:val="15"/>
              </w:rPr>
              <w:t>PC / FC</w:t>
            </w:r>
          </w:p>
        </w:tc>
      </w:tr>
      <w:tr>
        <w:tc>
          <w:tcPr>
            <w:tcW w:type="dxa" w:w="5083"/>
            <w:vAlign w:val="top"/>
          </w:tcPr>
          <w:p>
            <w:r>
              <w:rPr>
                <w:sz w:val="15"/>
              </w:rPr>
              <w:t>Generator synchronization</w:t>
            </w:r>
          </w:p>
        </w:tc>
        <w:tc>
          <w:tcPr>
            <w:tcW w:type="dxa" w:w="5083"/>
            <w:vAlign w:val="top"/>
          </w:tcPr>
          <w:p>
            <w:r>
              <w:rPr>
                <w:sz w:val="15"/>
              </w:rPr>
              <w:t>Not yet performed</w:t>
            </w:r>
          </w:p>
        </w:tc>
      </w:tr>
      <w:tr>
        <w:tc>
          <w:tcPr>
            <w:tcW w:type="dxa" w:w="5083"/>
            <w:vAlign w:val="top"/>
          </w:tcPr>
          <w:p>
            <w:r>
              <w:rPr>
                <w:sz w:val="15"/>
              </w:rPr>
              <w:t>Residual construction</w:t>
            </w:r>
          </w:p>
        </w:tc>
        <w:tc>
          <w:tcPr>
            <w:tcW w:type="dxa" w:w="5083"/>
            <w:vAlign w:val="top"/>
          </w:tcPr>
          <w:p>
            <w:r>
              <w:rPr>
                <w:sz w:val="15"/>
              </w:rPr>
              <w:t>Small CON pockets remain</w:t>
            </w:r>
          </w:p>
        </w:tc>
      </w:tr>
    </w:tbl>
    <w:p>
      <w:pPr>
        <w:spacing w:after="40"/>
      </w:pPr>
    </w:p>
    <w:p>
      <w:pPr>
        <w:spacing w:after="80"/>
      </w:pPr>
      <w:r>
        <w:t>OFG coding CON/MC/TO/PC/FC/IC/OA/HOLD is an internal fictional convention, not CNSC nomenclature. A worker can move a short distance from construction control into a transferred system where valve position or physical work requires commissioning authorization.</w:t>
      </w:r>
    </w:p>
    <w:p>
      <w:pPr>
        <w:pStyle w:val="Heading1"/>
      </w:pPr>
      <w:r>
        <w:t>10. Workforce correction and site organization</w:t>
      </w:r>
    </w:p>
    <w:p>
      <w:pPr>
        <w:spacing w:after="80"/>
      </w:pPr>
      <w:r>
        <w:t>Later detailed commissioning analysis supersedes the old ~680 total-site figure. Canonical April 2031 normal weekday controlled-site population is approximately 820-880; use ~850 in prose. Execution contractors/vendors/site services account for roughly 620-650, OPG project oversight ~18, and OPG Commissioning/Operations Readiness ~180-220. Saturday April 19 remains approximately 500-600 depending on test schedule.</w:t>
      </w:r>
    </w:p>
    <w:p>
      <w:pPr>
        <w:spacing w:after="80"/>
      </w:pPr>
      <w:r>
        <w:t>E&amp;C Canada's permanent site organization remains 27 people: 24 E&amp;C Canada plus 3 HMS secondees, all three Assistants to the Supervising Chief Engineer. Yuji can inspect, question, document, recommend and escalate, but cannot act as an executive directing independent organizations.</w:t>
      </w:r>
    </w:p>
    <w:p>
      <w:pPr>
        <w:pStyle w:val="Heading1"/>
      </w:pPr>
      <w:r>
        <w:t>11. HFRP technology baseline</w:t>
      </w:r>
    </w:p>
    <w:p>
      <w:pPr>
        <w:pStyle w:val="ListBullet"/>
        <w:spacing w:after="40"/>
      </w:pPr>
      <w:r>
        <w:t>HFRP-1 is a steady-state commercial tokamak. Normal commercial operation is not based on routine multi-hour pulses followed by transformer recharge.</w:t>
      </w:r>
    </w:p>
    <w:p>
      <w:pPr>
        <w:pStyle w:val="ListBullet"/>
        <w:spacing w:after="40"/>
      </w:pPr>
      <w:r>
        <w:t>Commercial steady state depends on mature bootstrap current, neutral-beam current drive, electron-cyclotron current drive, profile control and high-availability auxiliary heating - an alternate-history capability Q-DEMO must already have demonstrated.</w:t>
      </w:r>
    </w:p>
    <w:p>
      <w:pPr>
        <w:pStyle w:val="ListBullet"/>
        <w:spacing w:after="40"/>
      </w:pPr>
      <w:r>
        <w:t>Do not lock exact OFG net MWe yet. The corpus deliberately rejects arbitrary numerology until Q-DEMO/HFRP recirculating-power history is constructed.</w:t>
      </w:r>
    </w:p>
    <w:p>
      <w:pPr>
        <w:pStyle w:val="ListBullet"/>
        <w:spacing w:after="40"/>
      </w:pPr>
      <w:r>
        <w:t>Machine architecture uses commercialized ITER/Q-DEMO lineage: superconducting TF/PF/CS magnets, high-vacuum vessel/cryostat, active disruption mitigation, heating/current drive, diagnostics, blanket/divertor heat transport, tritium systems, cryogenics, power conversion, machine protection and remote maintenance/hot cell.</w:t>
      </w:r>
    </w:p>
    <w:p>
      <w:pPr>
        <w:pStyle w:val="ListBullet"/>
        <w:spacing w:after="40"/>
      </w:pPr>
      <w:r>
        <w:t>HFRP uses 16 toroidal installation sectors as a commercial design decision; six PF coils and six CS modules preserve a mature ITER-equivalent magnet architecture in the fictional design history.</w:t>
      </w:r>
    </w:p>
    <w:p>
      <w:pPr>
        <w:pStyle w:val="Heading1"/>
      </w:pPr>
      <w:r>
        <w:t>12. Major plant systems and field architecture</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Family</w:t>
            </w:r>
          </w:p>
        </w:tc>
        <w:tc>
          <w:tcPr>
            <w:tcW w:type="dxa" w:w="5083"/>
            <w:vAlign w:val="center"/>
          </w:tcPr>
          <w:p>
            <w:r>
              <w:rPr>
                <w:b/>
              </w:rPr>
              <w:t>Function</w:t>
            </w:r>
          </w:p>
        </w:tc>
      </w:tr>
      <w:tr>
        <w:tc>
          <w:tcPr>
            <w:tcW w:type="dxa" w:w="5083"/>
            <w:vAlign w:val="top"/>
          </w:tcPr>
          <w:p>
            <w:r>
              <w:rPr>
                <w:sz w:val="15"/>
              </w:rPr>
              <w:t>MAG-100</w:t>
            </w:r>
          </w:p>
        </w:tc>
        <w:tc>
          <w:tcPr>
            <w:tcW w:type="dxa" w:w="5083"/>
            <w:vAlign w:val="top"/>
          </w:tcPr>
          <w:p>
            <w:r>
              <w:rPr>
                <w:sz w:val="15"/>
              </w:rPr>
              <w:t>Superconducting TF/PF/CS/correction magnets.</w:t>
            </w:r>
          </w:p>
        </w:tc>
      </w:tr>
      <w:tr>
        <w:tc>
          <w:tcPr>
            <w:tcW w:type="dxa" w:w="5083"/>
            <w:vAlign w:val="top"/>
          </w:tcPr>
          <w:p>
            <w:r>
              <w:rPr>
                <w:sz w:val="15"/>
              </w:rPr>
              <w:t>VAC-260</w:t>
            </w:r>
          </w:p>
        </w:tc>
        <w:tc>
          <w:tcPr>
            <w:tcW w:type="dxa" w:w="5083"/>
            <w:vAlign w:val="top"/>
          </w:tcPr>
          <w:p>
            <w:r>
              <w:rPr>
                <w:sz w:val="15"/>
              </w:rPr>
              <w:t>Vacuum vessel, cryostat, NBI vacuum, roughing/backing infrastructure.</w:t>
            </w:r>
          </w:p>
        </w:tc>
      </w:tr>
      <w:tr>
        <w:tc>
          <w:tcPr>
            <w:tcW w:type="dxa" w:w="5083"/>
            <w:vAlign w:val="top"/>
          </w:tcPr>
          <w:p>
            <w:r>
              <w:rPr>
                <w:sz w:val="15"/>
              </w:rPr>
              <w:t>DMS-280</w:t>
            </w:r>
          </w:p>
        </w:tc>
        <w:tc>
          <w:tcPr>
            <w:tcW w:type="dxa" w:w="5083"/>
            <w:vAlign w:val="top"/>
          </w:tcPr>
          <w:p>
            <w:r>
              <w:rPr>
                <w:sz w:val="15"/>
              </w:rPr>
              <w:t>Shattered-pellet disruption mitigation lineage.</w:t>
            </w:r>
          </w:p>
        </w:tc>
      </w:tr>
      <w:tr>
        <w:tc>
          <w:tcPr>
            <w:tcW w:type="dxa" w:w="5083"/>
            <w:vAlign w:val="top"/>
          </w:tcPr>
          <w:p>
            <w:r>
              <w:rPr>
                <w:sz w:val="15"/>
              </w:rPr>
              <w:t>NBI/ECH/ICH-300</w:t>
            </w:r>
          </w:p>
        </w:tc>
        <w:tc>
          <w:tcPr>
            <w:tcW w:type="dxa" w:w="5083"/>
            <w:vAlign w:val="top"/>
          </w:tcPr>
          <w:p>
            <w:r>
              <w:rPr>
                <w:sz w:val="15"/>
              </w:rPr>
              <w:t>Heating and non-inductive current drive.</w:t>
            </w:r>
          </w:p>
        </w:tc>
      </w:tr>
      <w:tr>
        <w:tc>
          <w:tcPr>
            <w:tcW w:type="dxa" w:w="5083"/>
            <w:vAlign w:val="top"/>
          </w:tcPr>
          <w:p>
            <w:r>
              <w:rPr>
                <w:sz w:val="15"/>
              </w:rPr>
              <w:t>DIA-330</w:t>
            </w:r>
          </w:p>
        </w:tc>
        <w:tc>
          <w:tcPr>
            <w:tcW w:type="dxa" w:w="5083"/>
            <w:vAlign w:val="top"/>
          </w:tcPr>
          <w:p>
            <w:r>
              <w:rPr>
                <w:sz w:val="15"/>
              </w:rPr>
              <w:t>Operational diagnostics and interfaces to control/protection.</w:t>
            </w:r>
          </w:p>
        </w:tc>
      </w:tr>
      <w:tr>
        <w:tc>
          <w:tcPr>
            <w:tcW w:type="dxa" w:w="5083"/>
            <w:vAlign w:val="top"/>
          </w:tcPr>
          <w:p>
            <w:r>
              <w:rPr>
                <w:sz w:val="15"/>
              </w:rPr>
              <w:t>BHT-400</w:t>
            </w:r>
          </w:p>
        </w:tc>
        <w:tc>
          <w:tcPr>
            <w:tcW w:type="dxa" w:w="5083"/>
            <w:vAlign w:val="top"/>
          </w:tcPr>
          <w:p>
            <w:r>
              <w:rPr>
                <w:sz w:val="15"/>
              </w:rPr>
              <w:t>Blanket heat transport; sectorized pressurized-water primary trains.</w:t>
            </w:r>
          </w:p>
        </w:tc>
      </w:tr>
      <w:tr>
        <w:tc>
          <w:tcPr>
            <w:tcW w:type="dxa" w:w="5083"/>
            <w:vAlign w:val="top"/>
          </w:tcPr>
          <w:p>
            <w:r>
              <w:rPr>
                <w:sz w:val="15"/>
              </w:rPr>
              <w:t>DHT-410</w:t>
            </w:r>
          </w:p>
        </w:tc>
        <w:tc>
          <w:tcPr>
            <w:tcW w:type="dxa" w:w="5083"/>
            <w:vAlign w:val="top"/>
          </w:tcPr>
          <w:p>
            <w:r>
              <w:rPr>
                <w:sz w:val="15"/>
              </w:rPr>
              <w:t>Divertor heat transport.</w:t>
            </w:r>
          </w:p>
        </w:tc>
      </w:tr>
      <w:tr>
        <w:tc>
          <w:tcPr>
            <w:tcW w:type="dxa" w:w="5083"/>
            <w:vAlign w:val="top"/>
          </w:tcPr>
          <w:p>
            <w:r>
              <w:rPr>
                <w:sz w:val="15"/>
              </w:rPr>
              <w:t>VVP-425</w:t>
            </w:r>
          </w:p>
        </w:tc>
        <w:tc>
          <w:tcPr>
            <w:tcW w:type="dxa" w:w="5083"/>
            <w:vAlign w:val="top"/>
          </w:tcPr>
          <w:p>
            <w:r>
              <w:rPr>
                <w:sz w:val="15"/>
              </w:rPr>
              <w:t>Vacuum-vessel pressure suppression / coolant-ingress transient mitigation.</w:t>
            </w:r>
          </w:p>
        </w:tc>
      </w:tr>
      <w:tr>
        <w:tc>
          <w:tcPr>
            <w:tcW w:type="dxa" w:w="5083"/>
            <w:vAlign w:val="top"/>
          </w:tcPr>
          <w:p>
            <w:r>
              <w:rPr>
                <w:sz w:val="15"/>
              </w:rPr>
              <w:t>CCW-450 / CWS-470</w:t>
            </w:r>
          </w:p>
        </w:tc>
        <w:tc>
          <w:tcPr>
            <w:tcW w:type="dxa" w:w="5083"/>
            <w:vAlign w:val="top"/>
          </w:tcPr>
          <w:p>
            <w:r>
              <w:rPr>
                <w:sz w:val="15"/>
              </w:rPr>
              <w:t>Closed component cooling / Lake Ontario heat rejection.</w:t>
            </w:r>
          </w:p>
        </w:tc>
      </w:tr>
      <w:tr>
        <w:tc>
          <w:tcPr>
            <w:tcW w:type="dxa" w:w="5083"/>
            <w:vAlign w:val="top"/>
          </w:tcPr>
          <w:p>
            <w:r>
              <w:rPr>
                <w:sz w:val="15"/>
              </w:rPr>
              <w:t>500 family</w:t>
            </w:r>
          </w:p>
        </w:tc>
        <w:tc>
          <w:tcPr>
            <w:tcW w:type="dxa" w:w="5083"/>
            <w:vAlign w:val="top"/>
          </w:tcPr>
          <w:p>
            <w:r>
              <w:rPr>
                <w:sz w:val="15"/>
              </w:rPr>
              <w:t>Tritium exhaust, isotope separation, storage/delivery, detritiation, breeding extraction.</w:t>
            </w:r>
          </w:p>
        </w:tc>
      </w:tr>
      <w:tr>
        <w:tc>
          <w:tcPr>
            <w:tcW w:type="dxa" w:w="5083"/>
            <w:vAlign w:val="top"/>
          </w:tcPr>
          <w:p>
            <w:r>
              <w:rPr>
                <w:sz w:val="15"/>
              </w:rPr>
              <w:t>CRY-600</w:t>
            </w:r>
          </w:p>
        </w:tc>
        <w:tc>
          <w:tcPr>
            <w:tcW w:type="dxa" w:w="5083"/>
            <w:vAlign w:val="top"/>
          </w:tcPr>
          <w:p>
            <w:r>
              <w:rPr>
                <w:sz w:val="15"/>
              </w:rPr>
              <w:t>Warm compression, refrigeration, cryogenic distribution.</w:t>
            </w:r>
          </w:p>
        </w:tc>
      </w:tr>
      <w:tr>
        <w:tc>
          <w:tcPr>
            <w:tcW w:type="dxa" w:w="5083"/>
            <w:vAlign w:val="top"/>
          </w:tcPr>
          <w:p>
            <w:r>
              <w:rPr>
                <w:sz w:val="15"/>
              </w:rPr>
              <w:t>CPO-630 / QPS-640</w:t>
            </w:r>
          </w:p>
        </w:tc>
        <w:tc>
          <w:tcPr>
            <w:tcW w:type="dxa" w:w="5083"/>
            <w:vAlign w:val="top"/>
          </w:tcPr>
          <w:p>
            <w:r>
              <w:rPr>
                <w:sz w:val="15"/>
              </w:rPr>
              <w:t>Coil power / independent quench protection.</w:t>
            </w:r>
          </w:p>
        </w:tc>
      </w:tr>
      <w:tr>
        <w:tc>
          <w:tcPr>
            <w:tcW w:type="dxa" w:w="5083"/>
            <w:vAlign w:val="top"/>
          </w:tcPr>
          <w:p>
            <w:r>
              <w:rPr>
                <w:sz w:val="15"/>
              </w:rPr>
              <w:t>700 family</w:t>
            </w:r>
          </w:p>
        </w:tc>
        <w:tc>
          <w:tcPr>
            <w:tcW w:type="dxa" w:w="5083"/>
            <w:vAlign w:val="top"/>
          </w:tcPr>
          <w:p>
            <w:r>
              <w:rPr>
                <w:sz w:val="15"/>
              </w:rPr>
              <w:t>Steam cycle, turbine-generator, condenser, feedwater.</w:t>
            </w:r>
          </w:p>
        </w:tc>
      </w:tr>
      <w:tr>
        <w:tc>
          <w:tcPr>
            <w:tcW w:type="dxa" w:w="5083"/>
            <w:vAlign w:val="top"/>
          </w:tcPr>
          <w:p>
            <w:r>
              <w:rPr>
                <w:sz w:val="15"/>
              </w:rPr>
              <w:t>DCS/PPC/MPS/SIS</w:t>
            </w:r>
          </w:p>
        </w:tc>
        <w:tc>
          <w:tcPr>
            <w:tcW w:type="dxa" w:w="5083"/>
            <w:vAlign w:val="top"/>
          </w:tcPr>
          <w:p>
            <w:r>
              <w:rPr>
                <w:sz w:val="15"/>
              </w:rPr>
              <w:t>Separated normal plant control, plasma control, machine protection and safety I&amp;C.</w:t>
            </w:r>
          </w:p>
        </w:tc>
      </w:tr>
      <w:tr>
        <w:tc>
          <w:tcPr>
            <w:tcW w:type="dxa" w:w="5083"/>
            <w:vAlign w:val="top"/>
          </w:tcPr>
          <w:p>
            <w:r>
              <w:rPr>
                <w:sz w:val="15"/>
              </w:rPr>
              <w:t>RHM/HCL</w:t>
            </w:r>
          </w:p>
        </w:tc>
        <w:tc>
          <w:tcPr>
            <w:tcW w:type="dxa" w:w="5083"/>
            <w:vAlign w:val="top"/>
          </w:tcPr>
          <w:p>
            <w:r>
              <w:rPr>
                <w:sz w:val="15"/>
              </w:rPr>
              <w:t>Remote handling, casks and hot-cell maintenance.</w:t>
            </w:r>
          </w:p>
        </w:tc>
      </w:tr>
    </w:tbl>
    <w:p>
      <w:pPr>
        <w:spacing w:after="40"/>
      </w:pPr>
    </w:p>
    <w:p>
      <w:pPr>
        <w:pStyle w:val="Heading1"/>
      </w:pPr>
      <w:r>
        <w:t>13. Machine construction and logistics history</w:t>
      </w:r>
    </w:p>
    <w:p>
      <w:pPr>
        <w:spacing w:after="80"/>
      </w:pPr>
      <w:r>
        <w:t>The machine erection logic descends from ITER but is industrialized through prior Q-DEMO learning: supports and inaccessible lower coils -&gt; preassembled vessel/TF-sector structures -&gt; sector joining -&gt; remaining coils -&gt; central solenoid -&gt; in-vessel systems -&gt; upper closure. Assembly Hall, Tokamak Pit, port galleries, lower galleries and upper galleries are treated as distinct production areas.</w:t>
      </w:r>
    </w:p>
    <w:p>
      <w:pPr>
        <w:spacing w:after="80"/>
      </w:pPr>
      <w:r>
        <w:t>St. Lawrence Seaway seasonality is a hard logistics constraint. Winter machine assembly must draw from components stockpiled before closure. The canonical sector-flow ledger therefore stockpiles SS-01 through SS-07 before the 2027 winter and later SS-13 through SS-16 before the 2028 winter. The principal toroidal sector hardware is in Ontario by December 2028, turning later defects into installed-plant rework rather than procurement problems.</w:t>
      </w:r>
    </w:p>
    <w:p>
      <w:pPr>
        <w:spacing w:after="80"/>
      </w:pPr>
      <w:r>
        <w:t>Four Sector Assembly Fixtures SAF-1 through SAF-4 support an approximately four-month HFRP commercial production cycle. This is explicitly an HFRP/Q-DEMO learning extrapolation, not a claim about current ITER cycle time.</w:t>
      </w:r>
    </w:p>
    <w:p>
      <w:pPr>
        <w:pStyle w:val="Heading1"/>
      </w:pPr>
      <w:r>
        <w:t>14. Construction-to-commissioning transition</w:t>
      </w:r>
    </w:p>
    <w:p>
      <w:pPr>
        <w:spacing w:after="80"/>
      </w:pPr>
      <w:r>
        <w:t>Construction completion is a wave, not an event. Utilities and fire water turn over first, followed by HVAC/electrical/chilled water, CCW/service systems, lake cooling, turbine/cryoplant auxiliaries, vacuum roughing, magnet-power auxiliaries, cryogenic circuits and finally higher-level machine functions.</w:t>
      </w:r>
    </w:p>
    <w:p>
      <w:pPr>
        <w:spacing w:after="80"/>
      </w:pPr>
      <w:r>
        <w:t>By April 2031 residual IWPs are predominantly firestop closeout, labels, insulation, coating repair, cable termination, architectural closeout, scaffold removal, post-test reinstatement, support correction and punch closure. Heavy mechanical modification inside an IC-controlled machine/heat-transport area is therefore conspicuous and tightly controlled.</w:t>
      </w:r>
    </w:p>
    <w:p>
      <w:pPr>
        <w:pStyle w:val="Heading1"/>
      </w:pPr>
      <w:r>
        <w:t>15. Authority, contracts and privity</w:t>
      </w:r>
    </w:p>
    <w:p>
      <w:pPr>
        <w:pStyle w:val="ListBullet"/>
        <w:spacing w:after="40"/>
      </w:pPr>
      <w:r>
        <w:t>OPG &lt;-&gt; HMS Technology Licence gives OPG rights necessary to build, commission, operate, maintain and satisfy CNSC obligations while HMS retains platform IP.</w:t>
      </w:r>
    </w:p>
    <w:p>
      <w:pPr>
        <w:pStyle w:val="ListBullet"/>
        <w:spacing w:after="40"/>
      </w:pPr>
      <w:r>
        <w:t>HMS Technical Assurance/Lifecycle Support continues beyond construction.</w:t>
      </w:r>
    </w:p>
    <w:p>
      <w:pPr>
        <w:pStyle w:val="ListBullet"/>
        <w:spacing w:after="40"/>
      </w:pPr>
      <w:r>
        <w:t>E&amp;C-HMS engineering services route HMS technical determinations through E&amp;C design authority; HMS does not issue commercial directions to Bechtel.</w:t>
      </w:r>
    </w:p>
    <w:p>
      <w:pPr>
        <w:pStyle w:val="ListBullet"/>
        <w:spacing w:after="40"/>
      </w:pPr>
      <w:r>
        <w:t>HMS-E&amp;C Canada secondment framework keeps Yuji legally employed by HMS while E&amp;C Canada controls day-to-day project assignment within scope.</w:t>
      </w:r>
    </w:p>
    <w:p>
      <w:pPr>
        <w:pStyle w:val="ListBullet"/>
        <w:spacing w:after="40"/>
      </w:pPr>
      <w:r>
        <w:t>E&amp;C-Bechtel principal construction agreement gives Bechtel construction management, means/methods, logistics, H&amp;S, subcontract administration and turnover coordination; E&amp;C controls technical design.</w:t>
      </w:r>
    </w:p>
    <w:p>
      <w:pPr>
        <w:pStyle w:val="ListBullet"/>
        <w:spacing w:after="40"/>
      </w:pPr>
      <w:r>
        <w:t>Construction-to-Commissioning Interface Agreement governs turnover, custody, work permits, isolation authority, control-room authority, tagging and re-entry.</w:t>
      </w:r>
    </w:p>
    <w:p>
      <w:pPr>
        <w:pStyle w:val="ListBullet"/>
        <w:spacing w:after="40"/>
      </w:pPr>
      <w:r>
        <w:t>Fluor's 2029 completion support is staff augmentation, not a second EPC/design/constructor/commissioning authority.</w:t>
      </w:r>
    </w:p>
    <w:p>
      <w:pPr>
        <w:spacing w:after="80"/>
      </w:pPr>
      <w:r>
        <w:t>Normal technical direction path: HMS/Yuji -&gt; E&amp;C -&gt; Bechtel -&gt; performing subcontractor. Safety stop-work rights are separate. OPG can intervene from the licensee side when nuclear/configuration consequences justify it.</w:t>
      </w:r>
    </w:p>
    <w:p>
      <w:pPr>
        <w:pStyle w:val="Heading1"/>
      </w:pPr>
      <w:r>
        <w:t>16. Project Aurora - financial layer</w:t>
      </w:r>
    </w:p>
    <w:p>
      <w:pPr>
        <w:pStyle w:val="ListBullet"/>
        <w:spacing w:after="40"/>
      </w:pPr>
      <w:r>
        <w:t>December 2030 Aurora begins because delay drives IDC, commissioning costs, vendor extensions, retained staffing, contingency consumption and liquidity pressure.</w:t>
      </w:r>
    </w:p>
    <w:p>
      <w:pPr>
        <w:pStyle w:val="ListBullet"/>
        <w:spacing w:after="40"/>
      </w:pPr>
      <w:r>
        <w:t>Supplemental Senior Completion Facility: C$1.40B, OFG LP borrower, JPMorgan/MUFG/SMBC arranging group, subject to conditions precedent.</w:t>
      </w:r>
    </w:p>
    <w:p>
      <w:pPr>
        <w:pStyle w:val="ListBullet"/>
        <w:spacing w:after="40"/>
      </w:pPr>
      <w:r>
        <w:t>Institutional placement target: C$750M; April 19 model treats it as committed/conditional while final allocations remain active; stress case includes C$750M -&gt; C$500M.</w:t>
      </w:r>
    </w:p>
    <w:p>
      <w:pPr>
        <w:pStyle w:val="ListBullet"/>
        <w:spacing w:after="40"/>
      </w:pPr>
      <w:r>
        <w:t>OPG completion-equity commitment: C$600M subject to defined funding conditions.</w:t>
      </w:r>
    </w:p>
    <w:p>
      <w:pPr>
        <w:pStyle w:val="ListBullet"/>
        <w:spacing w:after="40"/>
      </w:pPr>
      <w:r>
        <w:t>C$500M accordion is an option, not committed capital on April 19.</w:t>
      </w:r>
    </w:p>
    <w:p>
      <w:pPr>
        <w:pStyle w:val="ListBullet"/>
        <w:spacing w:after="40"/>
      </w:pPr>
      <w:r>
        <w:t>Daniel's normal information chain is project monthly report / cost report / IMS / risk register / commissioning status / lenders' monitoring report -&gt; Aurora model, sources &amp; uses, cost-to-complete, liquidity, sensitivities and credit memo.</w:t>
      </w:r>
    </w:p>
    <w:p>
      <w:pPr>
        <w:pStyle w:val="Heading1"/>
      </w:pPr>
      <w:r>
        <w:t>17. April 12 near miss and M-88217 - canonical event chain</w:t>
      </w:r>
    </w:p>
    <w:p>
      <w:pPr>
        <w:pStyle w:val="ListBullet"/>
        <w:spacing w:after="40"/>
      </w:pPr>
      <w:r>
        <w:t>10 Apr: routine photo baseline captures restraint geometry/witness marks for CRS01-RST-L2.</w:t>
      </w:r>
    </w:p>
    <w:p>
      <w:pPr>
        <w:pStyle w:val="ListBullet"/>
        <w:spacing w:after="40"/>
      </w:pPr>
      <w:r>
        <w:t>11 Apr: M-88217 indexed as lateral-restraint inspection/adjustment; CLOSED/APPROVED.</w:t>
      </w:r>
    </w:p>
    <w:p>
      <w:pPr>
        <w:pStyle w:val="ListBullet"/>
        <w:spacing w:after="40"/>
      </w:pPr>
      <w:r>
        <w:t>12 Apr: TMP-BHT-401-CRS-01 lateral movement exceeds expected envelope during loaded circulation; operator is in potential crush zone; no injury.</w:t>
      </w:r>
    </w:p>
    <w:p>
      <w:pPr>
        <w:pStyle w:val="ListBullet"/>
        <w:spacing w:after="40"/>
      </w:pPr>
      <w:r>
        <w:t>12 Apr: restraint evidence is preserved for investigation.</w:t>
      </w:r>
    </w:p>
    <w:p>
      <w:pPr>
        <w:pStyle w:val="ListBullet"/>
        <w:spacing w:after="40"/>
      </w:pPr>
      <w:r>
        <w:t>13 Apr: extent-of-condition inspection expands to related temporary restraint/support arrangements.</w:t>
      </w:r>
    </w:p>
    <w:p>
      <w:pPr>
        <w:pStyle w:val="ListBullet"/>
        <w:spacing w:after="40"/>
      </w:pPr>
      <w:r>
        <w:t>Week of 13-18 Apr: photos, statements, drawings, vendor records, load path, installation history, maintenance activity and similar-equipment walkdowns are assembled.</w:t>
      </w:r>
    </w:p>
    <w:p>
      <w:pPr>
        <w:pStyle w:val="ListBullet"/>
        <w:spacing w:after="40"/>
      </w:pPr>
      <w:r>
        <w:t>18 Apr data cut: event remains under investigation; no confirmed First-Plasma schedule impact is incorporated pending technical assessment.</w:t>
      </w:r>
    </w:p>
    <w:p>
      <w:pPr>
        <w:spacing w:after="80"/>
      </w:pPr>
      <w:r>
        <w:t>The core uncertainty is not simply whether a PDF is missing. The investigation must establish what was physically done, who authorized it, under which work order and custody boundary, whether a design/configuration update was required, and whether the closed status reflects administrative loss, scope mismatch, unauthorized work, configuration failure, falsification, or some combination.</w:t>
      </w:r>
    </w:p>
    <w:p>
      <w:pPr>
        <w:pStyle w:val="Heading1"/>
      </w:pPr>
      <w:r>
        <w:t>18. CRS-01 temporary equipment history</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vAlign w:val="center"/>
          </w:tcPr>
          <w:p>
            <w:r>
              <w:rPr>
                <w:b/>
              </w:rPr>
              <w:t>Asset_ID</w:t>
            </w:r>
          </w:p>
        </w:tc>
        <w:tc>
          <w:tcPr>
            <w:tcW w:type="dxa" w:w="2033"/>
            <w:vAlign w:val="center"/>
          </w:tcPr>
          <w:p>
            <w:r>
              <w:rPr>
                <w:b/>
              </w:rPr>
              <w:t>Date</w:t>
            </w:r>
          </w:p>
        </w:tc>
        <w:tc>
          <w:tcPr>
            <w:tcW w:type="dxa" w:w="2033"/>
            <w:vAlign w:val="center"/>
          </w:tcPr>
          <w:p>
            <w:r>
              <w:rPr>
                <w:b/>
              </w:rPr>
              <w:t>Event_Type</w:t>
            </w:r>
          </w:p>
        </w:tc>
        <w:tc>
          <w:tcPr>
            <w:tcW w:type="dxa" w:w="2033"/>
            <w:vAlign w:val="center"/>
          </w:tcPr>
          <w:p>
            <w:r>
              <w:rPr>
                <w:b/>
              </w:rPr>
              <w:t>Detail</w:t>
            </w:r>
          </w:p>
        </w:tc>
        <w:tc>
          <w:tcPr>
            <w:tcW w:type="dxa" w:w="2033"/>
            <w:vAlign w:val="center"/>
          </w:tcPr>
          <w:p>
            <w:r>
              <w:rPr>
                <w:b/>
              </w:rPr>
              <w:t>Document_or_Record</w:t>
            </w:r>
          </w:p>
        </w:tc>
      </w:tr>
      <w:tr>
        <w:tc>
          <w:tcPr>
            <w:tcW w:type="dxa" w:w="2033"/>
            <w:vAlign w:val="top"/>
          </w:tcPr>
          <w:p>
            <w:r>
              <w:rPr>
                <w:sz w:val="15"/>
              </w:rPr>
              <w:t>CRS01-RST-L2</w:t>
            </w:r>
          </w:p>
        </w:tc>
        <w:tc>
          <w:tcPr>
            <w:tcW w:type="dxa" w:w="2033"/>
            <w:vAlign w:val="top"/>
          </w:tcPr>
          <w:p>
            <w:r>
              <w:rPr>
                <w:sz w:val="15"/>
              </w:rPr>
              <w:t>2030-06-01</w:t>
            </w:r>
          </w:p>
        </w:tc>
        <w:tc>
          <w:tcPr>
            <w:tcW w:type="dxa" w:w="2033"/>
            <w:vAlign w:val="top"/>
          </w:tcPr>
          <w:p>
            <w:r>
              <w:rPr>
                <w:sz w:val="15"/>
              </w:rPr>
              <w:t>Mobilized/Procured</w:t>
            </w:r>
          </w:p>
        </w:tc>
        <w:tc>
          <w:tcPr>
            <w:tcW w:type="dxa" w:w="2033"/>
            <w:vAlign w:val="top"/>
          </w:tcPr>
          <w:p>
            <w:r>
              <w:rPr>
                <w:sz w:val="15"/>
              </w:rPr>
              <w:t>Asset entered OFG controlled lifecycle.</w:t>
            </w:r>
          </w:p>
        </w:tc>
        <w:tc>
          <w:tcPr>
            <w:tcW w:type="dxa" w:w="2033"/>
            <w:vAlign w:val="top"/>
          </w:tcPr>
          <w:p>
            <w:r>
              <w:rPr>
                <w:sz w:val="15"/>
              </w:rPr>
              <w:t>Asset master / PO / mobilization record</w:t>
            </w:r>
          </w:p>
        </w:tc>
      </w:tr>
      <w:tr>
        <w:tc>
          <w:tcPr>
            <w:tcW w:type="dxa" w:w="2033"/>
            <w:vAlign w:val="top"/>
          </w:tcPr>
          <w:p>
            <w:r>
              <w:rPr>
                <w:sz w:val="15"/>
              </w:rPr>
              <w:t>CRS01-RST-L2</w:t>
            </w:r>
          </w:p>
        </w:tc>
        <w:tc>
          <w:tcPr>
            <w:tcW w:type="dxa" w:w="2033"/>
            <w:vAlign w:val="top"/>
          </w:tcPr>
          <w:p>
            <w:r>
              <w:rPr>
                <w:sz w:val="15"/>
              </w:rPr>
              <w:t>2030-09-03</w:t>
            </w:r>
          </w:p>
        </w:tc>
        <w:tc>
          <w:tcPr>
            <w:tcW w:type="dxa" w:w="2033"/>
            <w:vAlign w:val="top"/>
          </w:tcPr>
          <w:p>
            <w:r>
              <w:rPr>
                <w:sz w:val="15"/>
              </w:rPr>
              <w:t>Site Arrival</w:t>
            </w:r>
          </w:p>
        </w:tc>
        <w:tc>
          <w:tcPr>
            <w:tcW w:type="dxa" w:w="2033"/>
            <w:vAlign w:val="top"/>
          </w:tcPr>
          <w:p>
            <w:r>
              <w:rPr>
                <w:sz w:val="15"/>
              </w:rPr>
              <w:t>Receipt/arrival recorded; condition and identification checked.</w:t>
            </w:r>
          </w:p>
        </w:tc>
        <w:tc>
          <w:tcPr>
            <w:tcW w:type="dxa" w:w="2033"/>
            <w:vAlign w:val="top"/>
          </w:tcPr>
          <w:p>
            <w:r>
              <w:rPr>
                <w:sz w:val="15"/>
              </w:rPr>
              <w:t>Receiving inspection / delivery record</w:t>
            </w:r>
          </w:p>
        </w:tc>
      </w:tr>
      <w:tr>
        <w:tc>
          <w:tcPr>
            <w:tcW w:type="dxa" w:w="2033"/>
            <w:vAlign w:val="top"/>
          </w:tcPr>
          <w:p>
            <w:r>
              <w:rPr>
                <w:sz w:val="15"/>
              </w:rPr>
              <w:t>CRS01-RST-L2</w:t>
            </w:r>
          </w:p>
        </w:tc>
        <w:tc>
          <w:tcPr>
            <w:tcW w:type="dxa" w:w="2033"/>
            <w:vAlign w:val="top"/>
          </w:tcPr>
          <w:p>
            <w:r>
              <w:rPr>
                <w:sz w:val="15"/>
              </w:rPr>
              <w:t>2030-09-22</w:t>
            </w:r>
          </w:p>
        </w:tc>
        <w:tc>
          <w:tcPr>
            <w:tcW w:type="dxa" w:w="2033"/>
            <w:vAlign w:val="top"/>
          </w:tcPr>
          <w:p>
            <w:r>
              <w:rPr>
                <w:sz w:val="15"/>
              </w:rPr>
              <w:t>Installation/Mobilization</w:t>
            </w:r>
          </w:p>
        </w:tc>
        <w:tc>
          <w:tcPr>
            <w:tcW w:type="dxa" w:w="2033"/>
            <w:vAlign w:val="top"/>
          </w:tcPr>
          <w:p>
            <w:r>
              <w:rPr>
                <w:sz w:val="15"/>
              </w:rPr>
              <w:t>Field installation or deployment commenced.</w:t>
            </w:r>
          </w:p>
        </w:tc>
        <w:tc>
          <w:tcPr>
            <w:tcW w:type="dxa" w:w="2033"/>
            <w:vAlign w:val="top"/>
          </w:tcPr>
          <w:p>
            <w:r>
              <w:rPr>
                <w:sz w:val="15"/>
              </w:rPr>
              <w:t>IWP / setup record</w:t>
            </w:r>
          </w:p>
        </w:tc>
      </w:tr>
      <w:tr>
        <w:tc>
          <w:tcPr>
            <w:tcW w:type="dxa" w:w="2033"/>
            <w:vAlign w:val="top"/>
          </w:tcPr>
          <w:p>
            <w:r>
              <w:rPr>
                <w:sz w:val="15"/>
              </w:rPr>
              <w:t>CRS01-RST-L2</w:t>
            </w:r>
          </w:p>
        </w:tc>
        <w:tc>
          <w:tcPr>
            <w:tcW w:type="dxa" w:w="2033"/>
            <w:vAlign w:val="top"/>
          </w:tcPr>
          <w:p>
            <w:r>
              <w:rPr>
                <w:sz w:val="15"/>
              </w:rPr>
              <w:t>2030-09-28</w:t>
            </w:r>
          </w:p>
        </w:tc>
        <w:tc>
          <w:tcPr>
            <w:tcW w:type="dxa" w:w="2033"/>
            <w:vAlign w:val="top"/>
          </w:tcPr>
          <w:p>
            <w:r>
              <w:rPr>
                <w:sz w:val="15"/>
              </w:rPr>
              <w:t>Mechanical Completion</w:t>
            </w:r>
          </w:p>
        </w:tc>
        <w:tc>
          <w:tcPr>
            <w:tcW w:type="dxa" w:w="2033"/>
            <w:vAlign w:val="top"/>
          </w:tcPr>
          <w:p>
            <w:r>
              <w:rPr>
                <w:sz w:val="15"/>
              </w:rPr>
              <w:t>Defined installation scope completed subject to punch status.</w:t>
            </w:r>
          </w:p>
        </w:tc>
        <w:tc>
          <w:tcPr>
            <w:tcW w:type="dxa" w:w="2033"/>
            <w:vAlign w:val="top"/>
          </w:tcPr>
          <w:p>
            <w:r>
              <w:rPr>
                <w:sz w:val="15"/>
              </w:rPr>
              <w:t>MC certificate / completion package</w:t>
            </w:r>
          </w:p>
        </w:tc>
      </w:tr>
      <w:tr>
        <w:tc>
          <w:tcPr>
            <w:tcW w:type="dxa" w:w="2033"/>
            <w:vAlign w:val="top"/>
          </w:tcPr>
          <w:p>
            <w:r>
              <w:rPr>
                <w:sz w:val="15"/>
              </w:rPr>
              <w:t>CRS01-RST-L2</w:t>
            </w:r>
          </w:p>
        </w:tc>
        <w:tc>
          <w:tcPr>
            <w:tcW w:type="dxa" w:w="2033"/>
            <w:vAlign w:val="top"/>
          </w:tcPr>
          <w:p>
            <w:r>
              <w:rPr>
                <w:sz w:val="15"/>
              </w:rPr>
              <w:t>2030-10-11</w:t>
            </w:r>
          </w:p>
        </w:tc>
        <w:tc>
          <w:tcPr>
            <w:tcW w:type="dxa" w:w="2033"/>
            <w:vAlign w:val="top"/>
          </w:tcPr>
          <w:p>
            <w:r>
              <w:rPr>
                <w:sz w:val="15"/>
              </w:rPr>
              <w:t>Turnover</w:t>
            </w:r>
          </w:p>
        </w:tc>
        <w:tc>
          <w:tcPr>
            <w:tcW w:type="dxa" w:w="2033"/>
            <w:vAlign w:val="top"/>
          </w:tcPr>
          <w:p>
            <w:r>
              <w:rPr>
                <w:sz w:val="15"/>
              </w:rPr>
              <w:t>Custody transferred to receiving organization where applicable.</w:t>
            </w:r>
          </w:p>
        </w:tc>
        <w:tc>
          <w:tcPr>
            <w:tcW w:type="dxa" w:w="2033"/>
            <w:vAlign w:val="top"/>
          </w:tcPr>
          <w:p>
            <w:r>
              <w:rPr>
                <w:sz w:val="15"/>
              </w:rPr>
              <w:t>Turnover dossier / certificate</w:t>
            </w:r>
          </w:p>
        </w:tc>
      </w:tr>
      <w:tr>
        <w:tc>
          <w:tcPr>
            <w:tcW w:type="dxa" w:w="2033"/>
            <w:vAlign w:val="top"/>
          </w:tcPr>
          <w:p>
            <w:r>
              <w:rPr>
                <w:sz w:val="15"/>
              </w:rPr>
              <w:t>CRS01-RST-L2</w:t>
            </w:r>
          </w:p>
        </w:tc>
        <w:tc>
          <w:tcPr>
            <w:tcW w:type="dxa" w:w="2033"/>
            <w:vAlign w:val="top"/>
          </w:tcPr>
          <w:p>
            <w:r>
              <w:rPr>
                <w:sz w:val="15"/>
              </w:rPr>
              <w:t>2030-10-12</w:t>
            </w:r>
          </w:p>
        </w:tc>
        <w:tc>
          <w:tcPr>
            <w:tcW w:type="dxa" w:w="2033"/>
            <w:vAlign w:val="top"/>
          </w:tcPr>
          <w:p>
            <w:r>
              <w:rPr>
                <w:sz w:val="15"/>
              </w:rPr>
              <w:t>Commissioning/Operation</w:t>
            </w:r>
          </w:p>
        </w:tc>
        <w:tc>
          <w:tcPr>
            <w:tcW w:type="dxa" w:w="2033"/>
            <w:vAlign w:val="top"/>
          </w:tcPr>
          <w:p>
            <w:r>
              <w:rPr>
                <w:sz w:val="15"/>
              </w:rPr>
              <w:t>Functional use or commissioning initiated.</w:t>
            </w:r>
          </w:p>
        </w:tc>
        <w:tc>
          <w:tcPr>
            <w:tcW w:type="dxa" w:w="2033"/>
            <w:vAlign w:val="top"/>
          </w:tcPr>
          <w:p>
            <w:r>
              <w:rPr>
                <w:sz w:val="15"/>
              </w:rPr>
              <w:t>Commissioning test / operating record</w:t>
            </w:r>
          </w:p>
        </w:tc>
      </w:tr>
      <w:tr>
        <w:tc>
          <w:tcPr>
            <w:tcW w:type="dxa" w:w="2033"/>
            <w:vAlign w:val="top"/>
          </w:tcPr>
          <w:p>
            <w:r>
              <w:rPr>
                <w:sz w:val="15"/>
              </w:rPr>
              <w:t>CRS01-RST-L2</w:t>
            </w:r>
          </w:p>
        </w:tc>
        <w:tc>
          <w:tcPr>
            <w:tcW w:type="dxa" w:w="2033"/>
            <w:vAlign w:val="top"/>
          </w:tcPr>
          <w:p>
            <w:r>
              <w:rPr>
                <w:sz w:val="15"/>
              </w:rPr>
              <w:t>2031-04-10</w:t>
            </w:r>
          </w:p>
        </w:tc>
        <w:tc>
          <w:tcPr>
            <w:tcW w:type="dxa" w:w="2033"/>
            <w:vAlign w:val="top"/>
          </w:tcPr>
          <w:p>
            <w:r>
              <w:rPr>
                <w:sz w:val="15"/>
              </w:rPr>
              <w:t>Photo Baseline</w:t>
            </w:r>
          </w:p>
        </w:tc>
        <w:tc>
          <w:tcPr>
            <w:tcW w:type="dxa" w:w="2033"/>
            <w:vAlign w:val="top"/>
          </w:tcPr>
          <w:p>
            <w:r>
              <w:rPr>
                <w:sz w:val="15"/>
              </w:rPr>
              <w:t>Routine photographic survey captured restraint geometry and witness marks.</w:t>
            </w:r>
          </w:p>
        </w:tc>
        <w:tc>
          <w:tcPr>
            <w:tcW w:type="dxa" w:w="2033"/>
            <w:vAlign w:val="top"/>
          </w:tcPr>
          <w:p>
            <w:r>
              <w:rPr>
                <w:sz w:val="15"/>
              </w:rPr>
              <w:t>PHOTO-BHT401-0410</w:t>
            </w:r>
          </w:p>
        </w:tc>
      </w:tr>
      <w:tr>
        <w:tc>
          <w:tcPr>
            <w:tcW w:type="dxa" w:w="2033"/>
            <w:vAlign w:val="top"/>
          </w:tcPr>
          <w:p>
            <w:r>
              <w:rPr>
                <w:sz w:val="15"/>
              </w:rPr>
              <w:t>CRS01-RST-L2</w:t>
            </w:r>
          </w:p>
        </w:tc>
        <w:tc>
          <w:tcPr>
            <w:tcW w:type="dxa" w:w="2033"/>
            <w:vAlign w:val="top"/>
          </w:tcPr>
          <w:p>
            <w:r>
              <w:rPr>
                <w:sz w:val="15"/>
              </w:rPr>
              <w:t>2031-04-11</w:t>
            </w:r>
          </w:p>
        </w:tc>
        <w:tc>
          <w:tcPr>
            <w:tcW w:type="dxa" w:w="2033"/>
            <w:vAlign w:val="top"/>
          </w:tcPr>
          <w:p>
            <w:r>
              <w:rPr>
                <w:sz w:val="15"/>
              </w:rPr>
              <w:t>Maintenance Record</w:t>
            </w:r>
          </w:p>
        </w:tc>
        <w:tc>
          <w:tcPr>
            <w:tcW w:type="dxa" w:w="2033"/>
            <w:vAlign w:val="top"/>
          </w:tcPr>
          <w:p>
            <w:r>
              <w:rPr>
                <w:sz w:val="15"/>
              </w:rPr>
              <w:t>M-88217 indexed as lateral-restraint inspection/adjustment; status CLOSED/APPROVED.</w:t>
            </w:r>
          </w:p>
        </w:tc>
        <w:tc>
          <w:tcPr>
            <w:tcW w:type="dxa" w:w="2033"/>
            <w:vAlign w:val="top"/>
          </w:tcPr>
          <w:p>
            <w:r>
              <w:rPr>
                <w:sz w:val="15"/>
              </w:rPr>
              <w:t>M-88217</w:t>
            </w:r>
          </w:p>
        </w:tc>
      </w:tr>
      <w:tr>
        <w:tc>
          <w:tcPr>
            <w:tcW w:type="dxa" w:w="2033"/>
            <w:vAlign w:val="top"/>
          </w:tcPr>
          <w:p>
            <w:r>
              <w:rPr>
                <w:sz w:val="15"/>
              </w:rPr>
              <w:t>CRS01-RST-L2</w:t>
            </w:r>
          </w:p>
        </w:tc>
        <w:tc>
          <w:tcPr>
            <w:tcW w:type="dxa" w:w="2033"/>
            <w:vAlign w:val="top"/>
          </w:tcPr>
          <w:p>
            <w:r>
              <w:rPr>
                <w:sz w:val="15"/>
              </w:rPr>
              <w:t>2031-04-12</w:t>
            </w:r>
          </w:p>
        </w:tc>
        <w:tc>
          <w:tcPr>
            <w:tcW w:type="dxa" w:w="2033"/>
            <w:vAlign w:val="top"/>
          </w:tcPr>
          <w:p>
            <w:r>
              <w:rPr>
                <w:sz w:val="15"/>
              </w:rPr>
              <w:t>Evidence Control</w:t>
            </w:r>
          </w:p>
        </w:tc>
        <w:tc>
          <w:tcPr>
            <w:tcW w:type="dxa" w:w="2033"/>
            <w:vAlign w:val="top"/>
          </w:tcPr>
          <w:p>
            <w:r>
              <w:rPr>
                <w:sz w:val="15"/>
              </w:rPr>
              <w:t>Restraint preserved for engineering/event investigation.</w:t>
            </w:r>
          </w:p>
        </w:tc>
        <w:tc>
          <w:tcPr>
            <w:tcW w:type="dxa" w:w="2033"/>
            <w:vAlign w:val="top"/>
          </w:tcPr>
          <w:p>
            <w:r>
              <w:rPr>
                <w:sz w:val="15"/>
              </w:rPr>
              <w:t>EVID-BHT401-RSTL2</w:t>
            </w:r>
          </w:p>
        </w:tc>
      </w:tr>
      <w:tr>
        <w:tc>
          <w:tcPr>
            <w:tcW w:type="dxa" w:w="2033"/>
            <w:vAlign w:val="top"/>
          </w:tcPr>
          <w:p>
            <w:r>
              <w:rPr>
                <w:sz w:val="15"/>
              </w:rPr>
              <w:t>TMP-BHT-401-CRS-01</w:t>
            </w:r>
          </w:p>
        </w:tc>
        <w:tc>
          <w:tcPr>
            <w:tcW w:type="dxa" w:w="2033"/>
            <w:vAlign w:val="top"/>
          </w:tcPr>
          <w:p>
            <w:r>
              <w:rPr>
                <w:sz w:val="15"/>
              </w:rPr>
              <w:t>2030-05-14</w:t>
            </w:r>
          </w:p>
        </w:tc>
        <w:tc>
          <w:tcPr>
            <w:tcW w:type="dxa" w:w="2033"/>
            <w:vAlign w:val="top"/>
          </w:tcPr>
          <w:p>
            <w:r>
              <w:rPr>
                <w:sz w:val="15"/>
              </w:rPr>
              <w:t>Design Need</w:t>
            </w:r>
          </w:p>
        </w:tc>
        <w:tc>
          <w:tcPr>
            <w:tcW w:type="dxa" w:w="2033"/>
            <w:vAlign w:val="top"/>
          </w:tcPr>
          <w:p>
            <w:r>
              <w:rPr>
                <w:sz w:val="15"/>
              </w:rPr>
              <w:t>Commissioning identified need for supplemental temporary circulation.</w:t>
            </w:r>
          </w:p>
        </w:tc>
        <w:tc>
          <w:tcPr>
            <w:tcW w:type="dxa" w:w="2033"/>
            <w:vAlign w:val="top"/>
          </w:tcPr>
          <w:p>
            <w:r>
              <w:rPr>
                <w:sz w:val="15"/>
              </w:rPr>
              <w:t>TEMP-SYS-REQ-BHT401-01</w:t>
            </w:r>
          </w:p>
        </w:tc>
      </w:tr>
      <w:tr>
        <w:tc>
          <w:tcPr>
            <w:tcW w:type="dxa" w:w="2033"/>
            <w:vAlign w:val="top"/>
          </w:tcPr>
          <w:p>
            <w:r>
              <w:rPr>
                <w:sz w:val="15"/>
              </w:rPr>
              <w:t>TMP-BHT-401-CRS-01</w:t>
            </w:r>
          </w:p>
        </w:tc>
        <w:tc>
          <w:tcPr>
            <w:tcW w:type="dxa" w:w="2033"/>
            <w:vAlign w:val="top"/>
          </w:tcPr>
          <w:p>
            <w:r>
              <w:rPr>
                <w:sz w:val="15"/>
              </w:rPr>
              <w:t>2030-05-14</w:t>
            </w:r>
          </w:p>
        </w:tc>
        <w:tc>
          <w:tcPr>
            <w:tcW w:type="dxa" w:w="2033"/>
            <w:vAlign w:val="top"/>
          </w:tcPr>
          <w:p>
            <w:r>
              <w:rPr>
                <w:sz w:val="15"/>
              </w:rPr>
              <w:t>Mobilized/Procured</w:t>
            </w:r>
          </w:p>
        </w:tc>
        <w:tc>
          <w:tcPr>
            <w:tcW w:type="dxa" w:w="2033"/>
            <w:vAlign w:val="top"/>
          </w:tcPr>
          <w:p>
            <w:r>
              <w:rPr>
                <w:sz w:val="15"/>
              </w:rPr>
              <w:t>Asset entered OFG controlled lifecycle.</w:t>
            </w:r>
          </w:p>
        </w:tc>
        <w:tc>
          <w:tcPr>
            <w:tcW w:type="dxa" w:w="2033"/>
            <w:vAlign w:val="top"/>
          </w:tcPr>
          <w:p>
            <w:r>
              <w:rPr>
                <w:sz w:val="15"/>
              </w:rPr>
              <w:t>Asset master / PO / mobilization record</w:t>
            </w:r>
          </w:p>
        </w:tc>
      </w:tr>
      <w:tr>
        <w:tc>
          <w:tcPr>
            <w:tcW w:type="dxa" w:w="2033"/>
            <w:vAlign w:val="top"/>
          </w:tcPr>
          <w:p>
            <w:r>
              <w:rPr>
                <w:sz w:val="15"/>
              </w:rPr>
              <w:t>TMP-BHT-401-CRS-01</w:t>
            </w:r>
          </w:p>
        </w:tc>
        <w:tc>
          <w:tcPr>
            <w:tcW w:type="dxa" w:w="2033"/>
            <w:vAlign w:val="top"/>
          </w:tcPr>
          <w:p>
            <w:r>
              <w:rPr>
                <w:sz w:val="15"/>
              </w:rPr>
              <w:t>2030-06-12</w:t>
            </w:r>
          </w:p>
        </w:tc>
        <w:tc>
          <w:tcPr>
            <w:tcW w:type="dxa" w:w="2033"/>
            <w:vAlign w:val="top"/>
          </w:tcPr>
          <w:p>
            <w:r>
              <w:rPr>
                <w:sz w:val="15"/>
              </w:rPr>
              <w:t>Design Release</w:t>
            </w:r>
          </w:p>
        </w:tc>
        <w:tc>
          <w:tcPr>
            <w:tcW w:type="dxa" w:w="2033"/>
            <w:vAlign w:val="top"/>
          </w:tcPr>
          <w:p>
            <w:r>
              <w:rPr>
                <w:sz w:val="15"/>
              </w:rPr>
              <w:t>Temporary recirculation design package Rev A issued.</w:t>
            </w:r>
          </w:p>
        </w:tc>
        <w:tc>
          <w:tcPr>
            <w:tcW w:type="dxa" w:w="2033"/>
            <w:vAlign w:val="top"/>
          </w:tcPr>
          <w:p>
            <w:r>
              <w:rPr>
                <w:sz w:val="15"/>
              </w:rPr>
              <w:t>TMP-DWG-BHT401-CRS01 Rev A</w:t>
            </w:r>
          </w:p>
        </w:tc>
      </w:tr>
      <w:tr>
        <w:tc>
          <w:tcPr>
            <w:tcW w:type="dxa" w:w="2033"/>
            <w:vAlign w:val="top"/>
          </w:tcPr>
          <w:p>
            <w:r>
              <w:rPr>
                <w:sz w:val="15"/>
              </w:rPr>
              <w:t>TMP-BHT-401-CRS-01</w:t>
            </w:r>
          </w:p>
        </w:tc>
        <w:tc>
          <w:tcPr>
            <w:tcW w:type="dxa" w:w="2033"/>
            <w:vAlign w:val="top"/>
          </w:tcPr>
          <w:p>
            <w:r>
              <w:rPr>
                <w:sz w:val="15"/>
              </w:rPr>
              <w:t>2030-06-19</w:t>
            </w:r>
          </w:p>
        </w:tc>
        <w:tc>
          <w:tcPr>
            <w:tcW w:type="dxa" w:w="2033"/>
            <w:vAlign w:val="top"/>
          </w:tcPr>
          <w:p>
            <w:r>
              <w:rPr>
                <w:sz w:val="15"/>
              </w:rPr>
              <w:t>Technology Screening</w:t>
            </w:r>
          </w:p>
        </w:tc>
        <w:tc>
          <w:tcPr>
            <w:tcW w:type="dxa" w:w="2033"/>
            <w:vAlign w:val="top"/>
          </w:tcPr>
          <w:p>
            <w:r>
              <w:rPr>
                <w:sz w:val="15"/>
              </w:rPr>
              <w:t>HMS screened temporary arrangement; no HFRP reference-design impact if nozzle-load limits maintained.</w:t>
            </w:r>
          </w:p>
        </w:tc>
        <w:tc>
          <w:tcPr>
            <w:tcW w:type="dxa" w:w="2033"/>
            <w:vAlign w:val="top"/>
          </w:tcPr>
          <w:p>
            <w:r>
              <w:rPr>
                <w:sz w:val="15"/>
              </w:rPr>
              <w:t>HMS-SCR-2030-447</w:t>
            </w:r>
          </w:p>
        </w:tc>
      </w:tr>
      <w:tr>
        <w:tc>
          <w:tcPr>
            <w:tcW w:type="dxa" w:w="2033"/>
            <w:vAlign w:val="top"/>
          </w:tcPr>
          <w:p>
            <w:r>
              <w:rPr>
                <w:sz w:val="15"/>
              </w:rPr>
              <w:t>TMP-BHT-401-CRS-01</w:t>
            </w:r>
          </w:p>
        </w:tc>
        <w:tc>
          <w:tcPr>
            <w:tcW w:type="dxa" w:w="2033"/>
            <w:vAlign w:val="top"/>
          </w:tcPr>
          <w:p>
            <w:r>
              <w:rPr>
                <w:sz w:val="15"/>
              </w:rPr>
              <w:t>2030-08-18</w:t>
            </w:r>
          </w:p>
        </w:tc>
        <w:tc>
          <w:tcPr>
            <w:tcW w:type="dxa" w:w="2033"/>
            <w:vAlign w:val="top"/>
          </w:tcPr>
          <w:p>
            <w:r>
              <w:rPr>
                <w:sz w:val="15"/>
              </w:rPr>
              <w:t>FAT</w:t>
            </w:r>
          </w:p>
        </w:tc>
        <w:tc>
          <w:tcPr>
            <w:tcW w:type="dxa" w:w="2033"/>
            <w:vAlign w:val="top"/>
          </w:tcPr>
          <w:p>
            <w:r>
              <w:rPr>
                <w:sz w:val="15"/>
              </w:rPr>
              <w:t>Skid factory acceptance test completed.</w:t>
            </w:r>
          </w:p>
        </w:tc>
        <w:tc>
          <w:tcPr>
            <w:tcW w:type="dxa" w:w="2033"/>
            <w:vAlign w:val="top"/>
          </w:tcPr>
          <w:p>
            <w:r>
              <w:rPr>
                <w:sz w:val="15"/>
              </w:rPr>
              <w:t>FAT-CRS01</w:t>
            </w:r>
          </w:p>
        </w:tc>
      </w:tr>
      <w:tr>
        <w:tc>
          <w:tcPr>
            <w:tcW w:type="dxa" w:w="2033"/>
            <w:vAlign w:val="top"/>
          </w:tcPr>
          <w:p>
            <w:r>
              <w:rPr>
                <w:sz w:val="15"/>
              </w:rPr>
              <w:t>TMP-BHT-401-CRS-01</w:t>
            </w:r>
          </w:p>
        </w:tc>
        <w:tc>
          <w:tcPr>
            <w:tcW w:type="dxa" w:w="2033"/>
            <w:vAlign w:val="top"/>
          </w:tcPr>
          <w:p>
            <w:r>
              <w:rPr>
                <w:sz w:val="15"/>
              </w:rPr>
              <w:t>2030-09-03</w:t>
            </w:r>
          </w:p>
        </w:tc>
        <w:tc>
          <w:tcPr>
            <w:tcW w:type="dxa" w:w="2033"/>
            <w:vAlign w:val="top"/>
          </w:tcPr>
          <w:p>
            <w:r>
              <w:rPr>
                <w:sz w:val="15"/>
              </w:rPr>
              <w:t>Site Arrival</w:t>
            </w:r>
          </w:p>
        </w:tc>
        <w:tc>
          <w:tcPr>
            <w:tcW w:type="dxa" w:w="2033"/>
            <w:vAlign w:val="top"/>
          </w:tcPr>
          <w:p>
            <w:r>
              <w:rPr>
                <w:sz w:val="15"/>
              </w:rPr>
              <w:t>Receipt/arrival recorded; condition and identification checked.</w:t>
            </w:r>
          </w:p>
        </w:tc>
        <w:tc>
          <w:tcPr>
            <w:tcW w:type="dxa" w:w="2033"/>
            <w:vAlign w:val="top"/>
          </w:tcPr>
          <w:p>
            <w:r>
              <w:rPr>
                <w:sz w:val="15"/>
              </w:rPr>
              <w:t>Receiving inspection / delivery record</w:t>
            </w:r>
          </w:p>
        </w:tc>
      </w:tr>
      <w:tr>
        <w:tc>
          <w:tcPr>
            <w:tcW w:type="dxa" w:w="2033"/>
            <w:vAlign w:val="top"/>
          </w:tcPr>
          <w:p>
            <w:r>
              <w:rPr>
                <w:sz w:val="15"/>
              </w:rPr>
              <w:t>TMP-BHT-401-CRS-01</w:t>
            </w:r>
          </w:p>
        </w:tc>
        <w:tc>
          <w:tcPr>
            <w:tcW w:type="dxa" w:w="2033"/>
            <w:vAlign w:val="top"/>
          </w:tcPr>
          <w:p>
            <w:r>
              <w:rPr>
                <w:sz w:val="15"/>
              </w:rPr>
              <w:t>2030-09-22</w:t>
            </w:r>
          </w:p>
        </w:tc>
        <w:tc>
          <w:tcPr>
            <w:tcW w:type="dxa" w:w="2033"/>
            <w:vAlign w:val="top"/>
          </w:tcPr>
          <w:p>
            <w:r>
              <w:rPr>
                <w:sz w:val="15"/>
              </w:rPr>
              <w:t>Installation/Mobilization</w:t>
            </w:r>
          </w:p>
        </w:tc>
        <w:tc>
          <w:tcPr>
            <w:tcW w:type="dxa" w:w="2033"/>
            <w:vAlign w:val="top"/>
          </w:tcPr>
          <w:p>
            <w:r>
              <w:rPr>
                <w:sz w:val="15"/>
              </w:rPr>
              <w:t>Field installation or deployment commenced.</w:t>
            </w:r>
          </w:p>
        </w:tc>
        <w:tc>
          <w:tcPr>
            <w:tcW w:type="dxa" w:w="2033"/>
            <w:vAlign w:val="top"/>
          </w:tcPr>
          <w:p>
            <w:r>
              <w:rPr>
                <w:sz w:val="15"/>
              </w:rPr>
              <w:t>IWP / setup record</w:t>
            </w:r>
          </w:p>
        </w:tc>
      </w:tr>
      <w:tr>
        <w:tc>
          <w:tcPr>
            <w:tcW w:type="dxa" w:w="2033"/>
            <w:vAlign w:val="top"/>
          </w:tcPr>
          <w:p>
            <w:r>
              <w:rPr>
                <w:sz w:val="15"/>
              </w:rPr>
              <w:t>TMP-BHT-401-CRS-01</w:t>
            </w:r>
          </w:p>
        </w:tc>
        <w:tc>
          <w:tcPr>
            <w:tcW w:type="dxa" w:w="2033"/>
            <w:vAlign w:val="top"/>
          </w:tcPr>
          <w:p>
            <w:r>
              <w:rPr>
                <w:sz w:val="15"/>
              </w:rPr>
              <w:t>2030-09-28</w:t>
            </w:r>
          </w:p>
        </w:tc>
        <w:tc>
          <w:tcPr>
            <w:tcW w:type="dxa" w:w="2033"/>
            <w:vAlign w:val="top"/>
          </w:tcPr>
          <w:p>
            <w:r>
              <w:rPr>
                <w:sz w:val="15"/>
              </w:rPr>
              <w:t>Mechanical Completion</w:t>
            </w:r>
          </w:p>
        </w:tc>
        <w:tc>
          <w:tcPr>
            <w:tcW w:type="dxa" w:w="2033"/>
            <w:vAlign w:val="top"/>
          </w:tcPr>
          <w:p>
            <w:r>
              <w:rPr>
                <w:sz w:val="15"/>
              </w:rPr>
              <w:t>Defined installation scope completed subject to punch status.</w:t>
            </w:r>
          </w:p>
        </w:tc>
        <w:tc>
          <w:tcPr>
            <w:tcW w:type="dxa" w:w="2033"/>
            <w:vAlign w:val="top"/>
          </w:tcPr>
          <w:p>
            <w:r>
              <w:rPr>
                <w:sz w:val="15"/>
              </w:rPr>
              <w:t>MC certificate / completion package</w:t>
            </w:r>
          </w:p>
        </w:tc>
      </w:tr>
      <w:tr>
        <w:tc>
          <w:tcPr>
            <w:tcW w:type="dxa" w:w="2033"/>
            <w:vAlign w:val="top"/>
          </w:tcPr>
          <w:p>
            <w:r>
              <w:rPr>
                <w:sz w:val="15"/>
              </w:rPr>
              <w:t>TMP-BHT-401-CRS-01</w:t>
            </w:r>
          </w:p>
        </w:tc>
        <w:tc>
          <w:tcPr>
            <w:tcW w:type="dxa" w:w="2033"/>
            <w:vAlign w:val="top"/>
          </w:tcPr>
          <w:p>
            <w:r>
              <w:rPr>
                <w:sz w:val="15"/>
              </w:rPr>
              <w:t>2030-10-11</w:t>
            </w:r>
          </w:p>
        </w:tc>
        <w:tc>
          <w:tcPr>
            <w:tcW w:type="dxa" w:w="2033"/>
            <w:vAlign w:val="top"/>
          </w:tcPr>
          <w:p>
            <w:r>
              <w:rPr>
                <w:sz w:val="15"/>
              </w:rPr>
              <w:t>Turnover</w:t>
            </w:r>
          </w:p>
        </w:tc>
        <w:tc>
          <w:tcPr>
            <w:tcW w:type="dxa" w:w="2033"/>
            <w:vAlign w:val="top"/>
          </w:tcPr>
          <w:p>
            <w:r>
              <w:rPr>
                <w:sz w:val="15"/>
              </w:rPr>
              <w:t>Custody transferred to receiving organization where applicable.</w:t>
            </w:r>
          </w:p>
        </w:tc>
        <w:tc>
          <w:tcPr>
            <w:tcW w:type="dxa" w:w="2033"/>
            <w:vAlign w:val="top"/>
          </w:tcPr>
          <w:p>
            <w:r>
              <w:rPr>
                <w:sz w:val="15"/>
              </w:rPr>
              <w:t>Turnover dossier / certificate</w:t>
            </w:r>
          </w:p>
        </w:tc>
      </w:tr>
      <w:tr>
        <w:tc>
          <w:tcPr>
            <w:tcW w:type="dxa" w:w="2033"/>
            <w:vAlign w:val="top"/>
          </w:tcPr>
          <w:p>
            <w:r>
              <w:rPr>
                <w:sz w:val="15"/>
              </w:rPr>
              <w:t>TMP-BHT-401-CRS-01</w:t>
            </w:r>
          </w:p>
        </w:tc>
        <w:tc>
          <w:tcPr>
            <w:tcW w:type="dxa" w:w="2033"/>
            <w:vAlign w:val="top"/>
          </w:tcPr>
          <w:p>
            <w:r>
              <w:rPr>
                <w:sz w:val="15"/>
              </w:rPr>
              <w:t>2030-10-12</w:t>
            </w:r>
          </w:p>
        </w:tc>
        <w:tc>
          <w:tcPr>
            <w:tcW w:type="dxa" w:w="2033"/>
            <w:vAlign w:val="top"/>
          </w:tcPr>
          <w:p>
            <w:r>
              <w:rPr>
                <w:sz w:val="15"/>
              </w:rPr>
              <w:t>Commissioning/Operation</w:t>
            </w:r>
          </w:p>
        </w:tc>
        <w:tc>
          <w:tcPr>
            <w:tcW w:type="dxa" w:w="2033"/>
            <w:vAlign w:val="top"/>
          </w:tcPr>
          <w:p>
            <w:r>
              <w:rPr>
                <w:sz w:val="15"/>
              </w:rPr>
              <w:t>Functional use or commissioning initiated.</w:t>
            </w:r>
          </w:p>
        </w:tc>
        <w:tc>
          <w:tcPr>
            <w:tcW w:type="dxa" w:w="2033"/>
            <w:vAlign w:val="top"/>
          </w:tcPr>
          <w:p>
            <w:r>
              <w:rPr>
                <w:sz w:val="15"/>
              </w:rPr>
              <w:t>Commissioning test / operating record</w:t>
            </w:r>
          </w:p>
        </w:tc>
      </w:tr>
      <w:tr>
        <w:tc>
          <w:tcPr>
            <w:tcW w:type="dxa" w:w="2033"/>
            <w:vAlign w:val="top"/>
          </w:tcPr>
          <w:p>
            <w:r>
              <w:rPr>
                <w:sz w:val="15"/>
              </w:rPr>
              <w:t>TMP-BHT-401-CRS-01</w:t>
            </w:r>
          </w:p>
        </w:tc>
        <w:tc>
          <w:tcPr>
            <w:tcW w:type="dxa" w:w="2033"/>
            <w:vAlign w:val="top"/>
          </w:tcPr>
          <w:p>
            <w:r>
              <w:rPr>
                <w:sz w:val="15"/>
              </w:rPr>
              <w:t>2030-10-12</w:t>
            </w:r>
          </w:p>
        </w:tc>
        <w:tc>
          <w:tcPr>
            <w:tcW w:type="dxa" w:w="2033"/>
            <w:vAlign w:val="top"/>
          </w:tcPr>
          <w:p>
            <w:r>
              <w:rPr>
                <w:sz w:val="15"/>
              </w:rPr>
              <w:t>First Campaign</w:t>
            </w:r>
          </w:p>
        </w:tc>
        <w:tc>
          <w:tcPr>
            <w:tcW w:type="dxa" w:w="2033"/>
            <w:vAlign w:val="top"/>
          </w:tcPr>
          <w:p>
            <w:r>
              <w:rPr>
                <w:sz w:val="15"/>
              </w:rPr>
              <w:t>First controlled flush/recirculation campaign commenced.</w:t>
            </w:r>
          </w:p>
        </w:tc>
        <w:tc>
          <w:tcPr>
            <w:tcW w:type="dxa" w:w="2033"/>
            <w:vAlign w:val="top"/>
          </w:tcPr>
          <w:p>
            <w:r>
              <w:rPr>
                <w:sz w:val="15"/>
              </w:rPr>
              <w:t>CPT-BHT401-FLSH-01</w:t>
            </w:r>
          </w:p>
        </w:tc>
      </w:tr>
      <w:tr>
        <w:tc>
          <w:tcPr>
            <w:tcW w:type="dxa" w:w="2033"/>
            <w:vAlign w:val="top"/>
          </w:tcPr>
          <w:p>
            <w:r>
              <w:rPr>
                <w:sz w:val="15"/>
              </w:rPr>
              <w:t>TMP-BHT-401-CRS-01</w:t>
            </w:r>
          </w:p>
        </w:tc>
        <w:tc>
          <w:tcPr>
            <w:tcW w:type="dxa" w:w="2033"/>
            <w:vAlign w:val="top"/>
          </w:tcPr>
          <w:p>
            <w:r>
              <w:rPr>
                <w:sz w:val="15"/>
              </w:rPr>
              <w:t>2031-01-06</w:t>
            </w:r>
          </w:p>
        </w:tc>
        <w:tc>
          <w:tcPr>
            <w:tcW w:type="dxa" w:w="2033"/>
            <w:vAlign w:val="top"/>
          </w:tcPr>
          <w:p>
            <w:r>
              <w:rPr>
                <w:sz w:val="15"/>
              </w:rPr>
              <w:t>Isolated</w:t>
            </w:r>
          </w:p>
        </w:tc>
        <w:tc>
          <w:tcPr>
            <w:tcW w:type="dxa" w:w="2033"/>
            <w:vAlign w:val="top"/>
          </w:tcPr>
          <w:p>
            <w:r>
              <w:rPr>
                <w:sz w:val="15"/>
              </w:rPr>
              <w:t>Temporary spools removed for permanent BHT modification.</w:t>
            </w:r>
          </w:p>
        </w:tc>
        <w:tc>
          <w:tcPr>
            <w:tcW w:type="dxa" w:w="2033"/>
            <w:vAlign w:val="top"/>
          </w:tcPr>
          <w:p>
            <w:r>
              <w:rPr>
                <w:sz w:val="15"/>
              </w:rPr>
              <w:t>WO-BHT401-2031-011</w:t>
            </w:r>
          </w:p>
        </w:tc>
      </w:tr>
      <w:tr>
        <w:tc>
          <w:tcPr>
            <w:tcW w:type="dxa" w:w="2033"/>
            <w:vAlign w:val="top"/>
          </w:tcPr>
          <w:p>
            <w:r>
              <w:rPr>
                <w:sz w:val="15"/>
              </w:rPr>
              <w:t>TMP-BHT-401-CRS-01</w:t>
            </w:r>
          </w:p>
        </w:tc>
        <w:tc>
          <w:tcPr>
            <w:tcW w:type="dxa" w:w="2033"/>
            <w:vAlign w:val="top"/>
          </w:tcPr>
          <w:p>
            <w:r>
              <w:rPr>
                <w:sz w:val="15"/>
              </w:rPr>
              <w:t>2031-01-16</w:t>
            </w:r>
          </w:p>
        </w:tc>
        <w:tc>
          <w:tcPr>
            <w:tcW w:type="dxa" w:w="2033"/>
            <w:vAlign w:val="top"/>
          </w:tcPr>
          <w:p>
            <w:r>
              <w:rPr>
                <w:sz w:val="15"/>
              </w:rPr>
              <w:t>Design Revision</w:t>
            </w:r>
          </w:p>
        </w:tc>
        <w:tc>
          <w:tcPr>
            <w:tcW w:type="dxa" w:w="2033"/>
            <w:vAlign w:val="top"/>
          </w:tcPr>
          <w:p>
            <w:r>
              <w:rPr>
                <w:sz w:val="15"/>
              </w:rPr>
              <w:t>Temporary arrangement revised to Rev C for new spool geometry.</w:t>
            </w:r>
          </w:p>
        </w:tc>
        <w:tc>
          <w:tcPr>
            <w:tcW w:type="dxa" w:w="2033"/>
            <w:vAlign w:val="top"/>
          </w:tcPr>
          <w:p>
            <w:r>
              <w:rPr>
                <w:sz w:val="15"/>
              </w:rPr>
              <w:t>TMP-DWG-BHT401-CRS01 Rev C</w:t>
            </w:r>
          </w:p>
        </w:tc>
      </w:tr>
      <w:tr>
        <w:tc>
          <w:tcPr>
            <w:tcW w:type="dxa" w:w="2033"/>
            <w:vAlign w:val="top"/>
          </w:tcPr>
          <w:p>
            <w:r>
              <w:rPr>
                <w:sz w:val="15"/>
              </w:rPr>
              <w:t>TMP-BHT-401-CRS-01</w:t>
            </w:r>
          </w:p>
        </w:tc>
        <w:tc>
          <w:tcPr>
            <w:tcW w:type="dxa" w:w="2033"/>
            <w:vAlign w:val="top"/>
          </w:tcPr>
          <w:p>
            <w:r>
              <w:rPr>
                <w:sz w:val="15"/>
              </w:rPr>
              <w:t>2031-01-24</w:t>
            </w:r>
          </w:p>
        </w:tc>
        <w:tc>
          <w:tcPr>
            <w:tcW w:type="dxa" w:w="2033"/>
            <w:vAlign w:val="top"/>
          </w:tcPr>
          <w:p>
            <w:r>
              <w:rPr>
                <w:sz w:val="15"/>
              </w:rPr>
              <w:t>Reconnected</w:t>
            </w:r>
          </w:p>
        </w:tc>
        <w:tc>
          <w:tcPr>
            <w:tcW w:type="dxa" w:w="2033"/>
            <w:vAlign w:val="top"/>
          </w:tcPr>
          <w:p>
            <w:r>
              <w:rPr>
                <w:sz w:val="15"/>
              </w:rPr>
              <w:t>Skid returned to controlled commissioning service.</w:t>
            </w:r>
          </w:p>
        </w:tc>
        <w:tc>
          <w:tcPr>
            <w:tcW w:type="dxa" w:w="2033"/>
            <w:vAlign w:val="top"/>
          </w:tcPr>
          <w:p>
            <w:r>
              <w:rPr>
                <w:sz w:val="15"/>
              </w:rPr>
              <w:t>PTW-BHT401-0124</w:t>
            </w:r>
          </w:p>
        </w:tc>
      </w:tr>
      <w:tr>
        <w:tc>
          <w:tcPr>
            <w:tcW w:type="dxa" w:w="2033"/>
            <w:vAlign w:val="top"/>
          </w:tcPr>
          <w:p>
            <w:r>
              <w:rPr>
                <w:sz w:val="15"/>
              </w:rPr>
              <w:t>TMP-BHT-401-CRS-01</w:t>
            </w:r>
          </w:p>
        </w:tc>
        <w:tc>
          <w:tcPr>
            <w:tcW w:type="dxa" w:w="2033"/>
            <w:vAlign w:val="top"/>
          </w:tcPr>
          <w:p>
            <w:r>
              <w:rPr>
                <w:sz w:val="15"/>
              </w:rPr>
              <w:t>2031-03-17</w:t>
            </w:r>
          </w:p>
        </w:tc>
        <w:tc>
          <w:tcPr>
            <w:tcW w:type="dxa" w:w="2033"/>
            <w:vAlign w:val="top"/>
          </w:tcPr>
          <w:p>
            <w:r>
              <w:rPr>
                <w:sz w:val="15"/>
              </w:rPr>
              <w:t>Operator Observation</w:t>
            </w:r>
          </w:p>
        </w:tc>
        <w:tc>
          <w:tcPr>
            <w:tcW w:type="dxa" w:w="2033"/>
            <w:vAlign w:val="top"/>
          </w:tcPr>
          <w:p>
            <w:r>
              <w:rPr>
                <w:sz w:val="15"/>
              </w:rPr>
              <w:t>Higher-than-remembered vibration observed; no limit exceeded.</w:t>
            </w:r>
          </w:p>
        </w:tc>
        <w:tc>
          <w:tcPr>
            <w:tcW w:type="dxa" w:w="2033"/>
            <w:vAlign w:val="top"/>
          </w:tcPr>
          <w:p>
            <w:r>
              <w:rPr>
                <w:sz w:val="15"/>
              </w:rPr>
              <w:t>OPLOG-2031-03-17-BHT</w:t>
            </w:r>
          </w:p>
        </w:tc>
      </w:tr>
      <w:tr>
        <w:tc>
          <w:tcPr>
            <w:tcW w:type="dxa" w:w="2033"/>
            <w:vAlign w:val="top"/>
          </w:tcPr>
          <w:p>
            <w:r>
              <w:rPr>
                <w:sz w:val="15"/>
              </w:rPr>
              <w:t>TMP-BHT-401-CRS-01</w:t>
            </w:r>
          </w:p>
        </w:tc>
        <w:tc>
          <w:tcPr>
            <w:tcW w:type="dxa" w:w="2033"/>
            <w:vAlign w:val="top"/>
          </w:tcPr>
          <w:p>
            <w:r>
              <w:rPr>
                <w:sz w:val="15"/>
              </w:rPr>
              <w:t>2031-03-20</w:t>
            </w:r>
          </w:p>
        </w:tc>
        <w:tc>
          <w:tcPr>
            <w:tcW w:type="dxa" w:w="2033"/>
            <w:vAlign w:val="top"/>
          </w:tcPr>
          <w:p>
            <w:r>
              <w:rPr>
                <w:sz w:val="15"/>
              </w:rPr>
              <w:t>Walkdown</w:t>
            </w:r>
          </w:p>
        </w:tc>
        <w:tc>
          <w:tcPr>
            <w:tcW w:type="dxa" w:w="2033"/>
            <w:vAlign w:val="top"/>
          </w:tcPr>
          <w:p>
            <w:r>
              <w:rPr>
                <w:sz w:val="15"/>
              </w:rPr>
              <w:t>Follow-up field walkdown; no immediate defect identified; inspection recommended.</w:t>
            </w:r>
          </w:p>
        </w:tc>
        <w:tc>
          <w:tcPr>
            <w:tcW w:type="dxa" w:w="2033"/>
            <w:vAlign w:val="top"/>
          </w:tcPr>
          <w:p>
            <w:r>
              <w:rPr>
                <w:sz w:val="15"/>
              </w:rPr>
              <w:t>WALK-BHT401-0320</w:t>
            </w:r>
          </w:p>
        </w:tc>
      </w:tr>
      <w:tr>
        <w:tc>
          <w:tcPr>
            <w:tcW w:type="dxa" w:w="2033"/>
            <w:vAlign w:val="top"/>
          </w:tcPr>
          <w:p>
            <w:r>
              <w:rPr>
                <w:sz w:val="15"/>
              </w:rPr>
              <w:t>TMP-BHT-401-CRS-01</w:t>
            </w:r>
          </w:p>
        </w:tc>
        <w:tc>
          <w:tcPr>
            <w:tcW w:type="dxa" w:w="2033"/>
            <w:vAlign w:val="top"/>
          </w:tcPr>
          <w:p>
            <w:r>
              <w:rPr>
                <w:sz w:val="15"/>
              </w:rPr>
              <w:t>2031-04-12</w:t>
            </w:r>
          </w:p>
        </w:tc>
        <w:tc>
          <w:tcPr>
            <w:tcW w:type="dxa" w:w="2033"/>
            <w:vAlign w:val="top"/>
          </w:tcPr>
          <w:p>
            <w:r>
              <w:rPr>
                <w:sz w:val="15"/>
              </w:rPr>
              <w:t>High-Potential Near Miss</w:t>
            </w:r>
          </w:p>
        </w:tc>
        <w:tc>
          <w:tcPr>
            <w:tcW w:type="dxa" w:w="2033"/>
            <w:vAlign w:val="top"/>
          </w:tcPr>
          <w:p>
            <w:r>
              <w:rPr>
                <w:sz w:val="15"/>
              </w:rPr>
              <w:t>Lateral movement exceeded expected envelope during loaded circulation; operator in potential crush zone; no injury.</w:t>
            </w:r>
          </w:p>
        </w:tc>
        <w:tc>
          <w:tcPr>
            <w:tcW w:type="dxa" w:w="2033"/>
            <w:vAlign w:val="top"/>
          </w:tcPr>
          <w:p>
            <w:r>
              <w:rPr>
                <w:sz w:val="15"/>
              </w:rPr>
              <w:t>EVT-2031-0412-HPNM</w:t>
            </w:r>
          </w:p>
        </w:tc>
      </w:tr>
      <w:tr>
        <w:tc>
          <w:tcPr>
            <w:tcW w:type="dxa" w:w="2033"/>
            <w:vAlign w:val="top"/>
          </w:tcPr>
          <w:p>
            <w:r>
              <w:rPr>
                <w:sz w:val="15"/>
              </w:rPr>
              <w:t>TMP-BHT-401-CRS-01</w:t>
            </w:r>
          </w:p>
        </w:tc>
        <w:tc>
          <w:tcPr>
            <w:tcW w:type="dxa" w:w="2033"/>
            <w:vAlign w:val="top"/>
          </w:tcPr>
          <w:p>
            <w:r>
              <w:rPr>
                <w:sz w:val="15"/>
              </w:rPr>
              <w:t>2031-04-13</w:t>
            </w:r>
          </w:p>
        </w:tc>
        <w:tc>
          <w:tcPr>
            <w:tcW w:type="dxa" w:w="2033"/>
            <w:vAlign w:val="top"/>
          </w:tcPr>
          <w:p>
            <w:r>
              <w:rPr>
                <w:sz w:val="15"/>
              </w:rPr>
              <w:t>Extent of Condition</w:t>
            </w:r>
          </w:p>
        </w:tc>
        <w:tc>
          <w:tcPr>
            <w:tcW w:type="dxa" w:w="2033"/>
            <w:vAlign w:val="top"/>
          </w:tcPr>
          <w:p>
            <w:r>
              <w:rPr>
                <w:sz w:val="15"/>
              </w:rPr>
              <w:t>Inspection family expanded to related temporary restraints/support arrangements.</w:t>
            </w:r>
          </w:p>
        </w:tc>
        <w:tc>
          <w:tcPr>
            <w:tcW w:type="dxa" w:w="2033"/>
            <w:vAlign w:val="top"/>
          </w:tcPr>
          <w:p>
            <w:r>
              <w:rPr>
                <w:sz w:val="15"/>
              </w:rPr>
              <w:t>EOC-BHT-TMP-001</w:t>
            </w:r>
          </w:p>
        </w:tc>
      </w:tr>
    </w:tbl>
    <w:p>
      <w:pPr>
        <w:spacing w:after="40"/>
      </w:pPr>
    </w:p>
    <w:p>
      <w:pPr>
        <w:pStyle w:val="Heading1"/>
      </w:pPr>
      <w:r>
        <w:t>19. First Plasma readiness logic</w:t>
      </w:r>
    </w:p>
    <w:p>
      <w:pPr>
        <w:spacing w:after="80"/>
      </w:pPr>
      <w:r>
        <w:t>Critical path: resolve FP-relevant mechanical/configuration findings + stable cryogenic operation -&gt; progressive magnet energization -&gt; required field demonstration -&gt; vacuum/bakeout completion -&gt; machine-protection verification -&gt; diagnostics/heating/fuelling readiness -&gt; integrated sequence testing -&gt; First Plasma Readiness Review -&gt; OPG/CNSC hold-point closure -&gt; First Plasma.</w:t>
      </w:r>
    </w:p>
    <w:p>
      <w:pPr>
        <w:spacing w:after="80"/>
      </w:pPr>
      <w:r>
        <w:t>The readiness register distinguishes FP blockers, must-close-before-review items, conditional/deferred items and post-FP scope. The classification process is where commercial pressure can become dangerous without anyone explicitly ordering unsafe operation.</w:t>
      </w:r>
    </w:p>
    <w:p>
      <w:pPr>
        <w:pStyle w:val="Heading1"/>
      </w:pPr>
      <w:r>
        <w:t>20. Controlled register baseline</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Metric</w:t>
            </w:r>
          </w:p>
        </w:tc>
        <w:tc>
          <w:tcPr>
            <w:tcW w:type="dxa" w:w="5083"/>
            <w:vAlign w:val="center"/>
          </w:tcPr>
          <w:p>
            <w:r>
              <w:rPr>
                <w:b/>
              </w:rPr>
              <w:t>Rev A verified value</w:t>
            </w:r>
          </w:p>
        </w:tc>
      </w:tr>
      <w:tr>
        <w:tc>
          <w:tcPr>
            <w:tcW w:type="dxa" w:w="5083"/>
            <w:vAlign w:val="top"/>
          </w:tcPr>
          <w:p>
            <w:r>
              <w:rPr>
                <w:sz w:val="15"/>
              </w:rPr>
              <w:t>Assets</w:t>
            </w:r>
          </w:p>
        </w:tc>
        <w:tc>
          <w:tcPr>
            <w:tcW w:type="dxa" w:w="5083"/>
            <w:vAlign w:val="top"/>
          </w:tcPr>
          <w:p>
            <w:r>
              <w:rPr>
                <w:sz w:val="15"/>
              </w:rPr>
              <w:t>22,647</w:t>
            </w:r>
          </w:p>
        </w:tc>
      </w:tr>
      <w:tr>
        <w:tc>
          <w:tcPr>
            <w:tcW w:type="dxa" w:w="5083"/>
            <w:vAlign w:val="top"/>
          </w:tcPr>
          <w:p>
            <w:r>
              <w:rPr>
                <w:sz w:val="15"/>
              </w:rPr>
              <w:t>Unique Asset_ID</w:t>
            </w:r>
          </w:p>
        </w:tc>
        <w:tc>
          <w:tcPr>
            <w:tcW w:type="dxa" w:w="5083"/>
            <w:vAlign w:val="top"/>
          </w:tcPr>
          <w:p>
            <w:r>
              <w:rPr>
                <w:sz w:val="15"/>
              </w:rPr>
              <w:t>22,647</w:t>
            </w:r>
          </w:p>
        </w:tc>
      </w:tr>
      <w:tr>
        <w:tc>
          <w:tcPr>
            <w:tcW w:type="dxa" w:w="5083"/>
            <w:vAlign w:val="top"/>
          </w:tcPr>
          <w:p>
            <w:r>
              <w:rPr>
                <w:sz w:val="15"/>
              </w:rPr>
              <w:t>Permanent</w:t>
            </w:r>
          </w:p>
        </w:tc>
        <w:tc>
          <w:tcPr>
            <w:tcW w:type="dxa" w:w="5083"/>
            <w:vAlign w:val="top"/>
          </w:tcPr>
          <w:p>
            <w:r>
              <w:rPr>
                <w:sz w:val="15"/>
              </w:rPr>
              <w:t>20,436</w:t>
            </w:r>
          </w:p>
        </w:tc>
      </w:tr>
      <w:tr>
        <w:tc>
          <w:tcPr>
            <w:tcW w:type="dxa" w:w="5083"/>
            <w:vAlign w:val="top"/>
          </w:tcPr>
          <w:p>
            <w:r>
              <w:rPr>
                <w:sz w:val="15"/>
              </w:rPr>
              <w:t>Temporary</w:t>
            </w:r>
          </w:p>
        </w:tc>
        <w:tc>
          <w:tcPr>
            <w:tcW w:type="dxa" w:w="5083"/>
            <w:vAlign w:val="top"/>
          </w:tcPr>
          <w:p>
            <w:r>
              <w:rPr>
                <w:sz w:val="15"/>
              </w:rPr>
              <w:t>2,065</w:t>
            </w:r>
          </w:p>
        </w:tc>
      </w:tr>
      <w:tr>
        <w:tc>
          <w:tcPr>
            <w:tcW w:type="dxa" w:w="5083"/>
            <w:vAlign w:val="top"/>
          </w:tcPr>
          <w:p>
            <w:r>
              <w:rPr>
                <w:sz w:val="15"/>
              </w:rPr>
              <w:t>Temporary/Project Support</w:t>
            </w:r>
          </w:p>
        </w:tc>
        <w:tc>
          <w:tcPr>
            <w:tcW w:type="dxa" w:w="5083"/>
            <w:vAlign w:val="top"/>
          </w:tcPr>
          <w:p>
            <w:r>
              <w:rPr>
                <w:sz w:val="15"/>
              </w:rPr>
              <w:t>130</w:t>
            </w:r>
          </w:p>
        </w:tc>
      </w:tr>
      <w:tr>
        <w:tc>
          <w:tcPr>
            <w:tcW w:type="dxa" w:w="5083"/>
            <w:vAlign w:val="top"/>
          </w:tcPr>
          <w:p>
            <w:r>
              <w:rPr>
                <w:sz w:val="15"/>
              </w:rPr>
              <w:t>Temporary Project Tooling</w:t>
            </w:r>
          </w:p>
        </w:tc>
        <w:tc>
          <w:tcPr>
            <w:tcW w:type="dxa" w:w="5083"/>
            <w:vAlign w:val="top"/>
          </w:tcPr>
          <w:p>
            <w:r>
              <w:rPr>
                <w:sz w:val="15"/>
              </w:rPr>
              <w:t>16</w:t>
            </w:r>
          </w:p>
        </w:tc>
      </w:tr>
      <w:tr>
        <w:tc>
          <w:tcPr>
            <w:tcW w:type="dxa" w:w="5083"/>
            <w:vAlign w:val="top"/>
          </w:tcPr>
          <w:p>
            <w:r>
              <w:rPr>
                <w:sz w:val="15"/>
              </w:rPr>
              <w:t>Systems</w:t>
            </w:r>
          </w:p>
        </w:tc>
        <w:tc>
          <w:tcPr>
            <w:tcW w:type="dxa" w:w="5083"/>
            <w:vAlign w:val="top"/>
          </w:tcPr>
          <w:p>
            <w:r>
              <w:rPr>
                <w:sz w:val="15"/>
              </w:rPr>
              <w:t>94</w:t>
            </w:r>
          </w:p>
        </w:tc>
      </w:tr>
      <w:tr>
        <w:tc>
          <w:tcPr>
            <w:tcW w:type="dxa" w:w="5083"/>
            <w:vAlign w:val="top"/>
          </w:tcPr>
          <w:p>
            <w:r>
              <w:rPr>
                <w:sz w:val="15"/>
              </w:rPr>
              <w:t>Zones</w:t>
            </w:r>
          </w:p>
        </w:tc>
        <w:tc>
          <w:tcPr>
            <w:tcW w:type="dxa" w:w="5083"/>
            <w:vAlign w:val="top"/>
          </w:tcPr>
          <w:p>
            <w:r>
              <w:rPr>
                <w:sz w:val="15"/>
              </w:rPr>
              <w:t>30</w:t>
            </w:r>
          </w:p>
        </w:tc>
      </w:tr>
      <w:tr>
        <w:tc>
          <w:tcPr>
            <w:tcW w:type="dxa" w:w="5083"/>
            <w:vAlign w:val="top"/>
          </w:tcPr>
          <w:p>
            <w:r>
              <w:rPr>
                <w:sz w:val="15"/>
              </w:rPr>
              <w:t>Event records</w:t>
            </w:r>
          </w:p>
        </w:tc>
        <w:tc>
          <w:tcPr>
            <w:tcW w:type="dxa" w:w="5083"/>
            <w:vAlign w:val="top"/>
          </w:tcPr>
          <w:p>
            <w:r>
              <w:rPr>
                <w:sz w:val="15"/>
              </w:rPr>
              <w:t>130,534</w:t>
            </w:r>
          </w:p>
        </w:tc>
      </w:tr>
      <w:tr>
        <w:tc>
          <w:tcPr>
            <w:tcW w:type="dxa" w:w="5083"/>
            <w:vAlign w:val="top"/>
          </w:tcPr>
          <w:p>
            <w:r>
              <w:rPr>
                <w:sz w:val="15"/>
              </w:rPr>
              <w:t>Assets in event history</w:t>
            </w:r>
          </w:p>
        </w:tc>
        <w:tc>
          <w:tcPr>
            <w:tcW w:type="dxa" w:w="5083"/>
            <w:vAlign w:val="top"/>
          </w:tcPr>
          <w:p>
            <w:r>
              <w:rPr>
                <w:sz w:val="15"/>
              </w:rPr>
              <w:t>22,647</w:t>
            </w:r>
          </w:p>
        </w:tc>
      </w:tr>
      <w:tr>
        <w:tc>
          <w:tcPr>
            <w:tcW w:type="dxa" w:w="5083"/>
            <w:vAlign w:val="top"/>
          </w:tcPr>
          <w:p>
            <w:r>
              <w:rPr>
                <w:sz w:val="15"/>
              </w:rPr>
              <w:t>Event span</w:t>
            </w:r>
          </w:p>
        </w:tc>
        <w:tc>
          <w:tcPr>
            <w:tcW w:type="dxa" w:w="5083"/>
            <w:vAlign w:val="top"/>
          </w:tcPr>
          <w:p>
            <w:r>
              <w:rPr>
                <w:sz w:val="15"/>
              </w:rPr>
              <w:t>2025-05-15 to 2032-05-22</w:t>
            </w:r>
          </w:p>
        </w:tc>
      </w:tr>
    </w:tbl>
    <w:p>
      <w:pPr>
        <w:spacing w:after="40"/>
      </w:pPr>
    </w:p>
    <w:p>
      <w:pPr>
        <w:spacing w:after="80"/>
      </w:pPr>
      <w:r>
        <w:t>April 19 custody is predominantly OPG: 18,370 assets explicitly show OPG custody, with additional OPG Commissioning, Security, RP, Operations/Commissioning, Chemistry and other OPG categories. Mixed/demobilized/site-service categories capture temporary and transitional equipment.</w:t>
      </w:r>
    </w:p>
    <w:p>
      <w:pPr>
        <w:pStyle w:val="Heading1"/>
      </w:pPr>
      <w:r>
        <w:t>21. Register QA - discovered defects and scope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r>
              <w:rPr>
                <w:b/>
              </w:rPr>
              <w:t>Check</w:t>
            </w:r>
          </w:p>
        </w:tc>
        <w:tc>
          <w:tcPr>
            <w:tcW w:type="dxa" w:w="3389"/>
            <w:vAlign w:val="center"/>
          </w:tcPr>
          <w:p>
            <w:r>
              <w:rPr>
                <w:b/>
              </w:rPr>
              <w:t>Result</w:t>
            </w:r>
          </w:p>
        </w:tc>
        <w:tc>
          <w:tcPr>
            <w:tcW w:type="dxa" w:w="3389"/>
            <w:vAlign w:val="center"/>
          </w:tcPr>
          <w:p>
            <w:r>
              <w:rPr>
                <w:b/>
              </w:rPr>
              <w:t>Disposition</w:t>
            </w:r>
          </w:p>
        </w:tc>
      </w:tr>
      <w:tr>
        <w:tc>
          <w:tcPr>
            <w:tcW w:type="dxa" w:w="3389"/>
            <w:vAlign w:val="top"/>
          </w:tcPr>
          <w:p>
            <w:r>
              <w:rPr>
                <w:sz w:val="15"/>
              </w:rPr>
              <w:t>Duplicate Asset_ID</w:t>
            </w:r>
          </w:p>
        </w:tc>
        <w:tc>
          <w:tcPr>
            <w:tcW w:type="dxa" w:w="3389"/>
            <w:vAlign w:val="top"/>
          </w:tcPr>
          <w:p>
            <w:r>
              <w:rPr>
                <w:sz w:val="15"/>
              </w:rPr>
              <w:t>0</w:t>
            </w:r>
          </w:p>
        </w:tc>
        <w:tc>
          <w:tcPr>
            <w:tcW w:type="dxa" w:w="3389"/>
            <w:vAlign w:val="top"/>
          </w:tcPr>
          <w:p>
            <w:r>
              <w:rPr>
                <w:sz w:val="15"/>
              </w:rPr>
              <w:t>PASS</w:t>
            </w:r>
          </w:p>
        </w:tc>
      </w:tr>
      <w:tr>
        <w:tc>
          <w:tcPr>
            <w:tcW w:type="dxa" w:w="3389"/>
            <w:vAlign w:val="top"/>
          </w:tcPr>
          <w:p>
            <w:r>
              <w:rPr>
                <w:sz w:val="15"/>
              </w:rPr>
              <w:t>Orphan event Asset_ID</w:t>
            </w:r>
          </w:p>
        </w:tc>
        <w:tc>
          <w:tcPr>
            <w:tcW w:type="dxa" w:w="3389"/>
            <w:vAlign w:val="top"/>
          </w:tcPr>
          <w:p>
            <w:r>
              <w:rPr>
                <w:sz w:val="15"/>
              </w:rPr>
              <w:t>0</w:t>
            </w:r>
          </w:p>
        </w:tc>
        <w:tc>
          <w:tcPr>
            <w:tcW w:type="dxa" w:w="3389"/>
            <w:vAlign w:val="top"/>
          </w:tcPr>
          <w:p>
            <w:r>
              <w:rPr>
                <w:sz w:val="15"/>
              </w:rPr>
              <w:t>PASS</w:t>
            </w:r>
          </w:p>
        </w:tc>
      </w:tr>
      <w:tr>
        <w:tc>
          <w:tcPr>
            <w:tcW w:type="dxa" w:w="3389"/>
            <w:vAlign w:val="top"/>
          </w:tcPr>
          <w:p>
            <w:r>
              <w:rPr>
                <w:sz w:val="15"/>
              </w:rPr>
              <w:t>Assets lacking event history</w:t>
            </w:r>
          </w:p>
        </w:tc>
        <w:tc>
          <w:tcPr>
            <w:tcW w:type="dxa" w:w="3389"/>
            <w:vAlign w:val="top"/>
          </w:tcPr>
          <w:p>
            <w:r>
              <w:rPr>
                <w:sz w:val="15"/>
              </w:rPr>
              <w:t>0</w:t>
            </w:r>
          </w:p>
        </w:tc>
        <w:tc>
          <w:tcPr>
            <w:tcW w:type="dxa" w:w="3389"/>
            <w:vAlign w:val="top"/>
          </w:tcPr>
          <w:p>
            <w:r>
              <w:rPr>
                <w:sz w:val="15"/>
              </w:rPr>
              <w:t>PASS</w:t>
            </w:r>
          </w:p>
        </w:tc>
      </w:tr>
      <w:tr>
        <w:tc>
          <w:tcPr>
            <w:tcW w:type="dxa" w:w="3389"/>
            <w:vAlign w:val="top"/>
          </w:tcPr>
          <w:p>
            <w:r>
              <w:rPr>
                <w:sz w:val="15"/>
              </w:rPr>
              <w:t>Complete duplicate event rows</w:t>
            </w:r>
          </w:p>
        </w:tc>
        <w:tc>
          <w:tcPr>
            <w:tcW w:type="dxa" w:w="3389"/>
            <w:vAlign w:val="top"/>
          </w:tcPr>
          <w:p>
            <w:r>
              <w:rPr>
                <w:sz w:val="15"/>
              </w:rPr>
              <w:t>0</w:t>
            </w:r>
          </w:p>
        </w:tc>
        <w:tc>
          <w:tcPr>
            <w:tcW w:type="dxa" w:w="3389"/>
            <w:vAlign w:val="top"/>
          </w:tcPr>
          <w:p>
            <w:r>
              <w:rPr>
                <w:sz w:val="15"/>
              </w:rPr>
              <w:t>PASS</w:t>
            </w:r>
          </w:p>
        </w:tc>
      </w:tr>
      <w:tr>
        <w:tc>
          <w:tcPr>
            <w:tcW w:type="dxa" w:w="3389"/>
            <w:vAlign w:val="top"/>
          </w:tcPr>
          <w:p>
            <w:r>
              <w:rPr>
                <w:sz w:val="15"/>
              </w:rPr>
              <w:t>Installation_Start &lt; Site_Arrival</w:t>
            </w:r>
          </w:p>
        </w:tc>
        <w:tc>
          <w:tcPr>
            <w:tcW w:type="dxa" w:w="3389"/>
            <w:vAlign w:val="top"/>
          </w:tcPr>
          <w:p>
            <w:r>
              <w:rPr>
                <w:sz w:val="15"/>
              </w:rPr>
              <w:t>802</w:t>
            </w:r>
          </w:p>
        </w:tc>
        <w:tc>
          <w:tcPr>
            <w:tcW w:type="dxa" w:w="3389"/>
            <w:vAlign w:val="top"/>
          </w:tcPr>
          <w:p>
            <w:r>
              <w:rPr>
                <w:sz w:val="15"/>
              </w:rPr>
              <w:t>P0 - quarantine affected date fields</w:t>
            </w:r>
          </w:p>
        </w:tc>
      </w:tr>
      <w:tr>
        <w:tc>
          <w:tcPr>
            <w:tcW w:type="dxa" w:w="3389"/>
            <w:vAlign w:val="top"/>
          </w:tcPr>
          <w:p>
            <w:r>
              <w:rPr>
                <w:sz w:val="15"/>
              </w:rPr>
              <w:t>Turnover &lt; Mechanical_Completion</w:t>
            </w:r>
          </w:p>
        </w:tc>
        <w:tc>
          <w:tcPr>
            <w:tcW w:type="dxa" w:w="3389"/>
            <w:vAlign w:val="top"/>
          </w:tcPr>
          <w:p>
            <w:r>
              <w:rPr>
                <w:sz w:val="15"/>
              </w:rPr>
              <w:t>1,294</w:t>
            </w:r>
          </w:p>
        </w:tc>
        <w:tc>
          <w:tcPr>
            <w:tcW w:type="dxa" w:w="3389"/>
            <w:vAlign w:val="top"/>
          </w:tcPr>
          <w:p>
            <w:r>
              <w:rPr>
                <w:sz w:val="15"/>
              </w:rPr>
              <w:t>P0 - quarantine affected date fields</w:t>
            </w:r>
          </w:p>
        </w:tc>
      </w:tr>
      <w:tr>
        <w:tc>
          <w:tcPr>
            <w:tcW w:type="dxa" w:w="3389"/>
            <w:vAlign w:val="top"/>
          </w:tcPr>
          <w:p>
            <w:r>
              <w:rPr>
                <w:sz w:val="15"/>
              </w:rPr>
              <w:t>Commissioning_Start &lt; Turnover</w:t>
            </w:r>
          </w:p>
        </w:tc>
        <w:tc>
          <w:tcPr>
            <w:tcW w:type="dxa" w:w="3389"/>
            <w:vAlign w:val="top"/>
          </w:tcPr>
          <w:p>
            <w:r>
              <w:rPr>
                <w:sz w:val="15"/>
              </w:rPr>
              <w:t>0</w:t>
            </w:r>
          </w:p>
        </w:tc>
        <w:tc>
          <w:tcPr>
            <w:tcW w:type="dxa" w:w="3389"/>
            <w:vAlign w:val="top"/>
          </w:tcPr>
          <w:p>
            <w:r>
              <w:rPr>
                <w:sz w:val="15"/>
              </w:rPr>
              <w:t>PASS</w:t>
            </w:r>
          </w:p>
        </w:tc>
      </w:tr>
    </w:tbl>
    <w:p>
      <w:pPr>
        <w:spacing w:after="40"/>
      </w:pPr>
    </w:p>
    <w:p>
      <w:pPr>
        <w:spacing w:after="80"/>
      </w:pPr>
      <w:r>
        <w:t>The first defect is concentrated in UTL (328), DRN (282) and CWS (192), especially Tagged Field Instruments. The second is concentrated in DRN (522), FPR (444) and UTL (328), especially Tagged Field Instruments and Tagged Valves. The patterned concentration strongly indicates generation-rule or field-semantics defects rather than random corruption.</w:t>
      </w:r>
    </w:p>
    <w:p>
      <w:pPr>
        <w:spacing w:after="80"/>
      </w:pPr>
      <w:r>
        <w:t>Until fixed, affected lifecycle dates are not admissible as scene-level forensic evidence. Asset identity, classification, custody/status, event referential integrity and unaffected chronology remain usable.</w:t>
      </w:r>
    </w:p>
    <w:p>
      <w:pPr>
        <w:pStyle w:val="Heading1"/>
      </w:pPr>
      <w:r>
        <w:t>22. Verification study - Canadian licensing, turnover and constructor law</w:t>
      </w:r>
    </w:p>
    <w:p>
      <w:pPr>
        <w:spacing w:after="80"/>
      </w:pPr>
      <w:r>
        <w:t>VERIFIED STRONGLY. CNSC REGDOC-2.3.1 requires the licensee to retain primary safety responsibility; establish turnover processes; jointly check SSCs, work areas and configuration information; document deficiencies and boundaries; control tagging/access; and authorize previous parties before they return to transferred work. It also requires clear commissioning interfaces between design, construction, commissioning and operations. This closely supports OFG's mixed-custody and post-turnover re-entry model.</w:t>
      </w:r>
    </w:p>
    <w:p>
      <w:pPr>
        <w:spacing w:after="80"/>
      </w:pPr>
      <w:r>
        <w:t>DNNP provides a strong Canadian schedule analogue: OPG applied for its construction licence in October 2022; the Commission issued it in April 2025; the licence contains regulatory hold points; OPG applied for the operating licence in March 2026. OFG's multi-year parallel licensing programme is therefore institutionally credible, though the future fusion-specific licence basis remains fictional.</w:t>
      </w:r>
    </w:p>
    <w:p>
      <w:pPr>
        <w:spacing w:after="80"/>
      </w:pPr>
      <w:r>
        <w:t>Ontario's constructor guidance also supports the fictional need for one party with overall project H&amp;S control. An owner can contract a third party to act as constructor if genuine control is transferred. The precise OFG direct agreement is fictional, but the legal architecture is plausible.</w:t>
      </w:r>
    </w:p>
    <w:p>
      <w:pPr>
        <w:pStyle w:val="Heading1"/>
      </w:pPr>
      <w:r>
        <w:t>23. Verification study - fusion assembly and commissioning</w:t>
      </w:r>
    </w:p>
    <w:p>
      <w:pPr>
        <w:spacing w:after="80"/>
      </w:pPr>
      <w:r>
        <w:t>VERIFIED STRONGLY. ITER demonstrates purpose-built heavy assembly tooling, sector-module subassembly, low-millimetre alignment of building-scale components, extensive metrology, controlled critical lifts, and a sequence in which vacuum-vessel sectors, thermal shielding and TF coils are combined before pit installation. ITER also demonstrates that as-built geometry becomes the datum for later assembly.</w:t>
      </w:r>
    </w:p>
    <w:p>
      <w:pPr>
        <w:spacing w:after="80"/>
      </w:pPr>
      <w:r>
        <w:t>ITER commissioning guidance explicitly describes small, gradual steps: commission individual systems, then integrate them. Its published sequence brings electrical, controls, utilities, cooling, cryoplant, heating, vacuum, fuelling and coil power into service progressively. Current ITER magnet/power/cryogenics work also emphasizes first energization, cooldown/warmup, insulation, earthing and quench-protection testing. OFG's staged magnet campaign is therefore well grounded.</w:t>
      </w:r>
    </w:p>
    <w:p>
      <w:pPr>
        <w:pStyle w:val="Heading1"/>
      </w:pPr>
      <w:r>
        <w:t>24. Verification study - vacuum, disruption mitigation and remote maintenance</w:t>
      </w:r>
    </w:p>
    <w:p>
      <w:pPr>
        <w:spacing w:after="80"/>
      </w:pPr>
      <w:r>
        <w:t>VERIFIED STRONGLY. ITER's vacuum system uses six torus exhaust pumps, four NBI cryopumps, two cryostat cryopumps, at least 300 mechanical pumps and roughly 10 km of vacuum lines. This supports OFG's treatment of vacuum as a plant-wide industrial system rather than a single machine pump.</w:t>
      </w:r>
    </w:p>
    <w:p>
      <w:pPr>
        <w:spacing w:after="80"/>
      </w:pPr>
      <w:r>
        <w:t>ITER's disruption mitigation baseline uses shattered-pellet injection and acts on millisecond timescales. OFG's DMS lineage is credible.</w:t>
      </w:r>
    </w:p>
    <w:p>
      <w:pPr>
        <w:spacing w:after="80"/>
      </w:pPr>
      <w:r>
        <w:t>ITER has distinct blanket, divertor, neutral-beam and cask/plug remote-handling systems plus Hot Cell remote maintenance. OFG's hot-cell / remote-handling architecture is therefore a strong extrapolation for a commercial plant.</w:t>
      </w:r>
    </w:p>
    <w:p>
      <w:pPr>
        <w:pStyle w:val="Heading1"/>
      </w:pPr>
      <w:r>
        <w:t>25. Verification study - systems integration and late-project risk</w:t>
      </w:r>
    </w:p>
    <w:p>
      <w:pPr>
        <w:spacing w:after="80"/>
      </w:pPr>
      <w:r>
        <w:t>VERIFIED STRONGLY. Crossrail's published lessons state that systems integration must be managed from early design through installation, testing and handover; poor integration creates especially expensive late-stage problems. This supports the decision that E&amp;C Systems Integration exists from early project definition and that Monica arrives into a late-stage integration problem rather than a conventional construction problem.</w:t>
      </w:r>
    </w:p>
    <w:p>
      <w:pPr>
        <w:spacing w:after="80"/>
      </w:pPr>
      <w:r>
        <w:t>ITER's own assembly history also validates the distinction between installed and accepted. Nonconformities can force reversal/rework even after dramatic physical progress, while later repetitions improve through learning. OFG therefore must keep installed, inspected, NCR-closed, mechanically complete, turned over, functionally tested and accepted as distinct states.</w:t>
      </w:r>
    </w:p>
    <w:p>
      <w:pPr>
        <w:pStyle w:val="Heading1"/>
      </w:pPr>
      <w:r>
        <w:t>26. Verification study - accident causation case studies</w:t>
      </w:r>
    </w:p>
    <w:p>
      <w:pPr>
        <w:spacing w:after="80"/>
      </w:pPr>
      <w:r>
        <w:t>CHALLENGER. The Rogers Commission found that repeated O-ring erosion and blow-by became accepted rather than eliminated; past success was treated as evidence that risk was tolerable. The transferable lesson is not the hardware mechanism but the organizational pattern: recurring abnormal evidence can become normalized.</w:t>
      </w:r>
    </w:p>
    <w:p>
      <w:pPr>
        <w:spacing w:after="80"/>
      </w:pPr>
      <w:r>
        <w:t>COLUMBIA. The CAIB identified schedule pressure, reliance on past success, communication barriers, lack of integrated management and informal decision paths among the organizational causes. This is directly relevant to OFG's 'date versus state' architecture, provided the novel avoids copying Columbia's facts and instead reproduces the structural failure modes through its own engineering evidence.</w:t>
      </w:r>
    </w:p>
    <w:p>
      <w:pPr>
        <w:spacing w:after="80"/>
      </w:pPr>
      <w:r>
        <w:t>OCEAN RANGER. The Canadian Royal Commission provides the right tonal and institutional analogue for the later catastrophe: a technically complex offshore disaster becomes a national inquiry into equipment, training, emergency response, regulation and organizational responsibility. OFG should borrow the investigative depth and multi-layer causation, not the physical accident mechanism.</w:t>
      </w:r>
    </w:p>
    <w:p>
      <w:pPr>
        <w:spacing w:after="80"/>
      </w:pPr>
      <w:r>
        <w:t>VOGTLE/AP1000. NRC construction experience shows that apparently mundane reinforcement/anchorage and quality-record issues can trigger replacement/rework and that early field inspection matters. This supports the narrative importance of support geometry, QC records and configuration evidence without making the April 12 event itself nuclear-safety-significant.</w:t>
      </w:r>
    </w:p>
    <w:p>
      <w:pPr>
        <w:pStyle w:val="Heading1"/>
      </w:pPr>
      <w:r>
        <w:t>27. Gap-filling decisions - now resolved</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r>
              <w:rPr>
                <w:b/>
              </w:rPr>
              <w:t>Gap</w:t>
            </w:r>
          </w:p>
        </w:tc>
        <w:tc>
          <w:tcPr>
            <w:tcW w:type="dxa" w:w="3389"/>
            <w:vAlign w:val="center"/>
          </w:tcPr>
          <w:p>
            <w:r>
              <w:rPr>
                <w:b/>
              </w:rPr>
              <w:t>Status</w:t>
            </w:r>
          </w:p>
        </w:tc>
        <w:tc>
          <w:tcPr>
            <w:tcW w:type="dxa" w:w="3389"/>
            <w:vAlign w:val="center"/>
          </w:tcPr>
          <w:p>
            <w:r>
              <w:rPr>
                <w:b/>
              </w:rPr>
              <w:t>Backlog closeout</w:t>
            </w:r>
          </w:p>
        </w:tc>
      </w:tr>
      <w:tr>
        <w:tc>
          <w:tcPr>
            <w:tcW w:type="dxa" w:w="3389"/>
            <w:vAlign w:val="top"/>
          </w:tcPr>
          <w:p>
            <w:r>
              <w:rPr>
                <w:sz w:val="15"/>
              </w:rPr>
              <w:t>Site population</w:t>
            </w:r>
          </w:p>
        </w:tc>
        <w:tc>
          <w:tcPr>
            <w:tcW w:type="dxa" w:w="3389"/>
            <w:vAlign w:val="top"/>
          </w:tcPr>
          <w:p>
            <w:r>
              <w:rPr>
                <w:sz w:val="15"/>
              </w:rPr>
              <w:t>RESOLVED</w:t>
            </w:r>
          </w:p>
        </w:tc>
        <w:tc>
          <w:tcPr>
            <w:tcW w:type="dxa" w:w="3389"/>
            <w:vAlign w:val="top"/>
          </w:tcPr>
          <w:p>
            <w:r>
              <w:rPr>
                <w:sz w:val="15"/>
              </w:rPr>
              <w:t>~850 normal weekday; ~500-600 Saturday; old ~680 reclassified as execution/project-support subtotal.</w:t>
            </w:r>
          </w:p>
        </w:tc>
      </w:tr>
      <w:tr>
        <w:tc>
          <w:tcPr>
            <w:tcW w:type="dxa" w:w="3389"/>
            <w:vAlign w:val="top"/>
          </w:tcPr>
          <w:p>
            <w:r>
              <w:rPr>
                <w:sz w:val="15"/>
              </w:rPr>
              <w:t>Construction/commissioning authority</w:t>
            </w:r>
          </w:p>
        </w:tc>
        <w:tc>
          <w:tcPr>
            <w:tcW w:type="dxa" w:w="3389"/>
            <w:vAlign w:val="top"/>
          </w:tcPr>
          <w:p>
            <w:r>
              <w:rPr>
                <w:sz w:val="15"/>
              </w:rPr>
              <w:t>RESOLVED</w:t>
            </w:r>
          </w:p>
        </w:tc>
        <w:tc>
          <w:tcPr>
            <w:tcW w:type="dxa" w:w="3389"/>
            <w:vAlign w:val="top"/>
          </w:tcPr>
          <w:p>
            <w:r>
              <w:rPr>
                <w:sz w:val="15"/>
              </w:rPr>
              <w:t>Mixed boundary model with OPG control of transferred plant and constructor control of active construction areas under authorization.</w:t>
            </w:r>
          </w:p>
        </w:tc>
      </w:tr>
      <w:tr>
        <w:tc>
          <w:tcPr>
            <w:tcW w:type="dxa" w:w="3389"/>
            <w:vAlign w:val="top"/>
          </w:tcPr>
          <w:p>
            <w:r>
              <w:rPr>
                <w:sz w:val="15"/>
              </w:rPr>
              <w:t>Near-miss hardware</w:t>
            </w:r>
          </w:p>
        </w:tc>
        <w:tc>
          <w:tcPr>
            <w:tcW w:type="dxa" w:w="3389"/>
            <w:vAlign w:val="top"/>
          </w:tcPr>
          <w:p>
            <w:r>
              <w:rPr>
                <w:sz w:val="15"/>
              </w:rPr>
              <w:t>RESOLVED</w:t>
            </w:r>
          </w:p>
        </w:tc>
        <w:tc>
          <w:tcPr>
            <w:tcW w:type="dxa" w:w="3389"/>
            <w:vAlign w:val="top"/>
          </w:tcPr>
          <w:p>
            <w:r>
              <w:rPr>
                <w:sz w:val="15"/>
              </w:rPr>
              <w:t>Temporary BHT commissioning recirculation skid TMP-BHT-401-CRS-01 and restraint CRS01-RST-L2.</w:t>
            </w:r>
          </w:p>
        </w:tc>
      </w:tr>
      <w:tr>
        <w:tc>
          <w:tcPr>
            <w:tcW w:type="dxa" w:w="3389"/>
            <w:vAlign w:val="top"/>
          </w:tcPr>
          <w:p>
            <w:r>
              <w:rPr>
                <w:sz w:val="15"/>
              </w:rPr>
              <w:t>Near-miss documentary hook</w:t>
            </w:r>
          </w:p>
        </w:tc>
        <w:tc>
          <w:tcPr>
            <w:tcW w:type="dxa" w:w="3389"/>
            <w:vAlign w:val="top"/>
          </w:tcPr>
          <w:p>
            <w:r>
              <w:rPr>
                <w:sz w:val="15"/>
              </w:rPr>
              <w:t>RESOLVED</w:t>
            </w:r>
          </w:p>
        </w:tc>
        <w:tc>
          <w:tcPr>
            <w:tcW w:type="dxa" w:w="3389"/>
            <w:vAlign w:val="top"/>
          </w:tcPr>
          <w:p>
            <w:r>
              <w:rPr>
                <w:sz w:val="15"/>
              </w:rPr>
              <w:t>M-88217 CLOSED/APPROVED but expected execution evidence absent.</w:t>
            </w:r>
          </w:p>
        </w:tc>
      </w:tr>
      <w:tr>
        <w:tc>
          <w:tcPr>
            <w:tcW w:type="dxa" w:w="3389"/>
            <w:vAlign w:val="top"/>
          </w:tcPr>
          <w:p>
            <w:r>
              <w:rPr>
                <w:sz w:val="15"/>
              </w:rPr>
              <w:t>Machine assembly logistics</w:t>
            </w:r>
          </w:p>
        </w:tc>
        <w:tc>
          <w:tcPr>
            <w:tcW w:type="dxa" w:w="3389"/>
            <w:vAlign w:val="top"/>
          </w:tcPr>
          <w:p>
            <w:r>
              <w:rPr>
                <w:sz w:val="15"/>
              </w:rPr>
              <w:t>RESOLVED</w:t>
            </w:r>
          </w:p>
        </w:tc>
        <w:tc>
          <w:tcPr>
            <w:tcW w:type="dxa" w:w="3389"/>
            <w:vAlign w:val="top"/>
          </w:tcPr>
          <w:p>
            <w:r>
              <w:rPr>
                <w:sz w:val="15"/>
              </w:rPr>
              <w:t>Seaway-aware stockpiling; 16 HFRP sector structures; four assembly fixtures; commercialized repeat-production logic.</w:t>
            </w:r>
          </w:p>
        </w:tc>
      </w:tr>
      <w:tr>
        <w:tc>
          <w:tcPr>
            <w:tcW w:type="dxa" w:w="3389"/>
            <w:vAlign w:val="top"/>
          </w:tcPr>
          <w:p>
            <w:r>
              <w:rPr>
                <w:sz w:val="15"/>
              </w:rPr>
              <w:t>First-Plasma schedule pressure</w:t>
            </w:r>
          </w:p>
        </w:tc>
        <w:tc>
          <w:tcPr>
            <w:tcW w:type="dxa" w:w="3389"/>
            <w:vAlign w:val="top"/>
          </w:tcPr>
          <w:p>
            <w:r>
              <w:rPr>
                <w:sz w:val="15"/>
              </w:rPr>
              <w:t>RESOLVED</w:t>
            </w:r>
          </w:p>
        </w:tc>
        <w:tc>
          <w:tcPr>
            <w:tcW w:type="dxa" w:w="3389"/>
            <w:vAlign w:val="top"/>
          </w:tcPr>
          <w:p>
            <w:r>
              <w:rPr>
                <w:sz w:val="15"/>
              </w:rPr>
              <w:t>30 June 2031 is both current baseline and outside edge of public H1 commitment.</w:t>
            </w:r>
          </w:p>
        </w:tc>
      </w:tr>
      <w:tr>
        <w:tc>
          <w:tcPr>
            <w:tcW w:type="dxa" w:w="3389"/>
            <w:vAlign w:val="top"/>
          </w:tcPr>
          <w:p>
            <w:r>
              <w:rPr>
                <w:sz w:val="15"/>
              </w:rPr>
              <w:t>Finance linkage</w:t>
            </w:r>
          </w:p>
        </w:tc>
        <w:tc>
          <w:tcPr>
            <w:tcW w:type="dxa" w:w="3389"/>
            <w:vAlign w:val="top"/>
          </w:tcPr>
          <w:p>
            <w:r>
              <w:rPr>
                <w:sz w:val="15"/>
              </w:rPr>
              <w:t>RESOLVED</w:t>
            </w:r>
          </w:p>
        </w:tc>
        <w:tc>
          <w:tcPr>
            <w:tcW w:type="dxa" w:w="3389"/>
            <w:vAlign w:val="top"/>
          </w:tcPr>
          <w:p>
            <w:r>
              <w:rPr>
                <w:sz w:val="15"/>
              </w:rPr>
              <w:t>Aurora completion financing ties schedule uncertainty to liquidity/conditions precedent without turning financiers into technical decision-makers.</w:t>
            </w:r>
          </w:p>
        </w:tc>
      </w:tr>
      <w:tr>
        <w:tc>
          <w:tcPr>
            <w:tcW w:type="dxa" w:w="3389"/>
            <w:vAlign w:val="top"/>
          </w:tcPr>
          <w:p>
            <w:r>
              <w:rPr>
                <w:sz w:val="15"/>
              </w:rPr>
              <w:t>Systems integration role</w:t>
            </w:r>
          </w:p>
        </w:tc>
        <w:tc>
          <w:tcPr>
            <w:tcW w:type="dxa" w:w="3389"/>
            <w:vAlign w:val="top"/>
          </w:tcPr>
          <w:p>
            <w:r>
              <w:rPr>
                <w:sz w:val="15"/>
              </w:rPr>
              <w:t>RESOLVED</w:t>
            </w:r>
          </w:p>
        </w:tc>
        <w:tc>
          <w:tcPr>
            <w:tcW w:type="dxa" w:w="3389"/>
            <w:vAlign w:val="top"/>
          </w:tcPr>
          <w:p>
            <w:r>
              <w:rPr>
                <w:sz w:val="15"/>
              </w:rPr>
              <w:t>Exists from early design and becomes dominant late, consistent with megaproject precedent.</w:t>
            </w:r>
          </w:p>
        </w:tc>
      </w:tr>
    </w:tbl>
    <w:p>
      <w:pPr>
        <w:spacing w:after="40"/>
      </w:pPr>
    </w:p>
    <w:p>
      <w:pPr>
        <w:pStyle w:val="Heading1"/>
      </w:pPr>
      <w:r>
        <w:t>28. Open canon - deliberately not closed</w:t>
      </w:r>
    </w:p>
    <w:p>
      <w:pPr>
        <w:pStyle w:val="ListBullet"/>
        <w:spacing w:after="40"/>
      </w:pPr>
      <w:r>
        <w:t>Exact OFG net electrical output and final commercial heat balance.</w:t>
      </w:r>
    </w:p>
    <w:p>
      <w:pPr>
        <w:pStyle w:val="ListBullet"/>
        <w:spacing w:after="40"/>
      </w:pPr>
      <w:r>
        <w:t>Detailed Q-DEMO operating history that proves commercial steady-state availability, recirculating-power improvement, tritium breeding/self-sufficiency and maintainability.</w:t>
      </w:r>
    </w:p>
    <w:p>
      <w:pPr>
        <w:pStyle w:val="ListBullet"/>
        <w:spacing w:after="40"/>
      </w:pPr>
      <w:r>
        <w:t>Exact later mass-casualty accident mechanism, date and initiating sequence.</w:t>
      </w:r>
    </w:p>
    <w:p>
      <w:pPr>
        <w:pStyle w:val="ListBullet"/>
        <w:spacing w:after="40"/>
      </w:pPr>
      <w:r>
        <w:t>Final disposition of M-88217 and whether the missing evidence reflects administrative loss, scope mismatch, unauthorized work, configuration failure, falsification or multiple mechanisms.</w:t>
      </w:r>
    </w:p>
    <w:p>
      <w:pPr>
        <w:pStyle w:val="ListBullet"/>
        <w:spacing w:after="40"/>
      </w:pPr>
      <w:r>
        <w:t>Exact post-accident schedule and commercial-operation outcome.</w:t>
      </w:r>
    </w:p>
    <w:p>
      <w:pPr>
        <w:pStyle w:val="ListBullet"/>
        <w:spacing w:after="40"/>
      </w:pPr>
      <w:r>
        <w:t>Chapter-specific weather and minor scene details that should be fixed only when the chapter requires them.</w:t>
      </w:r>
    </w:p>
    <w:p>
      <w:pPr>
        <w:pStyle w:val="Heading1"/>
      </w:pPr>
      <w:r>
        <w:t>29. Completed backlog: equipment-history resolution standard</w:t>
      </w:r>
    </w:p>
    <w:p>
      <w:pPr>
        <w:spacing w:after="80"/>
      </w:pPr>
      <w:r>
        <w:t>Backlog 1 is closed at the worldbuilding level. Future technical scenes should no longer invent hardware ad hoc. The normal resolution is: building -&gt; room/area -&gt; system -&gt; train -&gt; equipment tag -&gt; component -&gt; custody state -&gt; energy state -&gt; applicable work package/document chain.</w:t>
      </w:r>
    </w:p>
    <w:p>
      <w:pPr>
        <w:spacing w:after="80"/>
      </w:pPr>
      <w:r>
        <w:t>For every plot-relevant device, the backbone expects factory origin, shipment, site receipt, storage/preservation, installation, inspection, mechanical completion, turnover, commissioning, temporary modifications, maintenance and current custody. The supplied asset/event registers now provide the machine-readable foundation for this rule.</w:t>
      </w:r>
    </w:p>
    <w:p>
      <w:pPr>
        <w:pStyle w:val="Heading1"/>
      </w:pPr>
      <w:r>
        <w:t>30. Completed backlog: forensic information architecture</w:t>
      </w:r>
    </w:p>
    <w:p>
      <w:pPr>
        <w:spacing w:after="80"/>
      </w:pPr>
      <w:r>
        <w:t>The investigation can plausibly reconstruct events because information exists in distributed systems even when no individual understands the whole chain in real time. Relevant systems include the CWP/IWP registers, permit-to-work, commissioning work authorizations, equipment master, material receipts, inspection/NCR/RFI/TQ registers, temporary works/modification registers, punch/turnover databases, maintenance work orders, test database and shift logs.</w:t>
      </w:r>
    </w:p>
    <w:p>
      <w:pPr>
        <w:spacing w:after="80"/>
      </w:pPr>
      <w:r>
        <w:t>This architecture is central to the thriller: the conspiracy/deeper cause should emerge from relationships among ordinary records rather than from a single secret master document.</w:t>
      </w:r>
    </w:p>
    <w:p>
      <w:pPr>
        <w:pStyle w:val="Heading1"/>
      </w:pPr>
      <w:r>
        <w:t>31. Completed backlog: chapter-use guardrails</w:t>
      </w:r>
    </w:p>
    <w:p>
      <w:pPr>
        <w:pStyle w:val="ListBullet"/>
        <w:spacing w:after="40"/>
      </w:pPr>
      <w:r>
        <w:t>Do not reveal Yuji's full upbringing, prior employers, R&amp;D history, construction experience, language history or career path in early Chapter 1 exposition.</w:t>
      </w:r>
    </w:p>
    <w:p>
      <w:pPr>
        <w:pStyle w:val="ListBullet"/>
        <w:spacing w:after="40"/>
      </w:pPr>
      <w:r>
        <w:t>Monica's early knowledge of Yuji is limited to what she can observe or legitimately receive through role-relevant channels.</w:t>
      </w:r>
    </w:p>
    <w:p>
      <w:pPr>
        <w:pStyle w:val="ListBullet"/>
        <w:spacing w:after="40"/>
      </w:pPr>
      <w:r>
        <w:t>Yuji has high site responsibility but low corporate rank; never let him casually command OPG, Bechtel or major subcontractors.</w:t>
      </w:r>
    </w:p>
    <w:p>
      <w:pPr>
        <w:pStyle w:val="ListBullet"/>
        <w:spacing w:after="40"/>
      </w:pPr>
      <w:r>
        <w:t>Dialogue should sound contemporary and professionally specific, not like polished screenplay banter.</w:t>
      </w:r>
    </w:p>
    <w:p>
      <w:pPr>
        <w:pStyle w:val="ListBullet"/>
        <w:spacing w:after="40"/>
      </w:pPr>
      <w:r>
        <w:t>Japanese government scenes must preserve institutional primacy and bureaucratic function; colloquial bureaucratic slang belongs in spoken dialogue only.</w:t>
      </w:r>
    </w:p>
    <w:p>
      <w:pPr>
        <w:pStyle w:val="ListBullet"/>
        <w:spacing w:after="40"/>
      </w:pPr>
      <w:r>
        <w:t>Finance scenes should stay several abstraction layers above engineering unless an exception becomes materially relevant.</w:t>
      </w:r>
    </w:p>
    <w:p>
      <w:pPr>
        <w:pStyle w:val="ListBullet"/>
        <w:spacing w:after="40"/>
      </w:pPr>
      <w:r>
        <w:t>Physical completion percentages must never substitute for readiness; use state, custody, verification and open-item language.</w:t>
      </w:r>
    </w:p>
    <w:p>
      <w:pPr>
        <w:pStyle w:val="Heading1"/>
      </w:pPr>
      <w:r>
        <w:t>32. Canonical field-log baseline for 19 April 2031</w:t>
      </w:r>
    </w:p>
    <w:p>
      <w:pPr>
        <w:pStyle w:val="ListBullet"/>
        <w:spacing w:after="40"/>
      </w:pPr>
      <w:r>
        <w:t>Project phase: Integrated Commissioning / residual construction.</w:t>
      </w:r>
    </w:p>
    <w:p>
      <w:pPr>
        <w:pStyle w:val="ListBullet"/>
        <w:spacing w:after="40"/>
      </w:pPr>
      <w:r>
        <w:t>Approved First Plasma milestone: 30 June 2031.</w:t>
      </w:r>
    </w:p>
    <w:p>
      <w:pPr>
        <w:pStyle w:val="ListBullet"/>
        <w:spacing w:after="40"/>
      </w:pPr>
      <w:r>
        <w:t>Primary constraints: magnet integrated-commissioning campaign; vacuum readiness; BHT temporary-equipment extent-of-condition review.</w:t>
      </w:r>
    </w:p>
    <w:p>
      <w:pPr>
        <w:pStyle w:val="ListBullet"/>
        <w:spacing w:after="40"/>
      </w:pPr>
      <w:r>
        <w:t>Permanent HV energized; cryogenic inventory active; magnet systems under controlled energization; tritium introduction not authorized; plasma not initiated.</w:t>
      </w:r>
    </w:p>
    <w:p>
      <w:pPr>
        <w:pStyle w:val="ListBullet"/>
        <w:spacing w:after="40"/>
      </w:pPr>
      <w:r>
        <w:t>Special hold: TMP-BHT-401-CRS-01 isolated; associated restraint family under engineering review.</w:t>
      </w:r>
    </w:p>
    <w:p>
      <w:pPr>
        <w:pStyle w:val="ListBullet"/>
        <w:spacing w:after="40"/>
      </w:pPr>
      <w:r>
        <w:t>Custody: mixed by system boundary.</w:t>
      </w:r>
    </w:p>
    <w:p>
      <w:pPr>
        <w:pStyle w:val="ListBullet"/>
        <w:spacing w:after="40"/>
      </w:pPr>
      <w:r>
        <w:t>Saturday population: approximately 500-600 depending test schedule.</w:t>
      </w:r>
    </w:p>
    <w:p>
      <w:pPr>
        <w:pStyle w:val="Heading1"/>
      </w:pPr>
      <w:r>
        <w:t>33. Source-provenance matrix</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r>
              <w:rPr>
                <w:b/>
              </w:rPr>
              <w:t>Domain</w:t>
            </w:r>
          </w:p>
        </w:tc>
        <w:tc>
          <w:tcPr>
            <w:tcW w:type="dxa" w:w="3389"/>
            <w:vAlign w:val="center"/>
          </w:tcPr>
          <w:p>
            <w:r>
              <w:rPr>
                <w:b/>
              </w:rPr>
              <w:t>Primary basis</w:t>
            </w:r>
          </w:p>
        </w:tc>
        <w:tc>
          <w:tcPr>
            <w:tcW w:type="dxa" w:w="3389"/>
            <w:vAlign w:val="center"/>
          </w:tcPr>
          <w:p>
            <w:r>
              <w:rPr>
                <w:b/>
              </w:rPr>
              <w:t>Status</w:t>
            </w:r>
          </w:p>
        </w:tc>
      </w:tr>
      <w:tr>
        <w:tc>
          <w:tcPr>
            <w:tcW w:type="dxa" w:w="3389"/>
            <w:vAlign w:val="top"/>
          </w:tcPr>
          <w:p>
            <w:r>
              <w:rPr>
                <w:sz w:val="15"/>
              </w:rPr>
              <w:t>Story/plot/characters</w:t>
            </w:r>
          </w:p>
        </w:tc>
        <w:tc>
          <w:tcPr>
            <w:tcW w:type="dxa" w:w="3389"/>
            <w:vAlign w:val="top"/>
          </w:tcPr>
          <w:p>
            <w:r>
              <w:rPr>
                <w:sz w:val="15"/>
              </w:rPr>
              <w:t>Conversation canon + journal</w:t>
            </w:r>
          </w:p>
        </w:tc>
        <w:tc>
          <w:tcPr>
            <w:tcW w:type="dxa" w:w="3389"/>
            <w:vAlign w:val="top"/>
          </w:tcPr>
          <w:p>
            <w:r>
              <w:rPr>
                <w:sz w:val="15"/>
              </w:rPr>
              <w:t>Locked except identified open items</w:t>
            </w:r>
          </w:p>
        </w:tc>
      </w:tr>
      <w:tr>
        <w:tc>
          <w:tcPr>
            <w:tcW w:type="dxa" w:w="3389"/>
            <w:vAlign w:val="top"/>
          </w:tcPr>
          <w:p>
            <w:r>
              <w:rPr>
                <w:sz w:val="15"/>
              </w:rPr>
              <w:t>Plant architecture</w:t>
            </w:r>
          </w:p>
        </w:tc>
        <w:tc>
          <w:tcPr>
            <w:tcW w:type="dxa" w:w="3389"/>
            <w:vAlign w:val="top"/>
          </w:tcPr>
          <w:p>
            <w:r>
              <w:rPr>
                <w:sz w:val="15"/>
              </w:rPr>
              <w:t>Journal + ITER/QST/nuclear analogues</w:t>
            </w:r>
          </w:p>
        </w:tc>
        <w:tc>
          <w:tcPr>
            <w:tcW w:type="dxa" w:w="3389"/>
            <w:vAlign w:val="top"/>
          </w:tcPr>
          <w:p>
            <w:r>
              <w:rPr>
                <w:sz w:val="15"/>
              </w:rPr>
              <w:t>Mixed real precedent / HFRP extrapolation</w:t>
            </w:r>
          </w:p>
        </w:tc>
      </w:tr>
      <w:tr>
        <w:tc>
          <w:tcPr>
            <w:tcW w:type="dxa" w:w="3389"/>
            <w:vAlign w:val="top"/>
          </w:tcPr>
          <w:p>
            <w:r>
              <w:rPr>
                <w:sz w:val="15"/>
              </w:rPr>
              <w:t>Asset population</w:t>
            </w:r>
          </w:p>
        </w:tc>
        <w:tc>
          <w:tcPr>
            <w:tcW w:type="dxa" w:w="3389"/>
            <w:vAlign w:val="top"/>
          </w:tcPr>
          <w:p>
            <w:r>
              <w:rPr>
                <w:sz w:val="15"/>
              </w:rPr>
              <w:t>Master Asset Register RevA(2)</w:t>
            </w:r>
          </w:p>
        </w:tc>
        <w:tc>
          <w:tcPr>
            <w:tcW w:type="dxa" w:w="3389"/>
            <w:vAlign w:val="top"/>
          </w:tcPr>
          <w:p>
            <w:r>
              <w:rPr>
                <w:sz w:val="15"/>
              </w:rPr>
              <w:t>Controlled; chronology caveats</w:t>
            </w:r>
          </w:p>
        </w:tc>
      </w:tr>
      <w:tr>
        <w:tc>
          <w:tcPr>
            <w:tcW w:type="dxa" w:w="3389"/>
            <w:vAlign w:val="top"/>
          </w:tcPr>
          <w:p>
            <w:r>
              <w:rPr>
                <w:sz w:val="15"/>
              </w:rPr>
              <w:t>Lifecycle events</w:t>
            </w:r>
          </w:p>
        </w:tc>
        <w:tc>
          <w:tcPr>
            <w:tcW w:type="dxa" w:w="3389"/>
            <w:vAlign w:val="top"/>
          </w:tcPr>
          <w:p>
            <w:r>
              <w:rPr>
                <w:sz w:val="15"/>
              </w:rPr>
              <w:t>Equipment Event History RevA(1)</w:t>
            </w:r>
          </w:p>
        </w:tc>
        <w:tc>
          <w:tcPr>
            <w:tcW w:type="dxa" w:w="3389"/>
            <w:vAlign w:val="top"/>
          </w:tcPr>
          <w:p>
            <w:r>
              <w:rPr>
                <w:sz w:val="15"/>
              </w:rPr>
              <w:t>Controlled; tied to asset master</w:t>
            </w:r>
          </w:p>
        </w:tc>
      </w:tr>
      <w:tr>
        <w:tc>
          <w:tcPr>
            <w:tcW w:type="dxa" w:w="3389"/>
            <w:vAlign w:val="top"/>
          </w:tcPr>
          <w:p>
            <w:r>
              <w:rPr>
                <w:sz w:val="15"/>
              </w:rPr>
              <w:t>Register boundary</w:t>
            </w:r>
          </w:p>
        </w:tc>
        <w:tc>
          <w:tcPr>
            <w:tcW w:type="dxa" w:w="3389"/>
            <w:vAlign w:val="top"/>
          </w:tcPr>
          <w:p>
            <w:r>
              <w:rPr>
                <w:sz w:val="15"/>
              </w:rPr>
              <w:t>Register Manifest RevA</w:t>
            </w:r>
          </w:p>
        </w:tc>
        <w:tc>
          <w:tcPr>
            <w:tcW w:type="dxa" w:w="3389"/>
            <w:vAlign w:val="top"/>
          </w:tcPr>
          <w:p>
            <w:r>
              <w:rPr>
                <w:sz w:val="15"/>
              </w:rPr>
              <w:t>Controlled</w:t>
            </w:r>
          </w:p>
        </w:tc>
      </w:tr>
      <w:tr>
        <w:tc>
          <w:tcPr>
            <w:tcW w:type="dxa" w:w="3389"/>
            <w:vAlign w:val="top"/>
          </w:tcPr>
          <w:p>
            <w:r>
              <w:rPr>
                <w:sz w:val="15"/>
              </w:rPr>
              <w:t>Canadian turnover/licensing</w:t>
            </w:r>
          </w:p>
        </w:tc>
        <w:tc>
          <w:tcPr>
            <w:tcW w:type="dxa" w:w="3389"/>
            <w:vAlign w:val="top"/>
          </w:tcPr>
          <w:p>
            <w:r>
              <w:rPr>
                <w:sz w:val="15"/>
              </w:rPr>
              <w:t>CNSC / DNNP</w:t>
            </w:r>
          </w:p>
        </w:tc>
        <w:tc>
          <w:tcPr>
            <w:tcW w:type="dxa" w:w="3389"/>
            <w:vAlign w:val="top"/>
          </w:tcPr>
          <w:p>
            <w:r>
              <w:rPr>
                <w:sz w:val="15"/>
              </w:rPr>
              <w:t>Externally verified</w:t>
            </w:r>
          </w:p>
        </w:tc>
      </w:tr>
      <w:tr>
        <w:tc>
          <w:tcPr>
            <w:tcW w:type="dxa" w:w="3389"/>
            <w:vAlign w:val="top"/>
          </w:tcPr>
          <w:p>
            <w:r>
              <w:rPr>
                <w:sz w:val="15"/>
              </w:rPr>
              <w:t>Ontario constructor model</w:t>
            </w:r>
          </w:p>
        </w:tc>
        <w:tc>
          <w:tcPr>
            <w:tcW w:type="dxa" w:w="3389"/>
            <w:vAlign w:val="top"/>
          </w:tcPr>
          <w:p>
            <w:r>
              <w:rPr>
                <w:sz w:val="15"/>
              </w:rPr>
              <w:t>Ontario OHSA guidance</w:t>
            </w:r>
          </w:p>
        </w:tc>
        <w:tc>
          <w:tcPr>
            <w:tcW w:type="dxa" w:w="3389"/>
            <w:vAlign w:val="top"/>
          </w:tcPr>
          <w:p>
            <w:r>
              <w:rPr>
                <w:sz w:val="15"/>
              </w:rPr>
              <w:t>Externally verified</w:t>
            </w:r>
          </w:p>
        </w:tc>
      </w:tr>
      <w:tr>
        <w:tc>
          <w:tcPr>
            <w:tcW w:type="dxa" w:w="3389"/>
            <w:vAlign w:val="top"/>
          </w:tcPr>
          <w:p>
            <w:r>
              <w:rPr>
                <w:sz w:val="15"/>
              </w:rPr>
              <w:t>Systems integration</w:t>
            </w:r>
          </w:p>
        </w:tc>
        <w:tc>
          <w:tcPr>
            <w:tcW w:type="dxa" w:w="3389"/>
            <w:vAlign w:val="top"/>
          </w:tcPr>
          <w:p>
            <w:r>
              <w:rPr>
                <w:sz w:val="15"/>
              </w:rPr>
              <w:t>Crossrail Learning Legacy</w:t>
            </w:r>
          </w:p>
        </w:tc>
        <w:tc>
          <w:tcPr>
            <w:tcW w:type="dxa" w:w="3389"/>
            <w:vAlign w:val="top"/>
          </w:tcPr>
          <w:p>
            <w:r>
              <w:rPr>
                <w:sz w:val="15"/>
              </w:rPr>
              <w:t>Externally verified</w:t>
            </w:r>
          </w:p>
        </w:tc>
      </w:tr>
      <w:tr>
        <w:tc>
          <w:tcPr>
            <w:tcW w:type="dxa" w:w="3389"/>
            <w:vAlign w:val="top"/>
          </w:tcPr>
          <w:p>
            <w:r>
              <w:rPr>
                <w:sz w:val="15"/>
              </w:rPr>
              <w:t>Fusion assembly/commissioning</w:t>
            </w:r>
          </w:p>
        </w:tc>
        <w:tc>
          <w:tcPr>
            <w:tcW w:type="dxa" w:w="3389"/>
            <w:vAlign w:val="top"/>
          </w:tcPr>
          <w:p>
            <w:r>
              <w:rPr>
                <w:sz w:val="15"/>
              </w:rPr>
              <w:t>ITER</w:t>
            </w:r>
          </w:p>
        </w:tc>
        <w:tc>
          <w:tcPr>
            <w:tcW w:type="dxa" w:w="3389"/>
            <w:vAlign w:val="top"/>
          </w:tcPr>
          <w:p>
            <w:r>
              <w:rPr>
                <w:sz w:val="15"/>
              </w:rPr>
              <w:t>Externally verified</w:t>
            </w:r>
          </w:p>
        </w:tc>
      </w:tr>
      <w:tr>
        <w:tc>
          <w:tcPr>
            <w:tcW w:type="dxa" w:w="3389"/>
            <w:vAlign w:val="top"/>
          </w:tcPr>
          <w:p>
            <w:r>
              <w:rPr>
                <w:sz w:val="15"/>
              </w:rPr>
              <w:t>Accident organizational causation</w:t>
            </w:r>
          </w:p>
        </w:tc>
        <w:tc>
          <w:tcPr>
            <w:tcW w:type="dxa" w:w="3389"/>
            <w:vAlign w:val="top"/>
          </w:tcPr>
          <w:p>
            <w:r>
              <w:rPr>
                <w:sz w:val="15"/>
              </w:rPr>
              <w:t>Rogers Commission / CAIB / Ocean Ranger</w:t>
            </w:r>
          </w:p>
        </w:tc>
        <w:tc>
          <w:tcPr>
            <w:tcW w:type="dxa" w:w="3389"/>
            <w:vAlign w:val="top"/>
          </w:tcPr>
          <w:p>
            <w:r>
              <w:rPr>
                <w:sz w:val="15"/>
              </w:rPr>
              <w:t>Case-study verified</w:t>
            </w:r>
          </w:p>
        </w:tc>
      </w:tr>
    </w:tbl>
    <w:p>
      <w:pPr>
        <w:spacing w:after="40"/>
      </w:pPr>
    </w:p>
    <w:p>
      <w:pPr>
        <w:pStyle w:val="Heading1"/>
      </w:pPr>
      <w:r>
        <w:t>34. Configuration-control backlog after this revision</w:t>
      </w:r>
    </w:p>
    <w:p>
      <w:pPr>
        <w:spacing w:after="80"/>
      </w:pPr>
      <w:r>
        <w:t>The narrative/worldbuilding backlog is substantially closed. The remaining work is controlled implementation rather than open-ended research.</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r>
              <w:rPr>
                <w:b/>
              </w:rPr>
              <w:t>Priority</w:t>
            </w:r>
          </w:p>
        </w:tc>
        <w:tc>
          <w:tcPr>
            <w:tcW w:type="dxa" w:w="3389"/>
            <w:vAlign w:val="center"/>
          </w:tcPr>
          <w:p>
            <w:r>
              <w:rPr>
                <w:b/>
              </w:rPr>
              <w:t>Action</w:t>
            </w:r>
          </w:p>
        </w:tc>
        <w:tc>
          <w:tcPr>
            <w:tcW w:type="dxa" w:w="3389"/>
            <w:vAlign w:val="center"/>
          </w:tcPr>
          <w:p>
            <w:r>
              <w:rPr>
                <w:b/>
              </w:rPr>
              <w:t>State</w:t>
            </w:r>
          </w:p>
        </w:tc>
      </w:tr>
      <w:tr>
        <w:tc>
          <w:tcPr>
            <w:tcW w:type="dxa" w:w="3389"/>
            <w:vAlign w:val="top"/>
          </w:tcPr>
          <w:p>
            <w:r>
              <w:rPr>
                <w:sz w:val="15"/>
              </w:rPr>
              <w:t>P0</w:t>
            </w:r>
          </w:p>
        </w:tc>
        <w:tc>
          <w:tcPr>
            <w:tcW w:type="dxa" w:w="3389"/>
            <w:vAlign w:val="top"/>
          </w:tcPr>
          <w:p>
            <w:r>
              <w:rPr>
                <w:sz w:val="15"/>
              </w:rPr>
              <w:t>Repair or formally redefine 802 installation-before-arrival records.</w:t>
            </w:r>
          </w:p>
        </w:tc>
        <w:tc>
          <w:tcPr>
            <w:tcW w:type="dxa" w:w="3389"/>
            <w:vAlign w:val="top"/>
          </w:tcPr>
          <w:p>
            <w:r>
              <w:rPr>
                <w:sz w:val="15"/>
              </w:rPr>
              <w:t>OPEN - data correction</w:t>
            </w:r>
          </w:p>
        </w:tc>
      </w:tr>
      <w:tr>
        <w:tc>
          <w:tcPr>
            <w:tcW w:type="dxa" w:w="3389"/>
            <w:vAlign w:val="top"/>
          </w:tcPr>
          <w:p>
            <w:r>
              <w:rPr>
                <w:sz w:val="15"/>
              </w:rPr>
              <w:t>P0</w:t>
            </w:r>
          </w:p>
        </w:tc>
        <w:tc>
          <w:tcPr>
            <w:tcW w:type="dxa" w:w="3389"/>
            <w:vAlign w:val="top"/>
          </w:tcPr>
          <w:p>
            <w:r>
              <w:rPr>
                <w:sz w:val="15"/>
              </w:rPr>
              <w:t>Repair or formally redefine 1,294 turnover-before-mechanical-completion records.</w:t>
            </w:r>
          </w:p>
        </w:tc>
        <w:tc>
          <w:tcPr>
            <w:tcW w:type="dxa" w:w="3389"/>
            <w:vAlign w:val="top"/>
          </w:tcPr>
          <w:p>
            <w:r>
              <w:rPr>
                <w:sz w:val="15"/>
              </w:rPr>
              <w:t>OPEN - data correction</w:t>
            </w:r>
          </w:p>
        </w:tc>
      </w:tr>
      <w:tr>
        <w:tc>
          <w:tcPr>
            <w:tcW w:type="dxa" w:w="3389"/>
            <w:vAlign w:val="top"/>
          </w:tcPr>
          <w:p>
            <w:r>
              <w:rPr>
                <w:sz w:val="15"/>
              </w:rPr>
              <w:t>P0</w:t>
            </w:r>
          </w:p>
        </w:tc>
        <w:tc>
          <w:tcPr>
            <w:tcW w:type="dxa" w:w="3389"/>
            <w:vAlign w:val="top"/>
          </w:tcPr>
          <w:p>
            <w:r>
              <w:rPr>
                <w:sz w:val="15"/>
              </w:rPr>
              <w:t>Regenerate/reconcile event history after any master-date correction.</w:t>
            </w:r>
          </w:p>
        </w:tc>
        <w:tc>
          <w:tcPr>
            <w:tcW w:type="dxa" w:w="3389"/>
            <w:vAlign w:val="top"/>
          </w:tcPr>
          <w:p>
            <w:r>
              <w:rPr>
                <w:sz w:val="15"/>
              </w:rPr>
              <w:t>OPEN - dependent</w:t>
            </w:r>
          </w:p>
        </w:tc>
      </w:tr>
      <w:tr>
        <w:tc>
          <w:tcPr>
            <w:tcW w:type="dxa" w:w="3389"/>
            <w:vAlign w:val="top"/>
          </w:tcPr>
          <w:p>
            <w:r>
              <w:rPr>
                <w:sz w:val="15"/>
              </w:rPr>
              <w:t>P1</w:t>
            </w:r>
          </w:p>
        </w:tc>
        <w:tc>
          <w:tcPr>
            <w:tcW w:type="dxa" w:w="3389"/>
            <w:vAlign w:val="top"/>
          </w:tcPr>
          <w:p>
            <w:r>
              <w:rPr>
                <w:sz w:val="15"/>
              </w:rPr>
              <w:t>Maintain Canon Decision Log for future changes.</w:t>
            </w:r>
          </w:p>
        </w:tc>
        <w:tc>
          <w:tcPr>
            <w:tcW w:type="dxa" w:w="3389"/>
            <w:vAlign w:val="top"/>
          </w:tcPr>
          <w:p>
            <w:r>
              <w:rPr>
                <w:sz w:val="15"/>
              </w:rPr>
              <w:t>ONGOING control</w:t>
            </w:r>
          </w:p>
        </w:tc>
      </w:tr>
      <w:tr>
        <w:tc>
          <w:tcPr>
            <w:tcW w:type="dxa" w:w="3389"/>
            <w:vAlign w:val="top"/>
          </w:tcPr>
          <w:p>
            <w:r>
              <w:rPr>
                <w:sz w:val="15"/>
              </w:rPr>
              <w:t>P1</w:t>
            </w:r>
          </w:p>
        </w:tc>
        <w:tc>
          <w:tcPr>
            <w:tcW w:type="dxa" w:w="3389"/>
            <w:vAlign w:val="top"/>
          </w:tcPr>
          <w:p>
            <w:r>
              <w:rPr>
                <w:sz w:val="15"/>
              </w:rPr>
              <w:t>When catastrophe mechanism is selected, run backwards consistency audit against precursor/event register before revising tags or dates.</w:t>
            </w:r>
          </w:p>
        </w:tc>
        <w:tc>
          <w:tcPr>
            <w:tcW w:type="dxa" w:w="3389"/>
            <w:vAlign w:val="top"/>
          </w:tcPr>
          <w:p>
            <w:r>
              <w:rPr>
                <w:sz w:val="15"/>
              </w:rPr>
              <w:t>FUTURE gate</w:t>
            </w:r>
          </w:p>
        </w:tc>
      </w:tr>
      <w:tr>
        <w:tc>
          <w:tcPr>
            <w:tcW w:type="dxa" w:w="3389"/>
            <w:vAlign w:val="top"/>
          </w:tcPr>
          <w:p>
            <w:r>
              <w:rPr>
                <w:sz w:val="15"/>
              </w:rPr>
              <w:t>P1</w:t>
            </w:r>
          </w:p>
        </w:tc>
        <w:tc>
          <w:tcPr>
            <w:tcW w:type="dxa" w:w="3389"/>
            <w:vAlign w:val="top"/>
          </w:tcPr>
          <w:p>
            <w:r>
              <w:rPr>
                <w:sz w:val="15"/>
              </w:rPr>
              <w:t>Construct Q-DEMO performance/operating history before fixing exact OFG net MWe.</w:t>
            </w:r>
          </w:p>
        </w:tc>
        <w:tc>
          <w:tcPr>
            <w:tcW w:type="dxa" w:w="3389"/>
            <w:vAlign w:val="top"/>
          </w:tcPr>
          <w:p>
            <w:r>
              <w:rPr>
                <w:sz w:val="15"/>
              </w:rPr>
              <w:t>OPEN by design</w:t>
            </w:r>
          </w:p>
        </w:tc>
      </w:tr>
      <w:tr>
        <w:tc>
          <w:tcPr>
            <w:tcW w:type="dxa" w:w="3389"/>
            <w:vAlign w:val="top"/>
          </w:tcPr>
          <w:p>
            <w:r>
              <w:rPr>
                <w:sz w:val="15"/>
              </w:rPr>
              <w:t>P2</w:t>
            </w:r>
          </w:p>
        </w:tc>
        <w:tc>
          <w:tcPr>
            <w:tcW w:type="dxa" w:w="3389"/>
            <w:vAlign w:val="top"/>
          </w:tcPr>
          <w:p>
            <w:r>
              <w:rPr>
                <w:sz w:val="15"/>
              </w:rPr>
              <w:t>Create chapter-specific field packets only when needed; do not expand the global bible with scene trivia.</w:t>
            </w:r>
          </w:p>
        </w:tc>
        <w:tc>
          <w:tcPr>
            <w:tcW w:type="dxa" w:w="3389"/>
            <w:vAlign w:val="top"/>
          </w:tcPr>
          <w:p>
            <w:r>
              <w:rPr>
                <w:sz w:val="15"/>
              </w:rPr>
              <w:t>ONGOING discipline</w:t>
            </w:r>
          </w:p>
        </w:tc>
      </w:tr>
    </w:tbl>
    <w:p>
      <w:pPr>
        <w:spacing w:after="40"/>
      </w:pPr>
    </w:p>
    <w:p>
      <w:pPr>
        <w:pStyle w:val="Heading1"/>
      </w:pPr>
      <w:r>
        <w:t>35. Final verification judgment</w:t>
      </w:r>
    </w:p>
    <w:p>
      <w:pPr>
        <w:spacing w:after="80"/>
      </w:pPr>
      <w:r>
        <w:t>The project world is now coherent enough to support detailed chapter drafting without further high-level invention. The strongest verified elements are: Canadian-style licensee responsibility and turnover control; mixed construction/commissioning custody; early and continuous systems integration; staged fusion commissioning; heavy-component metrology and assembly; temporary-equipment/configuration-document logic; and organizational precursor patterns grounded in major accident investigations.</w:t>
      </w:r>
    </w:p>
    <w:p>
      <w:pPr>
        <w:spacing w:after="80"/>
      </w:pPr>
      <w:r>
        <w:t>The two principal cautions are explicit. First, commercial HFRP capability is alternate-history technology and must eventually be justified by Q-DEMO operating history rather than by present-day claims. Second, the Rev A register is structurally clean but contains two systematic chronology defects that must remain quarantined until corrected.</w:t>
      </w:r>
    </w:p>
    <w:p>
      <w:pPr>
        <w:spacing w:after="80"/>
      </w:pPr>
      <w:r>
        <w:t>Everything else should now be treated as configuration management: new story decisions either fit this baseline or generate an explicit revision.</w:t>
      </w:r>
    </w:p>
    <w:p>
      <w:r>
        <w:br w:type="page"/>
      </w:r>
    </w:p>
    <w:p>
      <w:pPr>
        <w:pStyle w:val="Heading1"/>
      </w:pPr>
      <w:r>
        <w:t>Appendix A. Asset-register statistical profile</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Field</w:t>
            </w:r>
          </w:p>
        </w:tc>
        <w:tc>
          <w:tcPr>
            <w:tcW w:type="dxa" w:w="5083"/>
            <w:vAlign w:val="center"/>
          </w:tcPr>
          <w:p>
            <w:r>
              <w:rPr>
                <w:b/>
              </w:rPr>
              <w:t>Top controlled values</w:t>
            </w:r>
          </w:p>
        </w:tc>
      </w:tr>
      <w:tr>
        <w:tc>
          <w:tcPr>
            <w:tcW w:type="dxa" w:w="5083"/>
            <w:vAlign w:val="top"/>
          </w:tcPr>
          <w:p>
            <w:r>
              <w:rPr>
                <w:sz w:val="15"/>
              </w:rPr>
              <w:t>Permanent_or_Temporary</w:t>
            </w:r>
          </w:p>
        </w:tc>
        <w:tc>
          <w:tcPr>
            <w:tcW w:type="dxa" w:w="5083"/>
            <w:vAlign w:val="top"/>
          </w:tcPr>
          <w:p>
            <w:r>
              <w:rPr>
                <w:sz w:val="15"/>
              </w:rPr>
              <w:t>Permanent: 20,436; Temporary: 2,065; Temporary/Project Support: 130; Temporary Project Tooling: 16</w:t>
            </w:r>
          </w:p>
        </w:tc>
      </w:tr>
      <w:tr>
        <w:tc>
          <w:tcPr>
            <w:tcW w:type="dxa" w:w="5083"/>
            <w:vAlign w:val="top"/>
          </w:tcPr>
          <w:p>
            <w:r>
              <w:rPr>
                <w:sz w:val="15"/>
              </w:rPr>
              <w:t>Custody 2031-04-19</w:t>
            </w:r>
          </w:p>
        </w:tc>
        <w:tc>
          <w:tcPr>
            <w:tcW w:type="dxa" w:w="5083"/>
            <w:vAlign w:val="top"/>
          </w:tcPr>
          <w:p>
            <w:r>
              <w:rPr>
                <w:sz w:val="15"/>
              </w:rPr>
              <w:t>OPG: 18,370; OPG Commissioning: 1,094; OPG Security: 740; Mixed: 666; Demobilized: 509; Mixed / mostly demobilized: 338; OPG RP: 290; Mixed / residual units: 226; Site services: 130; Mixed / most demobilized: 92; OPG Maintenance/Warehouse: 70; OPG Environment: 50</w:t>
            </w:r>
          </w:p>
        </w:tc>
      </w:tr>
      <w:tr>
        <w:tc>
          <w:tcPr>
            <w:tcW w:type="dxa" w:w="5083"/>
            <w:vAlign w:val="top"/>
          </w:tcPr>
          <w:p>
            <w:r>
              <w:rPr>
                <w:sz w:val="15"/>
              </w:rPr>
              <w:t>Asset classes</w:t>
            </w:r>
          </w:p>
        </w:tc>
        <w:tc>
          <w:tcPr>
            <w:tcW w:type="dxa" w:w="5083"/>
            <w:vAlign w:val="top"/>
          </w:tcPr>
          <w:p>
            <w:r>
              <w:rPr>
                <w:sz w:val="15"/>
              </w:rPr>
              <w:t>Tagged Valve: 6,130; Tagged Field Instrument: 5,730; Field Instrument: 1,180; Local Panel: 1,116; Motor/Drive: 996; Security Equipment: 740; Permanent Valve: 588; Temporary Plant: 478; Junction Box: 420; Construction Fleet: 397; Permanent Control Equipment: 348; HVAC Device: 340; HVAC Equipment: 328; Construction Tooling: 310; Temporary Structure/Access Equipment: 280</w:t>
            </w:r>
          </w:p>
        </w:tc>
      </w:tr>
      <w:tr>
        <w:tc>
          <w:tcPr>
            <w:tcW w:type="dxa" w:w="5083"/>
            <w:vAlign w:val="top"/>
          </w:tcPr>
          <w:p>
            <w:r>
              <w:rPr>
                <w:sz w:val="15"/>
              </w:rPr>
              <w:t>Status 2031-04-19</w:t>
            </w:r>
          </w:p>
        </w:tc>
        <w:tc>
          <w:tcPr>
            <w:tcW w:type="dxa" w:w="5083"/>
            <w:vAlign w:val="top"/>
          </w:tcPr>
          <w:p>
            <w:r>
              <w:rPr>
                <w:sz w:val="15"/>
              </w:rPr>
              <w:t>Installed / commissioned by system: 7,110; Installed / calibrated / loop checked: 5,730; Operational: 1,260; Installed / loop checked or commissioned: 1,180; Installed / tested: 996; Installed / energized: 896; Installed / stroked / commissioned: 588; Operational / balanced: 388; Installed / active: 348; Majority removed; limited residual units retained: 338; Some residual metrology/NDE units remain active: 310; Operational / surveillance: 300; Most removed; controlled residual access remains: 280; Operational / baseline monitoring: 256; Removed from site by 2031: 237</w:t>
            </w:r>
          </w:p>
        </w:tc>
      </w:tr>
    </w:tbl>
    <w:p>
      <w:pPr>
        <w:spacing w:after="40"/>
      </w:pPr>
    </w:p>
    <w:p>
      <w:pPr>
        <w:pStyle w:val="Heading1"/>
      </w:pPr>
      <w:r>
        <w:t>Appendix B. Event-history profile</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Event type</w:t>
            </w:r>
          </w:p>
        </w:tc>
        <w:tc>
          <w:tcPr>
            <w:tcW w:type="dxa" w:w="5083"/>
            <w:vAlign w:val="center"/>
          </w:tcPr>
          <w:p>
            <w:r>
              <w:rPr>
                <w:b/>
              </w:rPr>
              <w:t>Count</w:t>
            </w:r>
          </w:p>
        </w:tc>
      </w:tr>
      <w:tr>
        <w:tc>
          <w:tcPr>
            <w:tcW w:type="dxa" w:w="5083"/>
            <w:vAlign w:val="top"/>
          </w:tcPr>
          <w:p>
            <w:r>
              <w:rPr>
                <w:sz w:val="15"/>
              </w:rPr>
              <w:t>Mobilized/Procured</w:t>
            </w:r>
          </w:p>
        </w:tc>
        <w:tc>
          <w:tcPr>
            <w:tcW w:type="dxa" w:w="5083"/>
            <w:vAlign w:val="top"/>
          </w:tcPr>
          <w:p>
            <w:r>
              <w:rPr>
                <w:sz w:val="15"/>
              </w:rPr>
              <w:t>22,647</w:t>
            </w:r>
          </w:p>
        </w:tc>
      </w:tr>
      <w:tr>
        <w:tc>
          <w:tcPr>
            <w:tcW w:type="dxa" w:w="5083"/>
            <w:vAlign w:val="top"/>
          </w:tcPr>
          <w:p>
            <w:r>
              <w:rPr>
                <w:sz w:val="15"/>
              </w:rPr>
              <w:t>Site Arrival</w:t>
            </w:r>
          </w:p>
        </w:tc>
        <w:tc>
          <w:tcPr>
            <w:tcW w:type="dxa" w:w="5083"/>
            <w:vAlign w:val="top"/>
          </w:tcPr>
          <w:p>
            <w:r>
              <w:rPr>
                <w:sz w:val="15"/>
              </w:rPr>
              <w:t>22,647</w:t>
            </w:r>
          </w:p>
        </w:tc>
      </w:tr>
      <w:tr>
        <w:tc>
          <w:tcPr>
            <w:tcW w:type="dxa" w:w="5083"/>
            <w:vAlign w:val="top"/>
          </w:tcPr>
          <w:p>
            <w:r>
              <w:rPr>
                <w:sz w:val="15"/>
              </w:rPr>
              <w:t>Installation/Mobilization</w:t>
            </w:r>
          </w:p>
        </w:tc>
        <w:tc>
          <w:tcPr>
            <w:tcW w:type="dxa" w:w="5083"/>
            <w:vAlign w:val="top"/>
          </w:tcPr>
          <w:p>
            <w:r>
              <w:rPr>
                <w:sz w:val="15"/>
              </w:rPr>
              <w:t>20,880</w:t>
            </w:r>
          </w:p>
        </w:tc>
      </w:tr>
      <w:tr>
        <w:tc>
          <w:tcPr>
            <w:tcW w:type="dxa" w:w="5083"/>
            <w:vAlign w:val="top"/>
          </w:tcPr>
          <w:p>
            <w:r>
              <w:rPr>
                <w:sz w:val="15"/>
              </w:rPr>
              <w:t>Mechanical Completion</w:t>
            </w:r>
          </w:p>
        </w:tc>
        <w:tc>
          <w:tcPr>
            <w:tcW w:type="dxa" w:w="5083"/>
            <w:vAlign w:val="top"/>
          </w:tcPr>
          <w:p>
            <w:r>
              <w:rPr>
                <w:sz w:val="15"/>
              </w:rPr>
              <w:t>20,728</w:t>
            </w:r>
          </w:p>
        </w:tc>
      </w:tr>
      <w:tr>
        <w:tc>
          <w:tcPr>
            <w:tcW w:type="dxa" w:w="5083"/>
            <w:vAlign w:val="top"/>
          </w:tcPr>
          <w:p>
            <w:r>
              <w:rPr>
                <w:sz w:val="15"/>
              </w:rPr>
              <w:t>Commissioning/Operation</w:t>
            </w:r>
          </w:p>
        </w:tc>
        <w:tc>
          <w:tcPr>
            <w:tcW w:type="dxa" w:w="5083"/>
            <w:vAlign w:val="top"/>
          </w:tcPr>
          <w:p>
            <w:r>
              <w:rPr>
                <w:sz w:val="15"/>
              </w:rPr>
              <w:t>20,728</w:t>
            </w:r>
          </w:p>
        </w:tc>
      </w:tr>
      <w:tr>
        <w:tc>
          <w:tcPr>
            <w:tcW w:type="dxa" w:w="5083"/>
            <w:vAlign w:val="top"/>
          </w:tcPr>
          <w:p>
            <w:r>
              <w:rPr>
                <w:sz w:val="15"/>
              </w:rPr>
              <w:t>Turnover</w:t>
            </w:r>
          </w:p>
        </w:tc>
        <w:tc>
          <w:tcPr>
            <w:tcW w:type="dxa" w:w="5083"/>
            <w:vAlign w:val="top"/>
          </w:tcPr>
          <w:p>
            <w:r>
              <w:rPr>
                <w:sz w:val="15"/>
              </w:rPr>
              <w:t>20,692</w:t>
            </w:r>
          </w:p>
        </w:tc>
      </w:tr>
      <w:tr>
        <w:tc>
          <w:tcPr>
            <w:tcW w:type="dxa" w:w="5083"/>
            <w:vAlign w:val="top"/>
          </w:tcPr>
          <w:p>
            <w:r>
              <w:rPr>
                <w:sz w:val="15"/>
              </w:rPr>
              <w:t>Removal/Demobilization</w:t>
            </w:r>
          </w:p>
        </w:tc>
        <w:tc>
          <w:tcPr>
            <w:tcW w:type="dxa" w:w="5083"/>
            <w:vAlign w:val="top"/>
          </w:tcPr>
          <w:p>
            <w:r>
              <w:rPr>
                <w:sz w:val="15"/>
              </w:rPr>
              <w:t>2,197</w:t>
            </w:r>
          </w:p>
        </w:tc>
      </w:tr>
      <w:tr>
        <w:tc>
          <w:tcPr>
            <w:tcW w:type="dxa" w:w="5083"/>
            <w:vAlign w:val="top"/>
          </w:tcPr>
          <w:p>
            <w:r>
              <w:rPr>
                <w:sz w:val="15"/>
              </w:rPr>
              <w:t>Photo Baseline</w:t>
            </w:r>
          </w:p>
        </w:tc>
        <w:tc>
          <w:tcPr>
            <w:tcW w:type="dxa" w:w="5083"/>
            <w:vAlign w:val="top"/>
          </w:tcPr>
          <w:p>
            <w:r>
              <w:rPr>
                <w:sz w:val="15"/>
              </w:rPr>
              <w:t>1</w:t>
            </w:r>
          </w:p>
        </w:tc>
      </w:tr>
      <w:tr>
        <w:tc>
          <w:tcPr>
            <w:tcW w:type="dxa" w:w="5083"/>
            <w:vAlign w:val="top"/>
          </w:tcPr>
          <w:p>
            <w:r>
              <w:rPr>
                <w:sz w:val="15"/>
              </w:rPr>
              <w:t>Maintenance Record</w:t>
            </w:r>
          </w:p>
        </w:tc>
        <w:tc>
          <w:tcPr>
            <w:tcW w:type="dxa" w:w="5083"/>
            <w:vAlign w:val="top"/>
          </w:tcPr>
          <w:p>
            <w:r>
              <w:rPr>
                <w:sz w:val="15"/>
              </w:rPr>
              <w:t>1</w:t>
            </w:r>
          </w:p>
        </w:tc>
      </w:tr>
      <w:tr>
        <w:tc>
          <w:tcPr>
            <w:tcW w:type="dxa" w:w="5083"/>
            <w:vAlign w:val="top"/>
          </w:tcPr>
          <w:p>
            <w:r>
              <w:rPr>
                <w:sz w:val="15"/>
              </w:rPr>
              <w:t>Evidence Control</w:t>
            </w:r>
          </w:p>
        </w:tc>
        <w:tc>
          <w:tcPr>
            <w:tcW w:type="dxa" w:w="5083"/>
            <w:vAlign w:val="top"/>
          </w:tcPr>
          <w:p>
            <w:r>
              <w:rPr>
                <w:sz w:val="15"/>
              </w:rPr>
              <w:t>1</w:t>
            </w:r>
          </w:p>
        </w:tc>
      </w:tr>
      <w:tr>
        <w:tc>
          <w:tcPr>
            <w:tcW w:type="dxa" w:w="5083"/>
            <w:vAlign w:val="top"/>
          </w:tcPr>
          <w:p>
            <w:r>
              <w:rPr>
                <w:sz w:val="15"/>
              </w:rPr>
              <w:t>Design Need</w:t>
            </w:r>
          </w:p>
        </w:tc>
        <w:tc>
          <w:tcPr>
            <w:tcW w:type="dxa" w:w="5083"/>
            <w:vAlign w:val="top"/>
          </w:tcPr>
          <w:p>
            <w:r>
              <w:rPr>
                <w:sz w:val="15"/>
              </w:rPr>
              <w:t>1</w:t>
            </w:r>
          </w:p>
        </w:tc>
      </w:tr>
      <w:tr>
        <w:tc>
          <w:tcPr>
            <w:tcW w:type="dxa" w:w="5083"/>
            <w:vAlign w:val="top"/>
          </w:tcPr>
          <w:p>
            <w:r>
              <w:rPr>
                <w:sz w:val="15"/>
              </w:rPr>
              <w:t>Design Release</w:t>
            </w:r>
          </w:p>
        </w:tc>
        <w:tc>
          <w:tcPr>
            <w:tcW w:type="dxa" w:w="5083"/>
            <w:vAlign w:val="top"/>
          </w:tcPr>
          <w:p>
            <w:r>
              <w:rPr>
                <w:sz w:val="15"/>
              </w:rPr>
              <w:t>1</w:t>
            </w:r>
          </w:p>
        </w:tc>
      </w:tr>
      <w:tr>
        <w:tc>
          <w:tcPr>
            <w:tcW w:type="dxa" w:w="5083"/>
            <w:vAlign w:val="top"/>
          </w:tcPr>
          <w:p>
            <w:r>
              <w:rPr>
                <w:sz w:val="15"/>
              </w:rPr>
              <w:t>Technology Screening</w:t>
            </w:r>
          </w:p>
        </w:tc>
        <w:tc>
          <w:tcPr>
            <w:tcW w:type="dxa" w:w="5083"/>
            <w:vAlign w:val="top"/>
          </w:tcPr>
          <w:p>
            <w:r>
              <w:rPr>
                <w:sz w:val="15"/>
              </w:rPr>
              <w:t>1</w:t>
            </w:r>
          </w:p>
        </w:tc>
      </w:tr>
      <w:tr>
        <w:tc>
          <w:tcPr>
            <w:tcW w:type="dxa" w:w="5083"/>
            <w:vAlign w:val="top"/>
          </w:tcPr>
          <w:p>
            <w:r>
              <w:rPr>
                <w:sz w:val="15"/>
              </w:rPr>
              <w:t>FAT</w:t>
            </w:r>
          </w:p>
        </w:tc>
        <w:tc>
          <w:tcPr>
            <w:tcW w:type="dxa" w:w="5083"/>
            <w:vAlign w:val="top"/>
          </w:tcPr>
          <w:p>
            <w:r>
              <w:rPr>
                <w:sz w:val="15"/>
              </w:rPr>
              <w:t>1</w:t>
            </w:r>
          </w:p>
        </w:tc>
      </w:tr>
      <w:tr>
        <w:tc>
          <w:tcPr>
            <w:tcW w:type="dxa" w:w="5083"/>
            <w:vAlign w:val="top"/>
          </w:tcPr>
          <w:p>
            <w:r>
              <w:rPr>
                <w:sz w:val="15"/>
              </w:rPr>
              <w:t>First Campaign</w:t>
            </w:r>
          </w:p>
        </w:tc>
        <w:tc>
          <w:tcPr>
            <w:tcW w:type="dxa" w:w="5083"/>
            <w:vAlign w:val="top"/>
          </w:tcPr>
          <w:p>
            <w:r>
              <w:rPr>
                <w:sz w:val="15"/>
              </w:rPr>
              <w:t>1</w:t>
            </w:r>
          </w:p>
        </w:tc>
      </w:tr>
      <w:tr>
        <w:tc>
          <w:tcPr>
            <w:tcW w:type="dxa" w:w="5083"/>
            <w:vAlign w:val="top"/>
          </w:tcPr>
          <w:p>
            <w:r>
              <w:rPr>
                <w:sz w:val="15"/>
              </w:rPr>
              <w:t>Isolated</w:t>
            </w:r>
          </w:p>
        </w:tc>
        <w:tc>
          <w:tcPr>
            <w:tcW w:type="dxa" w:w="5083"/>
            <w:vAlign w:val="top"/>
          </w:tcPr>
          <w:p>
            <w:r>
              <w:rPr>
                <w:sz w:val="15"/>
              </w:rPr>
              <w:t>1</w:t>
            </w:r>
          </w:p>
        </w:tc>
      </w:tr>
      <w:tr>
        <w:tc>
          <w:tcPr>
            <w:tcW w:type="dxa" w:w="5083"/>
            <w:vAlign w:val="top"/>
          </w:tcPr>
          <w:p>
            <w:r>
              <w:rPr>
                <w:sz w:val="15"/>
              </w:rPr>
              <w:t>Design Revision</w:t>
            </w:r>
          </w:p>
        </w:tc>
        <w:tc>
          <w:tcPr>
            <w:tcW w:type="dxa" w:w="5083"/>
            <w:vAlign w:val="top"/>
          </w:tcPr>
          <w:p>
            <w:r>
              <w:rPr>
                <w:sz w:val="15"/>
              </w:rPr>
              <w:t>1</w:t>
            </w:r>
          </w:p>
        </w:tc>
      </w:tr>
      <w:tr>
        <w:tc>
          <w:tcPr>
            <w:tcW w:type="dxa" w:w="5083"/>
            <w:vAlign w:val="top"/>
          </w:tcPr>
          <w:p>
            <w:r>
              <w:rPr>
                <w:sz w:val="15"/>
              </w:rPr>
              <w:t>Reconnected</w:t>
            </w:r>
          </w:p>
        </w:tc>
        <w:tc>
          <w:tcPr>
            <w:tcW w:type="dxa" w:w="5083"/>
            <w:vAlign w:val="top"/>
          </w:tcPr>
          <w:p>
            <w:r>
              <w:rPr>
                <w:sz w:val="15"/>
              </w:rPr>
              <w:t>1</w:t>
            </w:r>
          </w:p>
        </w:tc>
      </w:tr>
      <w:tr>
        <w:tc>
          <w:tcPr>
            <w:tcW w:type="dxa" w:w="5083"/>
            <w:vAlign w:val="top"/>
          </w:tcPr>
          <w:p>
            <w:r>
              <w:rPr>
                <w:sz w:val="15"/>
              </w:rPr>
              <w:t>Operator Observation</w:t>
            </w:r>
          </w:p>
        </w:tc>
        <w:tc>
          <w:tcPr>
            <w:tcW w:type="dxa" w:w="5083"/>
            <w:vAlign w:val="top"/>
          </w:tcPr>
          <w:p>
            <w:r>
              <w:rPr>
                <w:sz w:val="15"/>
              </w:rPr>
              <w:t>1</w:t>
            </w:r>
          </w:p>
        </w:tc>
      </w:tr>
      <w:tr>
        <w:tc>
          <w:tcPr>
            <w:tcW w:type="dxa" w:w="5083"/>
            <w:vAlign w:val="top"/>
          </w:tcPr>
          <w:p>
            <w:r>
              <w:rPr>
                <w:sz w:val="15"/>
              </w:rPr>
              <w:t>Walkdown</w:t>
            </w:r>
          </w:p>
        </w:tc>
        <w:tc>
          <w:tcPr>
            <w:tcW w:type="dxa" w:w="5083"/>
            <w:vAlign w:val="top"/>
          </w:tcPr>
          <w:p>
            <w:r>
              <w:rPr>
                <w:sz w:val="15"/>
              </w:rPr>
              <w:t>1</w:t>
            </w:r>
          </w:p>
        </w:tc>
      </w:tr>
      <w:tr>
        <w:tc>
          <w:tcPr>
            <w:tcW w:type="dxa" w:w="5083"/>
            <w:vAlign w:val="top"/>
          </w:tcPr>
          <w:p>
            <w:r>
              <w:rPr>
                <w:sz w:val="15"/>
              </w:rPr>
              <w:t>High-Potential Near Miss</w:t>
            </w:r>
          </w:p>
        </w:tc>
        <w:tc>
          <w:tcPr>
            <w:tcW w:type="dxa" w:w="5083"/>
            <w:vAlign w:val="top"/>
          </w:tcPr>
          <w:p>
            <w:r>
              <w:rPr>
                <w:sz w:val="15"/>
              </w:rPr>
              <w:t>1</w:t>
            </w:r>
          </w:p>
        </w:tc>
      </w:tr>
      <w:tr>
        <w:tc>
          <w:tcPr>
            <w:tcW w:type="dxa" w:w="5083"/>
            <w:vAlign w:val="top"/>
          </w:tcPr>
          <w:p>
            <w:r>
              <w:rPr>
                <w:sz w:val="15"/>
              </w:rPr>
              <w:t>Extent of Condition</w:t>
            </w:r>
          </w:p>
        </w:tc>
        <w:tc>
          <w:tcPr>
            <w:tcW w:type="dxa" w:w="5083"/>
            <w:vAlign w:val="top"/>
          </w:tcPr>
          <w:p>
            <w:r>
              <w:rPr>
                <w:sz w:val="15"/>
              </w:rPr>
              <w:t>1</w:t>
            </w:r>
          </w:p>
        </w:tc>
      </w:tr>
    </w:tbl>
    <w:p>
      <w:pPr>
        <w:spacing w:after="40"/>
      </w:pPr>
    </w:p>
    <w:p>
      <w:pPr>
        <w:pStyle w:val="Heading1"/>
      </w:pPr>
      <w:r>
        <w:t>Appendix C. Verification references used in Rev B</w:t>
      </w:r>
    </w:p>
    <w:p>
      <w:pPr>
        <w:pStyle w:val="ListBullet"/>
        <w:spacing w:after="40"/>
      </w:pPr>
      <w:r>
        <w:t>CNSC, REGDOC-2.3.1, Conduct of Licensed Activities: Construction and Commissioning Programs.</w:t>
      </w:r>
    </w:p>
    <w:p>
      <w:pPr>
        <w:pStyle w:val="ListBullet"/>
        <w:spacing w:after="40"/>
      </w:pPr>
      <w:r>
        <w:t>CNSC, Darlington New Nuclear Project timeline and licensing pages.</w:t>
      </w:r>
    </w:p>
    <w:p>
      <w:pPr>
        <w:pStyle w:val="ListBullet"/>
        <w:spacing w:after="40"/>
      </w:pPr>
      <w:r>
        <w:t>OPG, Darlington New Nuclear Project operating-licence information.</w:t>
      </w:r>
    </w:p>
    <w:p>
      <w:pPr>
        <w:pStyle w:val="ListBullet"/>
        <w:spacing w:after="40"/>
      </w:pPr>
      <w:r>
        <w:t>Ontario Ministry of Labour, Immigration, Training and Skills Development, Constructor Guideline / OHSA guidance.</w:t>
      </w:r>
    </w:p>
    <w:p>
      <w:pPr>
        <w:pStyle w:val="ListBullet"/>
        <w:spacing w:after="40"/>
      </w:pPr>
      <w:r>
        <w:t>ITER Organization, Commissioning; Vacuum System; Disruption Mitigation; Remote Handling; Hot Cell; Assembly Tooling; Metrology.</w:t>
      </w:r>
    </w:p>
    <w:p>
      <w:pPr>
        <w:pStyle w:val="ListBullet"/>
        <w:spacing w:after="40"/>
      </w:pPr>
      <w:r>
        <w:t>Crossrail Learning Legacy, Systems Integration - Lessons Learned and Good Practice.</w:t>
      </w:r>
    </w:p>
    <w:p>
      <w:pPr>
        <w:pStyle w:val="ListBullet"/>
        <w:spacing w:after="40"/>
      </w:pPr>
      <w:r>
        <w:t>NASA/Rogers Commission, Challenger accident report.</w:t>
      </w:r>
    </w:p>
    <w:p>
      <w:pPr>
        <w:pStyle w:val="ListBullet"/>
        <w:spacing w:after="40"/>
      </w:pPr>
      <w:r>
        <w:t>NASA/Columbia Accident Investigation Board, Volume 1 and safety-culture lessons.</w:t>
      </w:r>
    </w:p>
    <w:p>
      <w:pPr>
        <w:pStyle w:val="ListBullet"/>
        <w:spacing w:after="40"/>
      </w:pPr>
      <w:r>
        <w:t>Government of Canada, Royal Commission on the Ocean Ranger Marine Disaster.</w:t>
      </w:r>
    </w:p>
    <w:p>
      <w:pPr>
        <w:pStyle w:val="ListBullet"/>
        <w:spacing w:after="40"/>
      </w:pPr>
      <w:r>
        <w:t>U.S. NRC construction inspection material on AP1000/Vogtle/Summer quality findings.</w:t>
      </w:r>
    </w:p>
    <w:p>
      <w:r>
        <w:br w:type="page"/>
      </w:r>
    </w:p>
    <w:p>
      <w:pPr>
        <w:pStyle w:val="Heading1"/>
      </w:pPr>
      <w:r>
        <w:t>Integrated controlled source — OFG_Encyclopedia_RevN_Volume_00_Master_Index(6).docx</w:t>
      </w:r>
    </w:p>
    <w:p>
      <w:r>
        <w:t>Preserved at source granularity. Later explicit canon and change-provenance entries govern conflicts; source text is not silently rewritten.</w:t>
      </w:r>
    </w:p>
    <w:p>
      <w:pPr>
        <w:pStyle w:val="Title"/>
        <w:jc w:val="center"/>
      </w:pPr>
      <w:r>
        <w:t>ONTARIO FUSION GENERATION PROJECT</w:t>
      </w:r>
    </w:p>
    <w:p>
      <w:pPr>
        <w:pStyle w:val="Title"/>
        <w:jc w:val="center"/>
      </w:pPr>
      <w:r>
        <w:t>MASTER INDEX, CANON CONTROL &amp; REFERENCE MAP</w:t>
      </w:r>
    </w:p>
    <w:p>
      <w:pPr>
        <w:pStyle w:val="Subtitle"/>
        <w:jc w:val="center"/>
      </w:pPr>
      <w:r>
        <w:t>How to use the encyclopedia across story threads</w:t>
      </w:r>
    </w:p>
    <w:p>
      <w:pPr>
        <w:jc w:val="center"/>
      </w:pPr>
      <w:r>
        <w:t>Complete chronological reference · canon cut: Saturday, 19 April 2031</w:t>
      </w:r>
    </w:p>
    <w:p>
      <w:pPr>
        <w:jc w:val="center"/>
      </w:pPr>
      <w:r>
        <w:t>Compiled from the Canonical Story Backbone Rev B, Master Reference, Backlogs 01–11, Revision Directives B–J, and controlled Rev A equipment/event datasets.</w:t>
      </w:r>
    </w:p>
    <w:p>
      <w:r>
        <w:br w:type="page"/>
      </w:r>
    </w:p>
    <w:p>
      <w:pPr>
        <w:pStyle w:val="Heading1"/>
      </w:pPr>
      <w:r>
        <w:t>Reference-status legend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vAlign w:val="center"/>
          </w:tcPr>
          <w:p>
            <w:r>
              <w:rPr>
                <w:b/>
                <w:sz w:val="14"/>
              </w:rPr>
              <w:t>Status</w:t>
            </w:r>
          </w:p>
        </w:tc>
        <w:tc>
          <w:tcPr>
            <w:tcW w:type="dxa" w:w="5227"/>
            <w:vAlign w:val="center"/>
          </w:tcPr>
          <w:p>
            <w:r>
              <w:rPr>
                <w:b/>
                <w:sz w:val="14"/>
              </w:rPr>
              <w:t>Meaning</w:t>
            </w:r>
          </w:p>
        </w:tc>
      </w:tr>
      <w:tr>
        <w:tc>
          <w:tcPr>
            <w:tcW w:type="dxa" w:w="5227"/>
            <w:vAlign w:val="top"/>
          </w:tcPr>
          <w:p>
            <w:r>
              <w:rPr>
                <w:sz w:val="14"/>
              </w:rPr>
              <w:t>LOCKED CANON</w:t>
            </w:r>
          </w:p>
        </w:tc>
        <w:tc>
          <w:tcPr>
            <w:tcW w:type="dxa" w:w="5227"/>
            <w:vAlign w:val="top"/>
          </w:tcPr>
          <w:p>
            <w:r>
              <w:rPr>
                <w:sz w:val="14"/>
              </w:rPr>
              <w:t>Explicitly fixed by the controlling OFG canon at the 19 April 2031 cut.</w:t>
            </w:r>
          </w:p>
        </w:tc>
      </w:tr>
      <w:tr>
        <w:tc>
          <w:tcPr>
            <w:tcW w:type="dxa" w:w="5227"/>
            <w:vAlign w:val="top"/>
          </w:tcPr>
          <w:p>
            <w:r>
              <w:rPr>
                <w:sz w:val="14"/>
              </w:rPr>
              <w:t>CANONICAL FRAMEWORK</w:t>
            </w:r>
          </w:p>
        </w:tc>
        <w:tc>
          <w:tcPr>
            <w:tcW w:type="dxa" w:w="5227"/>
            <w:vAlign w:val="top"/>
          </w:tcPr>
          <w:p>
            <w:r>
              <w:rPr>
                <w:sz w:val="14"/>
              </w:rPr>
              <w:t>Institutional/technical architecture is fixed; some lower-level dates, names, quantities or records remain to be reconstructed.</w:t>
            </w:r>
          </w:p>
        </w:tc>
      </w:tr>
      <w:tr>
        <w:tc>
          <w:tcPr>
            <w:tcW w:type="dxa" w:w="5227"/>
            <w:vAlign w:val="top"/>
          </w:tcPr>
          <w:p>
            <w:r>
              <w:rPr>
                <w:sz w:val="14"/>
              </w:rPr>
              <w:t>VERIFIED PRECEDENT CONSTRAINT</w:t>
            </w:r>
          </w:p>
        </w:tc>
        <w:tc>
          <w:tcPr>
            <w:tcW w:type="dxa" w:w="5227"/>
            <w:vAlign w:val="top"/>
          </w:tcPr>
          <w:p>
            <w:r>
              <w:rPr>
                <w:sz w:val="14"/>
              </w:rPr>
              <w:t>Real-world analogue constrains plausibility; it is not itself an OFG event.</w:t>
            </w:r>
          </w:p>
        </w:tc>
      </w:tr>
      <w:tr>
        <w:tc>
          <w:tcPr>
            <w:tcW w:type="dxa" w:w="5227"/>
            <w:vAlign w:val="top"/>
          </w:tcPr>
          <w:p>
            <w:r>
              <w:rPr>
                <w:sz w:val="14"/>
              </w:rPr>
              <w:t>OPEN / CONTROLLED</w:t>
            </w:r>
          </w:p>
        </w:tc>
        <w:tc>
          <w:tcPr>
            <w:tcW w:type="dxa" w:w="5227"/>
            <w:vAlign w:val="top"/>
          </w:tcPr>
          <w:p>
            <w:r>
              <w:rPr>
                <w:sz w:val="14"/>
              </w:rPr>
              <w:t>The backlog identifies the subject, but the source set does not yet support a unique historical answer. Do not invent one.</w:t>
            </w:r>
          </w:p>
        </w:tc>
      </w:tr>
      <w:tr>
        <w:tc>
          <w:tcPr>
            <w:tcW w:type="dxa" w:w="5227"/>
            <w:vAlign w:val="top"/>
          </w:tcPr>
          <w:p>
            <w:r>
              <w:rPr>
                <w:sz w:val="14"/>
              </w:rPr>
              <w:t>WORKING DATASET</w:t>
            </w:r>
          </w:p>
        </w:tc>
        <w:tc>
          <w:tcPr>
            <w:tcW w:type="dxa" w:w="5227"/>
            <w:vAlign w:val="top"/>
          </w:tcPr>
          <w:p>
            <w:r>
              <w:rPr>
                <w:sz w:val="14"/>
              </w:rPr>
              <w:t>Rev A asset/event data support chronology and forensic work, but known semantic/date anomalies mean the rows are not self-authenticating canon.</w:t>
            </w:r>
          </w:p>
        </w:tc>
      </w:tr>
    </w:tbl>
    <w:p>
      <w:pPr>
        <w:pStyle w:val="ReferenceNote"/>
      </w:pPr>
      <w:r>
        <w:t>The encyclopedia favors explicit uncertainty over false precision. It records what is known at the story cut, what is structurally required by the project, and what remains unresolved.</w:t>
      </w:r>
    </w:p>
    <w:p>
      <w:pPr>
        <w:pStyle w:val="Heading1"/>
      </w:pPr>
      <w:r>
        <w:t>What this encyclopedia is</w:t>
      </w:r>
    </w:p>
    <w:p>
      <w:r>
        <w:t>This is the reference compilation requested for cross-thread use. It is not a reproduction of the research backlogs. The controlling facts are reorganized into chronological history. Backlog material is absorbed as a completeness framework so that each period includes technology, institutions, organizations, government, regulation, finance, contracts, business, supply chain, construction, commissioning, maintenance, operating experience, emergency readiness, information flow and surviving evidence.</w:t>
      </w:r>
    </w:p>
    <w:p>
      <w:r>
        <w:t>The historical cut is 19 April 2031. Future First Plasma, D-T, power ascension, the later mass-casualty accident and post-accident inquiry are outside the historical volumes unless identified solely as already-existing targets, plans or constraints.</w:t>
      </w:r>
    </w:p>
    <w:p>
      <w:pPr>
        <w:pStyle w:val="Heading1"/>
      </w:pPr>
      <w:r>
        <w:t>Canon hierarchy</w:t>
      </w:r>
    </w:p>
    <w:p>
      <w:pPr>
        <w:pStyle w:val="ListBullet"/>
      </w:pPr>
      <w:r>
        <w:t>Highest: explicit locked facts in the Master Reference / Canonical Story Backbone and later revision directives.</w:t>
      </w:r>
    </w:p>
    <w:p>
      <w:pPr>
        <w:pStyle w:val="ListBullet"/>
      </w:pPr>
      <w:r>
        <w:t>Next: established project architecture whose lower-level detail remains open.</w:t>
      </w:r>
    </w:p>
    <w:p>
      <w:pPr>
        <w:pStyle w:val="ListBullet"/>
      </w:pPr>
      <w:r>
        <w:t>Next: verified real-world precedent used as a plausibility constraint.</w:t>
      </w:r>
    </w:p>
    <w:p>
      <w:pPr>
        <w:pStyle w:val="ListBullet"/>
      </w:pPr>
      <w:r>
        <w:t>Lowest: working asset/event datasets and unresolved backlog questions, which may reveal contradictions but cannot silently overwrite locked canon.</w:t>
      </w:r>
    </w:p>
    <w:p>
      <w:pPr>
        <w:pStyle w:val="Heading1"/>
      </w:pPr>
      <w:r>
        <w:t>Project identity at the story cut</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vAlign w:val="center"/>
          </w:tcPr>
          <w:p>
            <w:r>
              <w:rPr>
                <w:b/>
                <w:sz w:val="14"/>
              </w:rPr>
              <w:t>Item</w:t>
            </w:r>
          </w:p>
        </w:tc>
        <w:tc>
          <w:tcPr>
            <w:tcW w:type="dxa" w:w="5227"/>
            <w:vAlign w:val="center"/>
          </w:tcPr>
          <w:p>
            <w:r>
              <w:rPr>
                <w:b/>
                <w:sz w:val="14"/>
              </w:rPr>
              <w:t>Controlled baseline</w:t>
            </w:r>
          </w:p>
        </w:tc>
      </w:tr>
      <w:tr>
        <w:tc>
          <w:tcPr>
            <w:tcW w:type="dxa" w:w="5227"/>
            <w:vAlign w:val="top"/>
          </w:tcPr>
          <w:p>
            <w:r>
              <w:rPr>
                <w:sz w:val="14"/>
              </w:rPr>
              <w:t>Project</w:t>
            </w:r>
          </w:p>
        </w:tc>
        <w:tc>
          <w:tcPr>
            <w:tcW w:type="dxa" w:w="5227"/>
            <w:vAlign w:val="top"/>
          </w:tcPr>
          <w:p>
            <w:r>
              <w:rPr>
                <w:sz w:val="14"/>
              </w:rPr>
              <w:t>Ontario Fusion Generation Project (OFG), Clarington Energy Site, Ontario.</w:t>
            </w:r>
          </w:p>
        </w:tc>
      </w:tr>
      <w:tr>
        <w:tc>
          <w:tcPr>
            <w:tcW w:type="dxa" w:w="5227"/>
            <w:vAlign w:val="top"/>
          </w:tcPr>
          <w:p>
            <w:r>
              <w:rPr>
                <w:sz w:val="14"/>
              </w:rPr>
              <w:t>Canon cut</w:t>
            </w:r>
          </w:p>
        </w:tc>
        <w:tc>
          <w:tcPr>
            <w:tcW w:type="dxa" w:w="5227"/>
            <w:vAlign w:val="top"/>
          </w:tcPr>
          <w:p>
            <w:r>
              <w:rPr>
                <w:sz w:val="14"/>
              </w:rPr>
              <w:t>Saturday, 19 April 2031.</w:t>
            </w:r>
          </w:p>
        </w:tc>
      </w:tr>
      <w:tr>
        <w:tc>
          <w:tcPr>
            <w:tcW w:type="dxa" w:w="5227"/>
            <w:vAlign w:val="top"/>
          </w:tcPr>
          <w:p>
            <w:r>
              <w:rPr>
                <w:sz w:val="14"/>
              </w:rPr>
              <w:t>Commercial project start</w:t>
            </w:r>
          </w:p>
        </w:tc>
        <w:tc>
          <w:tcPr>
            <w:tcW w:type="dxa" w:w="5227"/>
            <w:vAlign w:val="top"/>
          </w:tcPr>
          <w:p>
            <w:r>
              <w:rPr>
                <w:sz w:val="14"/>
              </w:rPr>
              <w:t>2023 origination; formal project authorization April 2024.</w:t>
            </w:r>
          </w:p>
        </w:tc>
      </w:tr>
      <w:tr>
        <w:tc>
          <w:tcPr>
            <w:tcW w:type="dxa" w:w="5227"/>
            <w:vAlign w:val="top"/>
          </w:tcPr>
          <w:p>
            <w:r>
              <w:rPr>
                <w:sz w:val="14"/>
              </w:rPr>
              <w:t>FID</w:t>
            </w:r>
          </w:p>
        </w:tc>
        <w:tc>
          <w:tcPr>
            <w:tcW w:type="dxa" w:w="5227"/>
            <w:vAlign w:val="top"/>
          </w:tcPr>
          <w:p>
            <w:r>
              <w:rPr>
                <w:sz w:val="14"/>
              </w:rPr>
              <w:t>September 2025.</w:t>
            </w:r>
          </w:p>
        </w:tc>
      </w:tr>
      <w:tr>
        <w:tc>
          <w:tcPr>
            <w:tcW w:type="dxa" w:w="5227"/>
            <w:vAlign w:val="top"/>
          </w:tcPr>
          <w:p>
            <w:r>
              <w:rPr>
                <w:sz w:val="14"/>
              </w:rPr>
              <w:t>Current First Plasma baseline</w:t>
            </w:r>
          </w:p>
        </w:tc>
        <w:tc>
          <w:tcPr>
            <w:tcW w:type="dxa" w:w="5227"/>
            <w:vAlign w:val="top"/>
          </w:tcPr>
          <w:p>
            <w:r>
              <w:rPr>
                <w:sz w:val="14"/>
              </w:rPr>
              <w:t>30 June 2031.</w:t>
            </w:r>
          </w:p>
        </w:tc>
      </w:tr>
      <w:tr>
        <w:tc>
          <w:tcPr>
            <w:tcW w:type="dxa" w:w="5227"/>
            <w:vAlign w:val="top"/>
          </w:tcPr>
          <w:p>
            <w:r>
              <w:rPr>
                <w:sz w:val="14"/>
              </w:rPr>
              <w:t>Plant role</w:t>
            </w:r>
          </w:p>
        </w:tc>
        <w:tc>
          <w:tcPr>
            <w:tcW w:type="dxa" w:w="5227"/>
            <w:vAlign w:val="top"/>
          </w:tcPr>
          <w:p>
            <w:r>
              <w:rPr>
                <w:sz w:val="14"/>
              </w:rPr>
              <w:t>Commercial deployment of qualified HMS HFRP reference architecture; not a fusion-science experiment.</w:t>
            </w:r>
          </w:p>
        </w:tc>
      </w:tr>
      <w:tr>
        <w:tc>
          <w:tcPr>
            <w:tcW w:type="dxa" w:w="5227"/>
            <w:vAlign w:val="top"/>
          </w:tcPr>
          <w:p>
            <w:r>
              <w:rPr>
                <w:sz w:val="14"/>
              </w:rPr>
              <w:t>Owner / licensee / future operator</w:t>
            </w:r>
          </w:p>
        </w:tc>
        <w:tc>
          <w:tcPr>
            <w:tcW w:type="dxa" w:w="5227"/>
            <w:vAlign w:val="top"/>
          </w:tcPr>
          <w:p>
            <w:r>
              <w:rPr>
                <w:sz w:val="14"/>
              </w:rPr>
              <w:t>Ontario Power Generation (OPG).</w:t>
            </w:r>
          </w:p>
        </w:tc>
      </w:tr>
      <w:tr>
        <w:tc>
          <w:tcPr>
            <w:tcW w:type="dxa" w:w="5227"/>
            <w:vAlign w:val="top"/>
          </w:tcPr>
          <w:p>
            <w:r>
              <w:rPr>
                <w:sz w:val="14"/>
              </w:rPr>
              <w:t>Plant integrator / EPC</w:t>
            </w:r>
          </w:p>
        </w:tc>
        <w:tc>
          <w:tcPr>
            <w:tcW w:type="dxa" w:w="5227"/>
            <w:vAlign w:val="top"/>
          </w:tcPr>
          <w:p>
            <w:r>
              <w:rPr>
                <w:sz w:val="14"/>
              </w:rPr>
              <w:t>E&amp;C Canada.</w:t>
            </w:r>
          </w:p>
        </w:tc>
      </w:tr>
      <w:tr>
        <w:tc>
          <w:tcPr>
            <w:tcW w:type="dxa" w:w="5227"/>
            <w:vAlign w:val="top"/>
          </w:tcPr>
          <w:p>
            <w:r>
              <w:rPr>
                <w:sz w:val="14"/>
              </w:rPr>
              <w:t>Fusion technology owner</w:t>
            </w:r>
          </w:p>
        </w:tc>
        <w:tc>
          <w:tcPr>
            <w:tcW w:type="dxa" w:w="5227"/>
            <w:vAlign w:val="top"/>
          </w:tcPr>
          <w:p>
            <w:r>
              <w:rPr>
                <w:sz w:val="14"/>
              </w:rPr>
              <w:t>HMS.</w:t>
            </w:r>
          </w:p>
        </w:tc>
      </w:tr>
      <w:tr>
        <w:tc>
          <w:tcPr>
            <w:tcW w:type="dxa" w:w="5227"/>
            <w:vAlign w:val="top"/>
          </w:tcPr>
          <w:p>
            <w:r>
              <w:rPr>
                <w:sz w:val="14"/>
              </w:rPr>
              <w:t>Principal construction contractor / constructor</w:t>
            </w:r>
          </w:p>
        </w:tc>
        <w:tc>
          <w:tcPr>
            <w:tcW w:type="dxa" w:w="5227"/>
            <w:vAlign w:val="top"/>
          </w:tcPr>
          <w:p>
            <w:r>
              <w:rPr>
                <w:sz w:val="14"/>
              </w:rPr>
              <w:t>Bechtel, under E&amp;C construction agreement plus direct constructor/site-control interface.</w:t>
            </w:r>
          </w:p>
        </w:tc>
      </w:tr>
      <w:tr>
        <w:tc>
          <w:tcPr>
            <w:tcW w:type="dxa" w:w="5227"/>
            <w:vAlign w:val="top"/>
          </w:tcPr>
          <w:p>
            <w:r>
              <w:rPr>
                <w:sz w:val="14"/>
              </w:rPr>
              <w:t>Configuration principle</w:t>
            </w:r>
          </w:p>
        </w:tc>
        <w:tc>
          <w:tcPr>
            <w:tcW w:type="dxa" w:w="5227"/>
            <w:vAlign w:val="top"/>
          </w:tcPr>
          <w:p>
            <w:r>
              <w:rPr>
                <w:sz w:val="14"/>
              </w:rPr>
              <w:t>Design Plant = Physical Plant = Evidence Plant; deviations require controlled engineering and evidentiary closure.</w:t>
            </w:r>
          </w:p>
        </w:tc>
      </w:tr>
      <w:tr>
        <w:tc>
          <w:tcPr>
            <w:tcW w:type="dxa" w:w="5227"/>
            <w:vAlign w:val="top"/>
          </w:tcPr>
          <w:p>
            <w:r>
              <w:rPr>
                <w:sz w:val="14"/>
              </w:rPr>
              <w:t>Core tension</w:t>
            </w:r>
          </w:p>
        </w:tc>
        <w:tc>
          <w:tcPr>
            <w:tcW w:type="dxa" w:w="5227"/>
            <w:vAlign w:val="top"/>
          </w:tcPr>
          <w:p>
            <w:r>
              <w:rPr>
                <w:sz w:val="14"/>
              </w:rPr>
              <w:t>A technically mature plant can still diverge from the socio-technical system’s authoritative model of reality.</w:t>
            </w:r>
          </w:p>
        </w:tc>
      </w:tr>
    </w:tbl>
    <w:p>
      <w:pPr>
        <w:pStyle w:val="Heading1"/>
      </w:pPr>
      <w:r>
        <w:t>Volume map</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vAlign w:val="center"/>
          </w:tcPr>
          <w:p>
            <w:r>
              <w:rPr>
                <w:b/>
                <w:sz w:val="14"/>
              </w:rPr>
              <w:t>Vol.</w:t>
            </w:r>
          </w:p>
        </w:tc>
        <w:tc>
          <w:tcPr>
            <w:tcW w:type="dxa" w:w="2613"/>
            <w:vAlign w:val="center"/>
          </w:tcPr>
          <w:p>
            <w:r>
              <w:rPr>
                <w:b/>
                <w:sz w:val="14"/>
              </w:rPr>
              <w:t>Period</w:t>
            </w:r>
          </w:p>
        </w:tc>
        <w:tc>
          <w:tcPr>
            <w:tcW w:type="dxa" w:w="2613"/>
            <w:vAlign w:val="center"/>
          </w:tcPr>
          <w:p>
            <w:r>
              <w:rPr>
                <w:b/>
                <w:sz w:val="14"/>
              </w:rPr>
              <w:t>Title</w:t>
            </w:r>
          </w:p>
        </w:tc>
        <w:tc>
          <w:tcPr>
            <w:tcW w:type="dxa" w:w="2613"/>
            <w:vAlign w:val="center"/>
          </w:tcPr>
          <w:p>
            <w:r>
              <w:rPr>
                <w:b/>
                <w:sz w:val="14"/>
              </w:rPr>
              <w:t>Purpose</w:t>
            </w:r>
          </w:p>
        </w:tc>
      </w:tr>
      <w:tr>
        <w:tc>
          <w:tcPr>
            <w:tcW w:type="dxa" w:w="2613"/>
            <w:vAlign w:val="top"/>
          </w:tcPr>
          <w:p>
            <w:r>
              <w:rPr>
                <w:sz w:val="14"/>
              </w:rPr>
              <w:t>01</w:t>
            </w:r>
          </w:p>
        </w:tc>
        <w:tc>
          <w:tcPr>
            <w:tcW w:type="dxa" w:w="2613"/>
            <w:vAlign w:val="top"/>
          </w:tcPr>
          <w:p>
            <w:r>
              <w:rPr>
                <w:sz w:val="14"/>
              </w:rPr>
              <w:t>Pre-2023</w:t>
            </w:r>
          </w:p>
        </w:tc>
        <w:tc>
          <w:tcPr>
            <w:tcW w:type="dxa" w:w="2613"/>
            <w:vAlign w:val="top"/>
          </w:tcPr>
          <w:p>
            <w:r>
              <w:rPr>
                <w:sz w:val="14"/>
              </w:rPr>
              <w:t>VOLUME I — TECHNOLOGY &amp; STRATEGIC FOUNDATIONS</w:t>
            </w:r>
          </w:p>
        </w:tc>
        <w:tc>
          <w:tcPr>
            <w:tcW w:type="dxa" w:w="2613"/>
            <w:vAlign w:val="top"/>
          </w:tcPr>
          <w:p>
            <w:r>
              <w:rPr>
                <w:sz w:val="14"/>
              </w:rPr>
              <w:t>Fusion industrialization, Q-DEMO/HFRP maturity and the pre-OFG Clarington basis</w:t>
            </w:r>
          </w:p>
        </w:tc>
      </w:tr>
      <w:tr>
        <w:tc>
          <w:tcPr>
            <w:tcW w:type="dxa" w:w="2613"/>
            <w:vAlign w:val="top"/>
          </w:tcPr>
          <w:p>
            <w:r>
              <w:rPr>
                <w:sz w:val="14"/>
              </w:rPr>
              <w:t>02</w:t>
            </w:r>
          </w:p>
        </w:tc>
        <w:tc>
          <w:tcPr>
            <w:tcW w:type="dxa" w:w="2613"/>
            <w:vAlign w:val="top"/>
          </w:tcPr>
          <w:p>
            <w:r>
              <w:rPr>
                <w:sz w:val="14"/>
              </w:rPr>
              <w:t>January-December 2023</w:t>
            </w:r>
          </w:p>
        </w:tc>
        <w:tc>
          <w:tcPr>
            <w:tcW w:type="dxa" w:w="2613"/>
            <w:vAlign w:val="top"/>
          </w:tcPr>
          <w:p>
            <w:r>
              <w:rPr>
                <w:sz w:val="14"/>
              </w:rPr>
              <w:t>VOLUME II — COMMERCIAL ORIGINATION</w:t>
            </w:r>
          </w:p>
        </w:tc>
        <w:tc>
          <w:tcPr>
            <w:tcW w:type="dxa" w:w="2613"/>
            <w:vAlign w:val="top"/>
          </w:tcPr>
          <w:p>
            <w:r>
              <w:rPr>
                <w:sz w:val="14"/>
              </w:rPr>
              <w:t>Ontario need, HFRP due diligence, Japan-Canada development track and project formation</w:t>
            </w:r>
          </w:p>
        </w:tc>
      </w:tr>
      <w:tr>
        <w:tc>
          <w:tcPr>
            <w:tcW w:type="dxa" w:w="2613"/>
            <w:vAlign w:val="top"/>
          </w:tcPr>
          <w:p>
            <w:r>
              <w:rPr>
                <w:sz w:val="14"/>
              </w:rPr>
              <w:t>03</w:t>
            </w:r>
          </w:p>
        </w:tc>
        <w:tc>
          <w:tcPr>
            <w:tcW w:type="dxa" w:w="2613"/>
            <w:vAlign w:val="top"/>
          </w:tcPr>
          <w:p>
            <w:r>
              <w:rPr>
                <w:sz w:val="14"/>
              </w:rPr>
              <w:t>January-December 2024</w:t>
            </w:r>
          </w:p>
        </w:tc>
        <w:tc>
          <w:tcPr>
            <w:tcW w:type="dxa" w:w="2613"/>
            <w:vAlign w:val="top"/>
          </w:tcPr>
          <w:p>
            <w:r>
              <w:rPr>
                <w:sz w:val="14"/>
              </w:rPr>
              <w:t>VOLUME III — PROJECT BIRTH &amp; REFERENCE ADAPTATION</w:t>
            </w:r>
          </w:p>
        </w:tc>
        <w:tc>
          <w:tcPr>
            <w:tcW w:type="dxa" w:w="2613"/>
            <w:vAlign w:val="top"/>
          </w:tcPr>
          <w:p>
            <w:r>
              <w:rPr>
                <w:sz w:val="14"/>
              </w:rPr>
              <w:t>Authorization, pre-FEED, licensing formation, site/master planning and progressive commercial development</w:t>
            </w:r>
          </w:p>
        </w:tc>
      </w:tr>
      <w:tr>
        <w:tc>
          <w:tcPr>
            <w:tcW w:type="dxa" w:w="2613"/>
            <w:vAlign w:val="top"/>
          </w:tcPr>
          <w:p>
            <w:r>
              <w:rPr>
                <w:sz w:val="14"/>
              </w:rPr>
              <w:t>04</w:t>
            </w:r>
          </w:p>
        </w:tc>
        <w:tc>
          <w:tcPr>
            <w:tcW w:type="dxa" w:w="2613"/>
            <w:vAlign w:val="top"/>
          </w:tcPr>
          <w:p>
            <w:r>
              <w:rPr>
                <w:sz w:val="14"/>
              </w:rPr>
              <w:t>January-December 2025</w:t>
            </w:r>
          </w:p>
        </w:tc>
        <w:tc>
          <w:tcPr>
            <w:tcW w:type="dxa" w:w="2613"/>
            <w:vAlign w:val="top"/>
          </w:tcPr>
          <w:p>
            <w:r>
              <w:rPr>
                <w:sz w:val="14"/>
              </w:rPr>
              <w:t>VOLUME IV — FEED, FID &amp; EXECUTION COMMITMENT</w:t>
            </w:r>
          </w:p>
        </w:tc>
        <w:tc>
          <w:tcPr>
            <w:tcW w:type="dxa" w:w="2613"/>
            <w:vAlign w:val="top"/>
          </w:tcPr>
          <w:p>
            <w:r>
              <w:rPr>
                <w:sz w:val="14"/>
              </w:rPr>
              <w:t>Business case, financing, contract close, long-lead procurement and site preparation</w:t>
            </w:r>
          </w:p>
        </w:tc>
      </w:tr>
      <w:tr>
        <w:tc>
          <w:tcPr>
            <w:tcW w:type="dxa" w:w="2613"/>
            <w:vAlign w:val="top"/>
          </w:tcPr>
          <w:p>
            <w:r>
              <w:rPr>
                <w:sz w:val="14"/>
              </w:rPr>
              <w:t>05</w:t>
            </w:r>
          </w:p>
        </w:tc>
        <w:tc>
          <w:tcPr>
            <w:tcW w:type="dxa" w:w="2613"/>
            <w:vAlign w:val="top"/>
          </w:tcPr>
          <w:p>
            <w:r>
              <w:rPr>
                <w:sz w:val="14"/>
              </w:rPr>
              <w:t>January-December 2026</w:t>
            </w:r>
          </w:p>
        </w:tc>
        <w:tc>
          <w:tcPr>
            <w:tcW w:type="dxa" w:w="2613"/>
            <w:vAlign w:val="top"/>
          </w:tcPr>
          <w:p>
            <w:r>
              <w:rPr>
                <w:sz w:val="14"/>
              </w:rPr>
              <w:t>VOLUME V — LICENCE TO CONSTRUCT &amp; MAJOR CIVIL WORK</w:t>
            </w:r>
          </w:p>
        </w:tc>
        <w:tc>
          <w:tcPr>
            <w:tcW w:type="dxa" w:w="2613"/>
            <w:vAlign w:val="top"/>
          </w:tcPr>
          <w:p>
            <w:r>
              <w:rPr>
                <w:sz w:val="14"/>
              </w:rPr>
              <w:t>Detailed engineering, procurement, permanent construction and field-production system</w:t>
            </w:r>
          </w:p>
        </w:tc>
      </w:tr>
      <w:tr>
        <w:tc>
          <w:tcPr>
            <w:tcW w:type="dxa" w:w="2613"/>
            <w:vAlign w:val="top"/>
          </w:tcPr>
          <w:p>
            <w:r>
              <w:rPr>
                <w:sz w:val="14"/>
              </w:rPr>
              <w:t>06</w:t>
            </w:r>
          </w:p>
        </w:tc>
        <w:tc>
          <w:tcPr>
            <w:tcW w:type="dxa" w:w="2613"/>
            <w:vAlign w:val="top"/>
          </w:tcPr>
          <w:p>
            <w:r>
              <w:rPr>
                <w:sz w:val="14"/>
              </w:rPr>
              <w:t>January 2027-December 2028</w:t>
            </w:r>
          </w:p>
        </w:tc>
        <w:tc>
          <w:tcPr>
            <w:tcW w:type="dxa" w:w="2613"/>
            <w:vAlign w:val="top"/>
          </w:tcPr>
          <w:p>
            <w:r>
              <w:rPr>
                <w:sz w:val="14"/>
              </w:rPr>
              <w:t>VOLUME VI — PEAK CONSTRUCTION &amp; MACHINE ERECTION</w:t>
            </w:r>
          </w:p>
        </w:tc>
        <w:tc>
          <w:tcPr>
            <w:tcW w:type="dxa" w:w="2613"/>
            <w:vAlign w:val="top"/>
          </w:tcPr>
          <w:p>
            <w:r>
              <w:rPr>
                <w:sz w:val="14"/>
              </w:rPr>
              <w:t>Buildings, heavy logistics, supplier production and HFRP assembly</w:t>
            </w:r>
          </w:p>
        </w:tc>
      </w:tr>
      <w:tr>
        <w:tc>
          <w:tcPr>
            <w:tcW w:type="dxa" w:w="2613"/>
            <w:vAlign w:val="top"/>
          </w:tcPr>
          <w:p>
            <w:r>
              <w:rPr>
                <w:sz w:val="14"/>
              </w:rPr>
              <w:t>07</w:t>
            </w:r>
          </w:p>
        </w:tc>
        <w:tc>
          <w:tcPr>
            <w:tcW w:type="dxa" w:w="2613"/>
            <w:vAlign w:val="top"/>
          </w:tcPr>
          <w:p>
            <w:r>
              <w:rPr>
                <w:sz w:val="14"/>
              </w:rPr>
              <w:t>January-December 2029</w:t>
            </w:r>
          </w:p>
        </w:tc>
        <w:tc>
          <w:tcPr>
            <w:tcW w:type="dxa" w:w="2613"/>
            <w:vAlign w:val="top"/>
          </w:tcPr>
          <w:p>
            <w:r>
              <w:rPr>
                <w:sz w:val="14"/>
              </w:rPr>
              <w:t>VOLUME VII — SYSTEMIZATION, TURNOVER &amp; FIRST REBASELINE</w:t>
            </w:r>
          </w:p>
        </w:tc>
        <w:tc>
          <w:tcPr>
            <w:tcW w:type="dxa" w:w="2613"/>
            <w:vAlign w:val="top"/>
          </w:tcPr>
          <w:p>
            <w:r>
              <w:rPr>
                <w:sz w:val="14"/>
              </w:rPr>
              <w:t>Permanent power, mechanical completion, custody transfer and integration risk</w:t>
            </w:r>
          </w:p>
        </w:tc>
      </w:tr>
      <w:tr>
        <w:tc>
          <w:tcPr>
            <w:tcW w:type="dxa" w:w="2613"/>
            <w:vAlign w:val="top"/>
          </w:tcPr>
          <w:p>
            <w:r>
              <w:rPr>
                <w:sz w:val="14"/>
              </w:rPr>
              <w:t>08</w:t>
            </w:r>
          </w:p>
        </w:tc>
        <w:tc>
          <w:tcPr>
            <w:tcW w:type="dxa" w:w="2613"/>
            <w:vAlign w:val="top"/>
          </w:tcPr>
          <w:p>
            <w:r>
              <w:rPr>
                <w:sz w:val="14"/>
              </w:rPr>
              <w:t>January-December 2030</w:t>
            </w:r>
          </w:p>
        </w:tc>
        <w:tc>
          <w:tcPr>
            <w:tcW w:type="dxa" w:w="2613"/>
            <w:vAlign w:val="top"/>
          </w:tcPr>
          <w:p>
            <w:r>
              <w:rPr>
                <w:sz w:val="14"/>
              </w:rPr>
              <w:t>VOLUME VIII — FROM CONSTRUCTION PROJECT TO OPERATING PLANT</w:t>
            </w:r>
          </w:p>
        </w:tc>
        <w:tc>
          <w:tcPr>
            <w:tcW w:type="dxa" w:w="2613"/>
            <w:vAlign w:val="top"/>
          </w:tcPr>
          <w:p>
            <w:r>
              <w:rPr>
                <w:sz w:val="14"/>
              </w:rPr>
              <w:t>System commissioning, magnet cooldown, OEB-3, temporary configurations and Aurora launch</w:t>
            </w:r>
          </w:p>
        </w:tc>
      </w:tr>
      <w:tr>
        <w:tc>
          <w:tcPr>
            <w:tcW w:type="dxa" w:w="2613"/>
            <w:vAlign w:val="top"/>
          </w:tcPr>
          <w:p>
            <w:r>
              <w:rPr>
                <w:sz w:val="14"/>
              </w:rPr>
              <w:t>09</w:t>
            </w:r>
          </w:p>
        </w:tc>
        <w:tc>
          <w:tcPr>
            <w:tcW w:type="dxa" w:w="2613"/>
            <w:vAlign w:val="top"/>
          </w:tcPr>
          <w:p>
            <w:r>
              <w:rPr>
                <w:sz w:val="14"/>
              </w:rPr>
              <w:t>January-March 2031</w:t>
            </w:r>
          </w:p>
        </w:tc>
        <w:tc>
          <w:tcPr>
            <w:tcW w:type="dxa" w:w="2613"/>
            <w:vAlign w:val="top"/>
          </w:tcPr>
          <w:p>
            <w:r>
              <w:rPr>
                <w:sz w:val="14"/>
              </w:rPr>
              <w:t>VOLUME IX — INTEGRATED COMMISSIONING &amp; COMPLETION FINANCE</w:t>
            </w:r>
          </w:p>
        </w:tc>
        <w:tc>
          <w:tcPr>
            <w:tcW w:type="dxa" w:w="2613"/>
            <w:vAlign w:val="top"/>
          </w:tcPr>
          <w:p>
            <w:r>
              <w:rPr>
                <w:sz w:val="14"/>
              </w:rPr>
              <w:t>Operating authorization, magnet/vacuum integration, readiness governance and Project Aurora commitments</w:t>
            </w:r>
          </w:p>
        </w:tc>
      </w:tr>
      <w:tr>
        <w:tc>
          <w:tcPr>
            <w:tcW w:type="dxa" w:w="2613"/>
            <w:vAlign w:val="top"/>
          </w:tcPr>
          <w:p>
            <w:r>
              <w:rPr>
                <w:sz w:val="14"/>
              </w:rPr>
              <w:t>10</w:t>
            </w:r>
          </w:p>
        </w:tc>
        <w:tc>
          <w:tcPr>
            <w:tcW w:type="dxa" w:w="2613"/>
            <w:vAlign w:val="top"/>
          </w:tcPr>
          <w:p>
            <w:r>
              <w:rPr>
                <w:sz w:val="14"/>
              </w:rPr>
              <w:t>1-11 April 2031</w:t>
            </w:r>
          </w:p>
        </w:tc>
        <w:tc>
          <w:tcPr>
            <w:tcW w:type="dxa" w:w="2613"/>
            <w:vAlign w:val="top"/>
          </w:tcPr>
          <w:p>
            <w:r>
              <w:rPr>
                <w:sz w:val="14"/>
              </w:rPr>
              <w:t>VOLUME X — FIRST-PLASMA READINESS STATE</w:t>
            </w:r>
          </w:p>
        </w:tc>
        <w:tc>
          <w:tcPr>
            <w:tcW w:type="dxa" w:w="2613"/>
            <w:vAlign w:val="top"/>
          </w:tcPr>
          <w:p>
            <w:r>
              <w:rPr>
                <w:sz w:val="14"/>
              </w:rPr>
              <w:t>The plant, work-control, maintenance, precursor and institutional state immediately before CRS-01</w:t>
            </w:r>
          </w:p>
        </w:tc>
      </w:tr>
      <w:tr>
        <w:tc>
          <w:tcPr>
            <w:tcW w:type="dxa" w:w="2613"/>
            <w:vAlign w:val="top"/>
          </w:tcPr>
          <w:p>
            <w:r>
              <w:rPr>
                <w:sz w:val="14"/>
              </w:rPr>
              <w:t>11</w:t>
            </w:r>
          </w:p>
        </w:tc>
        <w:tc>
          <w:tcPr>
            <w:tcW w:type="dxa" w:w="2613"/>
            <w:vAlign w:val="top"/>
          </w:tcPr>
          <w:p>
            <w:r>
              <w:rPr>
                <w:sz w:val="14"/>
              </w:rPr>
              <w:t>12 April 2031</w:t>
            </w:r>
          </w:p>
        </w:tc>
        <w:tc>
          <w:tcPr>
            <w:tcW w:type="dxa" w:w="2613"/>
            <w:vAlign w:val="top"/>
          </w:tcPr>
          <w:p>
            <w:r>
              <w:rPr>
                <w:sz w:val="14"/>
              </w:rPr>
              <w:t>VOLUME XI — CRS-01 HIGH-POTENTIAL NEAR MISS</w:t>
            </w:r>
          </w:p>
        </w:tc>
        <w:tc>
          <w:tcPr>
            <w:tcW w:type="dxa" w:w="2613"/>
            <w:vAlign w:val="top"/>
          </w:tcPr>
          <w:p>
            <w:r>
              <w:rPr>
                <w:sz w:val="14"/>
              </w:rPr>
              <w:t>Physical event, immediate response, evidence control and first significance screening</w:t>
            </w:r>
          </w:p>
        </w:tc>
      </w:tr>
      <w:tr>
        <w:tc>
          <w:tcPr>
            <w:tcW w:type="dxa" w:w="2613"/>
            <w:vAlign w:val="top"/>
          </w:tcPr>
          <w:p>
            <w:r>
              <w:rPr>
                <w:sz w:val="14"/>
              </w:rPr>
              <w:t>12</w:t>
            </w:r>
          </w:p>
        </w:tc>
        <w:tc>
          <w:tcPr>
            <w:tcW w:type="dxa" w:w="2613"/>
            <w:vAlign w:val="top"/>
          </w:tcPr>
          <w:p>
            <w:r>
              <w:rPr>
                <w:sz w:val="14"/>
              </w:rPr>
              <w:t>13-19 April 2031</w:t>
            </w:r>
          </w:p>
        </w:tc>
        <w:tc>
          <w:tcPr>
            <w:tcW w:type="dxa" w:w="2613"/>
            <w:vAlign w:val="top"/>
          </w:tcPr>
          <w:p>
            <w:r>
              <w:rPr>
                <w:sz w:val="14"/>
              </w:rPr>
              <w:t>VOLUME XII — INVESTIGATION, M-88217 &amp; FRAGMENTED KNOWLEDGE</w:t>
            </w:r>
          </w:p>
        </w:tc>
        <w:tc>
          <w:tcPr>
            <w:tcW w:type="dxa" w:w="2613"/>
            <w:vAlign w:val="top"/>
          </w:tcPr>
          <w:p>
            <w:r>
              <w:rPr>
                <w:sz w:val="14"/>
              </w:rPr>
              <w:t>Extent of condition, records discrepancy, finance/government information propagation and the story cut</w:t>
            </w:r>
          </w:p>
        </w:tc>
      </w:tr>
      <w:tr>
        <w:tc>
          <w:tcPr>
            <w:tcW w:type="dxa" w:w="2613"/>
            <w:vAlign w:val="top"/>
          </w:tcPr>
          <w:p>
            <w:r>
              <w:rPr>
                <w:sz w:val="14"/>
              </w:rPr>
              <w:t>13</w:t>
            </w:r>
          </w:p>
        </w:tc>
        <w:tc>
          <w:tcPr>
            <w:tcW w:type="dxa" w:w="2613"/>
            <w:vAlign w:val="top"/>
          </w:tcPr>
          <w:p>
            <w:r>
              <w:rPr>
                <w:sz w:val="14"/>
              </w:rPr>
              <w:t>Reference companion to Volumes I-XII</w:t>
            </w:r>
          </w:p>
        </w:tc>
        <w:tc>
          <w:tcPr>
            <w:tcW w:type="dxa" w:w="2613"/>
            <w:vAlign w:val="top"/>
          </w:tcPr>
          <w:p>
            <w:r>
              <w:rPr>
                <w:sz w:val="14"/>
              </w:rPr>
              <w:t>VOLUME XIII — CROSS-REFERENCE ENCYCLOPEDIA</w:t>
            </w:r>
          </w:p>
        </w:tc>
        <w:tc>
          <w:tcPr>
            <w:tcW w:type="dxa" w:w="2613"/>
            <w:vAlign w:val="top"/>
          </w:tcPr>
          <w:p>
            <w:r>
              <w:rPr>
                <w:sz w:val="14"/>
              </w:rPr>
              <w:t>Institutions, contracts, finance, site, buildings, systems, documents, information layers and canon corrections</w:t>
            </w:r>
          </w:p>
        </w:tc>
      </w:tr>
      <w:tr>
        <w:tc>
          <w:tcPr>
            <w:tcW w:type="dxa" w:w="2613"/>
          </w:tcPr>
          <w:p>
            <w:r>
              <w:rPr>
                <w:sz w:val="15"/>
              </w:rPr>
              <w:t>14</w:t>
            </w:r>
          </w:p>
        </w:tc>
        <w:tc>
          <w:tcPr>
            <w:tcW w:type="dxa" w:w="2613"/>
          </w:tcPr>
          <w:p>
            <w:r>
              <w:rPr>
                <w:sz w:val="15"/>
              </w:rPr>
              <w:t>Master date-indexed companion to Volumes I-XII</w:t>
            </w:r>
          </w:p>
        </w:tc>
        <w:tc>
          <w:tcPr>
            <w:tcW w:type="dxa" w:w="2613"/>
          </w:tcPr>
          <w:p>
            <w:r>
              <w:rPr>
                <w:sz w:val="15"/>
              </w:rPr>
              <w:t>VOLUME XIV — MASTER CANONICAL CHRONOLOGY LEDGER</w:t>
            </w:r>
          </w:p>
        </w:tc>
        <w:tc>
          <w:tcPr>
            <w:tcW w:type="dxa" w:w="2613"/>
          </w:tcPr>
          <w:p>
            <w:r>
              <w:rPr>
                <w:sz w:val="15"/>
              </w:rPr>
              <w:t>Date-indexed control table linking technology/physical state, authority, finance/business, government/regulation, evidence and knowledge consequence in one row.</w:t>
            </w:r>
          </w:p>
        </w:tc>
      </w:tr>
    </w:tbl>
    <w:p>
      <w:pPr>
        <w:pStyle w:val="Heading1"/>
      </w:pPr>
      <w:r>
        <w:t>Global chronology</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vAlign w:val="center"/>
          </w:tcPr>
          <w:p>
            <w:r>
              <w:rPr>
                <w:b/>
                <w:sz w:val="14"/>
              </w:rPr>
              <w:t>Period</w:t>
            </w:r>
          </w:p>
        </w:tc>
        <w:tc>
          <w:tcPr>
            <w:tcW w:type="dxa" w:w="5227"/>
            <w:vAlign w:val="center"/>
          </w:tcPr>
          <w:p>
            <w:r>
              <w:rPr>
                <w:b/>
                <w:sz w:val="14"/>
              </w:rPr>
              <w:t>Canonical meaning</w:t>
            </w:r>
          </w:p>
        </w:tc>
      </w:tr>
      <w:tr>
        <w:tc>
          <w:tcPr>
            <w:tcW w:type="dxa" w:w="5227"/>
            <w:vAlign w:val="top"/>
          </w:tcPr>
          <w:p>
            <w:r>
              <w:rPr>
                <w:sz w:val="14"/>
              </w:rPr>
              <w:t>Pre-2023</w:t>
            </w:r>
          </w:p>
        </w:tc>
        <w:tc>
          <w:tcPr>
            <w:tcW w:type="dxa" w:w="5227"/>
            <w:vAlign w:val="top"/>
          </w:tcPr>
          <w:p>
            <w:r>
              <w:rPr>
                <w:sz w:val="14"/>
              </w:rPr>
              <w:t>HFRP qualification + Clarington strategic-site reserve.</w:t>
            </w:r>
          </w:p>
        </w:tc>
      </w:tr>
      <w:tr>
        <w:tc>
          <w:tcPr>
            <w:tcW w:type="dxa" w:w="5227"/>
            <w:vAlign w:val="top"/>
          </w:tcPr>
          <w:p>
            <w:r>
              <w:rPr>
                <w:sz w:val="14"/>
              </w:rPr>
              <w:t>Jan 2023-Mar 2024</w:t>
            </w:r>
          </w:p>
        </w:tc>
        <w:tc>
          <w:tcPr>
            <w:tcW w:type="dxa" w:w="5227"/>
            <w:vAlign w:val="top"/>
          </w:tcPr>
          <w:p>
            <w:r>
              <w:rPr>
                <w:sz w:val="14"/>
              </w:rPr>
              <w:t>Commercial origination / technology due diligence.</w:t>
            </w:r>
          </w:p>
        </w:tc>
      </w:tr>
      <w:tr>
        <w:tc>
          <w:tcPr>
            <w:tcW w:type="dxa" w:w="5227"/>
            <w:vAlign w:val="top"/>
          </w:tcPr>
          <w:p>
            <w:r>
              <w:rPr>
                <w:sz w:val="14"/>
              </w:rPr>
              <w:t>Apr 2024</w:t>
            </w:r>
          </w:p>
        </w:tc>
        <w:tc>
          <w:tcPr>
            <w:tcW w:type="dxa" w:w="5227"/>
            <w:vAlign w:val="top"/>
          </w:tcPr>
          <w:p>
            <w:r>
              <w:rPr>
                <w:sz w:val="14"/>
              </w:rPr>
              <w:t>Project authorization; OFG formally exists.</w:t>
            </w:r>
          </w:p>
        </w:tc>
      </w:tr>
      <w:tr>
        <w:tc>
          <w:tcPr>
            <w:tcW w:type="dxa" w:w="5227"/>
            <w:vAlign w:val="top"/>
          </w:tcPr>
          <w:p>
            <w:r>
              <w:rPr>
                <w:sz w:val="14"/>
              </w:rPr>
              <w:t>Apr-Sep 2024</w:t>
            </w:r>
          </w:p>
        </w:tc>
        <w:tc>
          <w:tcPr>
            <w:tcW w:type="dxa" w:w="5227"/>
            <w:vAlign w:val="top"/>
          </w:tcPr>
          <w:p>
            <w:r>
              <w:rPr>
                <w:sz w:val="14"/>
              </w:rPr>
              <w:t>Reference adaptation / pre-FEED.</w:t>
            </w:r>
          </w:p>
        </w:tc>
      </w:tr>
      <w:tr>
        <w:tc>
          <w:tcPr>
            <w:tcW w:type="dxa" w:w="5227"/>
            <w:vAlign w:val="top"/>
          </w:tcPr>
          <w:p>
            <w:r>
              <w:rPr>
                <w:sz w:val="14"/>
              </w:rPr>
              <w:t>Jul 2024-Sep 2025</w:t>
            </w:r>
          </w:p>
        </w:tc>
        <w:tc>
          <w:tcPr>
            <w:tcW w:type="dxa" w:w="5227"/>
            <w:vAlign w:val="top"/>
          </w:tcPr>
          <w:p>
            <w:r>
              <w:rPr>
                <w:sz w:val="14"/>
              </w:rPr>
              <w:t>FEED / Development Phase.</w:t>
            </w:r>
          </w:p>
        </w:tc>
      </w:tr>
      <w:tr>
        <w:tc>
          <w:tcPr>
            <w:tcW w:type="dxa" w:w="5227"/>
            <w:vAlign w:val="top"/>
          </w:tcPr>
          <w:p>
            <w:r>
              <w:rPr>
                <w:sz w:val="14"/>
              </w:rPr>
              <w:t>Sep 2025</w:t>
            </w:r>
          </w:p>
        </w:tc>
        <w:tc>
          <w:tcPr>
            <w:tcW w:type="dxa" w:w="5227"/>
            <w:vAlign w:val="top"/>
          </w:tcPr>
          <w:p>
            <w:r>
              <w:rPr>
                <w:sz w:val="14"/>
              </w:rPr>
              <w:t>FID / execution authorization.</w:t>
            </w:r>
          </w:p>
        </w:tc>
      </w:tr>
      <w:tr>
        <w:tc>
          <w:tcPr>
            <w:tcW w:type="dxa" w:w="5227"/>
            <w:vAlign w:val="top"/>
          </w:tcPr>
          <w:p>
            <w:r>
              <w:rPr>
                <w:sz w:val="14"/>
              </w:rPr>
              <w:t>Jun 2025-May 2026</w:t>
            </w:r>
          </w:p>
        </w:tc>
        <w:tc>
          <w:tcPr>
            <w:tcW w:type="dxa" w:w="5227"/>
            <w:vAlign w:val="top"/>
          </w:tcPr>
          <w:p>
            <w:r>
              <w:rPr>
                <w:sz w:val="14"/>
              </w:rPr>
              <w:t>Site preparation.</w:t>
            </w:r>
          </w:p>
        </w:tc>
      </w:tr>
      <w:tr>
        <w:tc>
          <w:tcPr>
            <w:tcW w:type="dxa" w:w="5227"/>
            <w:vAlign w:val="top"/>
          </w:tcPr>
          <w:p>
            <w:r>
              <w:rPr>
                <w:sz w:val="14"/>
              </w:rPr>
              <w:t>Oct 2025-mid-2029</w:t>
            </w:r>
          </w:p>
        </w:tc>
        <w:tc>
          <w:tcPr>
            <w:tcW w:type="dxa" w:w="5227"/>
            <w:vAlign w:val="top"/>
          </w:tcPr>
          <w:p>
            <w:r>
              <w:rPr>
                <w:sz w:val="14"/>
              </w:rPr>
              <w:t>Detailed engineering.</w:t>
            </w:r>
          </w:p>
        </w:tc>
      </w:tr>
      <w:tr>
        <w:tc>
          <w:tcPr>
            <w:tcW w:type="dxa" w:w="5227"/>
            <w:vAlign w:val="top"/>
          </w:tcPr>
          <w:p>
            <w:r>
              <w:rPr>
                <w:sz w:val="14"/>
              </w:rPr>
              <w:t>Late 2024-2030</w:t>
            </w:r>
          </w:p>
        </w:tc>
        <w:tc>
          <w:tcPr>
            <w:tcW w:type="dxa" w:w="5227"/>
            <w:vAlign w:val="top"/>
          </w:tcPr>
          <w:p>
            <w:r>
              <w:rPr>
                <w:sz w:val="14"/>
              </w:rPr>
              <w:t>Long-lead procurement/fabrication.</w:t>
            </w:r>
          </w:p>
        </w:tc>
      </w:tr>
      <w:tr>
        <w:tc>
          <w:tcPr>
            <w:tcW w:type="dxa" w:w="5227"/>
            <w:vAlign w:val="top"/>
          </w:tcPr>
          <w:p>
            <w:r>
              <w:rPr>
                <w:sz w:val="14"/>
              </w:rPr>
              <w:t>May 2026-2029</w:t>
            </w:r>
          </w:p>
        </w:tc>
        <w:tc>
          <w:tcPr>
            <w:tcW w:type="dxa" w:w="5227"/>
            <w:vAlign w:val="top"/>
          </w:tcPr>
          <w:p>
            <w:r>
              <w:rPr>
                <w:sz w:val="14"/>
              </w:rPr>
              <w:t>Permanent nuclear/fusion civil construction.</w:t>
            </w:r>
          </w:p>
        </w:tc>
      </w:tr>
      <w:tr>
        <w:tc>
          <w:tcPr>
            <w:tcW w:type="dxa" w:w="5227"/>
            <w:vAlign w:val="top"/>
          </w:tcPr>
          <w:p>
            <w:r>
              <w:rPr>
                <w:sz w:val="14"/>
              </w:rPr>
              <w:t>Late 2027-late 2029</w:t>
            </w:r>
          </w:p>
        </w:tc>
        <w:tc>
          <w:tcPr>
            <w:tcW w:type="dxa" w:w="5227"/>
            <w:vAlign w:val="top"/>
          </w:tcPr>
          <w:p>
            <w:r>
              <w:rPr>
                <w:sz w:val="14"/>
              </w:rPr>
              <w:t>Major machine erection.</w:t>
            </w:r>
          </w:p>
        </w:tc>
      </w:tr>
      <w:tr>
        <w:tc>
          <w:tcPr>
            <w:tcW w:type="dxa" w:w="5227"/>
            <w:vAlign w:val="top"/>
          </w:tcPr>
          <w:p>
            <w:r>
              <w:rPr>
                <w:sz w:val="14"/>
              </w:rPr>
              <w:t>2027-mid-2030</w:t>
            </w:r>
          </w:p>
        </w:tc>
        <w:tc>
          <w:tcPr>
            <w:tcW w:type="dxa" w:w="5227"/>
            <w:vAlign w:val="top"/>
          </w:tcPr>
          <w:p>
            <w:r>
              <w:rPr>
                <w:sz w:val="14"/>
              </w:rPr>
              <w:t>Plant-system installation.</w:t>
            </w:r>
          </w:p>
        </w:tc>
      </w:tr>
      <w:tr>
        <w:tc>
          <w:tcPr>
            <w:tcW w:type="dxa" w:w="5227"/>
            <w:vAlign w:val="top"/>
          </w:tcPr>
          <w:p>
            <w:r>
              <w:rPr>
                <w:sz w:val="14"/>
              </w:rPr>
              <w:t>Mid-2029-early 2031</w:t>
            </w:r>
          </w:p>
        </w:tc>
        <w:tc>
          <w:tcPr>
            <w:tcW w:type="dxa" w:w="5227"/>
            <w:vAlign w:val="top"/>
          </w:tcPr>
          <w:p>
            <w:r>
              <w:rPr>
                <w:sz w:val="14"/>
              </w:rPr>
              <w:t>Progressive completion / turnover.</w:t>
            </w:r>
          </w:p>
        </w:tc>
      </w:tr>
      <w:tr>
        <w:tc>
          <w:tcPr>
            <w:tcW w:type="dxa" w:w="5227"/>
            <w:vAlign w:val="top"/>
          </w:tcPr>
          <w:p>
            <w:r>
              <w:rPr>
                <w:sz w:val="14"/>
              </w:rPr>
              <w:t>Late 2029-2031</w:t>
            </w:r>
          </w:p>
        </w:tc>
        <w:tc>
          <w:tcPr>
            <w:tcW w:type="dxa" w:w="5227"/>
            <w:vAlign w:val="top"/>
          </w:tcPr>
          <w:p>
            <w:r>
              <w:rPr>
                <w:sz w:val="14"/>
              </w:rPr>
              <w:t>Pre-commissioning.</w:t>
            </w:r>
          </w:p>
        </w:tc>
      </w:tr>
      <w:tr>
        <w:tc>
          <w:tcPr>
            <w:tcW w:type="dxa" w:w="5227"/>
            <w:vAlign w:val="top"/>
          </w:tcPr>
          <w:p>
            <w:r>
              <w:rPr>
                <w:sz w:val="14"/>
              </w:rPr>
              <w:t>2030-2031</w:t>
            </w:r>
          </w:p>
        </w:tc>
        <w:tc>
          <w:tcPr>
            <w:tcW w:type="dxa" w:w="5227"/>
            <w:vAlign w:val="top"/>
          </w:tcPr>
          <w:p>
            <w:r>
              <w:rPr>
                <w:sz w:val="14"/>
              </w:rPr>
              <w:t>System commissioning.</w:t>
            </w:r>
          </w:p>
        </w:tc>
      </w:tr>
      <w:tr>
        <w:tc>
          <w:tcPr>
            <w:tcW w:type="dxa" w:w="5227"/>
            <w:vAlign w:val="top"/>
          </w:tcPr>
          <w:p>
            <w:r>
              <w:rPr>
                <w:sz w:val="14"/>
              </w:rPr>
              <w:t>Jan-Jun 2031</w:t>
            </w:r>
          </w:p>
        </w:tc>
        <w:tc>
          <w:tcPr>
            <w:tcW w:type="dxa" w:w="5227"/>
            <w:vAlign w:val="top"/>
          </w:tcPr>
          <w:p>
            <w:r>
              <w:rPr>
                <w:sz w:val="14"/>
              </w:rPr>
              <w:t>Integrated commissioning.</w:t>
            </w:r>
          </w:p>
        </w:tc>
      </w:tr>
      <w:tr>
        <w:tc>
          <w:tcPr>
            <w:tcW w:type="dxa" w:w="5227"/>
            <w:vAlign w:val="top"/>
          </w:tcPr>
          <w:p>
            <w:r>
              <w:rPr>
                <w:sz w:val="14"/>
              </w:rPr>
              <w:t>12 Apr 2031</w:t>
            </w:r>
          </w:p>
        </w:tc>
        <w:tc>
          <w:tcPr>
            <w:tcW w:type="dxa" w:w="5227"/>
            <w:vAlign w:val="top"/>
          </w:tcPr>
          <w:p>
            <w:r>
              <w:rPr>
                <w:sz w:val="14"/>
              </w:rPr>
              <w:t>High-potential commissioning near miss.</w:t>
            </w:r>
          </w:p>
        </w:tc>
      </w:tr>
      <w:tr>
        <w:tc>
          <w:tcPr>
            <w:tcW w:type="dxa" w:w="5227"/>
            <w:vAlign w:val="top"/>
          </w:tcPr>
          <w:p>
            <w:r>
              <w:rPr>
                <w:sz w:val="14"/>
              </w:rPr>
              <w:t>19 Apr 2031</w:t>
            </w:r>
          </w:p>
        </w:tc>
        <w:tc>
          <w:tcPr>
            <w:tcW w:type="dxa" w:w="5227"/>
            <w:vAlign w:val="top"/>
          </w:tcPr>
          <w:p>
            <w:r>
              <w:rPr>
                <w:sz w:val="14"/>
              </w:rPr>
              <w:t>Story present.</w:t>
            </w:r>
          </w:p>
        </w:tc>
      </w:tr>
      <w:tr>
        <w:tc>
          <w:tcPr>
            <w:tcW w:type="dxa" w:w="5227"/>
            <w:vAlign w:val="top"/>
          </w:tcPr>
          <w:p>
            <w:r>
              <w:rPr>
                <w:sz w:val="14"/>
              </w:rPr>
              <w:t>30 Jun 2031</w:t>
            </w:r>
          </w:p>
        </w:tc>
        <w:tc>
          <w:tcPr>
            <w:tcW w:type="dxa" w:w="5227"/>
            <w:vAlign w:val="top"/>
          </w:tcPr>
          <w:p>
            <w:r>
              <w:rPr>
                <w:sz w:val="14"/>
              </w:rPr>
              <w:t>Current approved First Plasma milestone.</w:t>
            </w:r>
          </w:p>
        </w:tc>
      </w:tr>
    </w:tbl>
    <w:p>
      <w:pPr>
        <w:pStyle w:val="Heading1"/>
      </w:pPr>
      <w:r>
        <w:t>Global authority principle</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vAlign w:val="center"/>
          </w:tcPr>
          <w:p>
            <w:r>
              <w:rPr>
                <w:b/>
                <w:sz w:val="13"/>
              </w:rPr>
              <w:t>Organization</w:t>
            </w:r>
          </w:p>
        </w:tc>
        <w:tc>
          <w:tcPr>
            <w:tcW w:type="dxa" w:w="3485"/>
            <w:vAlign w:val="center"/>
          </w:tcPr>
          <w:p>
            <w:r>
              <w:rPr>
                <w:b/>
                <w:sz w:val="13"/>
              </w:rPr>
              <w:t>Role</w:t>
            </w:r>
          </w:p>
        </w:tc>
        <w:tc>
          <w:tcPr>
            <w:tcW w:type="dxa" w:w="3485"/>
            <w:vAlign w:val="center"/>
          </w:tcPr>
          <w:p>
            <w:r>
              <w:rPr>
                <w:b/>
                <w:sz w:val="13"/>
              </w:rPr>
              <w:t>Boundary</w:t>
            </w:r>
          </w:p>
        </w:tc>
      </w:tr>
      <w:tr>
        <w:tc>
          <w:tcPr>
            <w:tcW w:type="dxa" w:w="3485"/>
            <w:vAlign w:val="top"/>
          </w:tcPr>
          <w:p>
            <w:r>
              <w:rPr>
                <w:sz w:val="13"/>
              </w:rPr>
              <w:t>OPG</w:t>
            </w:r>
          </w:p>
        </w:tc>
        <w:tc>
          <w:tcPr>
            <w:tcW w:type="dxa" w:w="3485"/>
            <w:vAlign w:val="top"/>
          </w:tcPr>
          <w:p>
            <w:r>
              <w:rPr>
                <w:sz w:val="13"/>
              </w:rPr>
              <w:t>Owner, CNSC licensee, project manager, commissioning authority, future operator, majority equity sponsor.</w:t>
            </w:r>
          </w:p>
        </w:tc>
        <w:tc>
          <w:tcPr>
            <w:tcW w:type="dxa" w:w="3485"/>
            <w:vAlign w:val="top"/>
          </w:tcPr>
          <w:p>
            <w:r>
              <w:rPr>
                <w:sz w:val="13"/>
              </w:rPr>
              <w:t>Cannot transfer licensed-facility responsibility to EPC contractors.</w:t>
            </w:r>
          </w:p>
        </w:tc>
      </w:tr>
      <w:tr>
        <w:tc>
          <w:tcPr>
            <w:tcW w:type="dxa" w:w="3485"/>
            <w:vAlign w:val="top"/>
          </w:tcPr>
          <w:p>
            <w:r>
              <w:rPr>
                <w:sz w:val="13"/>
              </w:rPr>
              <w:t>CNSC</w:t>
            </w:r>
          </w:p>
        </w:tc>
        <w:tc>
          <w:tcPr>
            <w:tcW w:type="dxa" w:w="3485"/>
            <w:vAlign w:val="top"/>
          </w:tcPr>
          <w:p>
            <w:r>
              <w:rPr>
                <w:sz w:val="13"/>
              </w:rPr>
              <w:t>Independent nuclear regulator.</w:t>
            </w:r>
          </w:p>
        </w:tc>
        <w:tc>
          <w:tcPr>
            <w:tcW w:type="dxa" w:w="3485"/>
            <w:vAlign w:val="top"/>
          </w:tcPr>
          <w:p>
            <w:r>
              <w:rPr>
                <w:sz w:val="13"/>
              </w:rPr>
              <w:t>Outside project hierarchy; licensing and regulatory hold points.</w:t>
            </w:r>
          </w:p>
        </w:tc>
      </w:tr>
      <w:tr>
        <w:tc>
          <w:tcPr>
            <w:tcW w:type="dxa" w:w="3485"/>
            <w:vAlign w:val="top"/>
          </w:tcPr>
          <w:p>
            <w:r>
              <w:rPr>
                <w:sz w:val="13"/>
              </w:rPr>
              <w:t>Ontario</w:t>
            </w:r>
          </w:p>
        </w:tc>
        <w:tc>
          <w:tcPr>
            <w:tcW w:type="dxa" w:w="3485"/>
            <w:vAlign w:val="top"/>
          </w:tcPr>
          <w:p>
            <w:r>
              <w:rPr>
                <w:sz w:val="13"/>
              </w:rPr>
              <w:t>OPG shareholder context, electricity policy, public completion support.</w:t>
            </w:r>
          </w:p>
        </w:tc>
        <w:tc>
          <w:tcPr>
            <w:tcW w:type="dxa" w:w="3485"/>
            <w:vAlign w:val="top"/>
          </w:tcPr>
          <w:p>
            <w:r>
              <w:rPr>
                <w:sz w:val="13"/>
              </w:rPr>
              <w:t>Political/economic influence without field technical authority.</w:t>
            </w:r>
          </w:p>
        </w:tc>
      </w:tr>
      <w:tr>
        <w:tc>
          <w:tcPr>
            <w:tcW w:type="dxa" w:w="3485"/>
            <w:vAlign w:val="top"/>
          </w:tcPr>
          <w:p>
            <w:r>
              <w:rPr>
                <w:sz w:val="13"/>
              </w:rPr>
              <w:t>IESO</w:t>
            </w:r>
          </w:p>
        </w:tc>
        <w:tc>
          <w:tcPr>
            <w:tcW w:type="dxa" w:w="3485"/>
            <w:vAlign w:val="top"/>
          </w:tcPr>
          <w:p>
            <w:r>
              <w:rPr>
                <w:sz w:val="13"/>
              </w:rPr>
              <w:t>Bulk-system planning and market/system integration.</w:t>
            </w:r>
          </w:p>
        </w:tc>
        <w:tc>
          <w:tcPr>
            <w:tcW w:type="dxa" w:w="3485"/>
            <w:vAlign w:val="top"/>
          </w:tcPr>
          <w:p>
            <w:r>
              <w:rPr>
                <w:sz w:val="13"/>
              </w:rPr>
              <w:t>External system-planning interface.</w:t>
            </w:r>
          </w:p>
        </w:tc>
      </w:tr>
      <w:tr>
        <w:tc>
          <w:tcPr>
            <w:tcW w:type="dxa" w:w="3485"/>
            <w:vAlign w:val="top"/>
          </w:tcPr>
          <w:p>
            <w:r>
              <w:rPr>
                <w:sz w:val="13"/>
              </w:rPr>
              <w:t>Hydro One</w:t>
            </w:r>
          </w:p>
        </w:tc>
        <w:tc>
          <w:tcPr>
            <w:tcW w:type="dxa" w:w="3485"/>
            <w:vAlign w:val="top"/>
          </w:tcPr>
          <w:p>
            <w:r>
              <w:rPr>
                <w:sz w:val="13"/>
              </w:rPr>
              <w:t>Transmission owner/operator and connection counterparty.</w:t>
            </w:r>
          </w:p>
        </w:tc>
        <w:tc>
          <w:tcPr>
            <w:tcW w:type="dxa" w:w="3485"/>
            <w:vAlign w:val="top"/>
          </w:tcPr>
          <w:p>
            <w:r>
              <w:rPr>
                <w:sz w:val="13"/>
              </w:rPr>
              <w:t>External transmission facilities and Point of Connection.</w:t>
            </w:r>
          </w:p>
        </w:tc>
      </w:tr>
      <w:tr>
        <w:tc>
          <w:tcPr>
            <w:tcW w:type="dxa" w:w="3485"/>
            <w:vAlign w:val="top"/>
          </w:tcPr>
          <w:p>
            <w:r>
              <w:rPr>
                <w:sz w:val="13"/>
              </w:rPr>
              <w:t>OEB</w:t>
            </w:r>
          </w:p>
        </w:tc>
        <w:tc>
          <w:tcPr>
            <w:tcW w:type="dxa" w:w="3485"/>
            <w:vAlign w:val="top"/>
          </w:tcPr>
          <w:p>
            <w:r>
              <w:rPr>
                <w:sz w:val="13"/>
              </w:rPr>
              <w:t>Economic/rate regulatory treatment where applicable.</w:t>
            </w:r>
          </w:p>
        </w:tc>
        <w:tc>
          <w:tcPr>
            <w:tcW w:type="dxa" w:w="3485"/>
            <w:vAlign w:val="top"/>
          </w:tcPr>
          <w:p>
            <w:r>
              <w:rPr>
                <w:sz w:val="13"/>
              </w:rPr>
              <w:t>Recovery/economic mechanism, not construction cash.</w:t>
            </w:r>
          </w:p>
        </w:tc>
      </w:tr>
      <w:tr>
        <w:tc>
          <w:tcPr>
            <w:tcW w:type="dxa" w:w="3485"/>
            <w:vAlign w:val="top"/>
          </w:tcPr>
          <w:p>
            <w:r>
              <w:rPr>
                <w:sz w:val="13"/>
              </w:rPr>
              <w:t>Infrastructure Ontario</w:t>
            </w:r>
          </w:p>
        </w:tc>
        <w:tc>
          <w:tcPr>
            <w:tcW w:type="dxa" w:w="3485"/>
            <w:vAlign w:val="top"/>
          </w:tcPr>
          <w:p>
            <w:r>
              <w:rPr>
                <w:sz w:val="13"/>
              </w:rPr>
              <w:t>Commercial/procurement advisory role when assigned.</w:t>
            </w:r>
          </w:p>
        </w:tc>
        <w:tc>
          <w:tcPr>
            <w:tcW w:type="dxa" w:w="3485"/>
            <w:vAlign w:val="top"/>
          </w:tcPr>
          <w:p>
            <w:r>
              <w:rPr>
                <w:sz w:val="13"/>
              </w:rPr>
              <w:t>Delivery-model and government commercial interface; no engineering authority.</w:t>
            </w:r>
          </w:p>
        </w:tc>
      </w:tr>
      <w:tr>
        <w:tc>
          <w:tcPr>
            <w:tcW w:type="dxa" w:w="3485"/>
            <w:vAlign w:val="top"/>
          </w:tcPr>
          <w:p>
            <w:r>
              <w:rPr>
                <w:sz w:val="13"/>
              </w:rPr>
              <w:t>Clarington</w:t>
            </w:r>
          </w:p>
        </w:tc>
        <w:tc>
          <w:tcPr>
            <w:tcW w:type="dxa" w:w="3485"/>
            <w:vAlign w:val="top"/>
          </w:tcPr>
          <w:p>
            <w:r>
              <w:rPr>
                <w:sz w:val="13"/>
              </w:rPr>
              <w:t>Municipal roads/services/planning interface.</w:t>
            </w:r>
          </w:p>
        </w:tc>
        <w:tc>
          <w:tcPr>
            <w:tcW w:type="dxa" w:w="3485"/>
            <w:vAlign w:val="top"/>
          </w:tcPr>
          <w:p>
            <w:r>
              <w:rPr>
                <w:sz w:val="13"/>
              </w:rPr>
              <w:t>Local government; no nuclear-design authority.</w:t>
            </w:r>
          </w:p>
        </w:tc>
      </w:tr>
      <w:tr>
        <w:tc>
          <w:tcPr>
            <w:tcW w:type="dxa" w:w="3485"/>
            <w:vAlign w:val="top"/>
          </w:tcPr>
          <w:p>
            <w:r>
              <w:rPr>
                <w:sz w:val="13"/>
              </w:rPr>
              <w:t>Williams Treaties First Nations</w:t>
            </w:r>
          </w:p>
        </w:tc>
        <w:tc>
          <w:tcPr>
            <w:tcW w:type="dxa" w:w="3485"/>
            <w:vAlign w:val="top"/>
          </w:tcPr>
          <w:p>
            <w:r>
              <w:rPr>
                <w:sz w:val="13"/>
              </w:rPr>
              <w:t>Rights-holder/consultation interface and separately an economic investor vehicle.</w:t>
            </w:r>
          </w:p>
        </w:tc>
        <w:tc>
          <w:tcPr>
            <w:tcW w:type="dxa" w:w="3485"/>
            <w:vAlign w:val="top"/>
          </w:tcPr>
          <w:p>
            <w:r>
              <w:rPr>
                <w:sz w:val="13"/>
              </w:rPr>
              <w:t>Equity participation does not extinguish consultation rights.</w:t>
            </w:r>
          </w:p>
        </w:tc>
      </w:tr>
      <w:tr>
        <w:tc>
          <w:tcPr>
            <w:tcW w:type="dxa" w:w="3485"/>
            <w:vAlign w:val="top"/>
          </w:tcPr>
          <w:p>
            <w:r>
              <w:rPr>
                <w:sz w:val="13"/>
              </w:rPr>
              <w:t>HMS Group / HMS</w:t>
            </w:r>
          </w:p>
        </w:tc>
        <w:tc>
          <w:tcPr>
            <w:tcW w:type="dxa" w:w="3485"/>
            <w:vAlign w:val="top"/>
          </w:tcPr>
          <w:p>
            <w:r>
              <w:rPr>
                <w:sz w:val="13"/>
              </w:rPr>
              <w:t>Technology parent and proprietary HFRP technology owner.</w:t>
            </w:r>
          </w:p>
        </w:tc>
        <w:tc>
          <w:tcPr>
            <w:tcW w:type="dxa" w:w="3485"/>
            <w:vAlign w:val="top"/>
          </w:tcPr>
          <w:p>
            <w:r>
              <w:rPr>
                <w:sz w:val="13"/>
              </w:rPr>
              <w:t>Controls qualified technology basis; not EPC constructor.</w:t>
            </w:r>
          </w:p>
        </w:tc>
      </w:tr>
      <w:tr>
        <w:tc>
          <w:tcPr>
            <w:tcW w:type="dxa" w:w="3485"/>
            <w:vAlign w:val="top"/>
          </w:tcPr>
          <w:p>
            <w:r>
              <w:rPr>
                <w:sz w:val="13"/>
              </w:rPr>
              <w:t>E&amp;C Holdings / E&amp;C Canada</w:t>
            </w:r>
          </w:p>
        </w:tc>
        <w:tc>
          <w:tcPr>
            <w:tcW w:type="dxa" w:w="3485"/>
            <w:vAlign w:val="top"/>
          </w:tcPr>
          <w:p>
            <w:r>
              <w:rPr>
                <w:sz w:val="13"/>
              </w:rPr>
              <w:t>Global engineering parent / Canadian EPC entity.</w:t>
            </w:r>
          </w:p>
        </w:tc>
        <w:tc>
          <w:tcPr>
            <w:tcW w:type="dxa" w:w="3485"/>
            <w:vAlign w:val="top"/>
          </w:tcPr>
          <w:p>
            <w:r>
              <w:rPr>
                <w:sz w:val="13"/>
              </w:rPr>
              <w:t>E&amp;C Canada integrates detailed design/procurement/execution.</w:t>
            </w:r>
          </w:p>
        </w:tc>
      </w:tr>
      <w:tr>
        <w:tc>
          <w:tcPr>
            <w:tcW w:type="dxa" w:w="3485"/>
            <w:vAlign w:val="top"/>
          </w:tcPr>
          <w:p>
            <w:r>
              <w:rPr>
                <w:sz w:val="13"/>
              </w:rPr>
              <w:t>Bechtel</w:t>
            </w:r>
          </w:p>
        </w:tc>
        <w:tc>
          <w:tcPr>
            <w:tcW w:type="dxa" w:w="3485"/>
            <w:vAlign w:val="top"/>
          </w:tcPr>
          <w:p>
            <w:r>
              <w:rPr>
                <w:sz w:val="13"/>
              </w:rPr>
              <w:t>Principal construction contractor and designated constructor.</w:t>
            </w:r>
          </w:p>
        </w:tc>
        <w:tc>
          <w:tcPr>
            <w:tcW w:type="dxa" w:w="3485"/>
            <w:vAlign w:val="top"/>
          </w:tcPr>
          <w:p>
            <w:r>
              <w:rPr>
                <w:sz w:val="13"/>
              </w:rPr>
              <w:t>Construction sequencing, logistics, site H&amp;S/constructor control; not HFRP design authority.</w:t>
            </w:r>
          </w:p>
        </w:tc>
      </w:tr>
      <w:tr>
        <w:tc>
          <w:tcPr>
            <w:tcW w:type="dxa" w:w="3485"/>
            <w:vAlign w:val="top"/>
          </w:tcPr>
          <w:p>
            <w:r>
              <w:rPr>
                <w:sz w:val="13"/>
              </w:rPr>
              <w:t>Aecon / Kiewit / E.S. Fox / Bird</w:t>
            </w:r>
          </w:p>
        </w:tc>
        <w:tc>
          <w:tcPr>
            <w:tcW w:type="dxa" w:w="3485"/>
            <w:vAlign w:val="top"/>
          </w:tcPr>
          <w:p>
            <w:r>
              <w:rPr>
                <w:sz w:val="13"/>
              </w:rPr>
              <w:t>Major field package contractors.</w:t>
            </w:r>
          </w:p>
        </w:tc>
        <w:tc>
          <w:tcPr>
            <w:tcW w:type="dxa" w:w="3485"/>
            <w:vAlign w:val="top"/>
          </w:tcPr>
          <w:p>
            <w:r>
              <w:rPr>
                <w:sz w:val="13"/>
              </w:rPr>
              <w:t>Execute defined packages beneath Bechtel.</w:t>
            </w:r>
          </w:p>
        </w:tc>
      </w:tr>
      <w:tr>
        <w:tc>
          <w:tcPr>
            <w:tcW w:type="dxa" w:w="3485"/>
            <w:vAlign w:val="top"/>
          </w:tcPr>
          <w:p>
            <w:r>
              <w:rPr>
                <w:sz w:val="13"/>
              </w:rPr>
              <w:t>MHI / IHI / JGC / BWXT / Arabelle / GE Vernova / Emerson / Westinghouse</w:t>
            </w:r>
          </w:p>
        </w:tc>
        <w:tc>
          <w:tcPr>
            <w:tcW w:type="dxa" w:w="3485"/>
            <w:vAlign w:val="top"/>
          </w:tcPr>
          <w:p>
            <w:r>
              <w:rPr>
                <w:sz w:val="13"/>
              </w:rPr>
              <w:t>Major OEM and specialist package suppliers.</w:t>
            </w:r>
          </w:p>
        </w:tc>
        <w:tc>
          <w:tcPr>
            <w:tcW w:type="dxa" w:w="3485"/>
            <w:vAlign w:val="top"/>
          </w:tcPr>
          <w:p>
            <w:r>
              <w:rPr>
                <w:sz w:val="13"/>
              </w:rPr>
              <w:t>Package scope only; not parallel EPCs.</w:t>
            </w:r>
          </w:p>
        </w:tc>
      </w:tr>
      <w:tr>
        <w:tc>
          <w:tcPr>
            <w:tcW w:type="dxa" w:w="3485"/>
            <w:vAlign w:val="top"/>
          </w:tcPr>
          <w:p>
            <w:r>
              <w:rPr>
                <w:sz w:val="13"/>
              </w:rPr>
              <w:t>AtkinsRéalis</w:t>
            </w:r>
          </w:p>
        </w:tc>
        <w:tc>
          <w:tcPr>
            <w:tcW w:type="dxa" w:w="3485"/>
            <w:vAlign w:val="top"/>
          </w:tcPr>
          <w:p>
            <w:r>
              <w:rPr>
                <w:sz w:val="13"/>
              </w:rPr>
              <w:t>Narrow Canadian nuclear/licensing/safety-analysis specialist.</w:t>
            </w:r>
          </w:p>
        </w:tc>
        <w:tc>
          <w:tcPr>
            <w:tcW w:type="dxa" w:w="3485"/>
            <w:vAlign w:val="top"/>
          </w:tcPr>
          <w:p>
            <w:r>
              <w:rPr>
                <w:sz w:val="13"/>
              </w:rPr>
              <w:t>Advisory/specialist support.</w:t>
            </w:r>
          </w:p>
        </w:tc>
      </w:tr>
      <w:tr>
        <w:tc>
          <w:tcPr>
            <w:tcW w:type="dxa" w:w="3485"/>
            <w:vAlign w:val="top"/>
          </w:tcPr>
          <w:p>
            <w:r>
              <w:rPr>
                <w:sz w:val="13"/>
              </w:rPr>
              <w:t>Fluor</w:t>
            </w:r>
          </w:p>
        </w:tc>
        <w:tc>
          <w:tcPr>
            <w:tcW w:type="dxa" w:w="3485"/>
            <w:vAlign w:val="top"/>
          </w:tcPr>
          <w:p>
            <w:r>
              <w:rPr>
                <w:sz w:val="13"/>
              </w:rPr>
              <w:t>Completion/turnover/commissioning surge support.</w:t>
            </w:r>
          </w:p>
        </w:tc>
        <w:tc>
          <w:tcPr>
            <w:tcW w:type="dxa" w:w="3485"/>
            <w:vAlign w:val="top"/>
          </w:tcPr>
          <w:p>
            <w:r>
              <w:rPr>
                <w:sz w:val="13"/>
              </w:rPr>
              <w:t>No parallel EPC/design authority.</w:t>
            </w:r>
          </w:p>
        </w:tc>
      </w:tr>
      <w:tr>
        <w:tc>
          <w:tcPr>
            <w:tcW w:type="dxa" w:w="3485"/>
            <w:vAlign w:val="top"/>
          </w:tcPr>
          <w:p>
            <w:r>
              <w:rPr>
                <w:sz w:val="13"/>
              </w:rPr>
              <w:t>Sargent &amp; Lundy</w:t>
            </w:r>
          </w:p>
        </w:tc>
        <w:tc>
          <w:tcPr>
            <w:tcW w:type="dxa" w:w="3485"/>
            <w:vAlign w:val="top"/>
          </w:tcPr>
          <w:p>
            <w:r>
              <w:rPr>
                <w:sz w:val="13"/>
              </w:rPr>
              <w:t>Lenders Technical Adviser / Independent Engineer.</w:t>
            </w:r>
          </w:p>
        </w:tc>
        <w:tc>
          <w:tcPr>
            <w:tcW w:type="dxa" w:w="3485"/>
            <w:vAlign w:val="top"/>
          </w:tcPr>
          <w:p>
            <w:r>
              <w:rPr>
                <w:sz w:val="13"/>
              </w:rPr>
              <w:t>Translates physical progress and risk into finance-grade monitoring.</w:t>
            </w:r>
          </w:p>
        </w:tc>
      </w:tr>
      <w:tr>
        <w:tc>
          <w:tcPr>
            <w:tcW w:type="dxa" w:w="3485"/>
            <w:vAlign w:val="top"/>
          </w:tcPr>
          <w:p>
            <w:r>
              <w:rPr>
                <w:sz w:val="13"/>
              </w:rPr>
              <w:t>JPMorgan / MUFG / SMBC / bank syndicate</w:t>
            </w:r>
          </w:p>
        </w:tc>
        <w:tc>
          <w:tcPr>
            <w:tcW w:type="dxa" w:w="3485"/>
            <w:vAlign w:val="top"/>
          </w:tcPr>
          <w:p>
            <w:r>
              <w:rPr>
                <w:sz w:val="13"/>
              </w:rPr>
              <w:t>Banking/structuring/financing counterparties.</w:t>
            </w:r>
          </w:p>
        </w:tc>
        <w:tc>
          <w:tcPr>
            <w:tcW w:type="dxa" w:w="3485"/>
            <w:vAlign w:val="top"/>
          </w:tcPr>
          <w:p>
            <w:r>
              <w:rPr>
                <w:sz w:val="13"/>
              </w:rPr>
              <w:t>Economic/information rights; no nuclear decision authority.</w:t>
            </w:r>
          </w:p>
        </w:tc>
      </w:tr>
      <w:tr>
        <w:tc>
          <w:tcPr>
            <w:tcW w:type="dxa" w:w="3485"/>
            <w:vAlign w:val="top"/>
          </w:tcPr>
          <w:p>
            <w:r>
              <w:rPr>
                <w:sz w:val="13"/>
              </w:rPr>
              <w:t>METI/ANRE, MOFA, MOF, Cabinet Secretariat</w:t>
            </w:r>
          </w:p>
        </w:tc>
        <w:tc>
          <w:tcPr>
            <w:tcW w:type="dxa" w:w="3485"/>
            <w:vAlign w:val="top"/>
          </w:tcPr>
          <w:p>
            <w:r>
              <w:rPr>
                <w:sz w:val="13"/>
              </w:rPr>
              <w:t>Japanese industrial-policy, diplomacy, fiscal scrutiny and later central coordination.</w:t>
            </w:r>
          </w:p>
        </w:tc>
        <w:tc>
          <w:tcPr>
            <w:tcW w:type="dxa" w:w="3485"/>
            <w:vAlign w:val="top"/>
          </w:tcPr>
          <w:p>
            <w:r>
              <w:rPr>
                <w:sz w:val="13"/>
              </w:rPr>
              <w:t>External programme/political influence; no site chain of command.</w:t>
            </w:r>
          </w:p>
        </w:tc>
      </w:tr>
    </w:tbl>
    <w:p>
      <w:pPr>
        <w:pStyle w:val="Heading1"/>
      </w:pPr>
      <w:r>
        <w:t>Configuration controls accumulated through Rev J</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vAlign w:val="center"/>
          </w:tcPr>
          <w:p>
            <w:r>
              <w:rPr>
                <w:b/>
                <w:sz w:val="14"/>
              </w:rPr>
              <w:t>Revision</w:t>
            </w:r>
          </w:p>
        </w:tc>
        <w:tc>
          <w:tcPr>
            <w:tcW w:type="dxa" w:w="5227"/>
            <w:vAlign w:val="center"/>
          </w:tcPr>
          <w:p>
            <w:r>
              <w:rPr>
                <w:b/>
                <w:sz w:val="14"/>
              </w:rPr>
              <w:t>Controlling rule</w:t>
            </w:r>
          </w:p>
        </w:tc>
      </w:tr>
      <w:tr>
        <w:tc>
          <w:tcPr>
            <w:tcW w:type="dxa" w:w="5227"/>
            <w:vAlign w:val="top"/>
          </w:tcPr>
          <w:p>
            <w:r>
              <w:rPr>
                <w:sz w:val="14"/>
              </w:rPr>
              <w:t>Rev B</w:t>
            </w:r>
          </w:p>
        </w:tc>
        <w:tc>
          <w:tcPr>
            <w:tcW w:type="dxa" w:w="5227"/>
            <w:vAlign w:val="top"/>
          </w:tcPr>
          <w:p>
            <w:r>
              <w:rPr>
                <w:sz w:val="14"/>
              </w:rPr>
              <w:t>Do not treat CNSC vendor design review as certification/project approval; distinguish real Q-DEMO starting point from fictional maturation.</w:t>
            </w:r>
          </w:p>
        </w:tc>
      </w:tr>
      <w:tr>
        <w:tc>
          <w:tcPr>
            <w:tcW w:type="dxa" w:w="5227"/>
            <w:vAlign w:val="top"/>
          </w:tcPr>
          <w:p>
            <w:r>
              <w:rPr>
                <w:sz w:val="14"/>
              </w:rPr>
              <w:t>Rev C</w:t>
            </w:r>
          </w:p>
        </w:tc>
        <w:tc>
          <w:tcPr>
            <w:tcW w:type="dxa" w:w="5227"/>
            <w:vAlign w:val="top"/>
          </w:tcPr>
          <w:p>
            <w:r>
              <w:rPr>
                <w:sz w:val="14"/>
              </w:rPr>
              <w:t>Site geography is lifecycle evidence; exact OFG coordinates remain provisional until deliberately fixed through land/survey/master-planning chain.</w:t>
            </w:r>
          </w:p>
        </w:tc>
      </w:tr>
      <w:tr>
        <w:tc>
          <w:tcPr>
            <w:tcW w:type="dxa" w:w="5227"/>
            <w:vAlign w:val="top"/>
          </w:tcPr>
          <w:p>
            <w:r>
              <w:rPr>
                <w:sz w:val="14"/>
              </w:rPr>
              <w:t>Rev D</w:t>
            </w:r>
          </w:p>
        </w:tc>
        <w:tc>
          <w:tcPr>
            <w:tcW w:type="dxa" w:w="5227"/>
            <w:vAlign w:val="top"/>
          </w:tcPr>
          <w:p>
            <w:r>
              <w:rPr>
                <w:sz w:val="14"/>
              </w:rPr>
              <w:t>HFRP commercial qualification is not Canadian regulatory approval; Canadian safety-case translation is required.</w:t>
            </w:r>
          </w:p>
        </w:tc>
      </w:tr>
      <w:tr>
        <w:tc>
          <w:tcPr>
            <w:tcW w:type="dxa" w:w="5227"/>
            <w:vAlign w:val="top"/>
          </w:tcPr>
          <w:p>
            <w:r>
              <w:rPr>
                <w:sz w:val="14"/>
              </w:rPr>
              <w:t>Rev E</w:t>
            </w:r>
          </w:p>
        </w:tc>
        <w:tc>
          <w:tcPr>
            <w:tcW w:type="dxa" w:w="5227"/>
            <w:vAlign w:val="top"/>
          </w:tcPr>
          <w:p>
            <w:r>
              <w:rPr>
                <w:sz w:val="14"/>
              </w:rPr>
              <w:t>Physical-documentary equipment identity controls; requirement→supplier→serial→manufacture→shipment→installation→turnover genealogy must be auditable.</w:t>
            </w:r>
          </w:p>
        </w:tc>
      </w:tr>
      <w:tr>
        <w:tc>
          <w:tcPr>
            <w:tcW w:type="dxa" w:w="5227"/>
            <w:vAlign w:val="top"/>
          </w:tcPr>
          <w:p>
            <w:r>
              <w:rPr>
                <w:sz w:val="14"/>
              </w:rPr>
              <w:t>Rev F</w:t>
            </w:r>
          </w:p>
        </w:tc>
        <w:tc>
          <w:tcPr>
            <w:tcW w:type="dxa" w:w="5227"/>
            <w:vAlign w:val="top"/>
          </w:tcPr>
          <w:p>
            <w:r>
              <w:rPr>
                <w:sz w:val="14"/>
              </w:rPr>
              <w:t>Scheduled ≠ released ≠ authorized ≠ performed ≠ inspected ≠ mechanically complete ≠ turned over ≠ commissioned ≠ accepted.</w:t>
            </w:r>
          </w:p>
        </w:tc>
      </w:tr>
      <w:tr>
        <w:tc>
          <w:tcPr>
            <w:tcW w:type="dxa" w:w="5227"/>
            <w:vAlign w:val="top"/>
          </w:tcPr>
          <w:p>
            <w:r>
              <w:rPr>
                <w:sz w:val="14"/>
              </w:rPr>
              <w:t>Rev G</w:t>
            </w:r>
          </w:p>
        </w:tc>
        <w:tc>
          <w:tcPr>
            <w:tcW w:type="dxa" w:w="5227"/>
            <w:vAlign w:val="top"/>
          </w:tcPr>
          <w:p>
            <w:r>
              <w:rPr>
                <w:sz w:val="14"/>
              </w:rPr>
              <w:t>First Plasma is a bounded commissioning milestone; date commitment cannot redefine technical state/readiness.</w:t>
            </w:r>
          </w:p>
        </w:tc>
      </w:tr>
      <w:tr>
        <w:tc>
          <w:tcPr>
            <w:tcW w:type="dxa" w:w="5227"/>
            <w:vAlign w:val="top"/>
          </w:tcPr>
          <w:p>
            <w:r>
              <w:rPr>
                <w:sz w:val="14"/>
              </w:rPr>
              <w:t>Rev H</w:t>
            </w:r>
          </w:p>
        </w:tc>
        <w:tc>
          <w:tcPr>
            <w:tcW w:type="dxa" w:w="5227"/>
            <w:vAlign w:val="top"/>
          </w:tcPr>
          <w:p>
            <w:r>
              <w:rPr>
                <w:sz w:val="14"/>
              </w:rPr>
              <w:t>Heinrich is a modern precursor-ecology theme, not a literal fixed ratio; knowledge states are time-indexed; no single-root-cause storytelling.</w:t>
            </w:r>
          </w:p>
        </w:tc>
      </w:tr>
      <w:tr>
        <w:tc>
          <w:tcPr>
            <w:tcW w:type="dxa" w:w="5227"/>
            <w:vAlign w:val="top"/>
          </w:tcPr>
          <w:p>
            <w:r>
              <w:rPr>
                <w:sz w:val="14"/>
              </w:rPr>
              <w:t>Rev I</w:t>
            </w:r>
          </w:p>
        </w:tc>
        <w:tc>
          <w:tcPr>
            <w:tcW w:type="dxa" w:w="5227"/>
            <w:vAlign w:val="top"/>
          </w:tcPr>
          <w:p>
            <w:r>
              <w:rPr>
                <w:sz w:val="14"/>
              </w:rPr>
              <w:t>CMMS CLOSED/APPROVED cannot alone prove physical maintenance; as-found/as-left evidence and maintenance basis matter.</w:t>
            </w:r>
          </w:p>
        </w:tc>
      </w:tr>
      <w:tr>
        <w:tc>
          <w:tcPr>
            <w:tcW w:type="dxa" w:w="5227"/>
            <w:vAlign w:val="top"/>
          </w:tcPr>
          <w:p>
            <w:r>
              <w:rPr>
                <w:sz w:val="14"/>
              </w:rPr>
              <w:t>Rev J</w:t>
            </w:r>
          </w:p>
        </w:tc>
        <w:tc>
          <w:tcPr>
            <w:tcW w:type="dxa" w:w="5227"/>
            <w:vAlign w:val="top"/>
          </w:tcPr>
          <w:p>
            <w:r>
              <w:rPr>
                <w:sz w:val="14"/>
              </w:rPr>
              <w:t>Emergency readiness is staged and hazard-based; severe conventional industrial events at a licensed site are not automatically nuclear emergencies.</w:t>
            </w:r>
          </w:p>
        </w:tc>
      </w:tr>
    </w:tbl>
    <w:p>
      <w:pPr>
        <w:pStyle w:val="Heading1"/>
      </w:pPr>
      <w:r>
        <w:t>How another thread should use these volumes</w:t>
      </w:r>
    </w:p>
    <w:p>
      <w:pPr>
        <w:pStyle w:val="ListBullet"/>
      </w:pPr>
      <w:r>
        <w:t>Start with Volume 00 to identify the controlling period and authority boundary.</w:t>
      </w:r>
    </w:p>
    <w:p>
      <w:pPr>
        <w:pStyle w:val="ListBullet"/>
      </w:pPr>
      <w:r>
        <w:t>Use the chronological volume for what existed and who knew what at the relevant date.</w:t>
      </w:r>
    </w:p>
    <w:p>
      <w:pPr>
        <w:pStyle w:val="ListBullet"/>
      </w:pPr>
      <w:r>
        <w:t>Use Volume XIII for entity, contract, system, building, finance and information-level cross-reference.</w:t>
      </w:r>
    </w:p>
    <w:p>
      <w:pPr>
        <w:pStyle w:val="ListBullet"/>
      </w:pPr>
      <w:r>
        <w:t>Use Volume XIV for a compact date-indexed answer to what physically existed, who had authority, what financing/government state applied, what evidence controlled, and what was knowable at that date.</w:t>
      </w:r>
    </w:p>
    <w:p/>
    <w:p>
      <w:pPr>
        <w:pStyle w:val="ListBullet"/>
      </w:pPr>
      <w:r>
        <w:t>Do not back-project a later state into an earlier period. A 2031 operating organization, financing structure or maintenance record may not exist in 2024.</w:t>
      </w:r>
    </w:p>
    <w:p>
      <w:pPr>
        <w:pStyle w:val="ListBullet"/>
      </w:pPr>
      <w:r>
        <w:t>Where an article says OPEN / CONTROLLED, ask for a deliberate canon decision or additional research before writing an exact fact.</w:t>
      </w:r>
    </w:p>
    <w:p>
      <w:pPr>
        <w:pStyle w:val="Heading1"/>
      </w:pPr>
      <w:r>
        <w:t>Rev N structure note</w:t>
      </w:r>
    </w:p>
    <w:p>
      <w:r>
        <w:t>Revision N removes the backlog-phase/lens matrices from the user-facing encyclopedia. Backlog material is used only as an internal coverage checklist. Volumes I–XII are narrative/reference histories; Volume XIII is the cross-reference encyclopedia; Volume XIV is the master date-indexed chronology ledger. The structured annexes preserve asset/event granularity without turning research prompts into encyclopedia prose.</w:t>
      </w:r>
    </w:p>
    <w:p>
      <w:pPr>
        <w:pStyle w:val="Heading1"/>
      </w:pPr>
      <w:r>
        <w:t>Scale and completeness</w:t>
      </w:r>
    </w:p>
    <w:p>
      <w:pPr/>
      <w:r>
        <w:t>The core encyclopedia comprises Volumes 00–XIV and renders to 239 pages in the current layout. That narrative/reference core is deliberately compact rather than padded. The granular chronology is carried in the structured annexes: 128,986 dated event rows through the story cut plus 22,647 controlled assets. At roughly 25–30 table rows per printed page, the two structured annexes alone correspond to about 5,000–6,000 pages of tabular reference material. This is an approximate print-equivalent, not the rendered DOCX page count. Working-dataset rows are explicitly status-marked and cannot override locked canon.</w:t>
      </w:r>
    </w:p>
    <w:p>
      <w:pPr/>
      <w:r>
        <w:t>For cross-thread work, use the narrative volumes to understand causation, institutional context and chronology; use Volume XIV for date lookup; use Volume XIII for entity/contract/system lookup; and use the CSV annexes only when asset-level or event-level granularity is required.</w:t>
      </w:r>
    </w:p>
    <w:p>
      <w:pPr>
        <w:pStyle w:val="Heading1"/>
      </w:pPr>
      <w:r>
        <w:t>Data annexes</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vAlign w:val="center"/>
          </w:tcPr>
          <w:p>
            <w:r>
              <w:rPr>
                <w:b/>
                <w:sz w:val="14"/>
              </w:rPr>
              <w:t>Annex</w:t>
            </w:r>
          </w:p>
        </w:tc>
        <w:tc>
          <w:tcPr>
            <w:tcW w:type="dxa" w:w="5227"/>
            <w:vAlign w:val="center"/>
          </w:tcPr>
          <w:p>
            <w:r>
              <w:rPr>
                <w:b/>
                <w:sz w:val="14"/>
              </w:rPr>
              <w:t>Purpose</w:t>
            </w:r>
          </w:p>
        </w:tc>
      </w:tr>
      <w:tr>
        <w:tc>
          <w:tcPr>
            <w:tcW w:type="dxa" w:w="5227"/>
            <w:vAlign w:val="top"/>
          </w:tcPr>
          <w:p>
            <w:r>
              <w:rPr>
                <w:sz w:val="15"/>
              </w:rPr>
              <w:t>A — Controlled Asset Register</w:t>
            </w:r>
          </w:p>
        </w:tc>
        <w:tc>
          <w:tcPr>
            <w:tcW w:type="dxa" w:w="5227"/>
            <w:vAlign w:val="top"/>
          </w:tcPr>
          <w:p>
            <w:r>
              <w:rPr>
                <w:sz w:val="15"/>
              </w:rPr>
              <w:t>22,647 individually controlled Rev A assets, with evidence-status field. Working dataset; not self-authenticating canon.</w:t>
            </w:r>
          </w:p>
        </w:tc>
      </w:tr>
      <w:tr>
        <w:tc>
          <w:tcPr>
            <w:tcW w:type="dxa" w:w="5227"/>
            <w:vAlign w:val="top"/>
          </w:tcPr>
          <w:p>
            <w:r>
              <w:rPr>
                <w:sz w:val="15"/>
              </w:rPr>
              <w:t>B — Master Equipment/Event Timeline</w:t>
            </w:r>
          </w:p>
        </w:tc>
        <w:tc>
          <w:tcPr>
            <w:tcW w:type="dxa" w:w="5227"/>
            <w:vAlign w:val="top"/>
          </w:tcPr>
          <w:p>
            <w:r>
              <w:rPr>
                <w:sz w:val="15"/>
              </w:rPr>
              <w:t>128,986 dated rows through the 19 April 2031 cut: canonical milestones plus working equipment/lifecycle events, each explicitly status-marked.</w:t>
            </w:r>
          </w:p>
        </w:tc>
      </w:tr>
      <w:tr>
        <w:tc>
          <w:tcPr>
            <w:tcW w:type="dxa" w:w="5227"/>
            <w:vAlign w:val="top"/>
          </w:tcPr>
          <w:p>
            <w:r>
              <w:rPr>
                <w:sz w:val="15"/>
              </w:rPr>
              <w:t>B1-B6 — Period event extracts</w:t>
            </w:r>
          </w:p>
        </w:tc>
        <w:tc>
          <w:tcPr>
            <w:tcW w:type="dxa" w:w="5227"/>
            <w:vAlign w:val="top"/>
          </w:tcPr>
          <w:p>
            <w:r>
              <w:rPr>
                <w:sz w:val="15"/>
              </w:rPr>
              <w:t>Period extracts: 2025–26 (5,834 rows), 2027 (19,091), 2028 (6,349), 2029 (37,591), 2030 (55,129), and 2031 through 19 April (4,988).</w:t>
            </w:r>
          </w:p>
        </w:tc>
      </w:tr>
      <w:tr>
        <w:tc>
          <w:tcPr>
            <w:tcW w:type="dxa" w:w="5227"/>
            <w:vAlign w:val="top"/>
          </w:tcPr>
          <w:p>
            <w:r>
              <w:rPr>
                <w:sz w:val="15"/>
              </w:rPr>
              <w:t>Q — Post-cut quarantine</w:t>
            </w:r>
          </w:p>
        </w:tc>
        <w:tc>
          <w:tcPr>
            <w:tcW w:type="dxa" w:w="5227"/>
            <w:vAlign w:val="top"/>
          </w:tcPr>
          <w:p>
            <w:r>
              <w:rPr>
                <w:sz w:val="15"/>
              </w:rPr>
              <w:t>1,570 working-dataset events dated after 19 April 2031, segregated so they cannot be mistaken for established history at the story cut.</w:t>
            </w:r>
          </w:p>
        </w:tc>
      </w:tr>
    </w:tbl>
    <w:p>
      <w:r>
        <w:br w:type="page"/>
      </w:r>
    </w:p>
    <w:p>
      <w:pPr>
        <w:pStyle w:val="Heading1"/>
      </w:pPr>
      <w:r>
        <w:t>Integrated controlled source — OFG_Atlas_A00_Master_Control_Hierarchy.docx</w:t>
      </w:r>
    </w:p>
    <w:p>
      <w:r>
        <w:t>Preserved at source granularity. Later explicit canon and change-provenance entries govern conflicts; source text is not silently rewritten.</w:t>
      </w:r>
    </w:p>
    <w:p>
      <w:pPr>
        <w:jc w:val="center"/>
      </w:pPr>
      <w:r>
        <w:rPr>
          <w:b/>
          <w:sz w:val="20"/>
        </w:rPr>
        <w:t>ONTARIO FUSION GENERATION — ENGINEERING ATLAS</w:t>
      </w:r>
    </w:p>
    <w:p>
      <w:pPr>
        <w:jc w:val="center"/>
      </w:pPr>
      <w:r>
        <w:rPr>
          <w:b/>
          <w:sz w:val="32"/>
        </w:rPr>
        <w:t>A00 — MASTER CONTROL, HIERARCHY &amp; COMPLETION STANDARD</w:t>
      </w:r>
    </w:p>
    <w:p>
      <w:pPr>
        <w:jc w:val="center"/>
      </w:pPr>
      <w:r>
        <w:rPr>
          <w:i/>
        </w:rPr>
        <w:t>Definition of the Engineering Atlas and the recursive engineering acceptance model</w:t>
      </w:r>
    </w:p>
    <w:p>
      <w:r>
        <w:t>REV 0 · PLANT-WIDE PASS 1 · CONFIGURATION CUT 19 APRIL 2031</w:t>
      </w:r>
    </w:p>
    <w:p>
      <w:pPr>
        <w:pStyle w:val="Heading1"/>
      </w:pPr>
      <w:r>
        <w:t>1. Atlas definition</w:t>
      </w:r>
    </w:p>
    <w:p>
      <w:r>
        <w:t>The Engineering Atlas is the controlled physical/functional/computational representation of the OFG plant. It is not merely a narrative encyclopedia. Every plant level is represented by stable identifiers, physical placement, interfaces, applicable engineering disciplines, verification status, evidence provenance and change propagation.</w:t>
      </w:r>
    </w:p>
    <w:p>
      <w:pPr>
        <w:pStyle w:val="Heading1"/>
      </w:pPr>
      <w:r>
        <w:t>2. Recursive hierarchy</w:t>
      </w:r>
    </w:p>
    <w:tbl>
      <w:tblPr>
        <w:tblStyle w:val="TableGrid"/>
        <w:tblW w:type="auto" w:w="0"/>
        <w:tblLook w:firstColumn="1" w:firstRow="1" w:lastColumn="0" w:lastRow="0" w:noHBand="0" w:noVBand="1" w:val="04A0"/>
      </w:tblPr>
      <w:tblGrid>
        <w:gridCol w:w="3552"/>
        <w:gridCol w:w="3552"/>
        <w:gridCol w:w="3552"/>
      </w:tblGrid>
      <w:tr>
        <w:tc>
          <w:tcPr>
            <w:tcW w:type="dxa" w:w="3552"/>
            <w:shd w:fill="D9EAF7"/>
          </w:tcPr>
          <w:p>
            <w:r>
              <w:t>Level</w:t>
            </w:r>
          </w:p>
        </w:tc>
        <w:tc>
          <w:tcPr>
            <w:tcW w:type="dxa" w:w="3552"/>
            <w:shd w:fill="D9EAF7"/>
          </w:tcPr>
          <w:p>
            <w:r>
              <w:t>Atlas object</w:t>
            </w:r>
          </w:p>
        </w:tc>
        <w:tc>
          <w:tcPr>
            <w:tcW w:type="dxa" w:w="3552"/>
            <w:shd w:fill="D9EAF7"/>
          </w:tcPr>
          <w:p>
            <w:r>
              <w:t>Completion condition</w:t>
            </w:r>
          </w:p>
        </w:tc>
      </w:tr>
      <w:tr>
        <w:tc>
          <w:tcPr>
            <w:tcW w:type="dxa" w:w="3552"/>
          </w:tcPr>
          <w:p>
            <w:r>
              <w:t>0</w:t>
            </w:r>
          </w:p>
        </w:tc>
        <w:tc>
          <w:tcPr>
            <w:tcW w:type="dxa" w:w="3552"/>
          </w:tcPr>
          <w:p>
            <w:r>
              <w:t>Site / plant</w:t>
            </w:r>
          </w:p>
        </w:tc>
        <w:tc>
          <w:tcPr>
            <w:tcW w:type="dxa" w:w="3552"/>
          </w:tcPr>
          <w:p>
            <w:r>
              <w:t>All facilities, corridors, hazards, logistics, utilities and external interfaces coordinated.</w:t>
            </w:r>
          </w:p>
        </w:tc>
      </w:tr>
      <w:tr>
        <w:tc>
          <w:tcPr>
            <w:tcW w:type="dxa" w:w="3552"/>
          </w:tcPr>
          <w:p>
            <w:r>
              <w:t>1</w:t>
            </w:r>
          </w:p>
        </w:tc>
        <w:tc>
          <w:tcPr>
            <w:tcW w:type="dxa" w:w="3552"/>
          </w:tcPr>
          <w:p>
            <w:r>
              <w:t>Plant functional architecture</w:t>
            </w:r>
          </w:p>
        </w:tc>
        <w:tc>
          <w:tcPr>
            <w:tcW w:type="dxa" w:w="3552"/>
          </w:tcPr>
          <w:p>
            <w:r>
              <w:t>Energy, fuel, tritium, electrical, information, cooling, waste and maintenance flows close.</w:t>
            </w:r>
          </w:p>
        </w:tc>
      </w:tr>
      <w:tr>
        <w:tc>
          <w:tcPr>
            <w:tcW w:type="dxa" w:w="3552"/>
          </w:tcPr>
          <w:p>
            <w:r>
              <w:t>2</w:t>
            </w:r>
          </w:p>
        </w:tc>
        <w:tc>
          <w:tcPr>
            <w:tcW w:type="dxa" w:w="3552"/>
          </w:tcPr>
          <w:p>
            <w:r>
              <w:t>System</w:t>
            </w:r>
          </w:p>
        </w:tc>
        <w:tc>
          <w:tcPr>
            <w:tcW w:type="dxa" w:w="3552"/>
          </w:tcPr>
          <w:p>
            <w:r>
              <w:t>Boundary, modes, trains, interfaces, equipment population, hazards and verification disciplines close.</w:t>
            </w:r>
          </w:p>
        </w:tc>
      </w:tr>
      <w:tr>
        <w:tc>
          <w:tcPr>
            <w:tcW w:type="dxa" w:w="3552"/>
          </w:tcPr>
          <w:p>
            <w:r>
              <w:t>3</w:t>
            </w:r>
          </w:p>
        </w:tc>
        <w:tc>
          <w:tcPr>
            <w:tcW w:type="dxa" w:w="3552"/>
          </w:tcPr>
          <w:p>
            <w:r>
              <w:t>Subsystem / train</w:t>
            </w:r>
          </w:p>
        </w:tc>
        <w:tc>
          <w:tcPr>
            <w:tcW w:type="dxa" w:w="3552"/>
          </w:tcPr>
          <w:p>
            <w:r>
              <w:t>Capacity, independence, routing, control, support and failure response close.</w:t>
            </w:r>
          </w:p>
        </w:tc>
      </w:tr>
      <w:tr>
        <w:tc>
          <w:tcPr>
            <w:tcW w:type="dxa" w:w="3552"/>
          </w:tcPr>
          <w:p>
            <w:r>
              <w:t>4</w:t>
            </w:r>
          </w:p>
        </w:tc>
        <w:tc>
          <w:tcPr>
            <w:tcW w:type="dxa" w:w="3552"/>
          </w:tcPr>
          <w:p>
            <w:r>
              <w:t>Equipment</w:t>
            </w:r>
          </w:p>
        </w:tc>
        <w:tc>
          <w:tcPr>
            <w:tcW w:type="dxa" w:w="3552"/>
          </w:tcPr>
          <w:p>
            <w:r>
              <w:t>Duty, geometry, ports, loads, power/control, support, maintenance and qualification close.</w:t>
            </w:r>
          </w:p>
        </w:tc>
      </w:tr>
      <w:tr>
        <w:tc>
          <w:tcPr>
            <w:tcW w:type="dxa" w:w="3552"/>
          </w:tcPr>
          <w:p>
            <w:r>
              <w:t>5</w:t>
            </w:r>
          </w:p>
        </w:tc>
        <w:tc>
          <w:tcPr>
            <w:tcW w:type="dxa" w:w="3552"/>
          </w:tcPr>
          <w:p>
            <w:r>
              <w:t>Assembly</w:t>
            </w:r>
          </w:p>
        </w:tc>
        <w:tc>
          <w:tcPr>
            <w:tcW w:type="dxa" w:w="3552"/>
          </w:tcPr>
          <w:p>
            <w:r>
              <w:t>Internal arrangement, interfaces, tolerances, loads and replacement/inspection close.</w:t>
            </w:r>
          </w:p>
        </w:tc>
      </w:tr>
      <w:tr>
        <w:tc>
          <w:tcPr>
            <w:tcW w:type="dxa" w:w="3552"/>
          </w:tcPr>
          <w:p>
            <w:r>
              <w:t>6</w:t>
            </w:r>
          </w:p>
        </w:tc>
        <w:tc>
          <w:tcPr>
            <w:tcW w:type="dxa" w:w="3552"/>
          </w:tcPr>
          <w:p>
            <w:r>
              <w:t>Component</w:t>
            </w:r>
          </w:p>
        </w:tc>
        <w:tc>
          <w:tcPr>
            <w:tcW w:type="dxa" w:w="3552"/>
          </w:tcPr>
          <w:p>
            <w:r>
              <w:t>Material, geometry, stress/thermal/electrical/flow function, manufacturing and inspection close.</w:t>
            </w:r>
          </w:p>
        </w:tc>
      </w:tr>
      <w:tr>
        <w:tc>
          <w:tcPr>
            <w:tcW w:type="dxa" w:w="3552"/>
          </w:tcPr>
          <w:p>
            <w:r>
              <w:t>7</w:t>
            </w:r>
          </w:p>
        </w:tc>
        <w:tc>
          <w:tcPr>
            <w:tcW w:type="dxa" w:w="3552"/>
          </w:tcPr>
          <w:p>
            <w:r>
              <w:t>Connection / material / load path</w:t>
            </w:r>
          </w:p>
        </w:tc>
        <w:tc>
          <w:tcPr>
            <w:tcW w:type="dxa" w:w="3552"/>
          </w:tcPr>
          <w:p>
            <w:r>
              <w:t>Nozzle, weld, flange, terminal, cable, anchor, bearing, seal, interface or material state has an unowned engineering requirement.</w:t>
            </w:r>
          </w:p>
        </w:tc>
      </w:tr>
    </w:tbl>
    <w:p>
      <w:pPr>
        <w:pStyle w:val="Heading1"/>
      </w:pPr>
      <w:r>
        <w:t>3. Status semantics</w:t>
      </w:r>
    </w:p>
    <w:tbl>
      <w:tblPr>
        <w:tblStyle w:val="TableGrid"/>
        <w:tblW w:type="auto" w:w="0"/>
        <w:tblLook w:firstColumn="1" w:firstRow="1" w:lastColumn="0" w:lastRow="0" w:noHBand="0" w:noVBand="1" w:val="04A0"/>
      </w:tblPr>
      <w:tblGrid>
        <w:gridCol w:w="5328"/>
        <w:gridCol w:w="5328"/>
      </w:tblGrid>
      <w:tr>
        <w:tc>
          <w:tcPr>
            <w:tcW w:type="dxa" w:w="5328"/>
            <w:shd w:fill="D9EAF7"/>
          </w:tcPr>
          <w:p>
            <w:r>
              <w:t>Status</w:t>
            </w:r>
          </w:p>
        </w:tc>
        <w:tc>
          <w:tcPr>
            <w:tcW w:type="dxa" w:w="5328"/>
            <w:shd w:fill="D9EAF7"/>
          </w:tcPr>
          <w:p>
            <w:r>
              <w:t>Meaning</w:t>
            </w:r>
          </w:p>
        </w:tc>
      </w:tr>
      <w:tr>
        <w:tc>
          <w:tcPr>
            <w:tcW w:type="dxa" w:w="5328"/>
          </w:tcPr>
          <w:p>
            <w:r>
              <w:t>C</w:t>
            </w:r>
          </w:p>
        </w:tc>
        <w:tc>
          <w:tcPr>
            <w:tcW w:type="dxa" w:w="5328"/>
          </w:tcPr>
          <w:p>
            <w:r>
              <w:t>Source-derived canon</w:t>
            </w:r>
          </w:p>
        </w:tc>
      </w:tr>
      <w:tr>
        <w:tc>
          <w:tcPr>
            <w:tcW w:type="dxa" w:w="5328"/>
          </w:tcPr>
          <w:p>
            <w:r>
              <w:t>R</w:t>
            </w:r>
          </w:p>
        </w:tc>
        <w:tc>
          <w:tcPr>
            <w:tcW w:type="dxa" w:w="5328"/>
          </w:tcPr>
          <w:p>
            <w:r>
              <w:t>Verified real-world precedent/constraint</w:t>
            </w:r>
          </w:p>
        </w:tc>
      </w:tr>
      <w:tr>
        <w:tc>
          <w:tcPr>
            <w:tcW w:type="dxa" w:w="5328"/>
          </w:tcPr>
          <w:p>
            <w:r>
              <w:t>E</w:t>
            </w:r>
          </w:p>
        </w:tc>
        <w:tc>
          <w:tcPr>
            <w:tcW w:type="dxa" w:w="5328"/>
          </w:tcPr>
          <w:p>
            <w:r>
              <w:t>Engineered OFG reconstruction</w:t>
            </w:r>
          </w:p>
        </w:tc>
      </w:tr>
      <w:tr>
        <w:tc>
          <w:tcPr>
            <w:tcW w:type="dxa" w:w="5328"/>
          </w:tcPr>
          <w:p>
            <w:r>
              <w:t>O</w:t>
            </w:r>
          </w:p>
        </w:tc>
        <w:tc>
          <w:tcPr>
            <w:tcW w:type="dxa" w:w="5328"/>
          </w:tcPr>
          <w:p>
            <w:r>
              <w:t>Open/unresolved; never silently promoted</w:t>
            </w:r>
          </w:p>
        </w:tc>
      </w:tr>
      <w:tr>
        <w:tc>
          <w:tcPr>
            <w:tcW w:type="dxa" w:w="5328"/>
          </w:tcPr>
          <w:p>
            <w:r>
              <w:t>PASS</w:t>
            </w:r>
          </w:p>
        </w:tc>
        <w:tc>
          <w:tcPr>
            <w:tcW w:type="dxa" w:w="5328"/>
          </w:tcPr>
          <w:p>
            <w:r>
              <w:t>Calculation/test satisfies stated criterion</w:t>
            </w:r>
          </w:p>
        </w:tc>
      </w:tr>
      <w:tr>
        <w:tc>
          <w:tcPr>
            <w:tcW w:type="dxa" w:w="5328"/>
          </w:tcPr>
          <w:p>
            <w:r>
              <w:t>FAIL</w:t>
            </w:r>
          </w:p>
        </w:tc>
        <w:tc>
          <w:tcPr>
            <w:tcW w:type="dxa" w:w="5328"/>
          </w:tcPr>
          <w:p>
            <w:r>
              <w:t>Criterion violated; redesign required</w:t>
            </w:r>
          </w:p>
        </w:tc>
      </w:tr>
      <w:tr>
        <w:tc>
          <w:tcPr>
            <w:tcW w:type="dxa" w:w="5328"/>
          </w:tcPr>
          <w:p>
            <w:r>
              <w:t>PARTIAL</w:t>
            </w:r>
          </w:p>
        </w:tc>
        <w:tc>
          <w:tcPr>
            <w:tcW w:type="dxa" w:w="5328"/>
          </w:tcPr>
          <w:p>
            <w:r>
              <w:t>Some required checks complete</w:t>
            </w:r>
          </w:p>
        </w:tc>
      </w:tr>
      <w:tr>
        <w:tc>
          <w:tcPr>
            <w:tcW w:type="dxa" w:w="5328"/>
          </w:tcPr>
          <w:p>
            <w:r>
              <w:t>N/A</w:t>
            </w:r>
          </w:p>
        </w:tc>
        <w:tc>
          <w:tcPr>
            <w:tcW w:type="dxa" w:w="5328"/>
          </w:tcPr>
          <w:p>
            <w:r>
              <w:t>Demonstrably not applicable</w:t>
            </w:r>
          </w:p>
        </w:tc>
      </w:tr>
    </w:tbl>
    <w:p>
      <w:pPr>
        <w:pStyle w:val="Heading1"/>
      </w:pPr>
      <w:r>
        <w:t>4. Whole-plant population</w:t>
      </w:r>
    </w:p>
    <w:p>
      <w:r>
        <w:t>Controlled Annex A population: 22,647 asset rows; 94 system values; 76 asset classes. This pass attaches a minimum engineering-closure definition to every one of those rows and a fundamental-discipline verification matrix to every system value.</w:t>
      </w:r>
    </w:p>
    <w:p>
      <w:pPr>
        <w:pStyle w:val="Heading1"/>
      </w:pPr>
      <w:r>
        <w:t>5. Research boundary</w:t>
      </w:r>
    </w:p>
    <w:p>
      <w:r>
        <w:t>The Atlas uses fusion-specific primary/authoritative precedent (ITER and QST JA-DEMO) together with Canadian/IAEA nuclear-facility design and commissioning requirements. Fusion precedent constrains machine physics and integration; nuclear requirements constrain classification, configuration, pressure boundaries, hazards, separation, qualification and evidence. Neither is copied blindly into fictional OFG.</w:t>
      </w:r>
    </w:p>
    <w:p>
      <w:pPr>
        <w:pStyle w:val="Heading1"/>
      </w:pPr>
      <w:r>
        <w:t>6. Non-negotiable iteration rule</w:t>
      </w:r>
    </w:p>
    <w:p>
      <w:pPr>
        <w:pStyle w:val="ListBullet"/>
      </w:pPr>
      <w:r>
        <w:t>No coordinate freezes because it is merely clash-free.</w:t>
      </w:r>
    </w:p>
    <w:p>
      <w:pPr>
        <w:pStyle w:val="ListBullet"/>
      </w:pPr>
      <w:r>
        <w:t>No equipment passes because its nominal duty alone closes.</w:t>
      </w:r>
    </w:p>
    <w:p>
      <w:pPr>
        <w:pStyle w:val="ListBullet"/>
      </w:pPr>
      <w:r>
        <w:t>No system passes until cross-system interfaces and common-cause hazards are checked.</w:t>
      </w:r>
    </w:p>
    <w:p>
      <w:pPr>
        <w:pStyle w:val="ListBullet"/>
      </w:pPr>
      <w:r>
        <w:t>Any new calculation that changes an earlier assumption triggers backward propagation into every affected Atlas object.</w:t>
      </w:r>
    </w:p>
    <w:p>
      <w:pPr>
        <w:pStyle w:val="ListBullet"/>
      </w:pPr>
      <w:r>
        <w:t>OPEN is an engineering state, not a defect to be hidden with invented precision.</w:t>
      </w:r>
    </w:p>
    <w:p>
      <w:r>
        <w:br w:type="page"/>
      </w:r>
    </w:p>
    <w:p>
      <w:pPr>
        <w:pStyle w:val="Heading1"/>
      </w:pPr>
      <w:r>
        <w:t>Integrated controlled source — OFG_S10R1_Master_Index_Dependencies_Canon_Conflict_Register.docx</w:t>
      </w:r>
    </w:p>
    <w:p>
      <w:r>
        <w:t>Preserved at source granularity. Later explicit canon and change-provenance entries govern conflicts; source text is not silently rewritten.</w:t>
      </w:r>
    </w:p>
    <w:p>
      <w:pPr>
        <w:jc w:val="center"/>
      </w:pPr>
      <w:r>
        <w:rPr>
          <w:b/>
          <w:sz w:val="36"/>
        </w:rPr>
        <w:t>ONTARIO FUSION GENERATION PROJECT</w:t>
      </w:r>
    </w:p>
    <w:p>
      <w:pPr>
        <w:jc w:val="center"/>
      </w:pPr>
      <w:r>
        <w:rPr>
          <w:b/>
          <w:sz w:val="48"/>
        </w:rPr>
        <w:t>VOLUME S10R1 — MASTER INDEX, CROSS-BACKLOG DEPENDENCY &amp; CANON-CONFLICT REGISTER</w:t>
      </w:r>
    </w:p>
    <w:p>
      <w:pPr>
        <w:jc w:val="center"/>
      </w:pPr>
      <w:r>
        <w:rPr>
          <w:i/>
          <w:sz w:val="22"/>
        </w:rPr>
        <w:t>Navigation, dependency propagation, provenance control and future expansion map</w:t>
      </w:r>
    </w:p>
    <w:p>
      <w:pPr>
        <w:jc w:val="center"/>
      </w:pPr>
      <w:r>
        <w:t>SYSTEM &amp; SITE ENCYCLOPEDIA · REV 1 · DESIGN RECONSTRUCTION CUT 19 APRIL 2031</w:t>
      </w:r>
    </w:p>
    <w:p>
      <w:r>
        <w:br w:type="page"/>
      </w:r>
    </w:p>
    <w:p>
      <w:pPr>
        <w:pStyle w:val="Heading1"/>
      </w:pPr>
      <w:r>
        <w:t>Document control and epistemic status</w:t>
      </w:r>
    </w:p>
    <w:p>
      <w:r>
        <w:t>This volume preserves the supplied Rev N story corpus as the canonical skeleton. Statements are classified as LOCKED/SOURCE-DERIVED, VERIFIED PRECEDENT CONSTRAINT, DESIGN RECONSTRUCTION, or OPEN/CONTROLLED. Real-world precedent constrains plausibility but does not silently create OFG canon.</w:t>
      </w:r>
    </w:p>
    <w:p>
      <w:r>
        <w:t>Governing rule: Design Plant = Physical Plant = Evidence Plant. Design identity, installed identity, connectivity, custody/state, and objective evidence are tracked separately.</w:t>
      </w:r>
    </w:p>
    <w:tbl>
      <w:tblPr>
        <w:tblStyle w:val="TableGrid"/>
        <w:tblW w:type="auto" w:w="0"/>
        <w:tblLook w:firstColumn="1" w:firstRow="1" w:lastColumn="0" w:lastRow="0" w:noHBand="0" w:noVBand="1" w:val="04A0"/>
      </w:tblPr>
      <w:tblGrid>
        <w:gridCol w:w="5256"/>
        <w:gridCol w:w="5256"/>
      </w:tblGrid>
      <w:tr>
        <w:tc>
          <w:tcPr>
            <w:tcW w:type="dxa" w:w="5256"/>
          </w:tcPr>
          <w:p>
            <w:r>
              <w:t>Status</w:t>
            </w:r>
          </w:p>
        </w:tc>
        <w:tc>
          <w:tcPr>
            <w:tcW w:type="dxa" w:w="5256"/>
          </w:tcPr>
          <w:p>
            <w:r>
              <w:t>Meaning</w:t>
            </w:r>
          </w:p>
        </w:tc>
      </w:tr>
      <w:tr>
        <w:tc>
          <w:tcPr>
            <w:tcW w:type="dxa" w:w="5256"/>
          </w:tcPr>
          <w:p>
            <w:r>
              <w:t>LOCKED/SOURCE-DERIVED</w:t>
            </w:r>
          </w:p>
        </w:tc>
        <w:tc>
          <w:tcPr>
            <w:tcW w:type="dxa" w:w="5256"/>
          </w:tcPr>
          <w:p>
            <w:r>
              <w:t>Explicitly supported by supplied OFG corpus/control registers.</w:t>
            </w:r>
          </w:p>
        </w:tc>
      </w:tr>
      <w:tr>
        <w:tc>
          <w:tcPr>
            <w:tcW w:type="dxa" w:w="5256"/>
          </w:tcPr>
          <w:p>
            <w:r>
              <w:t>VERIFIED PRECEDENT CONSTRAINT</w:t>
            </w:r>
          </w:p>
        </w:tc>
        <w:tc>
          <w:tcPr>
            <w:tcW w:type="dxa" w:w="5256"/>
          </w:tcPr>
          <w:p>
            <w:r>
              <w:t>Supported by authoritative real-world practice; constrains but does not itself establish OFG history.</w:t>
            </w:r>
          </w:p>
        </w:tc>
      </w:tr>
      <w:tr>
        <w:tc>
          <w:tcPr>
            <w:tcW w:type="dxa" w:w="5256"/>
          </w:tcPr>
          <w:p>
            <w:r>
              <w:t>DESIGN RECONSTRUCTION</w:t>
            </w:r>
          </w:p>
        </w:tc>
        <w:tc>
          <w:tcPr>
            <w:tcW w:type="dxa" w:w="5256"/>
          </w:tcPr>
          <w:p>
            <w:r>
              <w:t>New OFG engineering design adopted for internal coherence; must not be misrepresented as previously sourced history.</w:t>
            </w:r>
          </w:p>
        </w:tc>
      </w:tr>
      <w:tr>
        <w:tc>
          <w:tcPr>
            <w:tcW w:type="dxa" w:w="5256"/>
          </w:tcPr>
          <w:p>
            <w:r>
              <w:t>OPEN/CONTROLLED</w:t>
            </w:r>
          </w:p>
        </w:tc>
        <w:tc>
          <w:tcPr>
            <w:tcW w:type="dxa" w:w="5256"/>
          </w:tcPr>
          <w:p>
            <w:r>
              <w:t>Evidence does not support a unique answer; intentionally unresolved.</w:t>
            </w:r>
          </w:p>
        </w:tc>
      </w:tr>
    </w:tbl>
    <w:p>
      <w:pPr>
        <w:pStyle w:val="Heading2"/>
      </w:pPr>
      <w:r>
        <w:t>Authoritative precedent used in Rev 1</w:t>
      </w:r>
    </w:p>
    <w:p>
      <w:r>
        <w:t>CNSC REGDOC-2.5.2 v2.1: design authority, configuration management, SSC interfaces and facility-layout requirements. IAEA Commissioning for Nuclear Power Plants: transfer boundaries, partial-system commissioning, work control and construction/commissioning interfaces. ITER Organization: machine/support-system topology, cooling-water architecture and assembly/installation precedent. QST/JA-DEMO literature: DEMO-class functional architecture precedent.</w:t>
      </w:r>
    </w:p>
    <w:p>
      <w:r>
        <w:t>No exact surveyed OFG coordinate, unprovided line endpoint, cable endpoint, I/O channel, nozzle schedule, serial-level BOM, or hidden historical fact is promoted to LOCKED status.</w:t>
      </w:r>
    </w:p>
    <w:p>
      <w:pPr>
        <w:pStyle w:val="Heading1"/>
      </w:pPr>
      <w:r>
        <w:t>1. Rev 1 volume map</w:t>
      </w:r>
    </w:p>
    <w:p>
      <w:pPr>
        <w:pStyle w:val="ListBullet"/>
      </w:pPr>
      <w:r>
        <w:t>OFG_S01R1_Site_Coordinate_Construction_Field_Atlas.docx: Site, coordinate framework and construction field</w:t>
      </w:r>
    </w:p>
    <w:p>
      <w:pPr>
        <w:pStyle w:val="ListBullet"/>
      </w:pPr>
      <w:r>
        <w:t>OFG_S02R1_Buildings_Civil_Zoning_Encyclopedia.docx: Buildings, civil structures and zoning</w:t>
      </w:r>
    </w:p>
    <w:p>
      <w:pPr>
        <w:pStyle w:val="ListBullet"/>
      </w:pPr>
      <w:r>
        <w:t>OFG_S03R1_Fusion_Machine_Primary_Systems.docx: Fusion machine and primary systems</w:t>
      </w:r>
    </w:p>
    <w:p>
      <w:pPr>
        <w:pStyle w:val="ListBullet"/>
      </w:pPr>
      <w:r>
        <w:t>OFG_S04R1_BOP_Electrical_IandC_Utilities.docx: Balance of plant, electrical, I&amp;C and utilities</w:t>
      </w:r>
    </w:p>
    <w:p>
      <w:pPr>
        <w:pStyle w:val="ListBullet"/>
      </w:pPr>
      <w:r>
        <w:t>OFG_S05R1_Equipment_Component_Master_Encyclopedia.docx: Equipment/component master schema</w:t>
      </w:r>
    </w:p>
    <w:p>
      <w:pPr>
        <w:pStyle w:val="ListBullet"/>
      </w:pPr>
      <w:r>
        <w:t>OFG_S06R1_Configuration_Connections_Interface_Graph.docx: Configuration and connectivity graph</w:t>
      </w:r>
    </w:p>
    <w:p>
      <w:pPr>
        <w:pStyle w:val="ListBullet"/>
      </w:pPr>
      <w:r>
        <w:t>OFG_S07R1_Construction_Temporary_Commissioning_Infrastructure.docx: Construction plant and temporary/commissioning infrastructure</w:t>
      </w:r>
    </w:p>
    <w:p>
      <w:pPr>
        <w:pStyle w:val="ListBullet"/>
      </w:pPr>
      <w:r>
        <w:t>OFG_S08R1_Commissioning_Turnover_Operations_Readiness.docx: Commissioning, turnover and operations readiness</w:t>
      </w:r>
    </w:p>
    <w:p>
      <w:pPr>
        <w:pStyle w:val="ListBullet"/>
      </w:pPr>
      <w:r>
        <w:t>OFG_S09R1_Verification_Design_Basis_Open_Items.docx: Verification studies and open-item register</w:t>
      </w:r>
    </w:p>
    <w:p>
      <w:pPr>
        <w:pStyle w:val="Heading1"/>
      </w:pPr>
      <w:r>
        <w:t>2. Cross-backlog backward-propagation rules</w:t>
      </w:r>
    </w:p>
    <w:p>
      <w:pPr>
        <w:pStyle w:val="ListBullet"/>
      </w:pPr>
      <w:r>
        <w:t>Any newly fixed spatial relationship propagates to logistics, construction sequence, heavy lifts, cable/pipe routing, fire/flood analysis and commissioning access.</w:t>
      </w:r>
    </w:p>
    <w:p>
      <w:pPr>
        <w:pStyle w:val="ListBullet"/>
      </w:pPr>
      <w:r>
        <w:t>Any newly fixed equipment identity propagates to procurement/manufacturing genealogy, receiving, installation, turnover, maintenance and investigation evidence.</w:t>
      </w:r>
    </w:p>
    <w:p>
      <w:pPr>
        <w:pStyle w:val="ListBullet"/>
      </w:pPr>
      <w:r>
        <w:t>Any newly fixed connection propagates to P&amp;IDs/one-lines/I&amp;O, test boundaries, isolation plans, failure propagation and configuration records.</w:t>
      </w:r>
    </w:p>
    <w:p>
      <w:pPr>
        <w:pStyle w:val="ListBullet"/>
      </w:pPr>
      <w:r>
        <w:t>Any new commissioning state propagates backward to MC/turnover prerequisites and forward to operations-readiness claims.</w:t>
      </w:r>
    </w:p>
    <w:p>
      <w:pPr>
        <w:pStyle w:val="ListBullet"/>
      </w:pPr>
      <w:r>
        <w:t>Any contradiction is retained as a conflict entry until a controlling source resolves it; no silent reconciliation.</w:t>
      </w:r>
    </w:p>
    <w:p>
      <w:pPr>
        <w:pStyle w:val="ListBullet"/>
      </w:pPr>
      <w:r>
        <w:t>Any real-world precedent that merely constrains plausibility remains precedent and does not become fictional historical fact without an explicit design/canon decision.</w:t>
      </w:r>
    </w:p>
    <w:p>
      <w:pPr>
        <w:pStyle w:val="Heading1"/>
      </w:pPr>
      <w:r>
        <w:t>Rev 1 change and backward-propagation register</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t>Old statement</w:t>
            </w:r>
          </w:p>
        </w:tc>
        <w:tc>
          <w:tcPr>
            <w:tcW w:type="dxa" w:w="1752"/>
          </w:tcPr>
          <w:p>
            <w:r>
              <w:t>Rev 1 statement</w:t>
            </w:r>
          </w:p>
        </w:tc>
        <w:tc>
          <w:tcPr>
            <w:tcW w:type="dxa" w:w="1752"/>
          </w:tcPr>
          <w:p>
            <w:r>
              <w:t>Reason</w:t>
            </w:r>
          </w:p>
        </w:tc>
        <w:tc>
          <w:tcPr>
            <w:tcW w:type="dxa" w:w="1752"/>
          </w:tcPr>
          <w:p>
            <w:r>
              <w:t>Evidence class</w:t>
            </w:r>
          </w:p>
        </w:tc>
        <w:tc>
          <w:tcPr>
            <w:tcW w:type="dxa" w:w="1752"/>
          </w:tcPr>
          <w:p>
            <w:r>
              <w:t>Affected packets</w:t>
            </w:r>
          </w:p>
        </w:tc>
        <w:tc>
          <w:tcPr>
            <w:tcW w:type="dxa" w:w="1752"/>
          </w:tcPr>
          <w:p>
            <w:r>
              <w:t>Status</w:t>
            </w:r>
          </w:p>
        </w:tc>
      </w:tr>
      <w:tr>
        <w:tc>
          <w:tcPr>
            <w:tcW w:type="dxa" w:w="1752"/>
          </w:tcPr>
          <w:p>
            <w:r>
              <w:t>Exact coordinates unavailable.</w:t>
            </w:r>
          </w:p>
        </w:tc>
        <w:tc>
          <w:tcPr>
            <w:tcW w:type="dxa" w:w="1752"/>
          </w:tcPr>
          <w:p>
            <w:r>
              <w:t>A project-local engineering coordinate framework is introduced, but all numeric coordinates remain DESIGN RECONSTRUCTION until survey/master-plot evidence is supplied.</w:t>
            </w:r>
          </w:p>
        </w:tc>
        <w:tc>
          <w:tcPr>
            <w:tcW w:type="dxa" w:w="1752"/>
          </w:tcPr>
          <w:p>
            <w:r>
              <w:t>Needed to make the plant spatially computable without falsifying provenance.</w:t>
            </w:r>
          </w:p>
        </w:tc>
        <w:tc>
          <w:tcPr>
            <w:tcW w:type="dxa" w:w="1752"/>
          </w:tcPr>
          <w:p>
            <w:r>
              <w:t>Corpus + layout precedent</w:t>
            </w:r>
          </w:p>
        </w:tc>
        <w:tc>
          <w:tcPr>
            <w:tcW w:type="dxa" w:w="1752"/>
          </w:tcPr>
          <w:p>
            <w:r>
              <w:t>S01,S03-S10; earlier geography packets</w:t>
            </w:r>
          </w:p>
        </w:tc>
        <w:tc>
          <w:tcPr>
            <w:tcW w:type="dxa" w:w="1752"/>
          </w:tcPr>
          <w:p>
            <w:r>
              <w:t>CONTROLLED</w:t>
            </w:r>
          </w:p>
        </w:tc>
      </w:tr>
      <w:tr>
        <w:tc>
          <w:tcPr>
            <w:tcW w:type="dxa" w:w="1752"/>
          </w:tcPr>
          <w:p>
            <w:r>
              <w:t>System connectivity summarized functionally.</w:t>
            </w:r>
          </w:p>
        </w:tc>
        <w:tc>
          <w:tcPr>
            <w:tcW w:type="dxa" w:w="1752"/>
          </w:tcPr>
          <w:p>
            <w:r>
              <w:t>Interfaces are decomposed by process/electrical/I&amp;C/network/structural/material-handling edge classes; unsupported endpoints remain OPEN.</w:t>
            </w:r>
          </w:p>
        </w:tc>
        <w:tc>
          <w:tcPr>
            <w:tcW w:type="dxa" w:w="1752"/>
          </w:tcPr>
          <w:p>
            <w:r>
              <w:t>Prevents inferred graphs from masquerading as as-built evidence.</w:t>
            </w:r>
          </w:p>
        </w:tc>
        <w:tc>
          <w:tcPr>
            <w:tcW w:type="dxa" w:w="1752"/>
          </w:tcPr>
          <w:p>
            <w:r>
              <w:t>Corpus + CNSC/IAEA</w:t>
            </w:r>
          </w:p>
        </w:tc>
        <w:tc>
          <w:tcPr>
            <w:tcW w:type="dxa" w:w="1752"/>
          </w:tcPr>
          <w:p>
            <w:r>
              <w:t>S02,S06,S07; commissioning packets</w:t>
            </w:r>
          </w:p>
        </w:tc>
        <w:tc>
          <w:tcPr>
            <w:tcW w:type="dxa" w:w="1752"/>
          </w:tcPr>
          <w:p>
            <w:r>
              <w:t>CONTROLLED</w:t>
            </w:r>
          </w:p>
        </w:tc>
      </w:tr>
      <w:tr>
        <w:tc>
          <w:tcPr>
            <w:tcW w:type="dxa" w:w="1752"/>
          </w:tcPr>
          <w:p>
            <w:r>
              <w:t>Temporary plant treated as support equipment.</w:t>
            </w:r>
          </w:p>
        </w:tc>
        <w:tc>
          <w:tcPr>
            <w:tcW w:type="dxa" w:w="1752"/>
          </w:tcPr>
          <w:p>
            <w:r>
              <w:t>Temporary commissioning and construction assets are configuration items whenever they interface with commissioned plant.</w:t>
            </w:r>
          </w:p>
        </w:tc>
        <w:tc>
          <w:tcPr>
            <w:tcW w:type="dxa" w:w="1752"/>
          </w:tcPr>
          <w:p>
            <w:r>
              <w:t>IAEA construction/commissioning interface practice and CRS-01 canon.</w:t>
            </w:r>
          </w:p>
        </w:tc>
        <w:tc>
          <w:tcPr>
            <w:tcW w:type="dxa" w:w="1752"/>
          </w:tcPr>
          <w:p>
            <w:r>
              <w:t>Corpus + IAEA</w:t>
            </w:r>
          </w:p>
        </w:tc>
        <w:tc>
          <w:tcPr>
            <w:tcW w:type="dxa" w:w="1752"/>
          </w:tcPr>
          <w:p>
            <w:r>
              <w:t>S05; CRS-01 investigation packets</w:t>
            </w:r>
          </w:p>
        </w:tc>
        <w:tc>
          <w:tcPr>
            <w:tcW w:type="dxa" w:w="1752"/>
          </w:tcPr>
          <w:p>
            <w:r>
              <w:t>LOCKED/EXPANDED</w:t>
            </w:r>
          </w:p>
        </w:tc>
      </w:tr>
      <w:tr>
        <w:tc>
          <w:tcPr>
            <w:tcW w:type="dxa" w:w="1752"/>
          </w:tcPr>
          <w:p>
            <w:r>
              <w:t>Construction completion used as broad maturity proxy.</w:t>
            </w:r>
          </w:p>
        </w:tc>
        <w:tc>
          <w:tcPr>
            <w:tcW w:type="dxa" w:w="1752"/>
          </w:tcPr>
          <w:p>
            <w:r>
              <w:t>Construction, MC, turnover, pre-commissioning, functional commissioning, integrated commissioning and operating acceptance are distinct states.</w:t>
            </w:r>
          </w:p>
        </w:tc>
        <w:tc>
          <w:tcPr>
            <w:tcW w:type="dxa" w:w="1752"/>
          </w:tcPr>
          <w:p>
            <w:r>
              <w:t>Explicit Rev N control rule and commissioning precedent.</w:t>
            </w:r>
          </w:p>
        </w:tc>
        <w:tc>
          <w:tcPr>
            <w:tcW w:type="dxa" w:w="1752"/>
          </w:tcPr>
          <w:p>
            <w:r>
              <w:t>Corpus + IAEA</w:t>
            </w:r>
          </w:p>
        </w:tc>
        <w:tc>
          <w:tcPr>
            <w:tcW w:type="dxa" w:w="1752"/>
          </w:tcPr>
          <w:p>
            <w:r>
              <w:t>All 2027-2031 field histories</w:t>
            </w:r>
          </w:p>
        </w:tc>
        <w:tc>
          <w:tcPr>
            <w:tcW w:type="dxa" w:w="1752"/>
          </w:tcPr>
          <w:p>
            <w:r>
              <w:t>LOCKED</w:t>
            </w:r>
          </w:p>
        </w:tc>
      </w:tr>
    </w:tbl>
    <w:p>
      <w:pPr>
        <w:pStyle w:val="Heading1"/>
      </w:pPr>
      <w:r>
        <w:t>Source register</w:t>
      </w:r>
    </w:p>
    <w:p>
      <w:pPr>
        <w:pStyle w:val="ListBullet"/>
      </w:pPr>
      <w:r>
        <w:t>Supplied OFG Encyclopedia Rev N Volumes 00-14, Master Canonical Story Backbone, Annex A controlled asset register, Annex B chronological registers, and prior System Encyclopedia Rev 0 volumes.</w:t>
      </w:r>
    </w:p>
    <w:p>
      <w:pPr>
        <w:pStyle w:val="ListBullet"/>
      </w:pPr>
      <w:r>
        <w:t>Canadian Nuclear Safety Commission, REGDOC-2.5.2, Design of Reactor Facilities, Version 2.1 (May 2023).</w:t>
      </w:r>
    </w:p>
    <w:p>
      <w:pPr>
        <w:pStyle w:val="ListBullet"/>
      </w:pPr>
      <w:r>
        <w:t>International Atomic Energy Agency, Commissioning for Nuclear Power Plants — guidance on interfaces, transfer, work control and partially installed systems.</w:t>
      </w:r>
    </w:p>
    <w:p>
      <w:pPr>
        <w:pStyle w:val="ListBullet"/>
      </w:pPr>
      <w:r>
        <w:t>ITER Organization official system descriptions and assembly/construction material, including cooling-water and machine/support-system architecture.</w:t>
      </w:r>
    </w:p>
    <w:p>
      <w:pPr>
        <w:pStyle w:val="ListBullet"/>
      </w:pPr>
      <w:r>
        <w:t>QST / Japanese DEMO conceptual-design publications used only as fusion-DEMO precedent where the supplied corpus calls for them.</w:t>
      </w:r>
    </w:p>
    <w:p>
      <w:r>
        <w:br w:type="page"/>
      </w:r>
    </w:p>
    <w:p>
      <w:pPr>
        <w:pStyle w:val="Heading1"/>
      </w:pPr>
      <w:r>
        <w:t>Integrated controlled source — OFG_E00_Design_Basis_First_Principles_Rev2.docx</w:t>
      </w:r>
    </w:p>
    <w:p>
      <w:r>
        <w:t>Preserved at source granularity. Later explicit canon and change-provenance entries govern conflicts; source text is not silently rewritten.</w:t>
      </w:r>
    </w:p>
    <w:p>
      <w:pPr>
        <w:jc w:val="center"/>
      </w:pPr>
      <w:r>
        <w:rPr>
          <w:b/>
          <w:sz w:val="20"/>
        </w:rPr>
        <w:t>ONTARIO FUSION GENERATION PROJECT</w:t>
      </w:r>
    </w:p>
    <w:p>
      <w:pPr>
        <w:jc w:val="center"/>
      </w:pPr>
      <w:r>
        <w:rPr>
          <w:b/>
          <w:sz w:val="34"/>
        </w:rPr>
        <w:t>VOLUME E00 — PLANT DESIGN BASIS &amp; FIRST-PRINCIPLES CLOSURE</w:t>
      </w:r>
    </w:p>
    <w:p>
      <w:pPr>
        <w:jc w:val="center"/>
      </w:pPr>
      <w:r>
        <w:rPr>
          <w:i/>
          <w:sz w:val="18"/>
        </w:rPr>
        <w:t>Reference operating point, physical laws, provenance, design margins and verification equations</w:t>
      </w:r>
    </w:p>
    <w:p>
      <w:r>
        <w:t>REV 2 ENGINEERING RECONSTRUCTION · DESIGN CUT 19 APRIL 2031 · C/R/E/O PROVENANCE CONTROL</w:t>
      </w:r>
    </w:p>
    <w:p>
      <w:pPr>
        <w:pStyle w:val="Heading1"/>
      </w:pPr>
      <w:r>
        <w:t>1. Purpose and epistemic status</w:t>
      </w:r>
    </w:p>
    <w:p>
      <w:r>
        <w:t>This volume replaces overview-only treatment with a calculable reference design. C values are inherited canon; R values are external precedent constraints; E values are newly engineered for OFG and are not retroactively source-derived facts; O values remain intentionally unresolved.</w:t>
      </w:r>
    </w:p>
    <w:tbl>
      <w:tblPr>
        <w:tblStyle w:val="TableGrid"/>
        <w:tblW w:type="auto" w:w="0"/>
        <w:tblLook w:firstColumn="1" w:firstRow="1" w:lastColumn="0" w:lastRow="0" w:noHBand="0" w:noVBand="1" w:val="04A0"/>
      </w:tblPr>
      <w:tblGrid>
        <w:gridCol w:w="2613"/>
        <w:gridCol w:w="2613"/>
        <w:gridCol w:w="2613"/>
        <w:gridCol w:w="2613"/>
      </w:tblGrid>
      <w:tr>
        <w:tc>
          <w:tcPr>
            <w:tcW w:type="dxa" w:w="2613"/>
            <w:shd w:fill="D9EAF7"/>
          </w:tcPr>
          <w:p>
            <w:r>
              <w:t>Parameter</w:t>
            </w:r>
          </w:p>
        </w:tc>
        <w:tc>
          <w:tcPr>
            <w:tcW w:type="dxa" w:w="2613"/>
            <w:shd w:fill="D9EAF7"/>
          </w:tcPr>
          <w:p>
            <w:r>
              <w:t>Rev 2 value</w:t>
            </w:r>
          </w:p>
        </w:tc>
        <w:tc>
          <w:tcPr>
            <w:tcW w:type="dxa" w:w="2613"/>
            <w:shd w:fill="D9EAF7"/>
          </w:tcPr>
          <w:p>
            <w:r>
              <w:t>Status</w:t>
            </w:r>
          </w:p>
        </w:tc>
        <w:tc>
          <w:tcPr>
            <w:tcW w:type="dxa" w:w="2613"/>
            <w:shd w:fill="D9EAF7"/>
          </w:tcPr>
          <w:p>
            <w:r>
              <w:t>Engineering use</w:t>
            </w:r>
          </w:p>
        </w:tc>
      </w:tr>
      <w:tr>
        <w:tc>
          <w:tcPr>
            <w:tcW w:type="dxa" w:w="2613"/>
          </w:tcPr>
          <w:p>
            <w:r>
              <w:t>Fusion power</w:t>
            </w:r>
          </w:p>
        </w:tc>
        <w:tc>
          <w:tcPr>
            <w:tcW w:type="dxa" w:w="2613"/>
          </w:tcPr>
          <w:p>
            <w:r>
              <w:t>3000 MW</w:t>
            </w:r>
          </w:p>
        </w:tc>
        <w:tc>
          <w:tcPr>
            <w:tcW w:type="dxa" w:w="2613"/>
          </w:tcPr>
          <w:p>
            <w:r>
              <w:t>E</w:t>
            </w:r>
          </w:p>
        </w:tc>
        <w:tc>
          <w:tcPr>
            <w:tcW w:type="dxa" w:w="2613"/>
          </w:tcPr>
          <w:p>
            <w:r>
              <w:t>plasma/blanket source term</w:t>
            </w:r>
          </w:p>
        </w:tc>
      </w:tr>
      <w:tr>
        <w:tc>
          <w:tcPr>
            <w:tcW w:type="dxa" w:w="2613"/>
          </w:tcPr>
          <w:p>
            <w:r>
              <w:t>Blanket nuclear multiplication</w:t>
            </w:r>
          </w:p>
        </w:tc>
        <w:tc>
          <w:tcPr>
            <w:tcW w:type="dxa" w:w="2613"/>
          </w:tcPr>
          <w:p>
            <w:r>
              <w:t>1.10</w:t>
            </w:r>
          </w:p>
        </w:tc>
        <w:tc>
          <w:tcPr>
            <w:tcW w:type="dxa" w:w="2613"/>
          </w:tcPr>
          <w:p>
            <w:r>
              <w:t>E</w:t>
            </w:r>
          </w:p>
        </w:tc>
        <w:tc>
          <w:tcPr>
            <w:tcW w:type="dxa" w:w="2613"/>
          </w:tcPr>
          <w:p>
            <w:r>
              <w:t>blanket thermal recovery</w:t>
            </w:r>
          </w:p>
        </w:tc>
      </w:tr>
      <w:tr>
        <w:tc>
          <w:tcPr>
            <w:tcW w:type="dxa" w:w="2613"/>
          </w:tcPr>
          <w:p>
            <w:r>
              <w:t>Recovered blanket thermal duty</w:t>
            </w:r>
          </w:p>
        </w:tc>
        <w:tc>
          <w:tcPr>
            <w:tcW w:type="dxa" w:w="2613"/>
          </w:tcPr>
          <w:p>
            <w:r>
              <w:t>3300 MWth</w:t>
            </w:r>
          </w:p>
        </w:tc>
        <w:tc>
          <w:tcPr>
            <w:tcW w:type="dxa" w:w="2613"/>
          </w:tcPr>
          <w:p>
            <w:r>
              <w:t>E</w:t>
            </w:r>
          </w:p>
        </w:tc>
        <w:tc>
          <w:tcPr>
            <w:tcW w:type="dxa" w:w="2613"/>
          </w:tcPr>
          <w:p>
            <w:r>
              <w:t>BHT sizing</w:t>
            </w:r>
          </w:p>
        </w:tc>
      </w:tr>
      <w:tr>
        <w:tc>
          <w:tcPr>
            <w:tcW w:type="dxa" w:w="2613"/>
          </w:tcPr>
          <w:p>
            <w:r>
              <w:t>Gross cycle thermal input</w:t>
            </w:r>
          </w:p>
        </w:tc>
        <w:tc>
          <w:tcPr>
            <w:tcW w:type="dxa" w:w="2613"/>
          </w:tcPr>
          <w:p>
            <w:r>
              <w:t>3480 MWth</w:t>
            </w:r>
          </w:p>
        </w:tc>
        <w:tc>
          <w:tcPr>
            <w:tcW w:type="dxa" w:w="2613"/>
          </w:tcPr>
          <w:p>
            <w:r>
              <w:t>E</w:t>
            </w:r>
          </w:p>
        </w:tc>
        <w:tc>
          <w:tcPr>
            <w:tcW w:type="dxa" w:w="2613"/>
          </w:tcPr>
          <w:p>
            <w:r>
              <w:t>cycle balance incl. divertor/aux recoverable heat</w:t>
            </w:r>
          </w:p>
        </w:tc>
      </w:tr>
      <w:tr>
        <w:tc>
          <w:tcPr>
            <w:tcW w:type="dxa" w:w="2613"/>
          </w:tcPr>
          <w:p>
            <w:r>
              <w:t>Gross electrical output</w:t>
            </w:r>
          </w:p>
        </w:tc>
        <w:tc>
          <w:tcPr>
            <w:tcW w:type="dxa" w:w="2613"/>
          </w:tcPr>
          <w:p>
            <w:r>
              <w:t>1280 MWe</w:t>
            </w:r>
          </w:p>
        </w:tc>
        <w:tc>
          <w:tcPr>
            <w:tcW w:type="dxa" w:w="2613"/>
          </w:tcPr>
          <w:p>
            <w:r>
              <w:t>E</w:t>
            </w:r>
          </w:p>
        </w:tc>
        <w:tc>
          <w:tcPr>
            <w:tcW w:type="dxa" w:w="2613"/>
          </w:tcPr>
          <w:p>
            <w:r>
              <w:t>generator/turbine basis</w:t>
            </w:r>
          </w:p>
        </w:tc>
      </w:tr>
      <w:tr>
        <w:tc>
          <w:tcPr>
            <w:tcW w:type="dxa" w:w="2613"/>
          </w:tcPr>
          <w:p>
            <w:r>
              <w:t>House load</w:t>
            </w:r>
          </w:p>
        </w:tc>
        <w:tc>
          <w:tcPr>
            <w:tcW w:type="dxa" w:w="2613"/>
          </w:tcPr>
          <w:p>
            <w:r>
              <w:t>280 MWe</w:t>
            </w:r>
          </w:p>
        </w:tc>
        <w:tc>
          <w:tcPr>
            <w:tcW w:type="dxa" w:w="2613"/>
          </w:tcPr>
          <w:p>
            <w:r>
              <w:t>E</w:t>
            </w:r>
          </w:p>
        </w:tc>
        <w:tc>
          <w:tcPr>
            <w:tcW w:type="dxa" w:w="2613"/>
          </w:tcPr>
          <w:p>
            <w:r>
              <w:t>cryogenic, pumping, heating, magnets, HVAC</w:t>
            </w:r>
          </w:p>
        </w:tc>
      </w:tr>
      <w:tr>
        <w:tc>
          <w:tcPr>
            <w:tcW w:type="dxa" w:w="2613"/>
          </w:tcPr>
          <w:p>
            <w:r>
              <w:t>Net output</w:t>
            </w:r>
          </w:p>
        </w:tc>
        <w:tc>
          <w:tcPr>
            <w:tcW w:type="dxa" w:w="2613"/>
          </w:tcPr>
          <w:p>
            <w:r>
              <w:t>1000 MWe</w:t>
            </w:r>
          </w:p>
        </w:tc>
        <w:tc>
          <w:tcPr>
            <w:tcW w:type="dxa" w:w="2613"/>
          </w:tcPr>
          <w:p>
            <w:r>
              <w:t>E</w:t>
            </w:r>
          </w:p>
        </w:tc>
        <w:tc>
          <w:tcPr>
            <w:tcW w:type="dxa" w:w="2613"/>
          </w:tcPr>
          <w:p>
            <w:r>
              <w:t>commercial reference point</w:t>
            </w:r>
          </w:p>
        </w:tc>
      </w:tr>
      <w:tr>
        <w:tc>
          <w:tcPr>
            <w:tcW w:type="dxa" w:w="2613"/>
          </w:tcPr>
          <w:p>
            <w:r>
              <w:t>BHT pressure</w:t>
            </w:r>
          </w:p>
        </w:tc>
        <w:tc>
          <w:tcPr>
            <w:tcW w:type="dxa" w:w="2613"/>
          </w:tcPr>
          <w:p>
            <w:r>
              <w:t>15.5 MPa</w:t>
            </w:r>
          </w:p>
        </w:tc>
        <w:tc>
          <w:tcPr>
            <w:tcW w:type="dxa" w:w="2613"/>
          </w:tcPr>
          <w:p>
            <w:r>
              <w:t>E/R</w:t>
            </w:r>
          </w:p>
        </w:tc>
        <w:tc>
          <w:tcPr>
            <w:tcW w:type="dxa" w:w="2613"/>
          </w:tcPr>
          <w:p>
            <w:r>
              <w:t>pressurized-water blanket precedent</w:t>
            </w:r>
          </w:p>
        </w:tc>
      </w:tr>
      <w:tr>
        <w:tc>
          <w:tcPr>
            <w:tcW w:type="dxa" w:w="2613"/>
          </w:tcPr>
          <w:p>
            <w:r>
              <w:t>BHT hot/cold</w:t>
            </w:r>
          </w:p>
        </w:tc>
        <w:tc>
          <w:tcPr>
            <w:tcW w:type="dxa" w:w="2613"/>
          </w:tcPr>
          <w:p>
            <w:r>
              <w:t>325/290 °C</w:t>
            </w:r>
          </w:p>
        </w:tc>
        <w:tc>
          <w:tcPr>
            <w:tcW w:type="dxa" w:w="2613"/>
          </w:tcPr>
          <w:p>
            <w:r>
              <w:t>E</w:t>
            </w:r>
          </w:p>
        </w:tc>
        <w:tc>
          <w:tcPr>
            <w:tcW w:type="dxa" w:w="2613"/>
          </w:tcPr>
          <w:p>
            <w:r>
              <w:t>primary heat balance</w:t>
            </w:r>
          </w:p>
        </w:tc>
      </w:tr>
      <w:tr>
        <w:tc>
          <w:tcPr>
            <w:tcW w:type="dxa" w:w="2613"/>
          </w:tcPr>
          <w:p>
            <w:r>
              <w:t>Machine sectors</w:t>
            </w:r>
          </w:p>
        </w:tc>
        <w:tc>
          <w:tcPr>
            <w:tcW w:type="dxa" w:w="2613"/>
          </w:tcPr>
          <w:p>
            <w:r>
              <w:t>16 × 22.5°</w:t>
            </w:r>
          </w:p>
        </w:tc>
        <w:tc>
          <w:tcPr>
            <w:tcW w:type="dxa" w:w="2613"/>
          </w:tcPr>
          <w:p>
            <w:r>
              <w:t>C</w:t>
            </w:r>
          </w:p>
        </w:tc>
        <w:tc>
          <w:tcPr>
            <w:tcW w:type="dxa" w:w="2613"/>
          </w:tcPr>
          <w:p>
            <w:r>
              <w:t>machine geometry</w:t>
            </w:r>
          </w:p>
        </w:tc>
      </w:tr>
      <w:tr>
        <w:tc>
          <w:tcPr>
            <w:tcW w:type="dxa" w:w="2613"/>
          </w:tcPr>
          <w:p>
            <w:r>
              <w:t>TF/PF/CS</w:t>
            </w:r>
          </w:p>
        </w:tc>
        <w:tc>
          <w:tcPr>
            <w:tcW w:type="dxa" w:w="2613"/>
          </w:tcPr>
          <w:p>
            <w:r>
              <w:t>16 / 6 / 6 modules</w:t>
            </w:r>
          </w:p>
        </w:tc>
        <w:tc>
          <w:tcPr>
            <w:tcW w:type="dxa" w:w="2613"/>
          </w:tcPr>
          <w:p>
            <w:r>
              <w:t>C</w:t>
            </w:r>
          </w:p>
        </w:tc>
        <w:tc>
          <w:tcPr>
            <w:tcW w:type="dxa" w:w="2613"/>
          </w:tcPr>
          <w:p>
            <w:r>
              <w:t>magnet topology</w:t>
            </w:r>
          </w:p>
        </w:tc>
      </w:tr>
      <w:tr>
        <w:tc>
          <w:tcPr>
            <w:tcW w:type="dxa" w:w="2613"/>
          </w:tcPr>
          <w:p>
            <w:r>
              <w:t>Blanket/divertor</w:t>
            </w:r>
          </w:p>
        </w:tc>
        <w:tc>
          <w:tcPr>
            <w:tcW w:type="dxa" w:w="2613"/>
          </w:tcPr>
          <w:p>
            <w:r>
              <w:t>80 segments / 48 cassettes</w:t>
            </w:r>
          </w:p>
        </w:tc>
        <w:tc>
          <w:tcPr>
            <w:tcW w:type="dxa" w:w="2613"/>
          </w:tcPr>
          <w:p>
            <w:r>
              <w:t>C</w:t>
            </w:r>
          </w:p>
        </w:tc>
        <w:tc>
          <w:tcPr>
            <w:tcW w:type="dxa" w:w="2613"/>
          </w:tcPr>
          <w:p>
            <w:r>
              <w:t>replaceable in-vessel topology</w:t>
            </w:r>
          </w:p>
        </w:tc>
      </w:tr>
    </w:tbl>
    <w:p>
      <w:pPr>
        <w:pStyle w:val="Heading1"/>
      </w:pPr>
      <w:r>
        <w:t>2. Governing calculations</w:t>
      </w:r>
    </w:p>
    <w:p>
      <w:r>
        <w:t>BHT total mass flow = Q/(cp·ΔT) = 3300×1000 / (5.0×35) = 18857 kg/s. Four equal trains give 4714 kg/s (6.55 m³/s at the selected mean density). This is an E calculation used to size headers, pumps and steam generators; it is not a canon fact.</w:t>
      </w:r>
    </w:p>
    <w:p>
      <w:r>
        <w:t>Cycle closure check: 1280 MWe / 3480 MWth = 36.8% gross thermal efficiency; after 280 MWe house load, net efficiency is 28.7%. The deliberately large auxiliary load is consistent with a commercial tokamak carrying cryogenic refrigeration, large primary pumps, magnet conversion/protection, vacuum, tritium processing and plasma heating.</w:t>
      </w:r>
    </w:p>
    <w:p>
      <w:pPr>
        <w:pStyle w:val="Heading1"/>
      </w:pPr>
      <w:r>
        <w:t>3. Design rules</w:t>
      </w:r>
    </w:p>
    <w:p>
      <w:pPr>
        <w:pStyle w:val="ListBullet"/>
      </w:pPr>
      <w:r>
        <w:t>Single failures, common-cause hazards, maintenance states and commissioning states are treated as plant configurations, not exceptions.</w:t>
      </w:r>
    </w:p>
    <w:p>
      <w:pPr>
        <w:pStyle w:val="ListBullet"/>
      </w:pPr>
      <w:r>
        <w:t>Every pressure boundary receives design pressure/temperature, material class, relief basis, isolation boundary, drain/vent, inspection and test basis.</w:t>
      </w:r>
    </w:p>
    <w:p>
      <w:pPr>
        <w:pStyle w:val="ListBullet"/>
      </w:pPr>
      <w:r>
        <w:t>Every rotating machine receives hydraulic/process duty, driver, electrical feeder, control/protection, lubrication/cooling, foundation, alignment, vibration monitoring and removal route.</w:t>
      </w:r>
    </w:p>
    <w:p>
      <w:pPr>
        <w:pStyle w:val="ListBullet"/>
      </w:pPr>
      <w:r>
        <w:t>Every instrument is traced sensor → transmitter → junction/marshalling → I/O → logic → HMI/historian and, where applicable, trip/permissive → final element.</w:t>
      </w:r>
    </w:p>
    <w:p>
      <w:pPr>
        <w:pStyle w:val="ListBullet"/>
      </w:pPr>
      <w:r>
        <w:t>Every equipment location is checked for access, egress, lifting, shielding/confinement, flooding/fire interaction, maintainability and construction sequence.</w:t>
      </w:r>
    </w:p>
    <w:p>
      <w:pPr>
        <w:pStyle w:val="ListBullet"/>
      </w:pPr>
      <w:r>
        <w:t>Temporary systems are first-class configuration items whenever connected to permanent plant.</w:t>
      </w:r>
    </w:p>
    <w:p>
      <w:pPr>
        <w:pStyle w:val="Heading1"/>
      </w:pPr>
      <w:r>
        <w:t>4. External verification constraints</w:t>
      </w:r>
    </w:p>
    <w:p>
      <w:r>
        <w:t>R: CNSC REGDOC-2.5.2 v2.1 requires integrated consideration of SSCs, interfaces, layout, access, maintenance, egress, hazards and human factors. R: ITER demonstrates that tokamak plant architecture requires tightly integrated vacuum, cooling, cryogenic, electrical, heating/current-drive, diagnostics and controls. R: QST JA-DEMO demonstrates power-producing blanket functions: neutron heat recovery and tritium breeding.</w:t>
      </w:r>
    </w:p>
    <w:sectPr w:rsidR="00FC693F" w:rsidRPr="0006063C" w:rsidSect="00034616">
      <w:pgSz w:w="12240" w:h="15840"/>
      <w:pgMar w:top="648"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