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ONTARIO FUSION GENERATION</w:t>
      </w:r>
    </w:p>
    <w:p>
      <w:pPr>
        <w:jc w:val="center"/>
      </w:pPr>
      <w:r>
        <w:rPr>
          <w:b/>
          <w:sz w:val="32"/>
        </w:rPr>
        <w:t>DEFINITIVE ENGINEERING ATLAS — REV 3</w:t>
      </w:r>
    </w:p>
    <w:p>
      <w:pPr>
        <w:jc w:val="center"/>
      </w:pPr>
      <w:r>
        <w:rPr>
          <w:b/>
          <w:sz w:val="24"/>
        </w:rPr>
        <w:t>VOLUME 09 — POWER CYCLE, BALANCE OF PLANT &amp; PLANT UTILITIES</w:t>
      </w:r>
    </w:p>
    <w:p>
      <w:pPr>
        <w:jc w:val="center"/>
      </w:pPr>
      <w:r>
        <w:t>Steam/power conversion, turbine-generator, heat rejection, water, utilities and balance-of-plant interfaces</w:t>
      </w:r>
    </w:p>
    <w:p>
      <w:pPr>
        <w:jc w:val="center"/>
      </w:pPr>
      <w:r>
        <w:t>CONTROLLED STORY CONFIGURATION CUT: 19 APRIL 2031</w:t>
      </w:r>
    </w:p>
    <w:p>
      <w:pPr>
        <w:pStyle w:val="Heading1"/>
      </w:pPr>
      <w:r>
        <w:t>Atlas control doctrine</w:t>
      </w:r>
    </w:p>
    <w:p>
      <w:r>
        <w:t>This volume is part of the definitive self-contained story bible, not a work-package report. It preserves source-derived granularity and the engineering/configuration thread. C = controlled story/source canon; V = verified real-world precedent; E = controlled fictional engineering reconstruction; OPEN = unresolved. No precedent dimension, screening assumption, sensitivity value, code class, coordinate, vendor property, test result, or physical action is silently promoted to OFG historical fact.</w:t>
      </w:r>
    </w:p>
    <w:p>
      <w:r>
        <w:t>For every material configuration decision the controlling information chain is: originator → information → document/record → recipient → review → authority → decision → authorized action → physical consequence → inspection/test/as-built evidence → turnover/operations baseline → later change/supersession. CLOSED/APPROVED in an information system is not proof of physical execution.</w:t>
      </w:r>
    </w:p>
    <w:p>
      <w:pPr>
        <w:pStyle w:val="Heading1"/>
      </w:pPr>
      <w:r>
        <w:t>Integrated source map</w:t>
      </w:r>
    </w:p>
    <w:p>
      <w:r>
        <w:t>Detailed DOCX sources integrated: 3. Controlled CSV/ledger sources integrated: 0.</w:t>
      </w:r>
    </w:p>
    <w:p>
      <w:r>
        <w:t>DOCX · OFG_Encyclopedia_RevN_Volume_09(7).docx</w:t>
      </w:r>
    </w:p>
    <w:p>
      <w:r>
        <w:t>DOCX · OFG_Engineering_Encyclopedia_Rev2/OFG_E04_Power_Cycle_BOP_Encyclopedia_Rev2.docx</w:t>
      </w:r>
    </w:p>
    <w:p>
      <w:r>
        <w:t>DOCX · OFG_System_Encyclopedia_Rev1/OFG_S04R1_BOP_Electrical_IandC_Utilities.docx</w:t>
      </w:r>
    </w:p>
    <w:p>
      <w:r>
        <w:br w:type="page"/>
      </w:r>
    </w:p>
    <w:p>
      <w:pPr>
        <w:pStyle w:val="Heading1"/>
      </w:pPr>
      <w:r>
        <w:t>Integrated controlled source — OFG_Encyclopedia_RevN_Volume_09(7).docx</w:t>
      </w:r>
    </w:p>
    <w:p>
      <w:r>
        <w:t>Preserved at source granularity. Later explicit canon and change-provenance entries govern conflicts; source text is not silently rewritten.</w:t>
      </w:r>
    </w:p>
    <w:p>
      <w:pPr>
        <w:pStyle w:val="Title"/>
        <w:jc w:val="center"/>
      </w:pPr>
      <w:r>
        <w:t>ONTARIO FUSION GENERATION PROJECT</w:t>
      </w:r>
    </w:p>
    <w:p>
      <w:pPr>
        <w:pStyle w:val="Title"/>
        <w:jc w:val="center"/>
      </w:pPr>
      <w:r>
        <w:t>VOLUME IX — INTEGRATED COMMISSIONING &amp; COMPLETION FINANCE</w:t>
      </w:r>
    </w:p>
    <w:p>
      <w:pPr>
        <w:pStyle w:val="Subtitle"/>
        <w:jc w:val="center"/>
      </w:pPr>
      <w:r>
        <w:t>Operating authorization, magnet/vacuum integration, readiness governance and Project Aurora commitments</w:t>
      </w:r>
    </w:p>
    <w:p>
      <w:pPr>
        <w:jc w:val="center"/>
      </w:pPr>
      <w:r>
        <w:t>Complete chronological reference · canon cut: Saturday, 19 April 2031</w:t>
      </w:r>
    </w:p>
    <w:p>
      <w:pPr>
        <w:jc w:val="center"/>
      </w:pPr>
      <w:r>
        <w:t>Compiled from the Canonical Story Backbone Rev B, Master Reference, Backlogs 01–11, Revision Directives B–J, and controlled Rev A equipment/event datasets.</w:t>
      </w:r>
    </w:p>
    <w:p>
      <w:r>
        <w:br w:type="page"/>
      </w:r>
    </w:p>
    <w:p>
      <w:pPr>
        <w:pStyle w:val="Heading1"/>
      </w:pPr>
      <w:r>
        <w:t>Reference-status legend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Status</w:t>
            </w:r>
          </w:p>
        </w:tc>
        <w:tc>
          <w:tcPr>
            <w:tcW w:type="dxa" w:w="5227"/>
            <w:vAlign w:val="center"/>
          </w:tcPr>
          <w:p>
            <w:r>
              <w:rPr>
                <w:b/>
                <w:sz w:val="14"/>
              </w:rPr>
              <w:t>Meaning</w:t>
            </w:r>
          </w:p>
        </w:tc>
      </w:tr>
      <w:tr>
        <w:tc>
          <w:tcPr>
            <w:tcW w:type="dxa" w:w="5227"/>
            <w:vAlign w:val="top"/>
          </w:tcPr>
          <w:p>
            <w:r>
              <w:rPr>
                <w:sz w:val="14"/>
              </w:rPr>
              <w:t>LOCKED CANON</w:t>
            </w:r>
          </w:p>
        </w:tc>
        <w:tc>
          <w:tcPr>
            <w:tcW w:type="dxa" w:w="5227"/>
            <w:vAlign w:val="top"/>
          </w:tcPr>
          <w:p>
            <w:r>
              <w:rPr>
                <w:sz w:val="14"/>
              </w:rPr>
              <w:t>Explicitly fixed by the controlling OFG canon at the 19 April 2031 cut.</w:t>
            </w:r>
          </w:p>
        </w:tc>
      </w:tr>
      <w:tr>
        <w:tc>
          <w:tcPr>
            <w:tcW w:type="dxa" w:w="5227"/>
            <w:vAlign w:val="top"/>
          </w:tcPr>
          <w:p>
            <w:r>
              <w:rPr>
                <w:sz w:val="14"/>
              </w:rPr>
              <w:t>CANONICAL FRAMEWORK</w:t>
            </w:r>
          </w:p>
        </w:tc>
        <w:tc>
          <w:tcPr>
            <w:tcW w:type="dxa" w:w="5227"/>
            <w:vAlign w:val="top"/>
          </w:tcPr>
          <w:p>
            <w:r>
              <w:rPr>
                <w:sz w:val="14"/>
              </w:rPr>
              <w:t>Institutional/technical architecture is fixed; some lower-level dates, names, quantities or records remain to be reconstructed.</w:t>
            </w:r>
          </w:p>
        </w:tc>
      </w:tr>
      <w:tr>
        <w:tc>
          <w:tcPr>
            <w:tcW w:type="dxa" w:w="5227"/>
            <w:vAlign w:val="top"/>
          </w:tcPr>
          <w:p>
            <w:r>
              <w:rPr>
                <w:sz w:val="14"/>
              </w:rPr>
              <w:t>VERIFIED PRECEDENT CONSTRAINT</w:t>
            </w:r>
          </w:p>
        </w:tc>
        <w:tc>
          <w:tcPr>
            <w:tcW w:type="dxa" w:w="5227"/>
            <w:vAlign w:val="top"/>
          </w:tcPr>
          <w:p>
            <w:r>
              <w:rPr>
                <w:sz w:val="14"/>
              </w:rPr>
              <w:t>Real-world analogue constrains plausibility; it is not itself an OFG event.</w:t>
            </w:r>
          </w:p>
        </w:tc>
      </w:tr>
      <w:tr>
        <w:tc>
          <w:tcPr>
            <w:tcW w:type="dxa" w:w="5227"/>
            <w:vAlign w:val="top"/>
          </w:tcPr>
          <w:p>
            <w:r>
              <w:rPr>
                <w:sz w:val="14"/>
              </w:rPr>
              <w:t>OPEN / CONTROLLED</w:t>
            </w:r>
          </w:p>
        </w:tc>
        <w:tc>
          <w:tcPr>
            <w:tcW w:type="dxa" w:w="5227"/>
            <w:vAlign w:val="top"/>
          </w:tcPr>
          <w:p>
            <w:r>
              <w:rPr>
                <w:sz w:val="14"/>
              </w:rPr>
              <w:t>The backlog identifies the subject, but the source set does not yet support a unique historical answer. Do not invent one.</w:t>
            </w:r>
          </w:p>
        </w:tc>
      </w:tr>
      <w:tr>
        <w:tc>
          <w:tcPr>
            <w:tcW w:type="dxa" w:w="5227"/>
            <w:vAlign w:val="top"/>
          </w:tcPr>
          <w:p>
            <w:r>
              <w:rPr>
                <w:sz w:val="14"/>
              </w:rPr>
              <w:t>WORKING DATASET</w:t>
            </w:r>
          </w:p>
        </w:tc>
        <w:tc>
          <w:tcPr>
            <w:tcW w:type="dxa" w:w="5227"/>
            <w:vAlign w:val="top"/>
          </w:tcPr>
          <w:p>
            <w:r>
              <w:rPr>
                <w:sz w:val="14"/>
              </w:rPr>
              <w:t>Rev A asset/event data support chronology and forensic work, but known semantic/date anomalies mean the rows are not self-authenticating canon.</w:t>
            </w:r>
          </w:p>
        </w:tc>
      </w:tr>
    </w:tbl>
    <w:p>
      <w:pPr>
        <w:pStyle w:val="ReferenceNote"/>
      </w:pPr>
      <w:r>
        <w:t>The encyclopedia favors explicit uncertainty over false precision. It records what is known at the story cut, what is structurally required by the project, and what remains unresolved.</w:t>
      </w:r>
    </w:p>
    <w:p>
      <w:pPr>
        <w:pStyle w:val="Heading1"/>
      </w:pPr>
      <w:r>
        <w:t>Period definition</w:t>
      </w:r>
    </w:p>
    <w:p>
      <w:r>
        <w:t>Coverage: January-March 2031. This volume is chronological: every topical domain is described as it exists during this period rather than as a timeless subject.</w:t>
      </w:r>
    </w:p>
    <w:p>
      <w:pPr>
        <w:pStyle w:val="Heading1"/>
      </w:pPr>
      <w:r>
        <w:t>Canonical chronicle</w:t>
      </w:r>
    </w:p>
    <w:p>
      <w:pPr>
        <w:pStyle w:val="Heading2"/>
      </w:pPr>
      <w:r>
        <w:t>January — operating/commissioning authorization</w:t>
      </w:r>
    </w:p>
    <w:p>
      <w:r>
        <w:t>The required authorization for the defined machine-commissioning phase is obtained. It is not commercial-operation approval; later D-T, higher-power and power-operation hold points remain.</w:t>
      </w:r>
    </w:p>
    <w:p>
      <w:pPr>
        <w:pStyle w:val="Heading2"/>
      </w:pPr>
      <w:r>
        <w:t>January-February — magnet commissioning</w:t>
      </w:r>
    </w:p>
    <w:p>
      <w:r>
        <w:t>Final cooldown, superconducting-transition verification, current-lead work, low-current energization, polarity, circuit parameters, quench detection, fast discharge, ground-fault testing and progressive current increase proceed stepwise because of stored-energy risk.</w:t>
      </w:r>
    </w:p>
    <w:p>
      <w:pPr>
        <w:pStyle w:val="Heading2"/>
      </w:pPr>
      <w:r>
        <w:t>February-March — machine integration</w:t>
      </w:r>
    </w:p>
    <w:p>
      <w:r>
        <w:t>Vacuum/bakeout campaigns, cryopumps, gas injection, heating dummy loads, diagnostics, machine-protection testing, disruption-mitigation tests without real plasma, control sequences and degraded-mode tests intensify.</w:t>
      </w:r>
    </w:p>
    <w:p>
      <w:pPr>
        <w:pStyle w:val="Heading2"/>
      </w:pPr>
      <w:r>
        <w:t>March — First Plasma Readiness Programme</w:t>
      </w:r>
    </w:p>
    <w:p>
      <w:r>
        <w:t>The FP Readiness Register becomes the executive compression layer. Prerequisites include magnets, vacuum, cryogenics, cooling, DCS, MPS, diagnostics, heating, disruption mitigation, procedures, operator qualification, emergency readiness and regulatory conditions. Items are blockers, must-close, conditional/deferred or post-FP.</w:t>
      </w:r>
    </w:p>
    <w:p>
      <w:pPr>
        <w:pStyle w:val="Heading2"/>
      </w:pPr>
      <w:r>
        <w:t>Aurora commitments</w:t>
      </w:r>
    </w:p>
    <w:p>
      <w:r>
        <w:t>AUR-SCF-001 C$1.40B, AUR-PP-001 C$750M target, AUR-EQ-001 C$600M OPG completion equity and the C$500M accordion form the supplemental financing package. The first three are committed/conditional to different degrees; the accordion is not liquidity until a counterparty commits.</w:t>
      </w:r>
    </w:p>
    <w:p>
      <w:pPr>
        <w:pStyle w:val="Heading2"/>
      </w:pPr>
      <w:r>
        <w:t>Organization transition</w:t>
      </w:r>
    </w:p>
    <w:p>
      <w:r>
        <w:t>Construction headcount falls while OPG commissioning/operations-readiness, maintainers, system engineers and OEM specialists rise. The later master reference supersedes the old ~680 whole-site figure: normal weekday controlled-site population is about 820-880, use ~850; Saturday 19 Apr is about 500-600.</w:t>
      </w:r>
    </w:p>
    <w:p>
      <w:pPr>
        <w:pStyle w:val="Heading1"/>
      </w:pPr>
      <w:r>
        <w:t>Institutional / business / government state</w:t>
      </w:r>
    </w:p>
    <w:p>
      <w:pPr>
        <w:pStyle w:val="Heading1"/>
      </w:pPr>
      <w:r>
        <w:t>Project Aurora — March 2031 position</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vAlign w:val="center"/>
          </w:tcPr>
          <w:p>
            <w:r>
              <w:rPr>
                <w:b/>
                <w:sz w:val="14"/>
              </w:rPr>
              <w:t>Instrument</w:t>
            </w:r>
          </w:p>
        </w:tc>
        <w:tc>
          <w:tcPr>
            <w:tcW w:type="dxa" w:w="3485"/>
            <w:vAlign w:val="center"/>
          </w:tcPr>
          <w:p>
            <w:r>
              <w:rPr>
                <w:b/>
                <w:sz w:val="14"/>
              </w:rPr>
              <w:t>Amount</w:t>
            </w:r>
          </w:p>
        </w:tc>
        <w:tc>
          <w:tcPr>
            <w:tcW w:type="dxa" w:w="3485"/>
            <w:vAlign w:val="center"/>
          </w:tcPr>
          <w:p>
            <w:r>
              <w:rPr>
                <w:b/>
                <w:sz w:val="14"/>
              </w:rPr>
              <w:t>Status / role</w:t>
            </w:r>
          </w:p>
        </w:tc>
      </w:tr>
      <w:tr>
        <w:tc>
          <w:tcPr>
            <w:tcW w:type="dxa" w:w="3485"/>
            <w:vAlign w:val="top"/>
          </w:tcPr>
          <w:p>
            <w:r>
              <w:rPr>
                <w:sz w:val="14"/>
              </w:rPr>
              <w:t>AUR-SCF-001 Senior Supplemental Completion Facility</w:t>
            </w:r>
          </w:p>
        </w:tc>
        <w:tc>
          <w:tcPr>
            <w:tcW w:type="dxa" w:w="3485"/>
            <w:vAlign w:val="top"/>
          </w:tcPr>
          <w:p>
            <w:r>
              <w:rPr>
                <w:sz w:val="14"/>
              </w:rPr>
              <w:t>C$1.40B</w:t>
            </w:r>
          </w:p>
        </w:tc>
        <w:tc>
          <w:tcPr>
            <w:tcW w:type="dxa" w:w="3485"/>
            <w:vAlign w:val="top"/>
          </w:tcPr>
          <w:p>
            <w:r>
              <w:rPr>
                <w:sz w:val="14"/>
              </w:rPr>
              <w:t>Committed subject to closing/conditions precedent; bank liquidity.</w:t>
            </w:r>
          </w:p>
        </w:tc>
      </w:tr>
      <w:tr>
        <w:tc>
          <w:tcPr>
            <w:tcW w:type="dxa" w:w="3485"/>
            <w:vAlign w:val="top"/>
          </w:tcPr>
          <w:p>
            <w:r>
              <w:rPr>
                <w:sz w:val="14"/>
              </w:rPr>
              <w:t>AUR-PP-001 Institutional Private Placement</w:t>
            </w:r>
          </w:p>
        </w:tc>
        <w:tc>
          <w:tcPr>
            <w:tcW w:type="dxa" w:w="3485"/>
            <w:vAlign w:val="top"/>
          </w:tcPr>
          <w:p>
            <w:r>
              <w:rPr>
                <w:sz w:val="14"/>
              </w:rPr>
              <w:t>C$0.75B</w:t>
            </w:r>
          </w:p>
        </w:tc>
        <w:tc>
          <w:tcPr>
            <w:tcW w:type="dxa" w:w="3485"/>
            <w:vAlign w:val="top"/>
          </w:tcPr>
          <w:p>
            <w:r>
              <w:rPr>
                <w:sz w:val="14"/>
              </w:rPr>
              <w:t>Committed/staged placement; final allocations/syndication still active.</w:t>
            </w:r>
          </w:p>
        </w:tc>
      </w:tr>
      <w:tr>
        <w:tc>
          <w:tcPr>
            <w:tcW w:type="dxa" w:w="3485"/>
            <w:vAlign w:val="top"/>
          </w:tcPr>
          <w:p>
            <w:r>
              <w:rPr>
                <w:sz w:val="14"/>
              </w:rPr>
              <w:t>AUR-EQ-001 OPG completion equity</w:t>
            </w:r>
          </w:p>
        </w:tc>
        <w:tc>
          <w:tcPr>
            <w:tcW w:type="dxa" w:w="3485"/>
            <w:vAlign w:val="top"/>
          </w:tcPr>
          <w:p>
            <w:r>
              <w:rPr>
                <w:sz w:val="14"/>
              </w:rPr>
              <w:t>C$0.60B</w:t>
            </w:r>
          </w:p>
        </w:tc>
        <w:tc>
          <w:tcPr>
            <w:tcW w:type="dxa" w:w="3485"/>
            <w:vAlign w:val="top"/>
          </w:tcPr>
          <w:p>
            <w:r>
              <w:rPr>
                <w:sz w:val="14"/>
              </w:rPr>
              <w:t>Binding conditional sponsor commitment.</w:t>
            </w:r>
          </w:p>
        </w:tc>
      </w:tr>
      <w:tr>
        <w:tc>
          <w:tcPr>
            <w:tcW w:type="dxa" w:w="3485"/>
            <w:vAlign w:val="top"/>
          </w:tcPr>
          <w:p>
            <w:r>
              <w:rPr>
                <w:sz w:val="14"/>
              </w:rPr>
              <w:t>Accordion</w:t>
            </w:r>
          </w:p>
        </w:tc>
        <w:tc>
          <w:tcPr>
            <w:tcW w:type="dxa" w:w="3485"/>
            <w:vAlign w:val="top"/>
          </w:tcPr>
          <w:p>
            <w:r>
              <w:rPr>
                <w:sz w:val="14"/>
              </w:rPr>
              <w:t>C$0.50B</w:t>
            </w:r>
          </w:p>
        </w:tc>
        <w:tc>
          <w:tcPr>
            <w:tcW w:type="dxa" w:w="3485"/>
            <w:vAlign w:val="top"/>
          </w:tcPr>
          <w:p>
            <w:r>
              <w:rPr>
                <w:sz w:val="14"/>
              </w:rPr>
              <w:t>Uncommitted option; no committed counterparty on 19 Apr 2031.</w:t>
            </w:r>
          </w:p>
        </w:tc>
      </w:tr>
    </w:tbl>
    <w:p>
      <w:pPr>
        <w:pStyle w:val="Heading1"/>
      </w:pPr>
      <w:r>
        <w:t>April-opening financing arithmetic</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vAlign w:val="center"/>
          </w:tcPr>
          <w:p>
            <w:r>
              <w:rPr>
                <w:b/>
                <w:sz w:val="14"/>
              </w:rPr>
              <w:t>Measure</w:t>
            </w:r>
          </w:p>
        </w:tc>
        <w:tc>
          <w:tcPr>
            <w:tcW w:type="dxa" w:w="3485"/>
            <w:vAlign w:val="center"/>
          </w:tcPr>
          <w:p>
            <w:r>
              <w:rPr>
                <w:b/>
                <w:sz w:val="14"/>
              </w:rPr>
              <w:t>Amount</w:t>
            </w:r>
          </w:p>
        </w:tc>
        <w:tc>
          <w:tcPr>
            <w:tcW w:type="dxa" w:w="3485"/>
            <w:vAlign w:val="center"/>
          </w:tcPr>
          <w:p>
            <w:r>
              <w:rPr>
                <w:b/>
                <w:sz w:val="14"/>
              </w:rPr>
              <w:t>Meaning</w:t>
            </w:r>
          </w:p>
        </w:tc>
      </w:tr>
      <w:tr>
        <w:tc>
          <w:tcPr>
            <w:tcW w:type="dxa" w:w="3485"/>
            <w:vAlign w:val="top"/>
          </w:tcPr>
          <w:p>
            <w:r>
              <w:rPr>
                <w:sz w:val="14"/>
              </w:rPr>
              <w:t>Existing committed financing capacity</w:t>
            </w:r>
          </w:p>
        </w:tc>
        <w:tc>
          <w:tcPr>
            <w:tcW w:type="dxa" w:w="3485"/>
            <w:vAlign w:val="top"/>
          </w:tcPr>
          <w:p>
            <w:r>
              <w:rPr>
                <w:sz w:val="14"/>
              </w:rPr>
              <w:t>C$45.80B</w:t>
            </w:r>
          </w:p>
        </w:tc>
        <w:tc>
          <w:tcPr>
            <w:tcW w:type="dxa" w:w="3485"/>
            <w:vAlign w:val="top"/>
          </w:tcPr>
          <w:p>
            <w:r>
              <w:rPr>
                <w:sz w:val="14"/>
              </w:rPr>
              <w:t>Pre-Aurora committed capacity in the fictional capital stack.</w:t>
            </w:r>
          </w:p>
        </w:tc>
      </w:tr>
      <w:tr>
        <w:tc>
          <w:tcPr>
            <w:tcW w:type="dxa" w:w="3485"/>
            <w:vAlign w:val="top"/>
          </w:tcPr>
          <w:p>
            <w:r>
              <w:rPr>
                <w:sz w:val="14"/>
              </w:rPr>
              <w:t>Existing + committed/conditional Aurora</w:t>
            </w:r>
          </w:p>
        </w:tc>
        <w:tc>
          <w:tcPr>
            <w:tcW w:type="dxa" w:w="3485"/>
            <w:vAlign w:val="top"/>
          </w:tcPr>
          <w:p>
            <w:r>
              <w:rPr>
                <w:sz w:val="14"/>
              </w:rPr>
              <w:t>C$48.55B</w:t>
            </w:r>
          </w:p>
        </w:tc>
        <w:tc>
          <w:tcPr>
            <w:tcW w:type="dxa" w:w="3485"/>
            <w:vAlign w:val="top"/>
          </w:tcPr>
          <w:p>
            <w:r>
              <w:rPr>
                <w:sz w:val="14"/>
              </w:rPr>
              <w:t>Includes C$2.75B supplemental committed/conditional capital.</w:t>
            </w:r>
          </w:p>
        </w:tc>
      </w:tr>
      <w:tr>
        <w:tc>
          <w:tcPr>
            <w:tcW w:type="dxa" w:w="3485"/>
            <w:vAlign w:val="top"/>
          </w:tcPr>
          <w:p>
            <w:r>
              <w:rPr>
                <w:sz w:val="14"/>
              </w:rPr>
              <w:t>Target including accordion</w:t>
            </w:r>
          </w:p>
        </w:tc>
        <w:tc>
          <w:tcPr>
            <w:tcW w:type="dxa" w:w="3485"/>
            <w:vAlign w:val="top"/>
          </w:tcPr>
          <w:p>
            <w:r>
              <w:rPr>
                <w:sz w:val="14"/>
              </w:rPr>
              <w:t>C$49.05B</w:t>
            </w:r>
          </w:p>
        </w:tc>
        <w:tc>
          <w:tcPr>
            <w:tcW w:type="dxa" w:w="3485"/>
            <w:vAlign w:val="top"/>
          </w:tcPr>
          <w:p>
            <w:r>
              <w:rPr>
                <w:sz w:val="14"/>
              </w:rPr>
              <w:t>Adds C$0.50B uncommitted accordion.</w:t>
            </w:r>
          </w:p>
        </w:tc>
      </w:tr>
      <w:tr>
        <w:tc>
          <w:tcPr>
            <w:tcW w:type="dxa" w:w="3485"/>
            <w:vAlign w:val="top"/>
          </w:tcPr>
          <w:p>
            <w:r>
              <w:rPr>
                <w:sz w:val="14"/>
              </w:rPr>
              <w:t>Daniel initial liquidity figure</w:t>
            </w:r>
          </w:p>
        </w:tc>
        <w:tc>
          <w:tcPr>
            <w:tcW w:type="dxa" w:w="3485"/>
            <w:vAlign w:val="top"/>
          </w:tcPr>
          <w:p>
            <w:r>
              <w:rPr>
                <w:sz w:val="14"/>
              </w:rPr>
              <w:t>C$1.70B</w:t>
            </w:r>
          </w:p>
        </w:tc>
        <w:tc>
          <w:tcPr>
            <w:tcW w:type="dxa" w:w="3485"/>
            <w:vAlign w:val="top"/>
          </w:tcPr>
          <w:p>
            <w:r>
              <w:rPr>
                <w:sz w:val="14"/>
              </w:rPr>
              <w:t>A narrower transaction/liquidity number; not total Aurora capacity.</w:t>
            </w:r>
          </w:p>
        </w:tc>
      </w:tr>
    </w:tbl>
    <w:p>
      <w:pPr>
        <w:pStyle w:val="Heading1"/>
      </w:pPr>
      <w:r>
        <w:t>Working asset/event chronology for this period</w:t>
      </w:r>
    </w:p>
    <w:p>
      <w:pPr>
        <w:pStyle w:val="ReferenceNote"/>
      </w:pPr>
      <w:r>
        <w:t>The Rev A asset/event datasets are included as a chronology aid, not as self-authenticating canon. Known semantic/date anomalies are quarantined; counts below are descriptive of the working dataset and must not override the controlling narrative/configuration record.</w:t>
      </w:r>
    </w:p>
    <w:tbl>
      <w:tblPr>
        <w:tblStyle w:val="TableGrid"/>
        <w:tblW w:type="auto" w:w="0"/>
        <w:jc w:val="center"/>
        <w:tblLook w:firstColumn="1" w:firstRow="1" w:lastColumn="0" w:lastRow="0" w:noHBand="0" w:noVBand="1" w:val="04A0"/>
      </w:tblPr>
      <w:tblGrid>
        <w:gridCol w:w="1307"/>
        <w:gridCol w:w="1307"/>
        <w:gridCol w:w="1307"/>
        <w:gridCol w:w="1307"/>
        <w:gridCol w:w="1307"/>
        <w:gridCol w:w="1307"/>
        <w:gridCol w:w="1307"/>
        <w:gridCol w:w="1307"/>
      </w:tblGrid>
      <w:tr>
        <w:trPr>
          <w:tblHeader w:val="true"/>
        </w:trPr>
        <w:tc>
          <w:tcPr>
            <w:tcW w:type="dxa" w:w="1307"/>
            <w:vAlign w:val="center"/>
          </w:tcPr>
          <w:p>
            <w:r>
              <w:rPr>
                <w:b/>
                <w:sz w:val="13"/>
              </w:rPr>
              <w:t>Year</w:t>
            </w:r>
          </w:p>
        </w:tc>
        <w:tc>
          <w:tcPr>
            <w:tcW w:type="dxa" w:w="1307"/>
            <w:vAlign w:val="center"/>
          </w:tcPr>
          <w:p>
            <w:r>
              <w:rPr>
                <w:b/>
                <w:sz w:val="13"/>
              </w:rPr>
              <w:t>Procured / mobilized</w:t>
            </w:r>
          </w:p>
        </w:tc>
        <w:tc>
          <w:tcPr>
            <w:tcW w:type="dxa" w:w="1307"/>
            <w:vAlign w:val="center"/>
          </w:tcPr>
          <w:p>
            <w:r>
              <w:rPr>
                <w:b/>
                <w:sz w:val="13"/>
              </w:rPr>
              <w:t>Site arrivals</w:t>
            </w:r>
          </w:p>
        </w:tc>
        <w:tc>
          <w:tcPr>
            <w:tcW w:type="dxa" w:w="1307"/>
            <w:vAlign w:val="center"/>
          </w:tcPr>
          <w:p>
            <w:r>
              <w:rPr>
                <w:b/>
                <w:sz w:val="13"/>
              </w:rPr>
              <w:t>Installation starts</w:t>
            </w:r>
          </w:p>
        </w:tc>
        <w:tc>
          <w:tcPr>
            <w:tcW w:type="dxa" w:w="1307"/>
            <w:vAlign w:val="center"/>
          </w:tcPr>
          <w:p>
            <w:r>
              <w:rPr>
                <w:b/>
                <w:sz w:val="13"/>
              </w:rPr>
              <w:t>MC</w:t>
            </w:r>
          </w:p>
        </w:tc>
        <w:tc>
          <w:tcPr>
            <w:tcW w:type="dxa" w:w="1307"/>
            <w:vAlign w:val="center"/>
          </w:tcPr>
          <w:p>
            <w:r>
              <w:rPr>
                <w:b/>
                <w:sz w:val="13"/>
              </w:rPr>
              <w:t>Turnovers</w:t>
            </w:r>
          </w:p>
        </w:tc>
        <w:tc>
          <w:tcPr>
            <w:tcW w:type="dxa" w:w="1307"/>
            <w:vAlign w:val="center"/>
          </w:tcPr>
          <w:p>
            <w:r>
              <w:rPr>
                <w:b/>
                <w:sz w:val="13"/>
              </w:rPr>
              <w:t>Commissioning starts</w:t>
            </w:r>
          </w:p>
        </w:tc>
        <w:tc>
          <w:tcPr>
            <w:tcW w:type="dxa" w:w="1307"/>
            <w:vAlign w:val="center"/>
          </w:tcPr>
          <w:p>
            <w:r>
              <w:rPr>
                <w:b/>
                <w:sz w:val="13"/>
              </w:rPr>
              <w:t>Event rows</w:t>
            </w:r>
          </w:p>
        </w:tc>
      </w:tr>
      <w:tr>
        <w:tc>
          <w:tcPr>
            <w:tcW w:type="dxa" w:w="1307"/>
            <w:vAlign w:val="top"/>
          </w:tcPr>
          <w:p>
            <w:r>
              <w:rPr>
                <w:sz w:val="13"/>
              </w:rPr>
              <w:t>2031</w:t>
            </w:r>
          </w:p>
        </w:tc>
        <w:tc>
          <w:tcPr>
            <w:tcW w:type="dxa" w:w="1307"/>
            <w:vAlign w:val="top"/>
          </w:tcPr>
          <w:p>
            <w:r>
              <w:rPr>
                <w:sz w:val="13"/>
              </w:rPr>
              <w:t>0</w:t>
            </w:r>
          </w:p>
        </w:tc>
        <w:tc>
          <w:tcPr>
            <w:tcW w:type="dxa" w:w="1307"/>
            <w:vAlign w:val="top"/>
          </w:tcPr>
          <w:p>
            <w:r>
              <w:rPr>
                <w:sz w:val="13"/>
              </w:rPr>
              <w:t>0</w:t>
            </w:r>
          </w:p>
        </w:tc>
        <w:tc>
          <w:tcPr>
            <w:tcW w:type="dxa" w:w="1307"/>
            <w:vAlign w:val="top"/>
          </w:tcPr>
          <w:p>
            <w:r>
              <w:rPr>
                <w:sz w:val="13"/>
              </w:rPr>
              <w:t>0</w:t>
            </w:r>
          </w:p>
        </w:tc>
        <w:tc>
          <w:tcPr>
            <w:tcW w:type="dxa" w:w="1307"/>
            <w:vAlign w:val="top"/>
          </w:tcPr>
          <w:p>
            <w:r>
              <w:rPr>
                <w:sz w:val="13"/>
              </w:rPr>
              <w:t>322</w:t>
            </w:r>
          </w:p>
        </w:tc>
        <w:tc>
          <w:tcPr>
            <w:tcW w:type="dxa" w:w="1307"/>
            <w:vAlign w:val="top"/>
          </w:tcPr>
          <w:p>
            <w:r>
              <w:rPr>
                <w:sz w:val="13"/>
              </w:rPr>
              <w:t>1504</w:t>
            </w:r>
          </w:p>
        </w:tc>
        <w:tc>
          <w:tcPr>
            <w:tcW w:type="dxa" w:w="1307"/>
            <w:vAlign w:val="top"/>
          </w:tcPr>
          <w:p>
            <w:r>
              <w:rPr>
                <w:sz w:val="13"/>
              </w:rPr>
              <w:t>3637</w:t>
            </w:r>
          </w:p>
        </w:tc>
        <w:tc>
          <w:tcPr>
            <w:tcW w:type="dxa" w:w="1307"/>
            <w:vAlign w:val="top"/>
          </w:tcPr>
          <w:p>
            <w:r>
              <w:rPr>
                <w:sz w:val="13"/>
              </w:rPr>
              <w:t>6191</w:t>
            </w:r>
          </w:p>
        </w:tc>
      </w:tr>
    </w:tbl>
    <w:p>
      <w:r>
        <w:br w:type="page"/>
      </w:r>
    </w:p>
    <w:p>
      <w:pPr>
        <w:pStyle w:val="Heading1"/>
      </w:pPr>
      <w:r>
        <w:t>Detailed source-derived canonical research</w:t>
      </w:r>
    </w:p>
    <w:p>
      <w:pPr>
        <w:pStyle w:val="ReferenceNote"/>
      </w:pPr>
      <w:r>
        <w:t>This section carries forward the detailed research already absorbed into the Canonical Story Backbone. It is reorganized under the period volume so other threads can reference the underlying institutional, contractual, technical and documentary history rather than only the compressed chronology.</w:t>
      </w:r>
    </w:p>
    <w:p>
      <w:pPr>
        <w:pStyle w:val="Heading2"/>
      </w:pPr>
      <w:r>
        <w:t>Detailed January-March 2031 chronology</w:t>
      </w:r>
    </w:p>
    <w:p>
      <w:r>
        <w:t>delivery/interface issues consume the remaining margin.</w:t>
      </w:r>
    </w:p>
    <w:p>
      <w:pPr>
        <w:pStyle w:val="Heading3"/>
      </w:pPr>
      <w:r>
        <w:t>The programme changes</w:t>
      </w:r>
    </w:p>
    <w:p>
      <w:r>
        <w:t>First Plasma: 31 May → 30 June 2031.</w:t>
      </w:r>
    </w:p>
    <w:p>
      <w:r>
        <w:t>This is OEB-3, the current baseline.</w:t>
      </w:r>
    </w:p>
    <w:p>
      <w:pPr>
        <w:pStyle w:val="Heading3"/>
      </w:pPr>
      <w:r>
        <w:t>Importantly</w:t>
      </w:r>
    </w:p>
    <w:p>
      <w:r>
        <w:t>Public commitment</w:t>
      </w:r>
    </w:p>
    <w:p>
      <w:pPr>
        <w:pStyle w:val="Heading3"/>
      </w:pPr>
      <w:r>
        <w:t>remains</w:t>
      </w:r>
    </w:p>
    <w:p>
      <w:r>
        <w:t>First Plasma in the first half of 2031.</w:t>
      </w:r>
    </w:p>
    <w:p>
      <w:r>
        <w:t>So June 30 is not merely another scheduler’s date.</w:t>
      </w:r>
    </w:p>
    <w:p>
      <w:r>
        <w:t>It has become the outside edge of a publicly visible commitment.</w:t>
      </w:r>
    </w:p>
    <w:p>
      <w:r>
        <w:t>That gives us a very strong source of schedule pressure without inventing a politician stupid enough to order an unsafe plasma shot.</w:t>
      </w:r>
    </w:p>
    <w:p>
      <w:pPr>
        <w:pStyle w:val="Heading3"/>
      </w:pPr>
      <w:r>
        <w:t>19. Project Aurora begins because the schedule has economic consequences</w:t>
      </w:r>
    </w:p>
    <w:p>
      <w:pPr>
        <w:pStyle w:val="Heading3"/>
      </w:pPr>
      <w:r>
        <w:t>Late 2030 cost-to-complete work shows</w:t>
      </w:r>
    </w:p>
    <w:p>
      <w:r>
        <w:t>higher IDC higher commissioning costs vendor extensions retained construction staff contingency drawdown less remaining liquidity.</w:t>
      </w:r>
    </w:p>
    <w:p>
      <w:r>
        <w:t>Thus the financing problem Daniel sees is directly connected to the construction schedule.</w:t>
      </w:r>
    </w:p>
    <w:p>
      <w:r>
        <w:t>December 2030</w:t>
      </w:r>
    </w:p>
    <w:p>
      <w:r>
        <w:t>OPG and financial advisers formally begin supplemental-completion financing work.</w:t>
      </w:r>
    </w:p>
    <w:p>
      <w:r>
        <w:t>January 2031</w:t>
      </w:r>
    </w:p>
    <w:p>
      <w:r>
        <w:t>JPMorgan/MUFG/SMBC and institutional investors begin Project Aurora diligence.</w:t>
      </w:r>
    </w:p>
    <w:p>
      <w:r>
        <w:t>February–March</w:t>
      </w:r>
    </w:p>
    <w:p>
      <w:r>
        <w:t>Lenders’ Technical Adviser updates cost-to-complete and schedule assessment.</w:t>
      </w:r>
    </w:p>
    <w:p>
      <w:r>
        <w:t>Project Aurora reaches commitment/documentation stage.</w:t>
      </w:r>
    </w:p>
    <w:p>
      <w:r>
        <w:t>April 2031</w:t>
      </w:r>
    </w:p>
    <w:p>
      <w:r>
        <w:t>Aurora is committed/conditional but not fully closed, exactly as already established.</w:t>
      </w:r>
    </w:p>
    <w:p>
      <w:r>
        <w:t>This is why Daniel is working on it on April 19.</w:t>
      </w:r>
    </w:p>
    <w:p>
      <w:pPr>
        <w:pStyle w:val="Heading3"/>
      </w:pPr>
      <w:r>
        <w:t>20. January 2031 — operating/commissioning authorization</w:t>
      </w:r>
    </w:p>
    <w:p>
      <w:r>
        <w:t>The required CNSC authorization is obtained for the upcoming machine commissioning phase.</w:t>
      </w:r>
    </w:p>
    <w:p>
      <w:pPr>
        <w:pStyle w:val="Heading3"/>
      </w:pPr>
      <w:r>
        <w:t>This does not mean</w:t>
      </w:r>
    </w:p>
    <w:p>
      <w:r>
        <w:t>plant approved for commercial operation.</w:t>
      </w:r>
    </w:p>
    <w:p>
      <w:r>
        <w:t>It means the regulatory conditions required to progress into defined operating/commissioning states have been satisfied.</w:t>
      </w:r>
    </w:p>
    <w:p>
      <w:pPr>
        <w:pStyle w:val="Heading3"/>
      </w:pPr>
      <w:r>
        <w:t>Additional hold points remain before</w:t>
      </w:r>
    </w:p>
    <w:p>
      <w:r>
        <w:t>D-T higher fusion power</w:t>
      </w:r>
    </w:p>
    <w:p>
      <w:r>
        <w:t>electric power operation.</w:t>
      </w:r>
    </w:p>
    <w:p>
      <w:pPr>
        <w:pStyle w:val="Heading3"/>
      </w:pPr>
      <w:r>
        <w:t>21. January–February 2031 — magnet commissioning</w:t>
      </w:r>
    </w:p>
    <w:p>
      <w:r>
        <w:t>The machine is now genuinely alive.</w:t>
      </w:r>
    </w:p>
    <w:p>
      <w:pPr>
        <w:pStyle w:val="Heading3"/>
      </w:pPr>
      <w:r>
        <w:t>Activities include</w:t>
      </w:r>
    </w:p>
    <w:p>
      <w:r>
        <w:t>final cooldown superconducting transition verification current-lead commissioning low-current coil energization polarity tests circuit resistance/inductance checks quench detection fast discharge ground-fault tests progressive current increase.</w:t>
      </w:r>
    </w:p>
    <w:p>
      <w:r>
        <w:t>This is done stepwise because a superconducting system contains enormous stored energy.</w:t>
      </w:r>
    </w:p>
    <w:p>
      <w:pPr>
        <w:pStyle w:val="Heading3"/>
      </w:pPr>
      <w:r>
        <w:t>22. February–March 2031 — machine integration</w:t>
      </w:r>
    </w:p>
    <w:p>
      <w:r>
        <w:t>Vacuum campaigns intensify.</w:t>
      </w:r>
    </w:p>
    <w:p>
      <w:r>
        <w:t>Vessel bakeout.</w:t>
      </w:r>
    </w:p>
    <w:p>
      <w:r>
        <w:t>Cryopump commissioning.</w:t>
      </w:r>
    </w:p>
    <w:p>
      <w:pPr>
        <w:pStyle w:val="Heading2"/>
      </w:pPr>
      <w:r>
        <w:t>Project Aurora commitment documentation and privity implications</w:t>
      </w:r>
    </w:p>
    <w:p>
      <w:r>
        <w:t>control-room authority, system tagging and construction re-entry.</w:t>
      </w:r>
    </w:p>
    <w:p>
      <w:pPr>
        <w:pStyle w:val="Heading3"/>
      </w:pPr>
      <w:r>
        <w:t>Once OPG Commissioning accepts a subsystem</w:t>
      </w:r>
    </w:p>
    <w:p>
      <w:r>
        <w:t>Bechtel no longer has unfettered control of that equipment merely because its subcontractor installed it.</w:t>
      </w:r>
    </w:p>
    <w:p>
      <w:r>
        <w:t>Bechtel remains statutory constructor for active construction work areas.</w:t>
      </w:r>
    </w:p>
    <w:p>
      <w:r>
        <w:t>OPG controls commissioned plant boundaries.</w:t>
      </w:r>
    </w:p>
    <w:p>
      <w:r>
        <w:t>This mixed authority is carefully mapped geographically and functionally.</w:t>
      </w:r>
    </w:p>
    <w:p>
      <w:r>
        <w:t>CNSC explicitly requires controlled construction-to-commissioning turnover, documented deficiencies and authorization before the previous party returns to transferred equipment.</w:t>
      </w:r>
    </w:p>
    <w:p>
      <w:r>
        <w:t>Fluor enters in 2029</w:t>
      </w:r>
    </w:p>
    <w:p>
      <w:r>
        <w:t>OFG-SVC-FLU-001</w:t>
      </w:r>
    </w:p>
    <w:p>
      <w:r>
        <w:t>E&amp;C retains Fluor for completion/turnover surge support.</w:t>
      </w:r>
    </w:p>
    <w:p>
      <w:pPr>
        <w:pStyle w:val="Heading3"/>
      </w:pPr>
      <w:r>
        <w:t>Fluor personnel supplement</w:t>
      </w:r>
    </w:p>
    <w:p>
      <w:r>
        <w:t>completion database administration, turnover dossier quality, punch management and commissioning handover support.</w:t>
      </w:r>
    </w:p>
    <w:p>
      <w:pPr>
        <w:pStyle w:val="Heading3"/>
      </w:pPr>
      <w:r>
        <w:t>Fluor does not gain</w:t>
      </w:r>
    </w:p>
    <w:p>
      <w:r>
        <w:t>design authority constructor authority commissioning authority.</w:t>
      </w:r>
    </w:p>
    <w:p>
      <w:r>
        <w:t>It is staff augmentation/specialist methodology support.</w:t>
      </w:r>
    </w:p>
    <w:p>
      <w:r>
        <w:t>This prevents the project from accidentally acquiring a second EPC chain.</w:t>
      </w:r>
    </w:p>
    <w:p>
      <w:r>
        <w:t>2029 rebaseline and EPC Amendment No. 2</w:t>
      </w:r>
    </w:p>
    <w:p>
      <w:pPr>
        <w:pStyle w:val="Heading3"/>
      </w:pPr>
      <w:r>
        <w:t>When First Plasma moves from March 31 to May 31, 2031</w:t>
      </w:r>
    </w:p>
    <w:p>
      <w:r>
        <w:t>OFG-EPC-AMD-02</w:t>
      </w:r>
    </w:p>
    <w:p>
      <w:r>
        <w:t>does several things.</w:t>
      </w:r>
    </w:p>
    <w:p>
      <w:r>
        <w:t>It updates contractual milestone dates.</w:t>
      </w:r>
    </w:p>
    <w:p>
      <w:r>
        <w:t>It extends selected site staffing and vendor support.</w:t>
      </w:r>
    </w:p>
    <w:p>
      <w:r>
        <w:t>It adjusts estimated reimbursable duration-related costs.</w:t>
      </w:r>
    </w:p>
    <w:p>
      <w:r>
        <w:t>It preserves claims positions where causation remains disputed.</w:t>
      </w:r>
    </w:p>
    <w:p>
      <w:r>
        <w:t>Crucially, a schedule amendment does not necessarily constitute an admission that E&amp;C caused the delay.</w:t>
      </w:r>
    </w:p>
    <w:p>
      <w:r>
        <w:t>That distinction will matter to later liability analysis.</w:t>
      </w:r>
    </w:p>
    <w:p>
      <w:r>
        <w:t>November 2030: EPC Amendment No. 3</w:t>
      </w:r>
    </w:p>
    <w:p>
      <w:pPr>
        <w:pStyle w:val="Heading3"/>
      </w:pPr>
      <w:r>
        <w:t>First Plasma moves again</w:t>
      </w:r>
    </w:p>
    <w:p>
      <w:r>
        <w:t>May 31 → June 30, 2031.</w:t>
      </w:r>
    </w:p>
    <w:p>
      <w:r>
        <w:t>OFG-EPC-AMD-03</w:t>
      </w:r>
    </w:p>
    <w:p>
      <w:pPr>
        <w:pStyle w:val="Heading3"/>
      </w:pPr>
      <w:r>
        <w:t>This amendment</w:t>
      </w:r>
    </w:p>
    <w:p>
      <w:r>
        <w:t>updates milestone schedule, increases selected owner/EPC budget allowances, extends Bechtel and OEM field-service windows, revises construction/completion staffing assumptions and adjusts portions of the target-cost incentive regime.</w:t>
      </w:r>
    </w:p>
    <w:p>
      <w:r>
        <w:t>It does not give anybody permission to redefine technical First-Plasma readiness.</w:t>
      </w:r>
    </w:p>
    <w:p>
      <w:r>
        <w:t>The date changes.</w:t>
      </w:r>
    </w:p>
    <w:p>
      <w:r>
        <w:t>The readiness criteria do not.</w:t>
      </w:r>
    </w:p>
    <w:p>
      <w:r>
        <w:t>This is the contractual manifestation of date versus state.</w:t>
      </w:r>
    </w:p>
    <w:p>
      <w:r>
        <w:t>December 2030: Project Aurora begins</w:t>
      </w:r>
    </w:p>
    <w:p>
      <w:pPr>
        <w:pStyle w:val="Heading3"/>
      </w:pPr>
      <w:r>
        <w:t>OPG/OFG LP appoints JPMorgan under</w:t>
      </w:r>
    </w:p>
    <w:p>
      <w:r>
        <w:t>AUR-MAND-001 — Financial Advisory, Structuring and Placement Engagement Letter.</w:t>
      </w:r>
    </w:p>
    <w:p>
      <w:pPr>
        <w:pStyle w:val="Heading3"/>
      </w:pPr>
      <w:r>
        <w:t>JPMorgan is responsible for</w:t>
      </w:r>
    </w:p>
    <w:p>
      <w:r>
        <w:t>supplemental financing structure, financial modelling, investor materials, placement work, bank underwriting coordination and Credit Committee materials.</w:t>
      </w:r>
    </w:p>
    <w:p>
      <w:r>
        <w:t>MUFG remains deeply involved because of its existing agent/relationship role.</w:t>
      </w:r>
    </w:p>
    <w:p>
      <w:r>
        <w:t>SMBC remains a principal Japanese relationship bank.</w:t>
      </w:r>
    </w:p>
    <w:p>
      <w:r>
        <w:t>January–March 2031: Aurora commitment documentation</w:t>
      </w:r>
    </w:p>
    <w:p>
      <w:r>
        <w:t>Supplemental Senior Completion Facility</w:t>
      </w:r>
    </w:p>
    <w:p>
      <w:r>
        <w:t>AUR-SCF-001</w:t>
      </w:r>
    </w:p>
    <w:p>
      <w:r>
        <w:t>Amount: C$1.40B.</w:t>
      </w:r>
    </w:p>
    <w:p>
      <w:pPr>
        <w:pStyle w:val="Heading3"/>
      </w:pPr>
      <w:r>
        <w:t>Borrower</w:t>
      </w:r>
    </w:p>
    <w:p>
      <w:r>
        <w:t>OFG LP.</w:t>
      </w:r>
    </w:p>
    <w:p>
      <w:pPr>
        <w:pStyle w:val="Heading3"/>
      </w:pPr>
      <w:r>
        <w:t>Arrangers</w:t>
      </w:r>
    </w:p>
    <w:p>
      <w:r>
        <w:t>JPMorgan/MUFG/SMBC group.</w:t>
      </w:r>
    </w:p>
    <w:p>
      <w:r>
        <w:t>The agreement is signed/committed subject to Conditions Precedent.</w:t>
      </w:r>
    </w:p>
    <w:p>
      <w:pPr>
        <w:pStyle w:val="Heading3"/>
      </w:pPr>
      <w:r>
        <w:t>Those CPs include, among other things</w:t>
      </w:r>
    </w:p>
    <w:p>
      <w:r>
        <w:t>updated cost-to-complete information LTA report updated schedule regulatory status absence of specified defaults representation bring-downs completion-support documentation.</w:t>
      </w:r>
    </w:p>
    <w:p>
      <w:r>
        <w:t>Institutional supplemental placement</w:t>
      </w:r>
    </w:p>
    <w:p>
      <w:r>
        <w:t>AUR-PP-001</w:t>
      </w:r>
    </w:p>
    <w:p>
      <w:pPr>
        <w:pStyle w:val="Heading3"/>
      </w:pPr>
      <w:r>
        <w:t>Target</w:t>
      </w:r>
    </w:p>
    <w:p>
      <w:r>
        <w:t>C$750M.</w:t>
      </w:r>
    </w:p>
    <w:p>
      <w:r>
        <w:t>By April 19 there are signed or highly advanced conditional commitments sufficient for the transaction to model C$750M as committed/conditional capital, but final allocations and syndication remain active.</w:t>
      </w:r>
    </w:p>
    <w:p>
      <w:r>
        <w:t>This is why Daniel still has an investor tracker.</w:t>
      </w:r>
    </w:p>
    <w:p>
      <w:r>
        <w:t>One investor can reduce its final funded amount before closing if a specific CP fails.</w:t>
      </w:r>
    </w:p>
    <w:p>
      <w:pPr>
        <w:pStyle w:val="Heading3"/>
      </w:pPr>
      <w:r>
        <w:t>Hence the stress case</w:t>
      </w:r>
    </w:p>
    <w:p>
      <w:r>
        <w:t>750M \rightarrow 500M.</w:t>
      </w:r>
    </w:p>
    <w:p>
      <w:r>
        <w:t>OPG completion-equity commitment</w:t>
      </w:r>
    </w:p>
    <w:p>
      <w:r>
        <w:t>AUR-EQ-001</w:t>
      </w:r>
    </w:p>
    <w:p>
      <w:r>
        <w:t>OPG commits C$600M additional equity subject to defined funding conditions.</w:t>
      </w:r>
    </w:p>
    <w:p>
      <w:r>
        <w:t>This is binding but contingent.</w:t>
      </w:r>
    </w:p>
    <w:p>
      <w:r>
        <w:t>It is separate from Ontario’s existing C$3B facility.</w:t>
      </w:r>
    </w:p>
    <w:p>
      <w:r>
        <w:t>Accordion</w:t>
      </w:r>
    </w:p>
    <w:p>
      <w:r>
        <w:t>The C$500M accordion is merely a contractual option for lenders/investors to increase commitments.</w:t>
      </w:r>
    </w:p>
    <w:p>
      <w:r>
        <w:t>There is no committed counterparty for that C$500M on April 19.</w:t>
      </w:r>
    </w:p>
    <w:p>
      <w:r>
        <w:t>That remains canon.</w:t>
      </w:r>
    </w:p>
    <w:p>
      <w:r>
        <w:t>The April 12 near miss enters the contract structure</w:t>
      </w:r>
    </w:p>
    <w:p>
      <w:r>
        <w:t>This is where all this detail starts paying off.</w:t>
      </w:r>
    </w:p>
    <w:p>
      <w:pPr>
        <w:pStyle w:val="Heading3"/>
      </w:pPr>
      <w:r>
        <w:t>The near miss does not automatically constitute</w:t>
      </w:r>
    </w:p>
    <w:p>
      <w:r>
        <w:t>an EPC default,</w:t>
      </w:r>
    </w:p>
    <w:p>
      <w:r>
        <w:t>a financing default,</w:t>
      </w:r>
    </w:p>
    <w:p>
      <w:r>
        <w:t>a reportable material adverse effect,</w:t>
      </w:r>
    </w:p>
    <w:p>
      <w:r>
        <w:t>a warranty breach,</w:t>
      </w:r>
    </w:p>
    <w:p>
      <w:r>
        <w:t>or a failure of an Aurora CP.</w:t>
      </w:r>
    </w:p>
    <w:p>
      <w:r>
        <w:t>On April 12 nobody yet knows enough.</w:t>
      </w:r>
    </w:p>
    <w:p>
      <w:r>
        <w:t>But the event triggers information duties under several contracts.</w:t>
      </w:r>
    </w:p>
    <w:p>
      <w:pPr>
        <w:pStyle w:val="Heading3"/>
      </w:pPr>
      <w:r>
        <w:t>Under the EPC</w:t>
      </w:r>
    </w:p>
    <w:p>
      <w:r>
        <w:t>E&amp;C must notify OPG of a significant safety/quality/configuration event.</w:t>
      </w:r>
    </w:p>
    <w:p>
      <w:pPr>
        <w:pStyle w:val="Heading3"/>
      </w:pPr>
      <w:r>
        <w:t>Under Bechtel’s agreement</w:t>
      </w:r>
    </w:p>
    <w:p>
      <w:r>
        <w:t>Bechtel must preserve evidence and cooperate with investigation for work within its execution history.</w:t>
      </w:r>
    </w:p>
    <w:p>
      <w:pPr>
        <w:pStyle w:val="Heading3"/>
      </w:pPr>
      <w:r>
        <w:t>Under the relevant subcontract</w:t>
      </w:r>
    </w:p>
    <w:p>
      <w:r>
        <w:t>the installing/maintenance contractor must provide records and personnel.</w:t>
      </w:r>
    </w:p>
    <w:p>
      <w:pPr>
        <w:pStyle w:val="Heading3"/>
      </w:pPr>
      <w:r>
        <w:t>Under HMS agreements</w:t>
      </w:r>
    </w:p>
    <w:p>
      <w:r>
        <w:t>HMS must be notified if the event potentially implicates the qualified technology basis.</w:t>
      </w:r>
    </w:p>
    <w:p>
      <w:pPr>
        <w:pStyle w:val="Heading3"/>
      </w:pPr>
      <w:r>
        <w:t>Under financing agreements</w:t>
      </w:r>
    </w:p>
    <w:p>
      <w:r>
        <w:t>OPG/OFG must disclose developments meeting defined materiality/reporting thresholds.</w:t>
      </w:r>
    </w:p>
    <w:p>
      <w:pPr>
        <w:pStyle w:val="Heading3"/>
      </w:pPr>
      <w:r>
        <w:t>Under Aurora</w:t>
      </w:r>
    </w:p>
    <w:p>
      <w:r>
        <w:t>the disclosure schedules and representation bring-down may need updating before closing.</w:t>
      </w:r>
    </w:p>
    <w:p>
      <w:pPr>
        <w:pStyle w:val="Heading3"/>
      </w:pPr>
      <w:r>
        <w:t>Under insurance</w:t>
      </w:r>
    </w:p>
    <w:p>
      <w:r>
        <w:t>notice may be required even before anyone knows whether an insured loss exists.</w:t>
      </w:r>
    </w:p>
    <w:p>
      <w:r>
        <w:t>Therefore by April 19 Daniel can be aware of a bland financing-level description while Yuji possesses vastly richer technical information.</w:t>
      </w:r>
    </w:p>
    <w:p>
      <w:r>
        <w:t>No contradiction.</w:t>
      </w:r>
    </w:p>
    <w:p>
      <w:r>
        <w:t>The exact privity network on April 19, 2031</w:t>
      </w:r>
    </w:p>
    <w:p>
      <w:r>
        <w:t>This is the relationship map that characters should implicitly live inside.</w:t>
      </w:r>
    </w:p>
    <w:p>
      <w:r>
        <w:t>Party</w:t>
      </w:r>
    </w:p>
    <w:p>
      <w:r>
        <w:t>Direct contractual counterparties in OFG</w:t>
      </w:r>
    </w:p>
    <w:p>
      <w:r>
        <w:t>Important parties with no ordinary privity</w:t>
      </w:r>
    </w:p>
    <w:p>
      <w:r>
        <w:t>OFG Project LP</w:t>
      </w:r>
    </w:p>
    <w:p>
      <w:r>
        <w:t>OPG, E&amp;C, equity investors, lenders, insurers</w:t>
      </w:r>
    </w:p>
    <w:p>
      <w:r>
        <w:t>Aecon, Kiewit, E.S. Fox, Bird</w:t>
      </w:r>
    </w:p>
    <w:p>
      <w:r>
        <w:t>OPG</w:t>
      </w:r>
    </w:p>
    <w:p>
      <w:r>
        <w:t>OFG LP, HMS, E&amp;C as named project party, Bechtel via constructor direct agreement, Hydro One, financing/support parties</w:t>
      </w:r>
    </w:p>
    <w:p>
      <w:r>
        <w:t>construction subcontractors</w:t>
      </w:r>
    </w:p>
    <w:p>
      <w:r>
        <w:t>HMS</w:t>
      </w:r>
    </w:p>
    <w:p>
      <w:r>
        <w:t>OPG, E&amp;C Canada</w:t>
      </w:r>
    </w:p>
    <w:p>
      <w:r>
        <w:t>Bechtel, Aecon, Kiewit, E.S. Fox</w:t>
      </w:r>
    </w:p>
    <w:p>
      <w:r>
        <w:t>E&amp;C Canada</w:t>
      </w:r>
    </w:p>
    <w:p>
      <w:r>
        <w:t>OFG LP/OPG, HMS, Bechtel, MHI, IHI, JGC, BWXT, Arabelle, GE Vernova, Emerson, Westinghouse, AtkinsRéalis, Fluor</w:t>
      </w:r>
    </w:p>
    <w:p>
      <w:r>
        <w:t>Bechtel’s lower-tier subcontractors unless direct rights apply</w:t>
      </w:r>
    </w:p>
    <w:p>
      <w:r>
        <w:t>Bechtel</w:t>
      </w:r>
    </w:p>
    <w:p>
      <w:r>
        <w:t>E&amp;C, OPG/OFG via constructor direct agreement, Aecon, Kiewit, E.S. Fox, Bird, specialty contractors</w:t>
      </w:r>
    </w:p>
    <w:p>
      <w:r>
        <w:t>HMS in ordinary commercial matters; lenders</w:t>
      </w:r>
    </w:p>
    <w:p>
      <w:r>
        <w:t>Aecon</w:t>
      </w:r>
    </w:p>
    <w:p>
      <w:r>
        <w:t>Bechtel</w:t>
      </w:r>
    </w:p>
    <w:p>
      <w:r>
        <w:t>OPG, HMS, E&amp;C commercially</w:t>
      </w:r>
    </w:p>
    <w:p>
      <w:r>
        <w:t>Kiewit</w:t>
      </w:r>
    </w:p>
    <w:p>
      <w:r>
        <w:t>Bechtel</w:t>
      </w:r>
    </w:p>
    <w:p>
      <w:r>
        <w:t>OPG, HMS, E&amp;C commercially</w:t>
      </w:r>
    </w:p>
    <w:p>
      <w:r>
        <w:t>E.S. Fox</w:t>
      </w:r>
    </w:p>
    <w:p>
      <w:r>
        <w:t>Bechtel</w:t>
      </w:r>
    </w:p>
    <w:p>
      <w:r>
        <w:t>OPG, HMS, E&amp;C commercially</w:t>
      </w:r>
    </w:p>
    <w:p>
      <w:r>
        <w:t>Bird</w:t>
      </w:r>
    </w:p>
    <w:p>
      <w:r>
        <w:t>Bechtel</w:t>
      </w:r>
    </w:p>
    <w:p>
      <w:r>
        <w:t>OPG/HMS/E&amp;C commercially</w:t>
      </w:r>
    </w:p>
    <w:p>
      <w:r>
        <w:t>MHI/IHI/JGC/etc.</w:t>
      </w:r>
    </w:p>
    <w:p>
      <w:r>
        <w:t>E&amp;C</w:t>
      </w:r>
    </w:p>
    <w:p>
      <w:r>
        <w:t>construction trades ordinarily</w:t>
      </w:r>
    </w:p>
    <w:p>
      <w:r>
        <w:t>CNSC</w:t>
      </w:r>
    </w:p>
    <w:p>
      <w:r>
        <w:t>none</w:t>
      </w:r>
    </w:p>
    <w:p>
      <w:r>
        <w:t>everyone — regulator, not contractor</w:t>
      </w:r>
    </w:p>
    <w:p>
      <w:r>
        <w:t>Sargent &amp; Lundy</w:t>
      </w:r>
    </w:p>
    <w:p>
      <w:r>
        <w:t>lender group/agent under LTA engagement</w:t>
      </w:r>
    </w:p>
    <w:p>
      <w:r>
        <w:t>E&amp;C/Bechtel except information-access provisions</w:t>
      </w:r>
    </w:p>
    <w:p>
      <w:r>
        <w:t>JPMorgan</w:t>
      </w:r>
    </w:p>
    <w:p>
      <w:r>
        <w:t>OFG/OPG under finance/mandate documents and bank facilities</w:t>
      </w:r>
    </w:p>
    <w:p>
      <w:r>
        <w:t>field contractors</w:t>
      </w:r>
    </w:p>
    <w:p>
      <w:r>
        <w:t>CGF/BOF</w:t>
      </w:r>
    </w:p>
    <w:p>
      <w:r>
        <w:t>OFG LP/OPG investment agreements</w:t>
      </w:r>
    </w:p>
    <w:p>
      <w:r>
        <w:t>E&amp;C/Bechtel</w:t>
      </w:r>
    </w:p>
    <w:p>
      <w:r>
        <w:t>Indigenous investment vehicle</w:t>
      </w:r>
    </w:p>
    <w:p>
      <w:r>
        <w:t>OFG LP; own financing parties</w:t>
      </w:r>
    </w:p>
    <w:p>
      <w:r>
        <w:t>EPC/construction chain</w:t>
      </w:r>
    </w:p>
    <w:p>
      <w:r>
        <w:t>Hydro One</w:t>
      </w:r>
    </w:p>
    <w:p>
      <w:r>
        <w:t>OPG/OFG LP connection agreements</w:t>
      </w:r>
    </w:p>
    <w:p>
      <w:r>
        <w:t>E&amp;C/Bechtel except interface coordination</w:t>
      </w:r>
    </w:p>
    <w:p>
      <w:r>
        <w:t>That privity structure is critical.</w:t>
      </w:r>
    </w:p>
    <w:p>
      <w:r>
        <w:t>What happens when HMS sees something wrong in the field</w:t>
      </w:r>
    </w:p>
    <w:p>
      <w:r>
        <w:t>HMS does not call an E.S. Fox foreman and issue a contractual order.</w:t>
      </w:r>
    </w:p>
    <w:p>
      <w:r>
        <w:t>Suppose Yuji sees a support installed outside HFRP requirements.</w:t>
      </w:r>
    </w:p>
    <w:p>
      <w:pPr>
        <w:pStyle w:val="Heading3"/>
      </w:pPr>
      <w:r>
        <w:t>His path is</w:t>
      </w:r>
    </w:p>
    <w:p>
      <w:r>
        <w:t>Yuji/HMS</w:t>
      </w:r>
    </w:p>
    <w:p>
      <w:r>
        <w:t>reports through the E&amp;C technical organization.</w:t>
      </w:r>
    </w:p>
    <w:p>
      <w:r>
        <w:t>E&amp;C determines whether a formal field instruction/design disposition is necessary.</w:t>
      </w:r>
    </w:p>
    <w:p>
      <w:r>
        <w:t>If work must stop immediately for personal safety, ordinary site stop-work rights apply.</w:t>
      </w:r>
    </w:p>
    <w:p>
      <w:pPr>
        <w:pStyle w:val="Heading3"/>
      </w:pPr>
      <w:r>
        <w:t>Otherwise the contractual technical path is</w:t>
      </w:r>
    </w:p>
    <w:p>
      <w:r>
        <w:t>HMS \rightarrow E\&amp;C \rightarrow Bechtel \rightarrow E.S.\ Fox.</w:t>
      </w:r>
    </w:p>
    <w:p>
      <w:r>
        <w:t>OPG may intervene from the licensee side if nuclear/configuration consequences justify it.</w:t>
      </w:r>
    </w:p>
    <w:p>
      <w:r>
        <w:t>This separation is intentional.</w:t>
      </w:r>
    </w:p>
    <w:p>
      <w:r>
        <w:t>What happens when Bechtel sees a design problem</w:t>
      </w:r>
    </w:p>
    <w:p>
      <w:r>
        <w:t>Bechtel cannot redesign HMS hardware.</w:t>
      </w:r>
    </w:p>
    <w:p>
      <w:pPr>
        <w:pStyle w:val="Heading3"/>
      </w:pPr>
      <w:r>
        <w:t>Bechtel sends</w:t>
      </w:r>
    </w:p>
    <w:p>
      <w:r>
        <w:t>RFI / field query → E&amp;C.</w:t>
      </w:r>
    </w:p>
    <w:p>
      <w:r>
        <w:t>E&amp;C resolves the issue internally if it is ordinary plant engineering.</w:t>
      </w:r>
    </w:p>
    <w:p>
      <w:pPr>
        <w:pStyle w:val="Heading3"/>
      </w:pPr>
      <w:r>
        <w:t>If HFRP technology is implicated</w:t>
      </w:r>
    </w:p>
    <w:p>
      <w:r>
        <w:t>E&amp;C → HMS.</w:t>
      </w:r>
    </w:p>
    <w:p>
      <w:pPr>
        <w:pStyle w:val="Heading3"/>
      </w:pPr>
      <w:r>
        <w:t>If the licensing basis is implicated</w:t>
      </w:r>
    </w:p>
    <w:p>
      <w:r>
        <w:t>E&amp;C → OPG.</w:t>
      </w:r>
    </w:p>
    <w:p>
      <w:pPr>
        <w:pStyle w:val="Heading3"/>
      </w:pPr>
      <w:r>
        <w:t>Only after resolution does an approved design instruction return</w:t>
      </w:r>
    </w:p>
    <w:p>
      <w:r>
        <w:t>E&amp;C → Bechtel → performing subcontractor.</w:t>
      </w:r>
    </w:p>
    <w:p>
      <w:r>
        <w:t>That is why field changes can take time.</w:t>
      </w:r>
    </w:p>
    <w:p>
      <w:r>
        <w:t>What happens when OPG wants the schedule accelerated</w:t>
      </w:r>
    </w:p>
    <w:p>
      <w:r>
        <w:t>OPG cannot simply call Kiewit and demand another shift.</w:t>
      </w:r>
    </w:p>
    <w:p>
      <w:r>
        <w:t>Its contract is not with Kiewit.</w:t>
      </w:r>
    </w:p>
    <w:p>
      <w:pPr>
        <w:pStyle w:val="Heading2"/>
      </w:pPr>
      <w:r>
        <w:t>First-Plasma documentation and equipment-document genealogy</w:t>
      </w:r>
    </w:p>
    <w:p>
      <w:r>
        <w:t>test problem instrument problem procedure problem installation problem design problem.</w:t>
      </w:r>
    </w:p>
    <w:p>
      <w:pPr>
        <w:pStyle w:val="Heading3"/>
      </w:pPr>
      <w:r>
        <w:t>Possible downstream document</w:t>
      </w:r>
    </w:p>
    <w:p>
      <w:r>
        <w:t>DCR</w:t>
      </w:r>
    </w:p>
    <w:p>
      <w:r>
        <w:t>DCN</w:t>
      </w:r>
    </w:p>
    <w:p>
      <w:r>
        <w:t>temporary modification</w:t>
      </w:r>
    </w:p>
    <w:p>
      <w:r>
        <w:t>repair work order</w:t>
      </w:r>
    </w:p>
    <w:p>
      <w:r>
        <w:t>retest request.</w:t>
      </w:r>
    </w:p>
    <w:p>
      <w:r>
        <w:t>CNSC explicitly expects deviations to be assessed for safety implications, root cause, continuation implications, design changes, safety-analysis updates and retesting where</w:t>
      </w:r>
    </w:p>
    <w:p>
      <w:r>
        <w:t>appropriate.</w:t>
      </w:r>
    </w:p>
    <w:p>
      <w:pPr>
        <w:pStyle w:val="Heading3"/>
      </w:pPr>
      <w:r>
        <w:t>56. Operations documents begin before startup</w:t>
      </w:r>
    </w:p>
    <w:p>
      <w:r>
        <w:t>Commissioning is used to validate operating procedures. CNSC explicitly expects operating procedures to be verified during commissioning and updated from commissioning experience.</w:t>
      </w:r>
    </w:p>
    <w:p>
      <w:pPr>
        <w:pStyle w:val="Heading3"/>
      </w:pPr>
      <w:r>
        <w:t>So OPG is already producing</w:t>
      </w:r>
    </w:p>
    <w:p>
      <w:r>
        <w:t>OP-SOP-xxx — System Operating Procedure</w:t>
      </w:r>
    </w:p>
    <w:p>
      <w:r>
        <w:t>OP-START-xxx — System Startup Procedure</w:t>
      </w:r>
    </w:p>
    <w:p>
      <w:r>
        <w:t>OP-SHUT-xxx — Shutdown Procedure</w:t>
      </w:r>
    </w:p>
    <w:p>
      <w:r>
        <w:t>OP-ARP-xxx — Alarm Response Procedure</w:t>
      </w:r>
    </w:p>
    <w:p>
      <w:r>
        <w:t>OP-AOP-xxx — Abnormal Operating Procedure</w:t>
      </w:r>
    </w:p>
    <w:p>
      <w:r>
        <w:t>OP-EOP-xxx — Emergency Operating Procedure</w:t>
      </w:r>
    </w:p>
    <w:p>
      <w:r>
        <w:t>OP-SURV-xxx — Surveillance Procedure</w:t>
      </w:r>
    </w:p>
    <w:p>
      <w:r>
        <w:t>OP-CHEM-xxx — Chemistry Procedure</w:t>
      </w:r>
    </w:p>
    <w:p>
      <w:r>
        <w:t>OP-RP-xxx — Radiation Protection Procedure</w:t>
      </w:r>
    </w:p>
    <w:p>
      <w:r>
        <w:t>OP-WM-xxx — Work Management Procedure</w:t>
      </w:r>
    </w:p>
    <w:p>
      <w:pPr>
        <w:pStyle w:val="Heading3"/>
      </w:pPr>
      <w:r>
        <w:t>57. Maintenance baseline</w:t>
      </w:r>
    </w:p>
    <w:p>
      <w:pPr>
        <w:pStyle w:val="Heading3"/>
      </w:pPr>
      <w:r>
        <w:t>Before operations</w:t>
      </w:r>
    </w:p>
    <w:p>
      <w:r>
        <w:t>MNT-PROG-001 — Plant Maintenance Program</w:t>
      </w:r>
    </w:p>
    <w:p>
      <w:r>
        <w:t>MNT-PM-001 — Preventive Maintenance Basis</w:t>
      </w:r>
    </w:p>
    <w:p>
      <w:r>
        <w:t>MNT-EQ-001 — Maintenance Equipment Master</w:t>
      </w:r>
    </w:p>
    <w:p>
      <w:r>
        <w:t>MNT-SP-001 — Spare Parts Catalogue</w:t>
      </w:r>
    </w:p>
    <w:p>
      <w:r>
        <w:t>MNT-VMI-001 — Vendor Maintenance Instruction Register</w:t>
      </w:r>
    </w:p>
    <w:p>
      <w:r>
        <w:t>MNT-LUBE-001 — Lubrication Program</w:t>
      </w:r>
    </w:p>
    <w:p>
      <w:r>
        <w:t>MNT-CAL-001 — Calibration Program</w:t>
      </w:r>
    </w:p>
    <w:p>
      <w:r>
        <w:t>MNT-AGE-001 — Aging Management Program</w:t>
      </w:r>
    </w:p>
    <w:p>
      <w:pPr>
        <w:pStyle w:val="Heading3"/>
      </w:pPr>
      <w:r>
        <w:t>58. Training and operating readiness</w:t>
      </w:r>
    </w:p>
    <w:p>
      <w:r>
        <w:t>TRN-PROG-001 — Training Program</w:t>
      </w:r>
    </w:p>
    <w:p>
      <w:r>
        <w:t>TRN-JTA-xxx — Job/Task Analysis</w:t>
      </w:r>
    </w:p>
    <w:p>
      <w:r>
        <w:t>TRN-LP-xxx — Lesson Plan</w:t>
      </w:r>
    </w:p>
    <w:p>
      <w:r>
        <w:t>TRN-SIM-001 — Simulator Configuration Baseline</w:t>
      </w:r>
    </w:p>
    <w:p>
      <w:r>
        <w:t>TRN-EXAM-xxx — Qualification Examination</w:t>
      </w:r>
    </w:p>
    <w:p>
      <w:r>
        <w:t>TRN-QUAL-001 — Qualified Personnel Register</w:t>
      </w:r>
    </w:p>
    <w:p>
      <w:r>
        <w:t>OPS-STAFF-001 — Staffing Plan</w:t>
      </w:r>
    </w:p>
    <w:p>
      <w:r>
        <w:t>OPS-MINCOMP-001 — Minimum Shift Complement Basis</w:t>
      </w:r>
    </w:p>
    <w:p>
      <w:r>
        <w:t>OPS-ORR-001 — Operations Readiness Review Plan</w:t>
      </w:r>
    </w:p>
    <w:p>
      <w:pPr>
        <w:pStyle w:val="Heading3"/>
      </w:pPr>
      <w:r>
        <w:t>59. First Plasma documentation</w:t>
      </w:r>
    </w:p>
    <w:p>
      <w:r>
        <w:t>By early 2031 a special dossier appears.</w:t>
      </w:r>
    </w:p>
    <w:p>
      <w:r>
        <w:t>FP-REQ-001 — First Plasma Entry Requirements</w:t>
      </w:r>
    </w:p>
    <w:p>
      <w:r>
        <w:t>FP-RR-001 — First Plasma Readiness Register</w:t>
      </w:r>
    </w:p>
    <w:p>
      <w:r>
        <w:t>FP-PRQ-001 — Prerequisite Matrix</w:t>
      </w:r>
    </w:p>
    <w:p>
      <w:r>
        <w:t>FP-OPEN-001 — Open Item Register</w:t>
      </w:r>
    </w:p>
    <w:p>
      <w:r>
        <w:t>FP-CONF-001 — Plant Configuration Certificate</w:t>
      </w:r>
    </w:p>
    <w:p>
      <w:r>
        <w:t>FP-SYS-001 — Required Systems Availability Report</w:t>
      </w:r>
    </w:p>
    <w:p>
      <w:r>
        <w:t>FP-OPS-001 — Operations Readiness Certificate</w:t>
      </w:r>
    </w:p>
    <w:p>
      <w:r>
        <w:t>FP-TRN-001 — Personnel Qualification Confirmation</w:t>
      </w:r>
    </w:p>
    <w:p>
      <w:r>
        <w:t>FP-ERP-001 — Emergency Preparedness Confirmation</w:t>
      </w:r>
    </w:p>
    <w:p>
      <w:r>
        <w:t>FP-REG-001 — Regulatory Commitment Status</w:t>
      </w:r>
    </w:p>
    <w:p>
      <w:r>
        <w:t>FP-CM-001 — Configuration Management Status</w:t>
      </w:r>
    </w:p>
    <w:p>
      <w:pPr>
        <w:pStyle w:val="Heading3"/>
      </w:pPr>
      <w:r>
        <w:t>Then</w:t>
      </w:r>
    </w:p>
    <w:p>
      <w:r>
        <w:t>FP-RRB-001 — First Plasma Readiness Review Board Package</w:t>
      </w:r>
    </w:p>
    <w:p>
      <w:pPr>
        <w:pStyle w:val="Heading3"/>
      </w:pPr>
      <w:r>
        <w:t>and ultimately</w:t>
      </w:r>
    </w:p>
    <w:p>
      <w:r>
        <w:t>FP-AUTH-001 — OPG First Plasma Authorization</w:t>
      </w:r>
    </w:p>
    <w:p>
      <w:pPr>
        <w:pStyle w:val="Heading3"/>
      </w:pPr>
      <w:r>
        <w:t>plus any required</w:t>
      </w:r>
    </w:p>
    <w:p>
      <w:r>
        <w:t>REG-RHP-FP — CNSC Hold Point / Authorization Clearance.</w:t>
      </w:r>
    </w:p>
    <w:p>
      <w:pPr>
        <w:pStyle w:val="Heading3"/>
      </w:pPr>
      <w:r>
        <w:t>60. The document Daniel sees is many layers removed</w:t>
      </w:r>
    </w:p>
    <w:p>
      <w:pPr>
        <w:pStyle w:val="Heading3"/>
      </w:pPr>
      <w:r>
        <w:t>The engineering world described above eventually produces</w:t>
      </w:r>
    </w:p>
    <w:p>
      <w:r>
        <w:t>PMR-MAR2031 — OPG Monthly Project Report</w:t>
      </w:r>
    </w:p>
    <w:p>
      <w:r>
        <w:t>COST-MAR2031 — Monthly Cost Report</w:t>
      </w:r>
    </w:p>
    <w:p>
      <w:r>
        <w:t>IMS-APR2031 — Integrated Master Schedule Update</w:t>
      </w:r>
    </w:p>
    <w:p>
      <w:r>
        <w:t>RISK-APR2031 — Project Risk Register Update</w:t>
      </w:r>
    </w:p>
    <w:p>
      <w:r>
        <w:t>COMSTAT-APR2031 — Commissioning Status Report</w:t>
      </w:r>
    </w:p>
    <w:p>
      <w:r>
        <w:t>S&amp;L-MMR-APR2031 — Lenders’ Monthly Monitoring Report</w:t>
      </w:r>
    </w:p>
    <w:p>
      <w:pPr>
        <w:pStyle w:val="Heading3"/>
      </w:pPr>
      <w:r>
        <w:t>Then JPMorgan creates</w:t>
      </w:r>
    </w:p>
    <w:p>
      <w:r>
        <w:t>AUR-MDL-Revxx — Project Aurora Model</w:t>
      </w:r>
    </w:p>
    <w:p>
      <w:r>
        <w:t>AUR-S&amp;U — Sources &amp; Uses</w:t>
      </w:r>
    </w:p>
    <w:p>
      <w:r>
        <w:t>AUR-C2C — Cost-to-Complete</w:t>
      </w:r>
    </w:p>
    <w:p>
      <w:r>
        <w:t>AUR-LIQ — Completion Liquidity</w:t>
      </w:r>
    </w:p>
    <w:p>
      <w:r>
        <w:t>AUR-SENS — Sensitivity Case</w:t>
      </w:r>
    </w:p>
    <w:p>
      <w:r>
        <w:t>AUR-CCM — Credit Committee Memorandum</w:t>
      </w:r>
    </w:p>
    <w:p>
      <w:r>
        <w:t>This is why Daniel never sees the restraint drawing unless the problem becomes financially material.</w:t>
      </w:r>
    </w:p>
    <w:p>
      <w:pPr>
        <w:pStyle w:val="Heading3"/>
      </w:pPr>
      <w:r>
        <w:t>61. The complete document genealogy of one pump</w:t>
      </w:r>
    </w:p>
    <w:p>
      <w:r>
        <w:t>Now we can illustrate what “every step” actually means.</w:t>
      </w:r>
    </w:p>
    <w:p>
      <w:pPr>
        <w:pStyle w:val="Heading3"/>
      </w:pPr>
      <w:r>
        <w:t>For BHT-401-P-101A, the chain is approximately</w:t>
      </w:r>
    </w:p>
    <w:p>
      <w:r>
        <w:t>Project phase</w:t>
      </w:r>
    </w:p>
    <w:p>
      <w:r>
        <w:t>Document</w:t>
      </w:r>
    </w:p>
    <w:p>
      <w:r>
        <w:t>Owner requirement</w:t>
      </w:r>
    </w:p>
    <w:p>
      <w:r>
        <w:t>ORD requirement for blanket heat-removal capability</w:t>
      </w:r>
    </w:p>
    <w:p>
      <w:r>
        <w:t>Plant requirements</w:t>
      </w:r>
    </w:p>
    <w:p>
      <w:r>
        <w:t>BHT functional/performance requirement</w:t>
      </w:r>
    </w:p>
    <w:p>
      <w:r>
        <w:t>System architecture</w:t>
      </w:r>
    </w:p>
    <w:p>
      <w:r>
        <w:t>BHT system allocation</w:t>
      </w:r>
    </w:p>
    <w:p>
      <w:r>
        <w:t>Design</w:t>
      </w:r>
    </w:p>
    <w:p>
      <w:r>
        <w:t>SDD-BHT-400</w:t>
      </w:r>
    </w:p>
    <w:p>
      <w:r>
        <w:t>Process engineering</w:t>
      </w:r>
    </w:p>
    <w:p>
      <w:r>
        <w:t>BHT P&amp;ID</w:t>
      </w:r>
    </w:p>
    <w:p>
      <w:r>
        <w:t>Equipment definition</w:t>
      </w:r>
    </w:p>
    <w:p>
      <w:r>
        <w:t>Pump datasheet</w:t>
      </w:r>
    </w:p>
    <w:p>
      <w:r>
        <w:t>Specification</w:t>
      </w:r>
    </w:p>
    <w:p>
      <w:r>
        <w:t>Main coolant pump technical specification</w:t>
      </w:r>
    </w:p>
    <w:p>
      <w:r>
        <w:t>Calculation</w:t>
      </w:r>
    </w:p>
    <w:p>
      <w:r>
        <w:t>flow/head/NPSH/seismic/load calculations</w:t>
      </w:r>
    </w:p>
    <w:p>
      <w:r>
        <w:t>Procurement</w:t>
      </w:r>
    </w:p>
    <w:p>
      <w:r>
        <w:t>material requisition</w:t>
      </w:r>
    </w:p>
    <w:p>
      <w:r>
        <w:t>Tender</w:t>
      </w:r>
    </w:p>
    <w:p>
      <w:r>
        <w:t>RFQ</w:t>
      </w:r>
    </w:p>
    <w:p>
      <w:r>
        <w:t>Selection</w:t>
      </w:r>
    </w:p>
    <w:p>
      <w:r>
        <w:t>technical bid evaluation</w:t>
      </w:r>
    </w:p>
    <w:p>
      <w:r>
        <w:t>Contract</w:t>
      </w:r>
    </w:p>
    <w:p>
      <w:r>
        <w:t>purchase order</w:t>
      </w:r>
    </w:p>
    <w:p>
      <w:r>
        <w:t>Vendor design</w:t>
      </w:r>
    </w:p>
    <w:p>
      <w:r>
        <w:t>GA/interface/foundation drawings</w:t>
      </w:r>
    </w:p>
    <w:p>
      <w:r>
        <w:t>QA</w:t>
      </w:r>
    </w:p>
    <w:p>
      <w:r>
        <w:t>supplier quality plan</w:t>
      </w:r>
    </w:p>
    <w:p>
      <w:r>
        <w:t>Manufacture</w:t>
      </w:r>
    </w:p>
    <w:p>
      <w:r>
        <w:t>MIP/ITP</w:t>
      </w:r>
    </w:p>
    <w:p>
      <w:r>
        <w:t>Materials</w:t>
      </w:r>
    </w:p>
    <w:p>
      <w:r>
        <w:t>material certificates</w:t>
      </w:r>
    </w:p>
    <w:p>
      <w:r>
        <w:t>Fabrication</w:t>
      </w:r>
    </w:p>
    <w:p>
      <w:r>
        <w:t>weld/NDE/manufacturing records</w:t>
      </w:r>
    </w:p>
    <w:p>
      <w:r>
        <w:t>Factory testing</w:t>
      </w:r>
    </w:p>
    <w:p>
      <w:r>
        <w:t>FAT procedure/report</w:t>
      </w:r>
    </w:p>
    <w:p>
      <w:r>
        <w:t>Acceptance</w:t>
      </w:r>
    </w:p>
    <w:p>
      <w:r>
        <w:t>certificate of conformance</w:t>
      </w:r>
    </w:p>
    <w:p>
      <w:r>
        <w:t>Shipping</w:t>
      </w:r>
    </w:p>
    <w:p>
      <w:r>
        <w:t>preservation/release documents</w:t>
      </w:r>
    </w:p>
    <w:p>
      <w:r>
        <w:t>Receiving</w:t>
      </w:r>
    </w:p>
    <w:p>
      <w:r>
        <w:t>site receipt inspection</w:t>
      </w:r>
    </w:p>
    <w:p>
      <w:r>
        <w:t>Storage</w:t>
      </w:r>
    </w:p>
    <w:p>
      <w:r>
        <w:t>preservation record</w:t>
      </w:r>
    </w:p>
    <w:p>
      <w:r>
        <w:t>Construction planning</w:t>
      </w:r>
    </w:p>
    <w:p>
      <w:r>
        <w:t>CWP</w:t>
      </w:r>
    </w:p>
    <w:p>
      <w:r>
        <w:t>Field execution</w:t>
      </w:r>
    </w:p>
    <w:p>
      <w:r>
        <w:t>IWP</w:t>
      </w:r>
    </w:p>
    <w:p>
      <w:r>
        <w:t>Installation</w:t>
      </w:r>
    </w:p>
    <w:p>
      <w:r>
        <w:t>method statement</w:t>
      </w:r>
    </w:p>
    <w:p>
      <w:r>
        <w:t>Foundation</w:t>
      </w:r>
    </w:p>
    <w:p>
      <w:r>
        <w:t>foundation release</w:t>
      </w:r>
    </w:p>
    <w:p>
      <w:r>
        <w:t>Setting</w:t>
      </w:r>
    </w:p>
    <w:p>
      <w:r>
        <w:t>equipment setting record</w:t>
      </w:r>
    </w:p>
    <w:p>
      <w:r>
        <w:t>Alignment</w:t>
      </w:r>
    </w:p>
    <w:p>
      <w:r>
        <w:t>alignment report</w:t>
      </w:r>
    </w:p>
    <w:p>
      <w:r>
        <w:t>Anchorage</w:t>
      </w:r>
    </w:p>
    <w:p>
      <w:r>
        <w:t>bolt/restraint inspection</w:t>
      </w:r>
    </w:p>
    <w:p>
      <w:r>
        <w:t>Grout</w:t>
      </w:r>
    </w:p>
    <w:p>
      <w:r>
        <w:t>grouting record</w:t>
      </w:r>
    </w:p>
    <w:p>
      <w:r>
        <w:t>Electrical</w:t>
      </w:r>
    </w:p>
    <w:p>
      <w:r>
        <w:t>motor cable/testing</w:t>
      </w:r>
    </w:p>
    <w:p>
      <w:r>
        <w:t>I&amp;C</w:t>
      </w:r>
    </w:p>
    <w:p>
      <w:r>
        <w:t>vibration/temp/pressure loops</w:t>
      </w:r>
    </w:p>
    <w:p>
      <w:r>
        <w:t>QC</w:t>
      </w:r>
    </w:p>
    <w:p>
      <w:r>
        <w:t>ITP sign-offs</w:t>
      </w:r>
    </w:p>
    <w:p>
      <w:r>
        <w:t>Configuration</w:t>
      </w:r>
    </w:p>
    <w:p>
      <w:r>
        <w:t>field changes/NCR closeout</w:t>
      </w:r>
    </w:p>
    <w:p>
      <w:r>
        <w:t>Mechanical completion</w:t>
      </w:r>
    </w:p>
    <w:p>
      <w:r>
        <w:t>MC certificate</w:t>
      </w:r>
    </w:p>
    <w:p>
      <w:r>
        <w:t>Turnover</w:t>
      </w:r>
    </w:p>
    <w:p>
      <w:r>
        <w:t>TOS-BHT-401-A</w:t>
      </w:r>
    </w:p>
    <w:p>
      <w:r>
        <w:t>Commissioning</w:t>
      </w:r>
    </w:p>
    <w:p>
      <w:r>
        <w:t>SCP-BHT-400</w:t>
      </w:r>
    </w:p>
    <w:p>
      <w:r>
        <w:t>Test</w:t>
      </w:r>
    </w:p>
    <w:p>
      <w:r>
        <w:t>CPT-BHT-401-017</w:t>
      </w:r>
    </w:p>
    <w:p>
      <w:r>
        <w:t>Results</w:t>
      </w:r>
    </w:p>
    <w:p>
      <w:r>
        <w:t>CTR-BHT-401-017</w:t>
      </w:r>
    </w:p>
    <w:p>
      <w:r>
        <w:t>Acceptance</w:t>
      </w:r>
    </w:p>
    <w:p>
      <w:r>
        <w:t>Test Completion Certificate</w:t>
      </w:r>
    </w:p>
    <w:p>
      <w:r>
        <w:t>Operation</w:t>
      </w:r>
    </w:p>
    <w:p>
      <w:r>
        <w:t>operating procedure</w:t>
      </w:r>
    </w:p>
    <w:p>
      <w:r>
        <w:t>Maintenance</w:t>
      </w:r>
    </w:p>
    <w:p>
      <w:r>
        <w:t>PM task</w:t>
      </w:r>
    </w:p>
    <w:p>
      <w:r>
        <w:t>Intervention</w:t>
      </w:r>
    </w:p>
    <w:p>
      <w:r>
        <w:t>M-88217</w:t>
      </w:r>
    </w:p>
    <w:p>
      <w:r>
        <w:t>Current configuration</w:t>
      </w:r>
    </w:p>
    <w:p>
      <w:r>
        <w:t>CM database / equipment history</w:t>
      </w:r>
    </w:p>
    <w:p>
      <w:r>
        <w:t>That is the level of documentary continuity we want.</w:t>
      </w:r>
    </w:p>
    <w:p>
      <w:r>
        <w:br w:type="page"/>
      </w:r>
    </w:p>
    <w:p>
      <w:r>
        <w:br w:type="page"/>
      </w:r>
    </w:p>
    <w:p>
      <w:pPr>
        <w:pStyle w:val="Heading1"/>
      </w:pPr>
      <w:r>
        <w:t>Integrated OFG encyclopedia — period state</w:t>
      </w:r>
    </w:p>
    <w:p>
      <w:pPr>
        <w:pStyle w:val="Heading2"/>
      </w:pPr>
      <w:r>
        <w:t>Operating/commissioning authorization</w:t>
      </w:r>
    </w:p>
    <w:p>
      <w:r>
        <w:t>In Q1 2031 the regulatory/owner authorization needed for the defined machine-commissioning phase is in place. This is not commercial-operation approval and does not erase later hold points for tritium/D-T, higher-power operation or power ascension. The licensing boundary allows the project to perform the staged tests needed to establish readiness while preserving the regulator's ability to stop progression when evidence is insufficient.</w:t>
      </w:r>
    </w:p>
    <w:p>
      <w:pPr>
        <w:pStyle w:val="Heading2"/>
      </w:pPr>
      <w:r>
        <w:t>Magnet and machine integration</w:t>
      </w:r>
    </w:p>
    <w:p>
      <w:r>
        <w:t>January-February magnet work progresses from cooldown and superconducting-transition verification to low-current energization, polarity, circuit parameter, quench detection, fast discharge, ground fault and staged current increase. February-March integrates vacuum/bakeout, cryopumps, gas systems, heating dummy loads, diagnostics, machine protection, disruption-mitigation logic and degraded-mode sequences. These activities turn subsystem completion into evidence that the machine can function as a machine.</w:t>
      </w:r>
    </w:p>
    <w:p>
      <w:pPr>
        <w:pStyle w:val="Heading2"/>
      </w:pPr>
      <w:r>
        <w:t>First Plasma readiness governance</w:t>
      </w:r>
    </w:p>
    <w:p>
      <w:r>
        <w:t>The FP Readiness Register becomes the executive compression layer in March. It draws on magnets, vacuum, cryogenics, cooling, DCS/MPS, diagnostics, heating, disruption mitigation, procedures, operator qualification, emergency preparedness, maintenance/work management, open deficiencies, configuration and regulatory conditions. The register can summarize blocker/amber/conditional status, but every line must trace downward to controlled evidence. It cannot turn a due date into acceptance evidence.</w:t>
      </w:r>
    </w:p>
    <w:p>
      <w:pPr>
        <w:pStyle w:val="Heading2"/>
      </w:pPr>
      <w:r>
        <w:t>Aurora commitments</w:t>
      </w:r>
    </w:p>
    <w:p>
      <w:r>
        <w:t>The supplemental package resolves into distinct instruments: C$1.40B Senior Supplemental Completion Facility, C$750M institutional private-placement target, C$600M OPG conditional completion equity and a C$500M uncommitted accordion. Those numbers are not interchangeable. Existing committed capacity is C$45.8B; adding committed/conditional Aurora gives C$48.55B; including the accordion produces a C$49.05B target envelope. Daniel Mercer's narrower liquidity numbers arise from the transaction mechanics, not from a different project capital structure.</w:t>
      </w:r>
    </w:p>
    <w:p>
      <w:pPr>
        <w:pStyle w:val="Heading2"/>
      </w:pPr>
      <w:r>
        <w:t>Organization and workforce</w:t>
      </w:r>
    </w:p>
    <w:p>
      <w:r>
        <w:t>Construction headcount is declining while OPG commissioning/operations-readiness, maintainers, system engineers and OEM specialists grow. The later master reference supersedes the old ~680 whole-site figure: normal weekday controlled-site population is roughly 820-880, with ~850 the useful prose number; Saturday April 19 is lower, roughly 500-600 depending on test schedule. The change matters because a commissioning site has a different authority and information topology from peak construction.</w:t>
      </w:r>
    </w:p>
    <w:p>
      <w:pPr>
        <w:pStyle w:val="Heading2"/>
      </w:pPr>
      <w:r>
        <w:t>Maintenance/emergency readiness</w:t>
      </w:r>
    </w:p>
    <w:p>
      <w:r>
        <w:t>Permanent maintenance programmes, work management, PM/condition monitoring, emergency facilities/communications, industrial rescue, fire protection and hazard-specific response need to be functional before the relevant commissioning hazards are introduced. Readiness is staged: First Plasma does not require the same tritium/D-T or power-operation emergency envelope as later phases, but it does require credible response to the electrical, cryogenic, pressure/vacuum, fire and industrial hazards already present.</w:t>
      </w:r>
    </w:p>
    <w:p>
      <w:pPr>
        <w:pStyle w:val="Heading1"/>
      </w:pPr>
      <w:r>
        <w:t>Organizations, authority and external involvement</w:t>
      </w:r>
    </w:p>
    <w:p>
      <w:pPr>
        <w:pStyle w:val="ReferenceNote"/>
      </w:pPr>
      <w:r>
        <w:t>The table is the authority map at the 19 April cut. In this period, use only the organizations whose involvement has already begun in the chronology above; later organizations must not be back-projected.</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vAlign w:val="center"/>
          </w:tcPr>
          <w:p>
            <w:r>
              <w:rPr>
                <w:b/>
                <w:sz w:val="13"/>
              </w:rPr>
              <w:t>Organization / institution</w:t>
            </w:r>
          </w:p>
        </w:tc>
        <w:tc>
          <w:tcPr>
            <w:tcW w:type="dxa" w:w="3485"/>
            <w:vAlign w:val="center"/>
          </w:tcPr>
          <w:p>
            <w:r>
              <w:rPr>
                <w:b/>
                <w:sz w:val="13"/>
              </w:rPr>
              <w:t>OFG role</w:t>
            </w:r>
          </w:p>
        </w:tc>
        <w:tc>
          <w:tcPr>
            <w:tcW w:type="dxa" w:w="3485"/>
            <w:vAlign w:val="center"/>
          </w:tcPr>
          <w:p>
            <w:r>
              <w:rPr>
                <w:b/>
                <w:sz w:val="13"/>
              </w:rPr>
              <w:t>Authority boundary</w:t>
            </w:r>
          </w:p>
        </w:tc>
      </w:tr>
      <w:tr>
        <w:tc>
          <w:tcPr>
            <w:tcW w:type="dxa" w:w="3485"/>
            <w:vAlign w:val="top"/>
          </w:tcPr>
          <w:p>
            <w:r>
              <w:rPr>
                <w:sz w:val="13"/>
              </w:rPr>
              <w:t>OPG</w:t>
            </w:r>
          </w:p>
        </w:tc>
        <w:tc>
          <w:tcPr>
            <w:tcW w:type="dxa" w:w="3485"/>
            <w:vAlign w:val="top"/>
          </w:tcPr>
          <w:p>
            <w:r>
              <w:rPr>
                <w:sz w:val="13"/>
              </w:rPr>
              <w:t>Owner, CNSC licensee, project manager, commissioning authority, future operator, majority equity sponsor.</w:t>
            </w:r>
          </w:p>
        </w:tc>
        <w:tc>
          <w:tcPr>
            <w:tcW w:type="dxa" w:w="3485"/>
            <w:vAlign w:val="top"/>
          </w:tcPr>
          <w:p>
            <w:r>
              <w:rPr>
                <w:sz w:val="13"/>
              </w:rPr>
              <w:t>Cannot transfer licensed-facility responsibility to EPC contractors.</w:t>
            </w:r>
          </w:p>
        </w:tc>
      </w:tr>
      <w:tr>
        <w:tc>
          <w:tcPr>
            <w:tcW w:type="dxa" w:w="3485"/>
            <w:vAlign w:val="top"/>
          </w:tcPr>
          <w:p>
            <w:r>
              <w:rPr>
                <w:sz w:val="13"/>
              </w:rPr>
              <w:t>CNSC</w:t>
            </w:r>
          </w:p>
        </w:tc>
        <w:tc>
          <w:tcPr>
            <w:tcW w:type="dxa" w:w="3485"/>
            <w:vAlign w:val="top"/>
          </w:tcPr>
          <w:p>
            <w:r>
              <w:rPr>
                <w:sz w:val="13"/>
              </w:rPr>
              <w:t>Independent nuclear regulator.</w:t>
            </w:r>
          </w:p>
        </w:tc>
        <w:tc>
          <w:tcPr>
            <w:tcW w:type="dxa" w:w="3485"/>
            <w:vAlign w:val="top"/>
          </w:tcPr>
          <w:p>
            <w:r>
              <w:rPr>
                <w:sz w:val="13"/>
              </w:rPr>
              <w:t>Outside project hierarchy; licensing and regulatory hold points.</w:t>
            </w:r>
          </w:p>
        </w:tc>
      </w:tr>
      <w:tr>
        <w:tc>
          <w:tcPr>
            <w:tcW w:type="dxa" w:w="3485"/>
            <w:vAlign w:val="top"/>
          </w:tcPr>
          <w:p>
            <w:r>
              <w:rPr>
                <w:sz w:val="13"/>
              </w:rPr>
              <w:t>Ontario</w:t>
            </w:r>
          </w:p>
        </w:tc>
        <w:tc>
          <w:tcPr>
            <w:tcW w:type="dxa" w:w="3485"/>
            <w:vAlign w:val="top"/>
          </w:tcPr>
          <w:p>
            <w:r>
              <w:rPr>
                <w:sz w:val="13"/>
              </w:rPr>
              <w:t>OPG shareholder context, electricity policy, public completion support.</w:t>
            </w:r>
          </w:p>
        </w:tc>
        <w:tc>
          <w:tcPr>
            <w:tcW w:type="dxa" w:w="3485"/>
            <w:vAlign w:val="top"/>
          </w:tcPr>
          <w:p>
            <w:r>
              <w:rPr>
                <w:sz w:val="13"/>
              </w:rPr>
              <w:t>Political/economic influence without field technical authority.</w:t>
            </w:r>
          </w:p>
        </w:tc>
      </w:tr>
      <w:tr>
        <w:tc>
          <w:tcPr>
            <w:tcW w:type="dxa" w:w="3485"/>
            <w:vAlign w:val="top"/>
          </w:tcPr>
          <w:p>
            <w:r>
              <w:rPr>
                <w:sz w:val="13"/>
              </w:rPr>
              <w:t>IESO</w:t>
            </w:r>
          </w:p>
        </w:tc>
        <w:tc>
          <w:tcPr>
            <w:tcW w:type="dxa" w:w="3485"/>
            <w:vAlign w:val="top"/>
          </w:tcPr>
          <w:p>
            <w:r>
              <w:rPr>
                <w:sz w:val="13"/>
              </w:rPr>
              <w:t>Bulk-system planning and market/system integration.</w:t>
            </w:r>
          </w:p>
        </w:tc>
        <w:tc>
          <w:tcPr>
            <w:tcW w:type="dxa" w:w="3485"/>
            <w:vAlign w:val="top"/>
          </w:tcPr>
          <w:p>
            <w:r>
              <w:rPr>
                <w:sz w:val="13"/>
              </w:rPr>
              <w:t>External system-planning interface.</w:t>
            </w:r>
          </w:p>
        </w:tc>
      </w:tr>
      <w:tr>
        <w:tc>
          <w:tcPr>
            <w:tcW w:type="dxa" w:w="3485"/>
            <w:vAlign w:val="top"/>
          </w:tcPr>
          <w:p>
            <w:r>
              <w:rPr>
                <w:sz w:val="13"/>
              </w:rPr>
              <w:t>Hydro One</w:t>
            </w:r>
          </w:p>
        </w:tc>
        <w:tc>
          <w:tcPr>
            <w:tcW w:type="dxa" w:w="3485"/>
            <w:vAlign w:val="top"/>
          </w:tcPr>
          <w:p>
            <w:r>
              <w:rPr>
                <w:sz w:val="13"/>
              </w:rPr>
              <w:t>Transmission owner/operator and connection counterparty.</w:t>
            </w:r>
          </w:p>
        </w:tc>
        <w:tc>
          <w:tcPr>
            <w:tcW w:type="dxa" w:w="3485"/>
            <w:vAlign w:val="top"/>
          </w:tcPr>
          <w:p>
            <w:r>
              <w:rPr>
                <w:sz w:val="13"/>
              </w:rPr>
              <w:t>External transmission facilities and Point of Connection.</w:t>
            </w:r>
          </w:p>
        </w:tc>
      </w:tr>
      <w:tr>
        <w:tc>
          <w:tcPr>
            <w:tcW w:type="dxa" w:w="3485"/>
            <w:vAlign w:val="top"/>
          </w:tcPr>
          <w:p>
            <w:r>
              <w:rPr>
                <w:sz w:val="13"/>
              </w:rPr>
              <w:t>OEB</w:t>
            </w:r>
          </w:p>
        </w:tc>
        <w:tc>
          <w:tcPr>
            <w:tcW w:type="dxa" w:w="3485"/>
            <w:vAlign w:val="top"/>
          </w:tcPr>
          <w:p>
            <w:r>
              <w:rPr>
                <w:sz w:val="13"/>
              </w:rPr>
              <w:t>Economic/rate regulatory treatment where applicable.</w:t>
            </w:r>
          </w:p>
        </w:tc>
        <w:tc>
          <w:tcPr>
            <w:tcW w:type="dxa" w:w="3485"/>
            <w:vAlign w:val="top"/>
          </w:tcPr>
          <w:p>
            <w:r>
              <w:rPr>
                <w:sz w:val="13"/>
              </w:rPr>
              <w:t>Recovery/economic mechanism, not construction cash.</w:t>
            </w:r>
          </w:p>
        </w:tc>
      </w:tr>
      <w:tr>
        <w:tc>
          <w:tcPr>
            <w:tcW w:type="dxa" w:w="3485"/>
            <w:vAlign w:val="top"/>
          </w:tcPr>
          <w:p>
            <w:r>
              <w:rPr>
                <w:sz w:val="13"/>
              </w:rPr>
              <w:t>Infrastructure Ontario</w:t>
            </w:r>
          </w:p>
        </w:tc>
        <w:tc>
          <w:tcPr>
            <w:tcW w:type="dxa" w:w="3485"/>
            <w:vAlign w:val="top"/>
          </w:tcPr>
          <w:p>
            <w:r>
              <w:rPr>
                <w:sz w:val="13"/>
              </w:rPr>
              <w:t>Commercial/procurement advisory role when assigned.</w:t>
            </w:r>
          </w:p>
        </w:tc>
        <w:tc>
          <w:tcPr>
            <w:tcW w:type="dxa" w:w="3485"/>
            <w:vAlign w:val="top"/>
          </w:tcPr>
          <w:p>
            <w:r>
              <w:rPr>
                <w:sz w:val="13"/>
              </w:rPr>
              <w:t>Delivery-model and government commercial interface; no engineering authority.</w:t>
            </w:r>
          </w:p>
        </w:tc>
      </w:tr>
      <w:tr>
        <w:tc>
          <w:tcPr>
            <w:tcW w:type="dxa" w:w="3485"/>
            <w:vAlign w:val="top"/>
          </w:tcPr>
          <w:p>
            <w:r>
              <w:rPr>
                <w:sz w:val="13"/>
              </w:rPr>
              <w:t>Clarington</w:t>
            </w:r>
          </w:p>
        </w:tc>
        <w:tc>
          <w:tcPr>
            <w:tcW w:type="dxa" w:w="3485"/>
            <w:vAlign w:val="top"/>
          </w:tcPr>
          <w:p>
            <w:r>
              <w:rPr>
                <w:sz w:val="13"/>
              </w:rPr>
              <w:t>Municipal roads/services/planning interface.</w:t>
            </w:r>
          </w:p>
        </w:tc>
        <w:tc>
          <w:tcPr>
            <w:tcW w:type="dxa" w:w="3485"/>
            <w:vAlign w:val="top"/>
          </w:tcPr>
          <w:p>
            <w:r>
              <w:rPr>
                <w:sz w:val="13"/>
              </w:rPr>
              <w:t>Local government; no nuclear-design authority.</w:t>
            </w:r>
          </w:p>
        </w:tc>
      </w:tr>
      <w:tr>
        <w:tc>
          <w:tcPr>
            <w:tcW w:type="dxa" w:w="3485"/>
            <w:vAlign w:val="top"/>
          </w:tcPr>
          <w:p>
            <w:r>
              <w:rPr>
                <w:sz w:val="13"/>
              </w:rPr>
              <w:t>Williams Treaties First Nations</w:t>
            </w:r>
          </w:p>
        </w:tc>
        <w:tc>
          <w:tcPr>
            <w:tcW w:type="dxa" w:w="3485"/>
            <w:vAlign w:val="top"/>
          </w:tcPr>
          <w:p>
            <w:r>
              <w:rPr>
                <w:sz w:val="13"/>
              </w:rPr>
              <w:t>Rights-holder/consultation interface and separately an economic investor vehicle.</w:t>
            </w:r>
          </w:p>
        </w:tc>
        <w:tc>
          <w:tcPr>
            <w:tcW w:type="dxa" w:w="3485"/>
            <w:vAlign w:val="top"/>
          </w:tcPr>
          <w:p>
            <w:r>
              <w:rPr>
                <w:sz w:val="13"/>
              </w:rPr>
              <w:t>Equity participation does not extinguish consultation rights.</w:t>
            </w:r>
          </w:p>
        </w:tc>
      </w:tr>
      <w:tr>
        <w:tc>
          <w:tcPr>
            <w:tcW w:type="dxa" w:w="3485"/>
            <w:vAlign w:val="top"/>
          </w:tcPr>
          <w:p>
            <w:r>
              <w:rPr>
                <w:sz w:val="13"/>
              </w:rPr>
              <w:t>HMS Group / HMS</w:t>
            </w:r>
          </w:p>
        </w:tc>
        <w:tc>
          <w:tcPr>
            <w:tcW w:type="dxa" w:w="3485"/>
            <w:vAlign w:val="top"/>
          </w:tcPr>
          <w:p>
            <w:r>
              <w:rPr>
                <w:sz w:val="13"/>
              </w:rPr>
              <w:t>Technology parent and proprietary HFRP technology owner.</w:t>
            </w:r>
          </w:p>
        </w:tc>
        <w:tc>
          <w:tcPr>
            <w:tcW w:type="dxa" w:w="3485"/>
            <w:vAlign w:val="top"/>
          </w:tcPr>
          <w:p>
            <w:r>
              <w:rPr>
                <w:sz w:val="13"/>
              </w:rPr>
              <w:t>Controls qualified technology basis; not EPC constructor.</w:t>
            </w:r>
          </w:p>
        </w:tc>
      </w:tr>
      <w:tr>
        <w:tc>
          <w:tcPr>
            <w:tcW w:type="dxa" w:w="3485"/>
            <w:vAlign w:val="top"/>
          </w:tcPr>
          <w:p>
            <w:r>
              <w:rPr>
                <w:sz w:val="13"/>
              </w:rPr>
              <w:t>E&amp;C Holdings / E&amp;C Canada</w:t>
            </w:r>
          </w:p>
        </w:tc>
        <w:tc>
          <w:tcPr>
            <w:tcW w:type="dxa" w:w="3485"/>
            <w:vAlign w:val="top"/>
          </w:tcPr>
          <w:p>
            <w:r>
              <w:rPr>
                <w:sz w:val="13"/>
              </w:rPr>
              <w:t>Global engineering parent / Canadian EPC entity.</w:t>
            </w:r>
          </w:p>
        </w:tc>
        <w:tc>
          <w:tcPr>
            <w:tcW w:type="dxa" w:w="3485"/>
            <w:vAlign w:val="top"/>
          </w:tcPr>
          <w:p>
            <w:r>
              <w:rPr>
                <w:sz w:val="13"/>
              </w:rPr>
              <w:t>E&amp;C Canada integrates detailed design/procurement/execution.</w:t>
            </w:r>
          </w:p>
        </w:tc>
      </w:tr>
      <w:tr>
        <w:tc>
          <w:tcPr>
            <w:tcW w:type="dxa" w:w="3485"/>
            <w:vAlign w:val="top"/>
          </w:tcPr>
          <w:p>
            <w:r>
              <w:rPr>
                <w:sz w:val="13"/>
              </w:rPr>
              <w:t>Bechtel</w:t>
            </w:r>
          </w:p>
        </w:tc>
        <w:tc>
          <w:tcPr>
            <w:tcW w:type="dxa" w:w="3485"/>
            <w:vAlign w:val="top"/>
          </w:tcPr>
          <w:p>
            <w:r>
              <w:rPr>
                <w:sz w:val="13"/>
              </w:rPr>
              <w:t>Principal construction contractor and designated constructor.</w:t>
            </w:r>
          </w:p>
        </w:tc>
        <w:tc>
          <w:tcPr>
            <w:tcW w:type="dxa" w:w="3485"/>
            <w:vAlign w:val="top"/>
          </w:tcPr>
          <w:p>
            <w:r>
              <w:rPr>
                <w:sz w:val="13"/>
              </w:rPr>
              <w:t>Construction sequencing, logistics, site H&amp;S/constructor control; not HFRP design authority.</w:t>
            </w:r>
          </w:p>
        </w:tc>
      </w:tr>
      <w:tr>
        <w:tc>
          <w:tcPr>
            <w:tcW w:type="dxa" w:w="3485"/>
            <w:vAlign w:val="top"/>
          </w:tcPr>
          <w:p>
            <w:r>
              <w:rPr>
                <w:sz w:val="13"/>
              </w:rPr>
              <w:t>Aecon / Kiewit / E.S. Fox / Bird</w:t>
            </w:r>
          </w:p>
        </w:tc>
        <w:tc>
          <w:tcPr>
            <w:tcW w:type="dxa" w:w="3485"/>
            <w:vAlign w:val="top"/>
          </w:tcPr>
          <w:p>
            <w:r>
              <w:rPr>
                <w:sz w:val="13"/>
              </w:rPr>
              <w:t>Major field package contractors.</w:t>
            </w:r>
          </w:p>
        </w:tc>
        <w:tc>
          <w:tcPr>
            <w:tcW w:type="dxa" w:w="3485"/>
            <w:vAlign w:val="top"/>
          </w:tcPr>
          <w:p>
            <w:r>
              <w:rPr>
                <w:sz w:val="13"/>
              </w:rPr>
              <w:t>Execute defined packages beneath Bechtel.</w:t>
            </w:r>
          </w:p>
        </w:tc>
      </w:tr>
      <w:tr>
        <w:tc>
          <w:tcPr>
            <w:tcW w:type="dxa" w:w="3485"/>
            <w:vAlign w:val="top"/>
          </w:tcPr>
          <w:p>
            <w:r>
              <w:rPr>
                <w:sz w:val="13"/>
              </w:rPr>
              <w:t>MHI / IHI / JGC / BWXT / Arabelle / GE Vernova / Emerson / Westinghouse</w:t>
            </w:r>
          </w:p>
        </w:tc>
        <w:tc>
          <w:tcPr>
            <w:tcW w:type="dxa" w:w="3485"/>
            <w:vAlign w:val="top"/>
          </w:tcPr>
          <w:p>
            <w:r>
              <w:rPr>
                <w:sz w:val="13"/>
              </w:rPr>
              <w:t>Major OEM and specialist package suppliers.</w:t>
            </w:r>
          </w:p>
        </w:tc>
        <w:tc>
          <w:tcPr>
            <w:tcW w:type="dxa" w:w="3485"/>
            <w:vAlign w:val="top"/>
          </w:tcPr>
          <w:p>
            <w:r>
              <w:rPr>
                <w:sz w:val="13"/>
              </w:rPr>
              <w:t>Package scope only; not parallel EPCs.</w:t>
            </w:r>
          </w:p>
        </w:tc>
      </w:tr>
      <w:tr>
        <w:tc>
          <w:tcPr>
            <w:tcW w:type="dxa" w:w="3485"/>
            <w:vAlign w:val="top"/>
          </w:tcPr>
          <w:p>
            <w:r>
              <w:rPr>
                <w:sz w:val="13"/>
              </w:rPr>
              <w:t>AtkinsRéalis</w:t>
            </w:r>
          </w:p>
        </w:tc>
        <w:tc>
          <w:tcPr>
            <w:tcW w:type="dxa" w:w="3485"/>
            <w:vAlign w:val="top"/>
          </w:tcPr>
          <w:p>
            <w:r>
              <w:rPr>
                <w:sz w:val="13"/>
              </w:rPr>
              <w:t>Narrow Canadian nuclear/licensing/safety-analysis specialist.</w:t>
            </w:r>
          </w:p>
        </w:tc>
        <w:tc>
          <w:tcPr>
            <w:tcW w:type="dxa" w:w="3485"/>
            <w:vAlign w:val="top"/>
          </w:tcPr>
          <w:p>
            <w:r>
              <w:rPr>
                <w:sz w:val="13"/>
              </w:rPr>
              <w:t>Advisory/specialist support.</w:t>
            </w:r>
          </w:p>
        </w:tc>
      </w:tr>
      <w:tr>
        <w:tc>
          <w:tcPr>
            <w:tcW w:type="dxa" w:w="3485"/>
            <w:vAlign w:val="top"/>
          </w:tcPr>
          <w:p>
            <w:r>
              <w:rPr>
                <w:sz w:val="13"/>
              </w:rPr>
              <w:t>Fluor</w:t>
            </w:r>
          </w:p>
        </w:tc>
        <w:tc>
          <w:tcPr>
            <w:tcW w:type="dxa" w:w="3485"/>
            <w:vAlign w:val="top"/>
          </w:tcPr>
          <w:p>
            <w:r>
              <w:rPr>
                <w:sz w:val="13"/>
              </w:rPr>
              <w:t>Completion/turnover/commissioning surge support.</w:t>
            </w:r>
          </w:p>
        </w:tc>
        <w:tc>
          <w:tcPr>
            <w:tcW w:type="dxa" w:w="3485"/>
            <w:vAlign w:val="top"/>
          </w:tcPr>
          <w:p>
            <w:r>
              <w:rPr>
                <w:sz w:val="13"/>
              </w:rPr>
              <w:t>No parallel EPC/design authority.</w:t>
            </w:r>
          </w:p>
        </w:tc>
      </w:tr>
      <w:tr>
        <w:tc>
          <w:tcPr>
            <w:tcW w:type="dxa" w:w="3485"/>
            <w:vAlign w:val="top"/>
          </w:tcPr>
          <w:p>
            <w:r>
              <w:rPr>
                <w:sz w:val="13"/>
              </w:rPr>
              <w:t>Sargent &amp; Lundy</w:t>
            </w:r>
          </w:p>
        </w:tc>
        <w:tc>
          <w:tcPr>
            <w:tcW w:type="dxa" w:w="3485"/>
            <w:vAlign w:val="top"/>
          </w:tcPr>
          <w:p>
            <w:r>
              <w:rPr>
                <w:sz w:val="13"/>
              </w:rPr>
              <w:t>Lenders Technical Adviser / Independent Engineer.</w:t>
            </w:r>
          </w:p>
        </w:tc>
        <w:tc>
          <w:tcPr>
            <w:tcW w:type="dxa" w:w="3485"/>
            <w:vAlign w:val="top"/>
          </w:tcPr>
          <w:p>
            <w:r>
              <w:rPr>
                <w:sz w:val="13"/>
              </w:rPr>
              <w:t>Translates physical progress and risk into finance-grade monitoring.</w:t>
            </w:r>
          </w:p>
        </w:tc>
      </w:tr>
      <w:tr>
        <w:tc>
          <w:tcPr>
            <w:tcW w:type="dxa" w:w="3485"/>
            <w:vAlign w:val="top"/>
          </w:tcPr>
          <w:p>
            <w:r>
              <w:rPr>
                <w:sz w:val="13"/>
              </w:rPr>
              <w:t>JPMorgan / MUFG / SMBC / bank syndicate</w:t>
            </w:r>
          </w:p>
        </w:tc>
        <w:tc>
          <w:tcPr>
            <w:tcW w:type="dxa" w:w="3485"/>
            <w:vAlign w:val="top"/>
          </w:tcPr>
          <w:p>
            <w:r>
              <w:rPr>
                <w:sz w:val="13"/>
              </w:rPr>
              <w:t>Banking/structuring/financing counterparties.</w:t>
            </w:r>
          </w:p>
        </w:tc>
        <w:tc>
          <w:tcPr>
            <w:tcW w:type="dxa" w:w="3485"/>
            <w:vAlign w:val="top"/>
          </w:tcPr>
          <w:p>
            <w:r>
              <w:rPr>
                <w:sz w:val="13"/>
              </w:rPr>
              <w:t>Economic/information rights; no nuclear decision authority.</w:t>
            </w:r>
          </w:p>
        </w:tc>
      </w:tr>
      <w:tr>
        <w:tc>
          <w:tcPr>
            <w:tcW w:type="dxa" w:w="3485"/>
            <w:vAlign w:val="top"/>
          </w:tcPr>
          <w:p>
            <w:r>
              <w:rPr>
                <w:sz w:val="13"/>
              </w:rPr>
              <w:t>METI/ANRE, MOFA, MOF, Cabinet Secretariat</w:t>
            </w:r>
          </w:p>
        </w:tc>
        <w:tc>
          <w:tcPr>
            <w:tcW w:type="dxa" w:w="3485"/>
            <w:vAlign w:val="top"/>
          </w:tcPr>
          <w:p>
            <w:r>
              <w:rPr>
                <w:sz w:val="13"/>
              </w:rPr>
              <w:t>Japanese industrial-policy, diplomacy, fiscal scrutiny and later central coordination.</w:t>
            </w:r>
          </w:p>
        </w:tc>
        <w:tc>
          <w:tcPr>
            <w:tcW w:type="dxa" w:w="3485"/>
            <w:vAlign w:val="top"/>
          </w:tcPr>
          <w:p>
            <w:r>
              <w:rPr>
                <w:sz w:val="13"/>
              </w:rPr>
              <w:t>External programme/political influence; no site chain of command.</w:t>
            </w:r>
          </w:p>
        </w:tc>
      </w:tr>
    </w:tbl>
    <w:p>
      <w:pPr>
        <w:pStyle w:val="Heading1"/>
      </w:pPr>
      <w:r>
        <w:t>Evidence / document state by period end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Evidence family</w:t>
            </w:r>
          </w:p>
        </w:tc>
        <w:tc>
          <w:tcPr>
            <w:tcW w:type="dxa" w:w="5227"/>
            <w:vAlign w:val="center"/>
          </w:tcPr>
          <w:p>
            <w:r>
              <w:rPr>
                <w:b/>
                <w:sz w:val="14"/>
              </w:rPr>
              <w:t>What exists / why it matters</w:t>
            </w:r>
          </w:p>
        </w:tc>
      </w:tr>
      <w:tr>
        <w:tc>
          <w:tcPr>
            <w:tcW w:type="dxa" w:w="5227"/>
            <w:vAlign w:val="top"/>
          </w:tcPr>
          <w:p>
            <w:r>
              <w:rPr>
                <w:sz w:val="14"/>
              </w:rPr>
              <w:t>Readiness</w:t>
            </w:r>
          </w:p>
        </w:tc>
        <w:tc>
          <w:tcPr>
            <w:tcW w:type="dxa" w:w="5227"/>
            <w:vAlign w:val="top"/>
          </w:tcPr>
          <w:p>
            <w:r>
              <w:rPr>
                <w:sz w:val="14"/>
              </w:rPr>
              <w:t>FP Readiness Register, integrated-test evidence, operator/maintainer qualification, emergency/maintenance programme readiness.</w:t>
            </w:r>
          </w:p>
        </w:tc>
      </w:tr>
      <w:tr>
        <w:tc>
          <w:tcPr>
            <w:tcW w:type="dxa" w:w="5227"/>
            <w:vAlign w:val="top"/>
          </w:tcPr>
          <w:p>
            <w:r>
              <w:rPr>
                <w:sz w:val="14"/>
              </w:rPr>
              <w:t>Aurora</w:t>
            </w:r>
          </w:p>
        </w:tc>
        <w:tc>
          <w:tcPr>
            <w:tcW w:type="dxa" w:w="5227"/>
            <w:vAlign w:val="top"/>
          </w:tcPr>
          <w:p>
            <w:r>
              <w:rPr>
                <w:sz w:val="14"/>
              </w:rPr>
              <w:t>SCF/PP/equity/accordion documents, cost-to-complete, LTA, schedule, covenant/CP trackers.</w:t>
            </w:r>
          </w:p>
        </w:tc>
      </w:tr>
      <w:tr>
        <w:tc>
          <w:tcPr>
            <w:tcW w:type="dxa" w:w="5227"/>
            <w:vAlign w:val="top"/>
          </w:tcPr>
          <w:p>
            <w:r>
              <w:rPr>
                <w:sz w:val="14"/>
              </w:rPr>
              <w:t>Regulatory</w:t>
            </w:r>
          </w:p>
        </w:tc>
        <w:tc>
          <w:tcPr>
            <w:tcW w:type="dxa" w:w="5227"/>
            <w:vAlign w:val="top"/>
          </w:tcPr>
          <w:p>
            <w:r>
              <w:rPr>
                <w:sz w:val="14"/>
              </w:rPr>
              <w:t>Operating/commissioning authorization and remaining stage hold points.</w:t>
            </w:r>
          </w:p>
        </w:tc>
      </w:tr>
    </w:tbl>
    <w:p>
      <w:pPr>
        <w:pStyle w:val="Heading1"/>
      </w:pPr>
      <w:r>
        <w:t>Backlog coverage absorbed into the encyclopedia</w:t>
      </w:r>
    </w:p>
    <w:p>
      <w:pPr>
        <w:pStyle w:val="ReferenceNote"/>
      </w:pPr>
      <w:r>
        <w:t>This is a coverage register only. It records which subjects from the research programme were absorbed into the history; it does not reproduce work packets, lenses, prompts or executable research instructions.</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vAlign w:val="center"/>
          </w:tcPr>
          <w:p>
            <w:r>
              <w:rPr>
                <w:b/>
                <w:sz w:val="13"/>
              </w:rPr>
              <w:t>Encyclopedia domain</w:t>
            </w:r>
          </w:p>
        </w:tc>
        <w:tc>
          <w:tcPr>
            <w:tcW w:type="dxa" w:w="3485"/>
            <w:vAlign w:val="center"/>
          </w:tcPr>
          <w:p>
            <w:r>
              <w:rPr>
                <w:b/>
                <w:sz w:val="13"/>
              </w:rPr>
              <w:t>Subjects absorbed into this period</w:t>
            </w:r>
          </w:p>
        </w:tc>
        <w:tc>
          <w:tcPr>
            <w:tcW w:type="dxa" w:w="3485"/>
            <w:vAlign w:val="center"/>
          </w:tcPr>
          <w:p>
            <w:r>
              <w:rPr>
                <w:b/>
                <w:sz w:val="13"/>
              </w:rPr>
              <w:t>Reference rule</w:t>
            </w:r>
          </w:p>
        </w:tc>
      </w:tr>
      <w:tr>
        <w:tc>
          <w:tcPr>
            <w:tcW w:type="dxa" w:w="3485"/>
            <w:vAlign w:val="top"/>
          </w:tcPr>
          <w:p>
            <w:r>
              <w:rPr>
                <w:sz w:val="13"/>
              </w:rPr>
              <w:t>Project Origination, Institutional Formation, Site Selection &amp; Implementation History</w:t>
            </w:r>
          </w:p>
        </w:tc>
        <w:tc>
          <w:tcPr>
            <w:tcW w:type="dxa" w:w="3485"/>
            <w:vAlign w:val="top"/>
          </w:tcPr>
          <w:p>
            <w:r>
              <w:rPr>
                <w:sz w:val="13"/>
              </w:rPr>
              <w:t>Integrated commissioning; First Plasma readiness programme; Project Aurora</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Site Geography, Spatial Development, Environmental Basis &amp; Physical Configuration</w:t>
            </w:r>
          </w:p>
        </w:tc>
        <w:tc>
          <w:tcPr>
            <w:tcW w:type="dxa" w:w="3485"/>
            <w:vAlign w:val="top"/>
          </w:tcPr>
          <w:p>
            <w:r>
              <w:rPr>
                <w:sz w:val="13"/>
              </w:rPr>
              <w:t>Commissioning geography; Emergency / fire response geography; Radiological zoning evolution; Waste / activated-material routes; As-built spatial configuration</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Regulatory Evolution, Licensing, Safety Case &amp; Compliance History</w:t>
            </w:r>
          </w:p>
        </w:tc>
        <w:tc>
          <w:tcPr>
            <w:tcW w:type="dxa" w:w="3485"/>
            <w:vAlign w:val="top"/>
          </w:tcPr>
          <w:p>
            <w:r>
              <w:rPr>
                <w:sz w:val="13"/>
              </w:rPr>
              <w:t>Operating-licence technical review; Operating-licence hearing / decision; First Plasma authorization boundary</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Commercial Formation, Financing, Contracting, Project Controls &amp; Risk Allocation</w:t>
            </w:r>
          </w:p>
        </w:tc>
        <w:tc>
          <w:tcPr>
            <w:tcW w:type="dxa" w:w="3485"/>
            <w:vAlign w:val="top"/>
          </w:tcPr>
          <w:p>
            <w:r>
              <w:rPr>
                <w:sz w:val="13"/>
              </w:rPr>
              <w:t>Project Aurora launch; Aurora senior completion facility; Aurora institutional placement; OPG completion equity; Accordion / residual liquidity</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Engineering, Procurement, Manufacturing, Supply Chain &amp; Equipment Genealogy</w:t>
            </w:r>
          </w:p>
        </w:tc>
        <w:tc>
          <w:tcPr>
            <w:tcW w:type="dxa" w:w="3485"/>
            <w:vAlign w:val="top"/>
          </w:tcPr>
          <w:p>
            <w:r>
              <w:rPr>
                <w:sz w:val="13"/>
              </w:rPr>
              <w:t>Commissioning vendor support; Spare parts / special tools; Obsolescence / lifecycle support; Supplier performance history; Late engineering / field change</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Construction, Installation, Turnover, Completions &amp; Field Execution</w:t>
            </w:r>
          </w:p>
        </w:tc>
        <w:tc>
          <w:tcPr>
            <w:tcW w:type="dxa" w:w="3485"/>
            <w:vAlign w:val="top"/>
          </w:tcPr>
          <w:p>
            <w:r>
              <w:rPr>
                <w:sz w:val="13"/>
              </w:rPr>
              <w:t>Outstanding work after turnover; Preservation after completion; Temporary commissioning modifications; Energization boundary control; Completion database; Late field backlog / punch burn-down</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Commissioning, Operations Readiness, First Plasma &amp; Transition to Operation</w:t>
            </w:r>
          </w:p>
        </w:tc>
        <w:tc>
          <w:tcPr>
            <w:tcW w:type="dxa" w:w="3485"/>
            <w:vAlign w:val="top"/>
          </w:tcPr>
          <w:p>
            <w:r>
              <w:rPr>
                <w:sz w:val="13"/>
              </w:rPr>
              <w:t>Integrated machine testing; First Plasma readiness criteria; First Plasma readiness review; Operations procedures; Operator / maintainer training; Control-room staffing / shift organization; Maintenance programme readiness; Work management transition; Operations chemistry / materials programme; Radiation protection / waste readiness; Emergency preparedness readiness; Operating experience / corrective action</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Operating Experience, Corrective Action, Precursor Ecology &amp; Information Propagation</w:t>
            </w:r>
          </w:p>
        </w:tc>
        <w:tc>
          <w:tcPr>
            <w:tcW w:type="dxa" w:w="3485"/>
            <w:vAlign w:val="top"/>
          </w:tcPr>
          <w:p>
            <w:r>
              <w:rPr>
                <w:sz w:val="13"/>
              </w:rPr>
              <w:t>January-March 2031 precursor population</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Maintenance, Reliability, Work Management, Asset Health &amp; Remote Maintenance History</w:t>
            </w:r>
          </w:p>
        </w:tc>
        <w:tc>
          <w:tcPr>
            <w:tcW w:type="dxa" w:w="3485"/>
            <w:vAlign w:val="top"/>
          </w:tcPr>
          <w:p>
            <w:r>
              <w:rPr>
                <w:sz w:val="13"/>
              </w:rPr>
              <w:t>Spare-parts management; Tools / test equipment; Vendor / contractor maintenance; Remote maintenance strategy; Hot Cell maintenance cycle; Tokamak in-vessel maintenance; Tritium-system maintenance; Cryogenic / magnet maintenance; Conventional BOP maintenance; Outage planning; Maintenance optimization; Aging / degradation management; Obsolescence / lifecycle replacement; Maintenance performance indicators; Human performance in maintenance; Maintenance records integrity; Commissioning-to-maintenance transition</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Emergency Preparedness, Fire Protection, Accident Management &amp; Mass-Casualty Response</w:t>
            </w:r>
          </w:p>
        </w:tc>
        <w:tc>
          <w:tcPr>
            <w:tcW w:type="dxa" w:w="3485"/>
            <w:vAlign w:val="top"/>
          </w:tcPr>
          <w:p>
            <w:r>
              <w:rPr>
                <w:sz w:val="13"/>
              </w:rPr>
              <w:t>Emergency readiness for First Plasma</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bl>
    <w:p>
      <w:pPr>
        <w:pStyle w:val="Heading1"/>
      </w:pPr>
      <w:r>
        <w:t>Safe cross-thread assumptions at period end</w:t>
      </w:r>
    </w:p>
    <w:p>
      <w:pPr>
        <w:pStyle w:val="ListBullet"/>
      </w:pPr>
      <w:r>
        <w:t>Q1 2031 machine commissioning/FP readiness is under appropriate authorization.</w:t>
      </w:r>
    </w:p>
    <w:p>
      <w:pPr>
        <w:pStyle w:val="ListBullet"/>
      </w:pPr>
      <w:r>
        <w:t>Aurora commitments and capital arithmetic are distinct and conditional.</w:t>
      </w:r>
    </w:p>
    <w:p>
      <w:pPr>
        <w:pStyle w:val="ListBullet"/>
      </w:pPr>
      <w:r>
        <w:t>Normal weekday site population is ~850, not the earlier ~680 whole-site figure.</w:t>
      </w:r>
    </w:p>
    <w:p>
      <w:pPr>
        <w:pStyle w:val="Heading1"/>
      </w:pPr>
      <w:r>
        <w:t>Continuity rule</w:t>
      </w:r>
    </w:p>
    <w:p>
      <w:r>
        <w:t>The next volume starts from this exact technical, contractual, regulatory, financial and information state. Do not import a later organization, approval, maintenance history, financing instrument, plant state or knowledge state merely because it exists by 19 April 2031.</w:t>
      </w:r>
    </w:p>
    <w:p>
      <w:r>
        <w:br w:type="page"/>
      </w:r>
    </w:p>
    <w:p>
      <w:pPr>
        <w:pStyle w:val="Heading1"/>
      </w:pPr>
      <w:r>
        <w:t>Integrated controlled source — OFG_E04_Power_Cycle_BOP_Encyclopedia_Rev2.docx</w:t>
      </w:r>
    </w:p>
    <w:p>
      <w:r>
        <w:t>Preserved at source granularity. Later explicit canon and change-provenance entries govern conflicts; source text is not silently rewritten.</w:t>
      </w:r>
    </w:p>
    <w:p>
      <w:pPr>
        <w:jc w:val="center"/>
      </w:pPr>
      <w:r>
        <w:rPr>
          <w:b/>
          <w:sz w:val="20"/>
        </w:rPr>
        <w:t>ONTARIO FUSION GENERATION PROJECT</w:t>
      </w:r>
    </w:p>
    <w:p>
      <w:pPr>
        <w:jc w:val="center"/>
      </w:pPr>
      <w:r>
        <w:rPr>
          <w:b/>
          <w:sz w:val="34"/>
        </w:rPr>
        <w:t>VOLUME E04 — STEAM CYCLE, HEAT REJECTION &amp; MECHANICAL BALANCE-OF-PLANT ENCYCLOPEDIA</w:t>
      </w:r>
    </w:p>
    <w:p>
      <w:pPr>
        <w:jc w:val="center"/>
      </w:pPr>
      <w:r>
        <w:rPr>
          <w:i/>
          <w:sz w:val="18"/>
        </w:rPr>
        <w:t>Thermal conversion, turbine island, condenser/feedwater, Lake Ontario cooling and common mechanical utilities</w:t>
      </w:r>
    </w:p>
    <w:p>
      <w:r>
        <w:t>REV 2 ENGINEERING RECONSTRUCTION · DESIGN CUT 19 APRIL 2031 · C/R/E/O PROVENANCE CONTROL</w:t>
      </w:r>
    </w:p>
    <w:p>
      <w:pPr>
        <w:pStyle w:val="Heading1"/>
      </w:pPr>
      <w:r>
        <w:t>1. Reference Rankine-cycle architecture</w:t>
      </w:r>
    </w:p>
    <w:p>
      <w:r>
        <w:t>E architecture: four BHT trains feed eight steam-generator modules into cross-connected main-steam headers with train isolation. Steam expands through one HP and three LP turbine casings on a common shaft line, drives a 1,280-MWe hydrogen/water-cooled synchronous generator, exhausts to a multi-shell surface condenser, and returns through condensate polishing/heating, deaeration and boiler-feed pumping.</w:t>
      </w:r>
    </w:p>
    <w:tbl>
      <w:tblPr>
        <w:tblStyle w:val="TableGrid"/>
        <w:tblW w:type="auto" w:w="0"/>
        <w:tblLook w:firstColumn="1" w:firstRow="1" w:lastColumn="0" w:lastRow="0" w:noHBand="0" w:noVBand="1" w:val="04A0"/>
      </w:tblPr>
      <w:tblGrid>
        <w:gridCol w:w="3485"/>
        <w:gridCol w:w="3485"/>
        <w:gridCol w:w="3485"/>
      </w:tblGrid>
      <w:tr>
        <w:tc>
          <w:tcPr>
            <w:tcW w:type="dxa" w:w="3485"/>
            <w:shd w:fill="D9EAF7"/>
          </w:tcPr>
          <w:p>
            <w:r>
              <w:t>Subsystem</w:t>
            </w:r>
          </w:p>
        </w:tc>
        <w:tc>
          <w:tcPr>
            <w:tcW w:type="dxa" w:w="3485"/>
            <w:shd w:fill="D9EAF7"/>
          </w:tcPr>
          <w:p>
            <w:r>
              <w:t>Major equipment</w:t>
            </w:r>
          </w:p>
        </w:tc>
        <w:tc>
          <w:tcPr>
            <w:tcW w:type="dxa" w:w="3485"/>
            <w:shd w:fill="D9EAF7"/>
          </w:tcPr>
          <w:p>
            <w:r>
              <w:t>Design intent</w:t>
            </w:r>
          </w:p>
        </w:tc>
      </w:tr>
      <w:tr>
        <w:tc>
          <w:tcPr>
            <w:tcW w:type="dxa" w:w="3485"/>
          </w:tcPr>
          <w:p>
            <w:r>
              <w:t>SGS</w:t>
            </w:r>
          </w:p>
        </w:tc>
        <w:tc>
          <w:tcPr>
            <w:tcW w:type="dxa" w:w="3485"/>
          </w:tcPr>
          <w:p>
            <w:r>
              <w:t>8 steam generators; main steam isolation/control; safety relief</w:t>
            </w:r>
          </w:p>
        </w:tc>
        <w:tc>
          <w:tcPr>
            <w:tcW w:type="dxa" w:w="3485"/>
          </w:tcPr>
          <w:p>
            <w:r>
              <w:t>~3.48 GWth total cycle input envelope</w:t>
            </w:r>
          </w:p>
        </w:tc>
      </w:tr>
      <w:tr>
        <w:tc>
          <w:tcPr>
            <w:tcW w:type="dxa" w:w="3485"/>
          </w:tcPr>
          <w:p>
            <w:r>
              <w:t>TUR</w:t>
            </w:r>
          </w:p>
        </w:tc>
        <w:tc>
          <w:tcPr>
            <w:tcW w:type="dxa" w:w="3485"/>
          </w:tcPr>
          <w:p>
            <w:r>
              <w:t>1 HP + 3 LP casings; MSR where selected; generator; lube/seal systems</w:t>
            </w:r>
          </w:p>
        </w:tc>
        <w:tc>
          <w:tcPr>
            <w:tcW w:type="dxa" w:w="3485"/>
          </w:tcPr>
          <w:p>
            <w:r>
              <w:t>1,280 MWe gross reference</w:t>
            </w:r>
          </w:p>
        </w:tc>
      </w:tr>
      <w:tr>
        <w:tc>
          <w:tcPr>
            <w:tcW w:type="dxa" w:w="3485"/>
          </w:tcPr>
          <w:p>
            <w:r>
              <w:t>CND</w:t>
            </w:r>
          </w:p>
        </w:tc>
        <w:tc>
          <w:tcPr>
            <w:tcW w:type="dxa" w:w="3485"/>
          </w:tcPr>
          <w:p>
            <w:r>
              <w:t>3 condenser shells; vacuum pumps/steam ejector equivalents; hotwell</w:t>
            </w:r>
          </w:p>
        </w:tc>
        <w:tc>
          <w:tcPr>
            <w:tcW w:type="dxa" w:w="3485"/>
          </w:tcPr>
          <w:p>
            <w:r>
              <w:t>low backpressure and non-condensable removal</w:t>
            </w:r>
          </w:p>
        </w:tc>
      </w:tr>
      <w:tr>
        <w:tc>
          <w:tcPr>
            <w:tcW w:type="dxa" w:w="3485"/>
          </w:tcPr>
          <w:p>
            <w:r>
              <w:t>CFW</w:t>
            </w:r>
          </w:p>
        </w:tc>
        <w:tc>
          <w:tcPr>
            <w:tcW w:type="dxa" w:w="3485"/>
          </w:tcPr>
          <w:p>
            <w:r>
              <w:t>4×33% condensate pumps; LP/HP heaters; deaerator; 4×33% feed pumps</w:t>
            </w:r>
          </w:p>
        </w:tc>
        <w:tc>
          <w:tcPr>
            <w:tcW w:type="dxa" w:w="3485"/>
          </w:tcPr>
          <w:p>
            <w:r>
              <w:t>N+1 pumping and thermal regeneration</w:t>
            </w:r>
          </w:p>
        </w:tc>
      </w:tr>
      <w:tr>
        <w:tc>
          <w:tcPr>
            <w:tcW w:type="dxa" w:w="3485"/>
          </w:tcPr>
          <w:p>
            <w:r>
              <w:t>CWS</w:t>
            </w:r>
          </w:p>
        </w:tc>
        <w:tc>
          <w:tcPr>
            <w:tcW w:type="dxa" w:w="3485"/>
          </w:tcPr>
          <w:p>
            <w:r>
              <w:t>8 circulating-water pumps; intake screens; condenser waterboxes; outfall</w:t>
            </w:r>
          </w:p>
        </w:tc>
        <w:tc>
          <w:tcPr>
            <w:tcW w:type="dxa" w:w="3485"/>
          </w:tcPr>
          <w:p>
            <w:r>
              <w:t>Lake Ontario once-through/tempered discharge basis subject to environmental licensing</w:t>
            </w:r>
          </w:p>
        </w:tc>
      </w:tr>
      <w:tr>
        <w:tc>
          <w:tcPr>
            <w:tcW w:type="dxa" w:w="3485"/>
          </w:tcPr>
          <w:p>
            <w:r>
              <w:t>CCW</w:t>
            </w:r>
          </w:p>
        </w:tc>
        <w:tc>
          <w:tcPr>
            <w:tcW w:type="dxa" w:w="3485"/>
          </w:tcPr>
          <w:p>
            <w:r>
              <w:t>4 closed-loop trains + plate/shell HX</w:t>
            </w:r>
          </w:p>
        </w:tc>
        <w:tc>
          <w:tcPr>
            <w:tcW w:type="dxa" w:w="3485"/>
          </w:tcPr>
          <w:p>
            <w:r>
              <w:t>isolate plant equipment cooling from raw water</w:t>
            </w:r>
          </w:p>
        </w:tc>
      </w:tr>
      <w:tr>
        <w:tc>
          <w:tcPr>
            <w:tcW w:type="dxa" w:w="3485"/>
          </w:tcPr>
          <w:p>
            <w:r>
              <w:t>CHW</w:t>
            </w:r>
          </w:p>
        </w:tc>
        <w:tc>
          <w:tcPr>
            <w:tcW w:type="dxa" w:w="3485"/>
          </w:tcPr>
          <w:p>
            <w:r>
              <w:t>multiple chillers/pumps</w:t>
            </w:r>
          </w:p>
        </w:tc>
        <w:tc>
          <w:tcPr>
            <w:tcW w:type="dxa" w:w="3485"/>
          </w:tcPr>
          <w:p>
            <w:r>
              <w:t>HVAC and process loads</w:t>
            </w:r>
          </w:p>
        </w:tc>
      </w:tr>
    </w:tbl>
    <w:p>
      <w:pPr>
        <w:pStyle w:val="Heading1"/>
      </w:pPr>
      <w:r>
        <w:t>2. Condenser heat rejection</w:t>
      </w:r>
    </w:p>
    <w:p>
      <w:r>
        <w:t>At the E reference point, approximately 2.2 GW is rejected after gross electrical conversion and internal recoveries. At a 10 °C circulating-water temperature rise, first-order water flow is ~52 m³/s (using 4.18 MJ/m³-K). Final intake/outfall design requires environmental thermal-plume, icing, fish-impingement/entrainment and shoreline studies; this value is a hydraulic sizing basis, not a permitted discharge.</w:t>
      </w:r>
    </w:p>
    <w:p>
      <w:pPr>
        <w:pStyle w:val="Heading1"/>
      </w:pPr>
      <w:r>
        <w:t>3. Rotating-equipment standard</w:t>
      </w:r>
    </w:p>
    <w:p>
      <w:r>
        <w:t>Every BOP pump/fan/compressor record contains casing, rotor/impeller, shaft, bearings, seal, coupling, driver, lubrication/cooling, baseplate/anchors, local instruments, electrical feeder, controls, isolation/check valves, minimum-flow or recycle provisions where required, drains/vents, lifting points and removal envelope.</w:t>
      </w:r>
    </w:p>
    <w:p>
      <w:r>
        <w:br w:type="page"/>
      </w:r>
    </w:p>
    <w:p>
      <w:pPr>
        <w:pStyle w:val="Heading1"/>
      </w:pPr>
      <w:r>
        <w:t>Integrated controlled source — OFG_S04R1_BOP_Electrical_IandC_Utilities.docx</w:t>
      </w:r>
    </w:p>
    <w:p>
      <w:r>
        <w:t>Preserved at source granularity. Later explicit canon and change-provenance entries govern conflicts; source text is not silently rewritten.</w:t>
      </w:r>
    </w:p>
    <w:p>
      <w:pPr>
        <w:jc w:val="center"/>
      </w:pPr>
      <w:r>
        <w:rPr>
          <w:b/>
          <w:sz w:val="36"/>
        </w:rPr>
        <w:t>ONTARIO FUSION GENERATION PROJECT</w:t>
      </w:r>
    </w:p>
    <w:p>
      <w:pPr>
        <w:jc w:val="center"/>
      </w:pPr>
      <w:r>
        <w:rPr>
          <w:b/>
          <w:sz w:val="48"/>
        </w:rPr>
        <w:t>VOLUME S04R1 — BALANCE OF PLANT, ELECTRICAL, I&amp;C &amp; UTILITIES ENCYCLOPEDIA</w:t>
      </w:r>
    </w:p>
    <w:p>
      <w:pPr>
        <w:jc w:val="center"/>
      </w:pPr>
      <w:r>
        <w:rPr>
          <w:i/>
          <w:sz w:val="22"/>
        </w:rPr>
        <w:t>Power cycle, grid, station service, cooling, controls, HVAC, fire, radiation protection, security and utilities</w:t>
      </w:r>
    </w:p>
    <w:p>
      <w:pPr>
        <w:jc w:val="center"/>
      </w:pPr>
      <w:r>
        <w:t>SYSTEM &amp; SITE ENCYCLOPEDIA · REV 1 · DESIGN RECONSTRUCTION CUT 19 APRIL 2031</w:t>
      </w:r>
    </w:p>
    <w:p>
      <w:r>
        <w:br w:type="page"/>
      </w:r>
    </w:p>
    <w:p>
      <w:pPr>
        <w:pStyle w:val="Heading1"/>
      </w:pPr>
      <w:r>
        <w:t>Document control and epistemic status</w:t>
      </w:r>
    </w:p>
    <w:p>
      <w:r>
        <w:t>This volume preserves the supplied Rev N story corpus as the canonical skeleton. Statements are classified as LOCKED/SOURCE-DERIVED, VERIFIED PRECEDENT CONSTRAINT, DESIGN RECONSTRUCTION, or OPEN/CONTROLLED. Real-world precedent constrains plausibility but does not silently create OFG canon.</w:t>
      </w:r>
    </w:p>
    <w:p>
      <w:r>
        <w:t>Governing rule: Design Plant = Physical Plant = Evidence Plant. Design identity, installed identity, connectivity, custody/state, and objective evidence are tracked separately.</w:t>
      </w:r>
    </w:p>
    <w:tbl>
      <w:tblPr>
        <w:tblStyle w:val="TableGrid"/>
        <w:tblW w:type="auto" w:w="0"/>
        <w:tblLook w:firstColumn="1" w:firstRow="1" w:lastColumn="0" w:lastRow="0" w:noHBand="0" w:noVBand="1" w:val="04A0"/>
      </w:tblPr>
      <w:tblGrid>
        <w:gridCol w:w="5256"/>
        <w:gridCol w:w="5256"/>
      </w:tblGrid>
      <w:tr>
        <w:tc>
          <w:tcPr>
            <w:tcW w:type="dxa" w:w="5256"/>
          </w:tcPr>
          <w:p>
            <w:r>
              <w:t>Status</w:t>
            </w:r>
          </w:p>
        </w:tc>
        <w:tc>
          <w:tcPr>
            <w:tcW w:type="dxa" w:w="5256"/>
          </w:tcPr>
          <w:p>
            <w:r>
              <w:t>Meaning</w:t>
            </w:r>
          </w:p>
        </w:tc>
      </w:tr>
      <w:tr>
        <w:tc>
          <w:tcPr>
            <w:tcW w:type="dxa" w:w="5256"/>
          </w:tcPr>
          <w:p>
            <w:r>
              <w:t>LOCKED/SOURCE-DERIVED</w:t>
            </w:r>
          </w:p>
        </w:tc>
        <w:tc>
          <w:tcPr>
            <w:tcW w:type="dxa" w:w="5256"/>
          </w:tcPr>
          <w:p>
            <w:r>
              <w:t>Explicitly supported by supplied OFG corpus/control registers.</w:t>
            </w:r>
          </w:p>
        </w:tc>
      </w:tr>
      <w:tr>
        <w:tc>
          <w:tcPr>
            <w:tcW w:type="dxa" w:w="5256"/>
          </w:tcPr>
          <w:p>
            <w:r>
              <w:t>VERIFIED PRECEDENT CONSTRAINT</w:t>
            </w:r>
          </w:p>
        </w:tc>
        <w:tc>
          <w:tcPr>
            <w:tcW w:type="dxa" w:w="5256"/>
          </w:tcPr>
          <w:p>
            <w:r>
              <w:t>Supported by authoritative real-world practice; constrains but does not itself establish OFG history.</w:t>
            </w:r>
          </w:p>
        </w:tc>
      </w:tr>
      <w:tr>
        <w:tc>
          <w:tcPr>
            <w:tcW w:type="dxa" w:w="5256"/>
          </w:tcPr>
          <w:p>
            <w:r>
              <w:t>DESIGN RECONSTRUCTION</w:t>
            </w:r>
          </w:p>
        </w:tc>
        <w:tc>
          <w:tcPr>
            <w:tcW w:type="dxa" w:w="5256"/>
          </w:tcPr>
          <w:p>
            <w:r>
              <w:t>New OFG engineering design adopted for internal coherence; must not be misrepresented as previously sourced history.</w:t>
            </w:r>
          </w:p>
        </w:tc>
      </w:tr>
      <w:tr>
        <w:tc>
          <w:tcPr>
            <w:tcW w:type="dxa" w:w="5256"/>
          </w:tcPr>
          <w:p>
            <w:r>
              <w:t>OPEN/CONTROLLED</w:t>
            </w:r>
          </w:p>
        </w:tc>
        <w:tc>
          <w:tcPr>
            <w:tcW w:type="dxa" w:w="5256"/>
          </w:tcPr>
          <w:p>
            <w:r>
              <w:t>Evidence does not support a unique answer; intentionally unresolved.</w:t>
            </w:r>
          </w:p>
        </w:tc>
      </w:tr>
    </w:tbl>
    <w:p>
      <w:pPr>
        <w:pStyle w:val="Heading2"/>
      </w:pPr>
      <w:r>
        <w:t>Authoritative precedent used in Rev 1</w:t>
      </w:r>
    </w:p>
    <w:p>
      <w:r>
        <w:t>CNSC REGDOC-2.5.2 v2.1: design authority, configuration management, SSC interfaces and facility-layout requirements. IAEA Commissioning for Nuclear Power Plants: transfer boundaries, partial-system commissioning, work control and construction/commissioning interfaces. ITER Organization: machine/support-system topology, cooling-water architecture and assembly/installation precedent. QST/JA-DEMO literature: DEMO-class functional architecture precedent.</w:t>
      </w:r>
    </w:p>
    <w:p>
      <w:r>
        <w:t>No exact surveyed OFG coordinate, unprovided line endpoint, cable endpoint, I/O channel, nozzle schedule, serial-level BOM, or hidden historical fact is promoted to LOCKED status.</w:t>
      </w:r>
    </w:p>
    <w:p>
      <w:pPr>
        <w:pStyle w:val="Heading1"/>
      </w:pPr>
      <w:r>
        <w:t>TUR — Turbine system</w:t>
      </w:r>
    </w:p>
    <w:p>
      <w:r>
        <w:t>Location(s): T-101. Functional role is retained from the Rev N architecture. The equipment model below is an engineering decomposition, not a claim that every listed component tag existed in Annex A.</w:t>
      </w:r>
    </w:p>
    <w:p>
      <w:pPr>
        <w:pStyle w:val="Heading2"/>
      </w:pPr>
      <w:r>
        <w:t>TUR.01 HP turbine section</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TUR.02 LP turbine section</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TUR.03 stop/control valve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TUR.04 bearing</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TUR.05 lube-oil skid</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TUR.06 gland-steam package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TUR.07 turning gear</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TUR.08 vibration probe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1"/>
      </w:pPr>
      <w:r>
        <w:t>GEN — Generator</w:t>
      </w:r>
    </w:p>
    <w:p>
      <w:r>
        <w:t>Location(s): T-101. Functional role is retained from the Rev N architecture. The equipment model below is an engineering decomposition, not a claim that every listed component tag existed in Annex A.</w:t>
      </w:r>
    </w:p>
    <w:p>
      <w:pPr>
        <w:pStyle w:val="Heading2"/>
      </w:pPr>
      <w:r>
        <w:t>GEN.01 major package/equipment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GEN.02 isolation/protection device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GEN.03 motor/drive or power interface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GEN.04 field instrument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GEN.05 local control station</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GEN.06 distribution branch</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GEN.07 support/anchor</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GEN.08 maintenance boundary</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1"/>
      </w:pPr>
      <w:r>
        <w:t>CND — Condenser</w:t>
      </w:r>
    </w:p>
    <w:p>
      <w:r>
        <w:t>Location(s): T-101. Functional role is retained from the Rev N architecture. The equipment model below is an engineering decomposition, not a claim that every listed component tag existed in Annex A.</w:t>
      </w:r>
    </w:p>
    <w:p>
      <w:pPr>
        <w:pStyle w:val="Heading2"/>
      </w:pPr>
      <w:r>
        <w:t>CND.01 major package/equipment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CND.02 isolation/protection device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CND.03 motor/drive or power interface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CND.04 field instrument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CND.05 local control station</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CND.06 distribution branch</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CND.07 support/anchor</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CND.08 maintenance boundary</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1"/>
      </w:pPr>
      <w:r>
        <w:t>CFW — Condensate/feedwater</w:t>
      </w:r>
    </w:p>
    <w:p>
      <w:r>
        <w:t>Location(s): T-102. Functional role is retained from the Rev N architecture. The equipment model below is an engineering decomposition, not a claim that every listed component tag existed in Annex A.</w:t>
      </w:r>
    </w:p>
    <w:p>
      <w:pPr>
        <w:pStyle w:val="Heading2"/>
      </w:pPr>
      <w:r>
        <w:t>CFW.01 condensate pump</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CFW.02 deaerator</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CFW.03 feedwater pump</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CFW.04 LP heater</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CFW.05 HP heater</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CFW.06 control valve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CFW.07 level transmitter</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CFW.08 sampling panel</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1"/>
      </w:pPr>
      <w:r>
        <w:t>MSP — Main steam/bypass</w:t>
      </w:r>
    </w:p>
    <w:p>
      <w:r>
        <w:t>Location(s): H-101/T-101. Functional role is retained from the Rev N architecture. The equipment model below is an engineering decomposition, not a claim that every listed component tag existed in Annex A.</w:t>
      </w:r>
    </w:p>
    <w:p>
      <w:pPr>
        <w:pStyle w:val="Heading2"/>
      </w:pPr>
      <w:r>
        <w:t>MSP.01 major package/equipment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MSP.02 isolation/protection device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MSP.03 motor/drive or power interface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MSP.04 field instrument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MSP.05 local control station</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MSP.06 distribution branch</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MSP.07 support/anchor</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MSP.08 maintenance boundary</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1"/>
      </w:pPr>
      <w:r>
        <w:t>CCW — Component cooling water</w:t>
      </w:r>
    </w:p>
    <w:p>
      <w:r>
        <w:t>Location(s): U-101/H-101. Functional role is retained from the Rev N architecture. The equipment model below is an engineering decomposition, not a claim that every listed component tag existed in Annex A.</w:t>
      </w:r>
    </w:p>
    <w:p>
      <w:pPr>
        <w:pStyle w:val="Heading2"/>
      </w:pPr>
      <w:r>
        <w:t>CCW.01 major package/equipment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CCW.02 isolation/protection device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CCW.03 motor/drive or power interface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CCW.04 field instrument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CCW.05 local control station</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CCW.06 distribution branch</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CCW.07 support/anchor</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CCW.08 maintenance boundary</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1"/>
      </w:pPr>
      <w:r>
        <w:t>CHW — Chilled water</w:t>
      </w:r>
    </w:p>
    <w:p>
      <w:r>
        <w:t>Location(s): U-101. Functional role is retained from the Rev N architecture. The equipment model below is an engineering decomposition, not a claim that every listed component tag existed in Annex A.</w:t>
      </w:r>
    </w:p>
    <w:p>
      <w:pPr>
        <w:pStyle w:val="Heading2"/>
      </w:pPr>
      <w:r>
        <w:t>CHW.01 major package/equipment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CHW.02 isolation/protection device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CHW.03 motor/drive or power interface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CHW.04 field instrument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CHW.05 local control station</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CHW.06 distribution branch</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CHW.07 support/anchor</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CHW.08 maintenance boundary</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1"/>
      </w:pPr>
      <w:r>
        <w:t>CWS — Circulating/Lake cooling water</w:t>
      </w:r>
    </w:p>
    <w:p>
      <w:r>
        <w:t>Location(s): W-101/W-103. Functional role is retained from the Rev N architecture. The equipment model below is an engineering decomposition, not a claim that every listed component tag existed in Annex A.</w:t>
      </w:r>
    </w:p>
    <w:p>
      <w:pPr>
        <w:pStyle w:val="Heading2"/>
      </w:pPr>
      <w:r>
        <w:t>CWS.01 intake screen</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CWS.02 circulating-water pump</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CWS.03 isolation gate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CWS.04 condenser waterbox interface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CWS.05 outfall isolation</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CWS.06 flow meter</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CWS.07 trash-rake system</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1"/>
      </w:pPr>
      <w:r>
        <w:t>GSU — Generator step-up/grid interface</w:t>
      </w:r>
    </w:p>
    <w:p>
      <w:r>
        <w:t>Location(s): T-101/Z07. Functional role is retained from the Rev N architecture. The equipment model below is an engineering decomposition, not a claim that every listed component tag existed in Annex A.</w:t>
      </w:r>
    </w:p>
    <w:p>
      <w:pPr>
        <w:pStyle w:val="Heading2"/>
      </w:pPr>
      <w:r>
        <w:t>GSU.01 major package/equipment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GSU.02 isolation/protection device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GSU.03 motor/drive or power interface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GSU.04 field instrument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GSU.05 local control station</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GSU.06 distribution branch</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GSU.07 support/anchor</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GSU.08 maintenance boundary</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1"/>
      </w:pPr>
      <w:r>
        <w:t>SWY — 500-kV switchyard</w:t>
      </w:r>
    </w:p>
    <w:p>
      <w:r>
        <w:t>Location(s): Z07. Functional role is retained from the Rev N architecture. The equipment model below is an engineering decomposition, not a claim that every listed component tag existed in Annex A.</w:t>
      </w:r>
    </w:p>
    <w:p>
      <w:pPr>
        <w:pStyle w:val="Heading2"/>
      </w:pPr>
      <w:r>
        <w:t>SWY.01 major package/equipment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SWY.02 isolation/protection device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SWY.03 motor/drive or power interface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SWY.04 field instrument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SWY.05 local control station</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SWY.06 distribution branch</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SWY.07 support/anchor</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SWY.08 maintenance boundary</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1"/>
      </w:pPr>
      <w:r>
        <w:t>APS — AC station service</w:t>
      </w:r>
    </w:p>
    <w:p>
      <w:r>
        <w:t>Location(s): Z05. Functional role is retained from the Rev N architecture. The equipment model below is an engineering decomposition, not a claim that every listed component tag existed in Annex A.</w:t>
      </w:r>
    </w:p>
    <w:p>
      <w:pPr>
        <w:pStyle w:val="Heading2"/>
      </w:pPr>
      <w:r>
        <w:t>APS.01 major package/equipment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APS.02 isolation/protection device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APS.03 motor/drive or power interface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APS.04 field instrument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APS.05 local control station</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APS.06 distribution branch</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APS.07 support/anchor</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APS.08 maintenance boundary</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1"/>
      </w:pPr>
      <w:r>
        <w:t>EPS — Emergency AC</w:t>
      </w:r>
    </w:p>
    <w:p>
      <w:r>
        <w:t>Location(s): Z05. Functional role is retained from the Rev N architecture. The equipment model below is an engineering decomposition, not a claim that every listed component tag existed in Annex A.</w:t>
      </w:r>
    </w:p>
    <w:p>
      <w:pPr>
        <w:pStyle w:val="Heading2"/>
      </w:pPr>
      <w:r>
        <w:t>EPS.01 major package/equipment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EPS.02 isolation/protection device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EPS.03 motor/drive or power interface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EPS.04 field instrument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EPS.05 local control station</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EPS.06 distribution branch</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EPS.07 support/anchor</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EPS.08 maintenance boundary</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1"/>
      </w:pPr>
      <w:r>
        <w:t>DCP — DC/UPS</w:t>
      </w:r>
    </w:p>
    <w:p>
      <w:r>
        <w:t>Location(s): Z05. Functional role is retained from the Rev N architecture. The equipment model below is an engineering decomposition, not a claim that every listed component tag existed in Annex A.</w:t>
      </w:r>
    </w:p>
    <w:p>
      <w:pPr>
        <w:pStyle w:val="Heading2"/>
      </w:pPr>
      <w:r>
        <w:t>DCP.01 major package/equipment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DCP.02 isolation/protection device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DCP.03 motor/drive or power interface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DCP.04 field instrument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DCP.05 local control station</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DCP.06 distribution branch</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DCP.07 support/anchor</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DCP.08 maintenance boundary</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1"/>
      </w:pPr>
      <w:r>
        <w:t>DCS — Plant DCS</w:t>
      </w:r>
    </w:p>
    <w:p>
      <w:r>
        <w:t>Location(s): Plantwide. Functional role is retained from the Rev N architecture. The equipment model below is an engineering decomposition, not a claim that every listed component tag existed in Annex A.</w:t>
      </w:r>
    </w:p>
    <w:p>
      <w:pPr>
        <w:pStyle w:val="Heading2"/>
      </w:pPr>
      <w:r>
        <w:t>DCS.01 process controller</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DCS.02 I/O cabinet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DCS.03 marshalling cabinet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DCS.04 operator workstation</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DCS.05 engineering workstation</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DCS.06 historian node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DCS.07 network switch</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DCS.08 time server</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1"/>
      </w:pPr>
      <w:r>
        <w:t>PPC — Plasma control</w:t>
      </w:r>
    </w:p>
    <w:p>
      <w:r>
        <w:t>Location(s): F-101. Functional role is retained from the Rev N architecture. The equipment model below is an engineering decomposition, not a claim that every listed component tag existed in Annex A.</w:t>
      </w:r>
    </w:p>
    <w:p>
      <w:pPr>
        <w:pStyle w:val="Heading2"/>
      </w:pPr>
      <w:r>
        <w:t>PPC.01 major package/equipment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PPC.02 isolation/protection device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PPC.03 motor/drive or power interface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PPC.04 field instrument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PPC.05 local control station</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PPC.06 distribution branch</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PPC.07 support/anchor</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PPC.08 maintenance boundary</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1"/>
      </w:pPr>
      <w:r>
        <w:t>MPS — Machine protection</w:t>
      </w:r>
    </w:p>
    <w:p>
      <w:r>
        <w:t>Location(s): F-101/Z05. Functional role is retained from the Rev N architecture. The equipment model below is an engineering decomposition, not a claim that every listed component tag existed in Annex A.</w:t>
      </w:r>
    </w:p>
    <w:p>
      <w:pPr>
        <w:pStyle w:val="Heading2"/>
      </w:pPr>
      <w:r>
        <w:t>MPS.01 major package/equipment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MPS.02 isolation/protection device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MPS.03 motor/drive or power interface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MPS.04 field instrument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MPS.05 local control station</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MPS.06 distribution branch</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MPS.07 support/anchor</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MPS.08 maintenance boundary</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1"/>
      </w:pPr>
      <w:r>
        <w:t>SIS — Safety I&amp;C</w:t>
      </w:r>
    </w:p>
    <w:p>
      <w:r>
        <w:t>Location(s): Plantwide. Functional role is retained from the Rev N architecture. The equipment model below is an engineering decomposition, not a claim that every listed component tag existed in Annex A.</w:t>
      </w:r>
    </w:p>
    <w:p>
      <w:pPr>
        <w:pStyle w:val="Heading2"/>
      </w:pPr>
      <w:r>
        <w:t>SIS.01 major package/equipment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SIS.02 isolation/protection device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SIS.03 motor/drive or power interface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SIS.04 field instrument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SIS.05 local control station</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SIS.06 distribution branch</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SIS.07 support/anchor</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SIS.08 maintenance boundary</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1"/>
      </w:pPr>
      <w:r>
        <w:t>NET — Plant control networks</w:t>
      </w:r>
    </w:p>
    <w:p>
      <w:r>
        <w:t>Location(s): Plantwide. Functional role is retained from the Rev N architecture. The equipment model below is an engineering decomposition, not a claim that every listed component tag existed in Annex A.</w:t>
      </w:r>
    </w:p>
    <w:p>
      <w:pPr>
        <w:pStyle w:val="Heading2"/>
      </w:pPr>
      <w:r>
        <w:t>NET.01 major package/equipment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NET.02 isolation/protection device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NET.03 motor/drive or power interface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NET.04 field instrument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NET.05 local control station</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NET.06 distribution branch</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NET.07 support/anchor</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NET.08 maintenance boundary</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1"/>
      </w:pPr>
      <w:r>
        <w:t>RHM — Remote handling</w:t>
      </w:r>
    </w:p>
    <w:p>
      <w:r>
        <w:t>Location(s): F-101/R-101. Functional role is retained from the Rev N architecture. The equipment model below is an engineering decomposition, not a claim that every listed component tag existed in Annex A.</w:t>
      </w:r>
    </w:p>
    <w:p>
      <w:pPr>
        <w:pStyle w:val="Heading2"/>
      </w:pPr>
      <w:r>
        <w:t>RHM.01 major package/equipment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RHM.02 isolation/protection device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RHM.03 motor/drive or power interface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RHM.04 field instrument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RHM.05 local control station</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RHM.06 distribution branch</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RHM.07 support/anchor</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RHM.08 maintenance boundary</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1"/>
      </w:pPr>
      <w:r>
        <w:t>CKS — Cask systems</w:t>
      </w:r>
    </w:p>
    <w:p>
      <w:r>
        <w:t>Location(s): F-107/R-101. Functional role is retained from the Rev N architecture. The equipment model below is an engineering decomposition, not a claim that every listed component tag existed in Annex A.</w:t>
      </w:r>
    </w:p>
    <w:p>
      <w:pPr>
        <w:pStyle w:val="Heading2"/>
      </w:pPr>
      <w:r>
        <w:t>CKS.01 major package/equipment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CKS.02 isolation/protection device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CKS.03 motor/drive or power interface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CKS.04 field instrument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CKS.05 local control station</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CKS.06 distribution branch</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CKS.07 support/anchor</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CKS.08 maintenance boundary</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1"/>
      </w:pPr>
      <w:r>
        <w:t>HCL — Hot-cell systems</w:t>
      </w:r>
    </w:p>
    <w:p>
      <w:r>
        <w:t>Location(s): R-101. Functional role is retained from the Rev N architecture. The equipment model below is an engineering decomposition, not a claim that every listed component tag existed in Annex A.</w:t>
      </w:r>
    </w:p>
    <w:p>
      <w:pPr>
        <w:pStyle w:val="Heading2"/>
      </w:pPr>
      <w:r>
        <w:t>HCL.01 major package/equipment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HCL.02 isolation/protection device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HCL.03 motor/drive or power interface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HCL.04 field instrument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HCL.05 local control station</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HCL.06 distribution branch</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HCL.07 support/anchor</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HCL.08 maintenance boundary</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1"/>
      </w:pPr>
      <w:r>
        <w:t>DEC — Decontamination</w:t>
      </w:r>
    </w:p>
    <w:p>
      <w:r>
        <w:t>Location(s): R-102. Functional role is retained from the Rev N architecture. The equipment model below is an engineering decomposition, not a claim that every listed component tag existed in Annex A.</w:t>
      </w:r>
    </w:p>
    <w:p>
      <w:pPr>
        <w:pStyle w:val="Heading2"/>
      </w:pPr>
      <w:r>
        <w:t>DEC.01 major package/equipment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DEC.02 isolation/protection device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DEC.03 motor/drive or power interface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DEC.04 field instrument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DEC.05 local control station</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DEC.06 distribution branch</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DEC.07 support/anchor</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DEC.08 maintenance boundary</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1"/>
      </w:pPr>
      <w:r>
        <w:t>RAW — Radioactive waste</w:t>
      </w:r>
    </w:p>
    <w:p>
      <w:r>
        <w:t>Location(s): R-104/R-105. Functional role is retained from the Rev N architecture. The equipment model below is an engineering decomposition, not a claim that every listed component tag existed in Annex A.</w:t>
      </w:r>
    </w:p>
    <w:p>
      <w:pPr>
        <w:pStyle w:val="Heading2"/>
      </w:pPr>
      <w:r>
        <w:t>RAW.01 major package/equipment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RAW.02 isolation/protection device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RAW.03 motor/drive or power interface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RAW.04 field instrument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RAW.05 local control station</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RAW.06 distribution branch</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RAW.07 support/anchor</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RAW.08 maintenance boundary</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1"/>
      </w:pPr>
      <w:r>
        <w:t>FPR — Fire protection</w:t>
      </w:r>
    </w:p>
    <w:p>
      <w:r>
        <w:t>Location(s): Plantwide. Functional role is retained from the Rev N architecture. The equipment model below is an engineering decomposition, not a claim that every listed component tag existed in Annex A.</w:t>
      </w:r>
    </w:p>
    <w:p>
      <w:pPr>
        <w:pStyle w:val="Heading2"/>
      </w:pPr>
      <w:r>
        <w:t>FPR.01 fire pump</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FPR.02 jockey pump</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FPR.03 hydrant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FPR.04 sprinkler valve station</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FPR.05 detector</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FPR.06 alarm module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FPR.07 fire damper</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FPR.08 hose station</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1"/>
      </w:pPr>
      <w:r>
        <w:t>RPS — Radiation protection/monitoring</w:t>
      </w:r>
    </w:p>
    <w:p>
      <w:r>
        <w:t>Location(s): Plantwide. Functional role is retained from the Rev N architecture. The equipment model below is an engineering decomposition, not a claim that every listed component tag existed in Annex A.</w:t>
      </w:r>
    </w:p>
    <w:p>
      <w:pPr>
        <w:pStyle w:val="Heading2"/>
      </w:pPr>
      <w:r>
        <w:t>RPS.01 major package/equipment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RPS.02 isolation/protection device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RPS.03 motor/drive or power interface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RPS.04 field instrument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RPS.05 local control station</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RPS.06 distribution branch</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RPS.07 support/anchor</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RPS.08 maintenance boundary</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1"/>
      </w:pPr>
      <w:r>
        <w:t>SEC — Security</w:t>
      </w:r>
    </w:p>
    <w:p>
      <w:r>
        <w:t>Location(s): Perimeter/Plantwide. Functional role is retained from the Rev N architecture. The equipment model below is an engineering decomposition, not a claim that every listed component tag existed in Annex A.</w:t>
      </w:r>
    </w:p>
    <w:p>
      <w:pPr>
        <w:pStyle w:val="Heading2"/>
      </w:pPr>
      <w:r>
        <w:t>SEC.01 major package/equipment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SEC.02 isolation/protection device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SEC.03 motor/drive or power interface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SEC.04 field instrument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SEC.05 local control station</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SEC.06 distribution branch</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SEC.07 support/anchor</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SEC.08 maintenance boundary</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1"/>
      </w:pPr>
      <w:r>
        <w:t>UTL — Site utilities</w:t>
      </w:r>
    </w:p>
    <w:p>
      <w:r>
        <w:t>Location(s): U-101/U-104. Functional role is retained from the Rev N architecture. The equipment model below is an engineering decomposition, not a claim that every listed component tag existed in Annex A.</w:t>
      </w:r>
    </w:p>
    <w:p>
      <w:pPr>
        <w:pStyle w:val="Heading2"/>
      </w:pPr>
      <w:r>
        <w:t>UTL.01 major package/equipment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UTL.02 isolation/protection device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UTL.03 motor/drive or power interface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UTL.04 field instrument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UTL.05 local control station</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UTL.06 distribution branch</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UTL.07 support/anchor</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UTL.08 maintenance boundary</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1"/>
      </w:pPr>
      <w:r>
        <w:t>DRN — Drainage/effluent</w:t>
      </w:r>
    </w:p>
    <w:p>
      <w:r>
        <w:t>Location(s): Plantwide. Functional role is retained from the Rev N architecture. The equipment model below is an engineering decomposition, not a claim that every listed component tag existed in Annex A.</w:t>
      </w:r>
    </w:p>
    <w:p>
      <w:pPr>
        <w:pStyle w:val="Heading2"/>
      </w:pPr>
      <w:r>
        <w:t>DRN.01 major package/equipment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DRN.02 isolation/protection device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DRN.03 motor/drive or power interface</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DRN.04 field instrument</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DRN.05 local control station</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DRN.06 distribution branch</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DRN.07 support/anchor</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2"/>
      </w:pPr>
      <w:r>
        <w:t>DRN.08 maintenance boundary</w:t>
      </w:r>
    </w:p>
    <w:p>
      <w:r>
        <w:t>Required dossier: design requirement; datasheet; supplier/manufacturer; serial identity where applicable; foundation/support; process/electrical/I&amp;C interfaces; installation record; inspection/test record; MC/turnover state; commissioning procedure/result; maintenance history; configuration changes; current custody.</w:t>
      </w:r>
    </w:p>
    <w:p>
      <w:pPr>
        <w:pStyle w:val="Heading1"/>
      </w:pPr>
      <w:r>
        <w:t>Rev 1 change and backward-propagation register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t>Old statement</w:t>
            </w:r>
          </w:p>
        </w:tc>
        <w:tc>
          <w:tcPr>
            <w:tcW w:type="dxa" w:w="1752"/>
          </w:tcPr>
          <w:p>
            <w:r>
              <w:t>Rev 1 statement</w:t>
            </w:r>
          </w:p>
        </w:tc>
        <w:tc>
          <w:tcPr>
            <w:tcW w:type="dxa" w:w="1752"/>
          </w:tcPr>
          <w:p>
            <w:r>
              <w:t>Reason</w:t>
            </w:r>
          </w:p>
        </w:tc>
        <w:tc>
          <w:tcPr>
            <w:tcW w:type="dxa" w:w="1752"/>
          </w:tcPr>
          <w:p>
            <w:r>
              <w:t>Evidence class</w:t>
            </w:r>
          </w:p>
        </w:tc>
        <w:tc>
          <w:tcPr>
            <w:tcW w:type="dxa" w:w="1752"/>
          </w:tcPr>
          <w:p>
            <w:r>
              <w:t>Affected packets</w:t>
            </w:r>
          </w:p>
        </w:tc>
        <w:tc>
          <w:tcPr>
            <w:tcW w:type="dxa" w:w="1752"/>
          </w:tcPr>
          <w:p>
            <w:r>
              <w:t>Status</w:t>
            </w:r>
          </w:p>
        </w:tc>
      </w:tr>
      <w:tr>
        <w:tc>
          <w:tcPr>
            <w:tcW w:type="dxa" w:w="1752"/>
          </w:tcPr>
          <w:p>
            <w:r>
              <w:t>Exact coordinates unavailable.</w:t>
            </w:r>
          </w:p>
        </w:tc>
        <w:tc>
          <w:tcPr>
            <w:tcW w:type="dxa" w:w="1752"/>
          </w:tcPr>
          <w:p>
            <w:r>
              <w:t>A project-local engineering coordinate framework is introduced, but all numeric coordinates remain DESIGN RECONSTRUCTION until survey/master-plot evidence is supplied.</w:t>
            </w:r>
          </w:p>
        </w:tc>
        <w:tc>
          <w:tcPr>
            <w:tcW w:type="dxa" w:w="1752"/>
          </w:tcPr>
          <w:p>
            <w:r>
              <w:t>Needed to make the plant spatially computable without falsifying provenance.</w:t>
            </w:r>
          </w:p>
        </w:tc>
        <w:tc>
          <w:tcPr>
            <w:tcW w:type="dxa" w:w="1752"/>
          </w:tcPr>
          <w:p>
            <w:r>
              <w:t>Corpus + layout precedent</w:t>
            </w:r>
          </w:p>
        </w:tc>
        <w:tc>
          <w:tcPr>
            <w:tcW w:type="dxa" w:w="1752"/>
          </w:tcPr>
          <w:p>
            <w:r>
              <w:t>S01,S03-S10; earlier geography packets</w:t>
            </w:r>
          </w:p>
        </w:tc>
        <w:tc>
          <w:tcPr>
            <w:tcW w:type="dxa" w:w="1752"/>
          </w:tcPr>
          <w:p>
            <w:r>
              <w:t>CONTROLLED</w:t>
            </w:r>
          </w:p>
        </w:tc>
      </w:tr>
      <w:tr>
        <w:tc>
          <w:tcPr>
            <w:tcW w:type="dxa" w:w="1752"/>
          </w:tcPr>
          <w:p>
            <w:r>
              <w:t>System connectivity summarized functionally.</w:t>
            </w:r>
          </w:p>
        </w:tc>
        <w:tc>
          <w:tcPr>
            <w:tcW w:type="dxa" w:w="1752"/>
          </w:tcPr>
          <w:p>
            <w:r>
              <w:t>Interfaces are decomposed by process/electrical/I&amp;C/network/structural/material-handling edge classes; unsupported endpoints remain OPEN.</w:t>
            </w:r>
          </w:p>
        </w:tc>
        <w:tc>
          <w:tcPr>
            <w:tcW w:type="dxa" w:w="1752"/>
          </w:tcPr>
          <w:p>
            <w:r>
              <w:t>Prevents inferred graphs from masquerading as as-built evidence.</w:t>
            </w:r>
          </w:p>
        </w:tc>
        <w:tc>
          <w:tcPr>
            <w:tcW w:type="dxa" w:w="1752"/>
          </w:tcPr>
          <w:p>
            <w:r>
              <w:t>Corpus + CNSC/IAEA</w:t>
            </w:r>
          </w:p>
        </w:tc>
        <w:tc>
          <w:tcPr>
            <w:tcW w:type="dxa" w:w="1752"/>
          </w:tcPr>
          <w:p>
            <w:r>
              <w:t>S02,S06,S07; commissioning packets</w:t>
            </w:r>
          </w:p>
        </w:tc>
        <w:tc>
          <w:tcPr>
            <w:tcW w:type="dxa" w:w="1752"/>
          </w:tcPr>
          <w:p>
            <w:r>
              <w:t>CONTROLLED</w:t>
            </w:r>
          </w:p>
        </w:tc>
      </w:tr>
      <w:tr>
        <w:tc>
          <w:tcPr>
            <w:tcW w:type="dxa" w:w="1752"/>
          </w:tcPr>
          <w:p>
            <w:r>
              <w:t>Temporary plant treated as support equipment.</w:t>
            </w:r>
          </w:p>
        </w:tc>
        <w:tc>
          <w:tcPr>
            <w:tcW w:type="dxa" w:w="1752"/>
          </w:tcPr>
          <w:p>
            <w:r>
              <w:t>Temporary commissioning and construction assets are configuration items whenever they interface with commissioned plant.</w:t>
            </w:r>
          </w:p>
        </w:tc>
        <w:tc>
          <w:tcPr>
            <w:tcW w:type="dxa" w:w="1752"/>
          </w:tcPr>
          <w:p>
            <w:r>
              <w:t>IAEA construction/commissioning interface practice and CRS-01 canon.</w:t>
            </w:r>
          </w:p>
        </w:tc>
        <w:tc>
          <w:tcPr>
            <w:tcW w:type="dxa" w:w="1752"/>
          </w:tcPr>
          <w:p>
            <w:r>
              <w:t>Corpus + IAEA</w:t>
            </w:r>
          </w:p>
        </w:tc>
        <w:tc>
          <w:tcPr>
            <w:tcW w:type="dxa" w:w="1752"/>
          </w:tcPr>
          <w:p>
            <w:r>
              <w:t>S05; CRS-01 investigation packets</w:t>
            </w:r>
          </w:p>
        </w:tc>
        <w:tc>
          <w:tcPr>
            <w:tcW w:type="dxa" w:w="1752"/>
          </w:tcPr>
          <w:p>
            <w:r>
              <w:t>LOCKED/EXPANDED</w:t>
            </w:r>
          </w:p>
        </w:tc>
      </w:tr>
      <w:tr>
        <w:tc>
          <w:tcPr>
            <w:tcW w:type="dxa" w:w="1752"/>
          </w:tcPr>
          <w:p>
            <w:r>
              <w:t>Construction completion used as broad maturity proxy.</w:t>
            </w:r>
          </w:p>
        </w:tc>
        <w:tc>
          <w:tcPr>
            <w:tcW w:type="dxa" w:w="1752"/>
          </w:tcPr>
          <w:p>
            <w:r>
              <w:t>Construction, MC, turnover, pre-commissioning, functional commissioning, integrated commissioning and operating acceptance are distinct states.</w:t>
            </w:r>
          </w:p>
        </w:tc>
        <w:tc>
          <w:tcPr>
            <w:tcW w:type="dxa" w:w="1752"/>
          </w:tcPr>
          <w:p>
            <w:r>
              <w:t>Explicit Rev N control rule and commissioning precedent.</w:t>
            </w:r>
          </w:p>
        </w:tc>
        <w:tc>
          <w:tcPr>
            <w:tcW w:type="dxa" w:w="1752"/>
          </w:tcPr>
          <w:p>
            <w:r>
              <w:t>Corpus + IAEA</w:t>
            </w:r>
          </w:p>
        </w:tc>
        <w:tc>
          <w:tcPr>
            <w:tcW w:type="dxa" w:w="1752"/>
          </w:tcPr>
          <w:p>
            <w:r>
              <w:t>All 2027-2031 field histories</w:t>
            </w:r>
          </w:p>
        </w:tc>
        <w:tc>
          <w:tcPr>
            <w:tcW w:type="dxa" w:w="1752"/>
          </w:tcPr>
          <w:p>
            <w:r>
              <w:t>LOCKED</w:t>
            </w:r>
          </w:p>
        </w:tc>
      </w:tr>
    </w:tbl>
    <w:p>
      <w:pPr>
        <w:pStyle w:val="Heading1"/>
      </w:pPr>
      <w:r>
        <w:t>Source register</w:t>
      </w:r>
    </w:p>
    <w:p>
      <w:pPr>
        <w:pStyle w:val="ListBullet"/>
      </w:pPr>
      <w:r>
        <w:t>Supplied OFG Encyclopedia Rev N Volumes 00-14, Master Canonical Story Backbone, Annex A controlled asset register, Annex B chronological registers, and prior System Encyclopedia Rev 0 volumes.</w:t>
      </w:r>
    </w:p>
    <w:p>
      <w:pPr>
        <w:pStyle w:val="ListBullet"/>
      </w:pPr>
      <w:r>
        <w:t>Canadian Nuclear Safety Commission, REGDOC-2.5.2, Design of Reactor Facilities, Version 2.1 (May 2023).</w:t>
      </w:r>
    </w:p>
    <w:p>
      <w:pPr>
        <w:pStyle w:val="ListBullet"/>
      </w:pPr>
      <w:r>
        <w:t>International Atomic Energy Agency, Commissioning for Nuclear Power Plants — guidance on interfaces, transfer, work control and partially installed systems.</w:t>
      </w:r>
    </w:p>
    <w:p>
      <w:pPr>
        <w:pStyle w:val="ListBullet"/>
      </w:pPr>
      <w:r>
        <w:t>ITER Organization official system descriptions and assembly/construction material, including cooling-water and machine/support-system architecture.</w:t>
      </w:r>
    </w:p>
    <w:p>
      <w:pPr>
        <w:pStyle w:val="ListBullet"/>
      </w:pPr>
      <w:r>
        <w:t>QST / Japanese DEMO conceptual-design publications used only as fusion-DEMO precedent where the supplied corpus calls for them.</w:t>
      </w:r>
    </w:p>
    <w:sectPr w:rsidR="00FC693F" w:rsidRPr="0006063C" w:rsidSect="00034616">
      <w:pgSz w:w="12240" w:h="15840"/>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