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ONTARIO FUSION GENERATION</w:t>
      </w:r>
    </w:p>
    <w:p>
      <w:pPr>
        <w:jc w:val="center"/>
      </w:pPr>
      <w:r>
        <w:rPr>
          <w:b/>
          <w:sz w:val="32"/>
        </w:rPr>
        <w:t>DEFINITIVE ENGINEERING ATLAS — REV 3</w:t>
      </w:r>
    </w:p>
    <w:p>
      <w:pPr>
        <w:jc w:val="center"/>
      </w:pPr>
      <w:r>
        <w:rPr>
          <w:b/>
          <w:sz w:val="24"/>
        </w:rPr>
        <w:t>VOLUME 14 — COMMISSIONING, TURNOVER, OPERATIONS READINESS &amp; TEMPORARY CONFIGURATION</w:t>
      </w:r>
    </w:p>
    <w:p>
      <w:pPr>
        <w:jc w:val="center"/>
      </w:pPr>
      <w:r>
        <w:t>Custody, MC/turnover, commissioning boundaries, test prerequisites, temporary utilities/configurations, readiness, maintenance and restoration</w:t>
      </w:r>
    </w:p>
    <w:p>
      <w:pPr>
        <w:jc w:val="center"/>
      </w:pPr>
      <w:r>
        <w:t>CONTROLLED STORY CONFIGURATION CUT: 19 APRIL 2031</w:t>
      </w:r>
    </w:p>
    <w:p>
      <w:pPr>
        <w:pStyle w:val="Heading1"/>
      </w:pPr>
      <w:r>
        <w:t>Atlas control doctrine</w:t>
      </w:r>
    </w:p>
    <w:p>
      <w:r>
        <w:t>This volume is part of the definitive self-contained story bible, not a work-package report. It preserves source-derived granularity and the engineering/configuration thread. C = controlled story/source canon; V = verified real-world precedent; E = controlled fictional engineering reconstruction; OPEN = unresolved. No precedent dimension, screening assumption, sensitivity value, code class, coordinate, vendor property, test result, or physical action is silently promoted to OFG historical fact.</w:t>
      </w:r>
    </w:p>
    <w:p>
      <w:r>
        <w:t>For every material configuration decision the controlling information chain is: originator → information → document/record → recipient → review → authority → decision → authorized action → physical consequence → inspection/test/as-built evidence → turnover/operations baseline → later change/supersession. CLOSED/APPROVED in an information system is not proof of physical execution.</w:t>
      </w:r>
    </w:p>
    <w:p>
      <w:pPr>
        <w:pStyle w:val="Heading1"/>
      </w:pPr>
      <w:r>
        <w:t>Integrated source map</w:t>
      </w:r>
    </w:p>
    <w:p>
      <w:r>
        <w:t>Detailed DOCX sources integrated: 4. Controlled CSV/ledger sources integrated: 3.</w:t>
      </w:r>
    </w:p>
    <w:p>
      <w:r>
        <w:t>DOCX · OFG_Encyclopedia_RevN_Volume_11(6).docx</w:t>
      </w:r>
    </w:p>
    <w:p>
      <w:r>
        <w:t>DOCX · OFG_Engineering_Encyclopedia_Rev2/OFG_E10_Commissioning_Operations_Maintenance_Rev2.docx</w:t>
      </w:r>
    </w:p>
    <w:p>
      <w:r>
        <w:t>DOCX · OFG_Engineering_Encyclopedia_Rev2/OFG_Engineering_Encyclopedia_Rev2_V08_Construction_Commissioning_Verification.docx</w:t>
      </w:r>
    </w:p>
    <w:p>
      <w:r>
        <w:t>DOCX · OFG_System_Encyclopedia_Rev1/OFG_S08R1_Commissioning_Turnover_Operations_Readiness.docx</w:t>
      </w:r>
    </w:p>
    <w:p>
      <w:r>
        <w:t>REGISTER · OFG_Engineering_Atlas_Rev2_V04_F101_Equipment_Boundaries_Structural_Idealization/COMM04_R01_Commissioning_Boundary_Register.csv</w:t>
      </w:r>
    </w:p>
    <w:p>
      <w:r>
        <w:t>REGISTER · OFG_Engineering_Atlas_Rev2_V05_Component_Instances_Digital_Thread/WP05_R01_Physical_Object_Lifecycle_Package_Model.csv</w:t>
      </w:r>
    </w:p>
    <w:p>
      <w:r>
        <w:t>REGISTER · OFG_Engineering_Atlas_Rev2_V05_Component_Instances_Digital_Thread/ITP05_R01_Inspection_Test_NDE_Hold_Point_Register.csv</w:t>
      </w:r>
    </w:p>
    <w:p>
      <w:pPr>
        <w:pStyle w:val="Heading1"/>
      </w:pPr>
      <w:r>
        <w:t>Verified external engineering precedent applied</w:t>
      </w:r>
    </w:p>
    <w:p>
      <w:r>
        <w:t>ITER assembly precedent is used to constrain installation integration, construction work packages, plant-system routing, early captive components, embedded support plates, cryoline alignment and crowded plant galleries. CNSC REGDOC-2.3.1 and REGDOC-2.5.2 constrain construction/commissioning responsibility, configuration control, test prerequisites/acceptance and as-built conformity. IAEA commissioning guidance constrains document/product/record control, contractor interfaces, temporary changes and consistency between physical plant state, test procedures and design requirements. ASME B31 references constrain piping lifecycle considerations. These are V-class precedents only; they do not silently establish OFG-specific dimensions or code-class allocation.</w:t>
      </w:r>
    </w:p>
    <w:p>
      <w:r>
        <w:br w:type="page"/>
      </w:r>
    </w:p>
    <w:p>
      <w:pPr>
        <w:pStyle w:val="Heading1"/>
      </w:pPr>
      <w:r>
        <w:t>Integrated controlled source — OFG_Encyclopedia_RevN_Volume_11(6).docx</w:t>
      </w:r>
    </w:p>
    <w:p>
      <w:r>
        <w:t>Preserved at source granularity. Later explicit canon and change-provenance entries govern conflicts; source text is not silently rewritten.</w:t>
      </w:r>
    </w:p>
    <w:p>
      <w:pPr>
        <w:pStyle w:val="Title"/>
        <w:jc w:val="center"/>
      </w:pPr>
      <w:r>
        <w:t>ONTARIO FUSION GENERATION PROJECT</w:t>
      </w:r>
    </w:p>
    <w:p>
      <w:pPr>
        <w:pStyle w:val="Title"/>
        <w:jc w:val="center"/>
      </w:pPr>
      <w:r>
        <w:t>VOLUME XI — CRS-01 HIGH-POTENTIAL NEAR MISS</w:t>
      </w:r>
    </w:p>
    <w:p>
      <w:pPr>
        <w:pStyle w:val="Subtitle"/>
        <w:jc w:val="center"/>
      </w:pPr>
      <w:r>
        <w:t>Physical event, immediate response, evidence control and first significance screening</w:t>
      </w:r>
    </w:p>
    <w:p>
      <w:pPr>
        <w:jc w:val="center"/>
      </w:pPr>
      <w:r>
        <w:t>Complete chronological reference · canon cut: Saturday, 19 April 2031</w:t>
      </w:r>
    </w:p>
    <w:p>
      <w:pPr>
        <w:jc w:val="center"/>
      </w:pPr>
      <w:r>
        <w:t>Compiled from the Canonical Story Backbone Rev B, Master Reference, Backlogs 01–11, Revision Directives B–J, and controlled Rev A equipment/event datasets.</w:t>
      </w:r>
    </w:p>
    <w:p>
      <w:r>
        <w:br w:type="page"/>
      </w:r>
    </w:p>
    <w:p>
      <w:pPr>
        <w:pStyle w:val="Heading1"/>
      </w:pPr>
      <w:r>
        <w:t>Reference-status legend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Status</w:t>
            </w:r>
          </w:p>
        </w:tc>
        <w:tc>
          <w:tcPr>
            <w:tcW w:type="dxa" w:w="5227"/>
            <w:vAlign w:val="center"/>
          </w:tcPr>
          <w:p>
            <w:r>
              <w:rPr>
                <w:b/>
                <w:sz w:val="14"/>
              </w:rPr>
              <w:t>Meaning</w:t>
            </w:r>
          </w:p>
        </w:tc>
      </w:tr>
      <w:tr>
        <w:tc>
          <w:tcPr>
            <w:tcW w:type="dxa" w:w="5227"/>
            <w:vAlign w:val="top"/>
          </w:tcPr>
          <w:p>
            <w:r>
              <w:rPr>
                <w:sz w:val="14"/>
              </w:rPr>
              <w:t>LOCKED CANON</w:t>
            </w:r>
          </w:p>
        </w:tc>
        <w:tc>
          <w:tcPr>
            <w:tcW w:type="dxa" w:w="5227"/>
            <w:vAlign w:val="top"/>
          </w:tcPr>
          <w:p>
            <w:r>
              <w:rPr>
                <w:sz w:val="14"/>
              </w:rPr>
              <w:t>Explicitly fixed by the controlling OFG canon at the 19 April 2031 cut.</w:t>
            </w:r>
          </w:p>
        </w:tc>
      </w:tr>
      <w:tr>
        <w:tc>
          <w:tcPr>
            <w:tcW w:type="dxa" w:w="5227"/>
            <w:vAlign w:val="top"/>
          </w:tcPr>
          <w:p>
            <w:r>
              <w:rPr>
                <w:sz w:val="14"/>
              </w:rPr>
              <w:t>CANONICAL FRAMEWORK</w:t>
            </w:r>
          </w:p>
        </w:tc>
        <w:tc>
          <w:tcPr>
            <w:tcW w:type="dxa" w:w="5227"/>
            <w:vAlign w:val="top"/>
          </w:tcPr>
          <w:p>
            <w:r>
              <w:rPr>
                <w:sz w:val="14"/>
              </w:rPr>
              <w:t>Institutional/technical architecture is fixed; some lower-level dates, names, quantities or records remain to be reconstructed.</w:t>
            </w:r>
          </w:p>
        </w:tc>
      </w:tr>
      <w:tr>
        <w:tc>
          <w:tcPr>
            <w:tcW w:type="dxa" w:w="5227"/>
            <w:vAlign w:val="top"/>
          </w:tcPr>
          <w:p>
            <w:r>
              <w:rPr>
                <w:sz w:val="14"/>
              </w:rPr>
              <w:t>VERIFIED PRECEDENT CONSTRAINT</w:t>
            </w:r>
          </w:p>
        </w:tc>
        <w:tc>
          <w:tcPr>
            <w:tcW w:type="dxa" w:w="5227"/>
            <w:vAlign w:val="top"/>
          </w:tcPr>
          <w:p>
            <w:r>
              <w:rPr>
                <w:sz w:val="14"/>
              </w:rPr>
              <w:t>Real-world analogue constrains plausibility; it is not itself an OFG event.</w:t>
            </w:r>
          </w:p>
        </w:tc>
      </w:tr>
      <w:tr>
        <w:tc>
          <w:tcPr>
            <w:tcW w:type="dxa" w:w="5227"/>
            <w:vAlign w:val="top"/>
          </w:tcPr>
          <w:p>
            <w:r>
              <w:rPr>
                <w:sz w:val="14"/>
              </w:rPr>
              <w:t>OPEN / CONTROLLED</w:t>
            </w:r>
          </w:p>
        </w:tc>
        <w:tc>
          <w:tcPr>
            <w:tcW w:type="dxa" w:w="5227"/>
            <w:vAlign w:val="top"/>
          </w:tcPr>
          <w:p>
            <w:r>
              <w:rPr>
                <w:sz w:val="14"/>
              </w:rPr>
              <w:t>The backlog identifies the subject, but the source set does not yet support a unique historical answer. Do not invent one.</w:t>
            </w:r>
          </w:p>
        </w:tc>
      </w:tr>
      <w:tr>
        <w:tc>
          <w:tcPr>
            <w:tcW w:type="dxa" w:w="5227"/>
            <w:vAlign w:val="top"/>
          </w:tcPr>
          <w:p>
            <w:r>
              <w:rPr>
                <w:sz w:val="14"/>
              </w:rPr>
              <w:t>WORKING DATASET</w:t>
            </w:r>
          </w:p>
        </w:tc>
        <w:tc>
          <w:tcPr>
            <w:tcW w:type="dxa" w:w="5227"/>
            <w:vAlign w:val="top"/>
          </w:tcPr>
          <w:p>
            <w:r>
              <w:rPr>
                <w:sz w:val="14"/>
              </w:rPr>
              <w:t>Rev A asset/event data support chronology and forensic work, but known semantic/date anomalies mean the rows are not self-authenticating canon.</w:t>
            </w:r>
          </w:p>
        </w:tc>
      </w:tr>
    </w:tbl>
    <w:p>
      <w:pPr>
        <w:pStyle w:val="ReferenceNote"/>
      </w:pPr>
      <w:r>
        <w:t>The encyclopedia favors explicit uncertainty over false precision. It records what is known at the story cut, what is structurally required by the project, and what remains unresolved.</w:t>
      </w:r>
    </w:p>
    <w:p>
      <w:pPr>
        <w:pStyle w:val="Heading1"/>
      </w:pPr>
      <w:r>
        <w:t>Period definition</w:t>
      </w:r>
    </w:p>
    <w:p>
      <w:r>
        <w:t>Coverage: 12 April 2031. This volume is chronological: every topical domain is described as it exists during this period rather than as a timeless subject.</w:t>
      </w:r>
    </w:p>
    <w:p>
      <w:pPr>
        <w:pStyle w:val="Heading1"/>
      </w:pPr>
      <w:r>
        <w:t>Canonical chronicle</w:t>
      </w:r>
    </w:p>
    <w:p>
      <w:pPr>
        <w:pStyle w:val="Heading2"/>
      </w:pPr>
      <w:r>
        <w:t>12 April — loaded circulation</w:t>
      </w:r>
    </w:p>
    <w:p>
      <w:r>
        <w:t>TMP-BHT-401-CRS-01 experiences lateral movement beyond the expected envelope under load. Several hundred kilograms move; an operator is within the potential crushing zone. No injury occurs.</w:t>
      </w:r>
    </w:p>
    <w:p>
      <w:pPr>
        <w:pStyle w:val="Heading2"/>
      </w:pPr>
      <w:r>
        <w:t>Immediate safety state</w:t>
      </w:r>
    </w:p>
    <w:p>
      <w:r>
        <w:t>There is no radiological release, environmental consequence or loss of licensed safety function. The equipment is isolated and immediate residual risk is low. High potential remains important despite the benign outcome.</w:t>
      </w:r>
    </w:p>
    <w:p>
      <w:pPr>
        <w:pStyle w:val="Heading2"/>
      </w:pPr>
      <w:r>
        <w:t>Immediate control actions</w:t>
      </w:r>
    </w:p>
    <w:p>
      <w:r>
        <w:t>The area/equipment are preserved, the restraint is placed under evidence control, photographs and witness information are captured, and responsible commissioning, HSE, field, QA and technical organizations are notified according to role.</w:t>
      </w:r>
    </w:p>
    <w:p>
      <w:pPr>
        <w:pStyle w:val="Heading2"/>
      </w:pPr>
      <w:r>
        <w:t>Classification discipline</w:t>
      </w:r>
    </w:p>
    <w:p>
      <w:r>
        <w:t>The event is simultaneously a worker-safety, commissioning, equipment, maintenance/configuration and engineering-investigation matter. It is not automatically a nuclear emergency, financing default, EPC default or proof of root cause.</w:t>
      </w:r>
    </w:p>
    <w:p>
      <w:pPr>
        <w:pStyle w:val="Heading2"/>
      </w:pPr>
      <w:r>
        <w:t>First questions</w:t>
      </w:r>
    </w:p>
    <w:p>
      <w:r>
        <w:t>Investigators must distinguish design, manufacturing, installation, temporary-configuration, maintenance, work-control and operational factors; they cannot infer falsification or project-wide extent during the first hours.</w:t>
      </w:r>
    </w:p>
    <w:p>
      <w:pPr>
        <w:pStyle w:val="Heading1"/>
      </w:pPr>
      <w:r>
        <w:t>Institutional / business / government state</w:t>
      </w:r>
    </w:p>
    <w:p>
      <w:pPr>
        <w:pStyle w:val="Heading1"/>
      </w:pPr>
      <w:r>
        <w:t>Immediate event state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Fact</w:t>
            </w:r>
          </w:p>
        </w:tc>
        <w:tc>
          <w:tcPr>
            <w:tcW w:type="dxa" w:w="5227"/>
            <w:vAlign w:val="center"/>
          </w:tcPr>
          <w:p>
            <w:r>
              <w:rPr>
                <w:b/>
                <w:sz w:val="14"/>
              </w:rPr>
              <w:t>Locked status</w:t>
            </w:r>
          </w:p>
        </w:tc>
      </w:tr>
      <w:tr>
        <w:tc>
          <w:tcPr>
            <w:tcW w:type="dxa" w:w="5227"/>
            <w:vAlign w:val="top"/>
          </w:tcPr>
          <w:p>
            <w:r>
              <w:rPr>
                <w:sz w:val="14"/>
              </w:rPr>
              <w:t>Equipment</w:t>
            </w:r>
          </w:p>
        </w:tc>
        <w:tc>
          <w:tcPr>
            <w:tcW w:type="dxa" w:w="5227"/>
            <w:vAlign w:val="top"/>
          </w:tcPr>
          <w:p>
            <w:r>
              <w:rPr>
                <w:sz w:val="14"/>
              </w:rPr>
              <w:t>TMP-BHT-401-CRS-01 / CRS01-RST-L2 within the BHT-401 temporary commissioning arrangement.</w:t>
            </w:r>
          </w:p>
        </w:tc>
      </w:tr>
      <w:tr>
        <w:tc>
          <w:tcPr>
            <w:tcW w:type="dxa" w:w="5227"/>
            <w:vAlign w:val="top"/>
          </w:tcPr>
          <w:p>
            <w:r>
              <w:rPr>
                <w:sz w:val="14"/>
              </w:rPr>
              <w:t>Phenomenon</w:t>
            </w:r>
          </w:p>
        </w:tc>
        <w:tc>
          <w:tcPr>
            <w:tcW w:type="dxa" w:w="5227"/>
            <w:vAlign w:val="top"/>
          </w:tcPr>
          <w:p>
            <w:r>
              <w:rPr>
                <w:sz w:val="14"/>
              </w:rPr>
              <w:t>Lateral movement exceeds expected envelope during loaded circulation.</w:t>
            </w:r>
          </w:p>
        </w:tc>
      </w:tr>
      <w:tr>
        <w:tc>
          <w:tcPr>
            <w:tcW w:type="dxa" w:w="5227"/>
            <w:vAlign w:val="top"/>
          </w:tcPr>
          <w:p>
            <w:r>
              <w:rPr>
                <w:sz w:val="14"/>
              </w:rPr>
              <w:t>Exposure</w:t>
            </w:r>
          </w:p>
        </w:tc>
        <w:tc>
          <w:tcPr>
            <w:tcW w:type="dxa" w:w="5227"/>
            <w:vAlign w:val="top"/>
          </w:tcPr>
          <w:p>
            <w:r>
              <w:rPr>
                <w:sz w:val="14"/>
              </w:rPr>
              <w:t>Operator inside potential crushing zone.</w:t>
            </w:r>
          </w:p>
        </w:tc>
      </w:tr>
      <w:tr>
        <w:tc>
          <w:tcPr>
            <w:tcW w:type="dxa" w:w="5227"/>
            <w:vAlign w:val="top"/>
          </w:tcPr>
          <w:p>
            <w:r>
              <w:rPr>
                <w:sz w:val="14"/>
              </w:rPr>
              <w:t>Outcome</w:t>
            </w:r>
          </w:p>
        </w:tc>
        <w:tc>
          <w:tcPr>
            <w:tcW w:type="dxa" w:w="5227"/>
            <w:vAlign w:val="top"/>
          </w:tcPr>
          <w:p>
            <w:r>
              <w:rPr>
                <w:sz w:val="14"/>
              </w:rPr>
              <w:t>No injury.</w:t>
            </w:r>
          </w:p>
        </w:tc>
      </w:tr>
      <w:tr>
        <w:tc>
          <w:tcPr>
            <w:tcW w:type="dxa" w:w="5227"/>
            <w:vAlign w:val="top"/>
          </w:tcPr>
          <w:p>
            <w:r>
              <w:rPr>
                <w:sz w:val="14"/>
              </w:rPr>
              <w:t>Radiological/environmental</w:t>
            </w:r>
          </w:p>
        </w:tc>
        <w:tc>
          <w:tcPr>
            <w:tcW w:type="dxa" w:w="5227"/>
            <w:vAlign w:val="top"/>
          </w:tcPr>
          <w:p>
            <w:r>
              <w:rPr>
                <w:sz w:val="14"/>
              </w:rPr>
              <w:t>No radiological release; no environmental consequence.</w:t>
            </w:r>
          </w:p>
        </w:tc>
      </w:tr>
      <w:tr>
        <w:tc>
          <w:tcPr>
            <w:tcW w:type="dxa" w:w="5227"/>
            <w:vAlign w:val="top"/>
          </w:tcPr>
          <w:p>
            <w:r>
              <w:rPr>
                <w:sz w:val="14"/>
              </w:rPr>
              <w:t>Licensed safety function</w:t>
            </w:r>
          </w:p>
        </w:tc>
        <w:tc>
          <w:tcPr>
            <w:tcW w:type="dxa" w:w="5227"/>
            <w:vAlign w:val="top"/>
          </w:tcPr>
          <w:p>
            <w:r>
              <w:rPr>
                <w:sz w:val="14"/>
              </w:rPr>
              <w:t>No loss.</w:t>
            </w:r>
          </w:p>
        </w:tc>
      </w:tr>
      <w:tr>
        <w:tc>
          <w:tcPr>
            <w:tcW w:type="dxa" w:w="5227"/>
            <w:vAlign w:val="top"/>
          </w:tcPr>
          <w:p>
            <w:r>
              <w:rPr>
                <w:sz w:val="14"/>
              </w:rPr>
              <w:t>Immediate disposition</w:t>
            </w:r>
          </w:p>
        </w:tc>
        <w:tc>
          <w:tcPr>
            <w:tcW w:type="dxa" w:w="5227"/>
            <w:vAlign w:val="top"/>
          </w:tcPr>
          <w:p>
            <w:r>
              <w:rPr>
                <w:sz w:val="14"/>
              </w:rPr>
              <w:t>Equipment isolated; scene/evidence preserved; residual risk low.</w:t>
            </w:r>
          </w:p>
        </w:tc>
      </w:tr>
      <w:tr>
        <w:tc>
          <w:tcPr>
            <w:tcW w:type="dxa" w:w="5227"/>
            <w:vAlign w:val="top"/>
          </w:tcPr>
          <w:p>
            <w:r>
              <w:rPr>
                <w:sz w:val="14"/>
              </w:rPr>
              <w:t>Causal status</w:t>
            </w:r>
          </w:p>
        </w:tc>
        <w:tc>
          <w:tcPr>
            <w:tcW w:type="dxa" w:w="5227"/>
            <w:vAlign w:val="top"/>
          </w:tcPr>
          <w:p>
            <w:r>
              <w:rPr>
                <w:sz w:val="14"/>
              </w:rPr>
              <w:t>Open. No design/manufacturing/installation/maintenance/documentation cause may be assumed.</w:t>
            </w:r>
          </w:p>
        </w:tc>
      </w:tr>
    </w:tbl>
    <w:p>
      <w:r>
        <w:br w:type="page"/>
      </w:r>
    </w:p>
    <w:p>
      <w:pPr>
        <w:pStyle w:val="Heading1"/>
      </w:pPr>
      <w:r>
        <w:t>Detailed source-derived canonical research</w:t>
      </w:r>
    </w:p>
    <w:p>
      <w:pPr>
        <w:pStyle w:val="ReferenceNote"/>
      </w:pPr>
      <w:r>
        <w:t>This section carries forward the detailed research already absorbed into the Canonical Story Backbone. It is reorganized under the period volume so other threads can reference the underlying institutional, contractual, technical and documentary history rather than only the compressed chronology.</w:t>
      </w:r>
    </w:p>
    <w:p>
      <w:pPr>
        <w:pStyle w:val="Heading2"/>
      </w:pPr>
      <w:r>
        <w:t>April 12 event chronology</w:t>
      </w:r>
    </w:p>
    <w:p>
      <w:r>
        <w:t>Every prerequisite is tracked.</w:t>
      </w:r>
    </w:p>
    <w:p>
      <w:pPr>
        <w:pStyle w:val="Heading3"/>
      </w:pPr>
      <w:r>
        <w:t>Examples</w:t>
      </w:r>
    </w:p>
    <w:p>
      <w:r>
        <w:t>magnet availability vacuum readiness cryogenic availability cooling availability DCS readiness MPS readiness required diagnostics heating availability disruption mitigation operating procedures operator qualification emergency readiness regulatory conditions.</w:t>
      </w:r>
    </w:p>
    <w:p>
      <w:pPr>
        <w:pStyle w:val="Heading3"/>
      </w:pPr>
      <w:r>
        <w:t>Items are classified roughly into</w:t>
      </w:r>
    </w:p>
    <w:p>
      <w:r>
        <w:t>FP blocker</w:t>
      </w:r>
    </w:p>
    <w:p>
      <w:r>
        <w:t>must close before readiness review</w:t>
      </w:r>
    </w:p>
    <w:p>
      <w:r>
        <w:t>conditional/deferred item permitted after FP</w:t>
      </w:r>
    </w:p>
    <w:p>
      <w:r>
        <w:t>post-FP scope.</w:t>
      </w:r>
    </w:p>
    <w:p>
      <w:r>
        <w:t>This classification system is where future date versus state pressure becomes operational rather than philosophical.</w:t>
      </w:r>
    </w:p>
    <w:p>
      <w:pPr>
        <w:pStyle w:val="Heading3"/>
      </w:pPr>
      <w:r>
        <w:t>24. April 2031 — current project state</w:t>
      </w:r>
    </w:p>
    <w:p>
      <w:pPr>
        <w:pStyle w:val="Heading3"/>
      </w:pPr>
      <w:r>
        <w:t>By April</w:t>
      </w:r>
    </w:p>
    <w:p>
      <w:pPr>
        <w:pStyle w:val="Heading2"/>
      </w:pPr>
      <w:r>
        <w:t>CRS-01 event chain and temporary-equipment history</w:t>
      </w:r>
    </w:p>
    <w:p>
      <w:r>
        <w:t> C$500M accordion is an option, not committed capital on April 19.  Daniel's normal information chain is project monthly report / cost report / IMS / risk register / commissioning status / lenders' monitoring report -&gt; Aurora model, sources &amp; uses, cost-to-complete, liquidity, sensitivities and credit memo.</w:t>
      </w:r>
    </w:p>
    <w:p>
      <w:pPr>
        <w:pStyle w:val="Heading3"/>
      </w:pPr>
      <w:r>
        <w:t>17. April 12 near miss and M-88217 - canonical event chain</w:t>
      </w:r>
    </w:p>
    <w:p>
      <w:r>
        <w:t> 10 Apr: routine photo baseline captures restraint geometry/witness marks for CRS01-RST-L2.  11 Apr: M-88217 indexed as lateral-restraint inspection/adjustment; CLOSED/APPROVED.  12 Apr: TMP-BHT-401-CRS-01 lateral movement exceeds expected envelope during loaded circulation; operator is in potential crush zone; no injury.  12 Apr: restraint evidence is preserved for investigation.  13 Apr: extent-of-condition inspection expands to related temporary restraint/support arrangements.  Week of 13-18 Apr: photos, statements, drawings, vendor records, load path, installation history, maintenance activity and similar-equipment walkdowns are assembled.  18 Apr data cut: event remains under investigation; no confirmed First-Plasma schedule impact is incorporated pending technical assessment. The core uncertainty is not simply whether a PDF is missing. The investigation must establish what was physically done, who authorized it, under which work order and custody boundary, whether a design/configuration update was required, and whether the closed status reflects administrative loss, scope mismatch, unauthorized work, configuration failure, falsification, or some combination.</w:t>
      </w:r>
    </w:p>
    <w:p>
      <w:pPr>
        <w:pStyle w:val="Heading3"/>
      </w:pPr>
      <w:r>
        <w:t>18. CRS-01 temporary equipment history</w:t>
      </w:r>
    </w:p>
    <w:p>
      <w:r>
        <w:t>Document_or_Reco Asset_ID Date Event_Type Detail rd CRS01-RST-L2 2030-06-01 Mobilized/Procured Asset entered OFG Asset master / PO / controlled lifecycle. mobilization record CRS01-RST-L2 2030-09-03 Site Arrival Receipt/arrival recorded; Receiving inspection / condition and delivery record identification checked. CRS01-RST-L2 2030-09-22 Installation/Mobilization Field installation or IWP / setup record deployment commenced.</w:t>
      </w:r>
    </w:p>
    <w:p>
      <w:r>
        <w:t>CRS01-RST-L2 2030-09-28 Mechanical Completion Defined installation MC certificate / scope completed subject completion package to punch status. CRS01-RST-L2 2030-10-11 Turnover Custody transferred to Turnover dossier / receiving organization certificate where applicable. CRS01-RST-L2 2030-10-12 Commissioning/ Functional use or Commissioning test / Operation commissioning initiated. operating record CRS01-RST-L2 2031-04-10 Photo Baseline Routine photographic PHOTO-BHT401-0410 survey captured restraint geometry and witness marks. CRS01-RST-L2 2031-04-11 Maintenance Record M-88217 indexed as M-88217 lateral-restraint inspection/adjustment; status CLOSED/APPROVED. CRS01-RST-L2 2031-04-12 Evidence Control Restraint preserved for EVID-BHT401-RSTL2 engineering/event investigation. TMP-BHT-401-CRS-01 2030-05-14 Design Need Commissioning TEMP-SYS-REQ-BHT401- identified need for 01 supplemental temporary circulation. TMP-BHT-401-CRS-01 2030-05-14 Mobilized/Procured Asset entered OFG Asset master / PO / controlled lifecycle. mobilization record TMP-BHT-401-CRS-01 2030-06-12 Design Release Temporary recirculation TMP-DWG-BHT401- design package Rev A CRS01 Rev A issued. TMP-BHT-401-CRS-01 2030-06-19 Technology Screening HMS screened HMS-SCR-2030-447 temporary arrangement; no HFRP reference- design impact if nozzle- load limits maintained. TMP-BHT-401-CRS-01 2030-08-18 FAT Skid factory acceptance FAT-CRS01 test completed. TMP-BHT-401-CRS-01 2030-09-03 Site Arrival Receipt/arrival recorded; Receiving inspection / condition and delivery record identification checked. TMP-BHT-401-CRS-01 2030-09-22 Installation/Mobilization Field installation or IWP / setup record deployment commenced. TMP-BHT-401-CRS-01 2030-09-28 Mechanical Completion Defined installation MC certificate / scope completed subject completion package to punch status. TMP-BHT-401-CRS-01 2030-10-11 Turnover Custody transferred to Turnover dossier / receiving organization certificate where applicable. TMP-BHT-401-CRS-01 2030-10-12 Commissioning/ Functional use or Commissioning test / Operation commissioning initiated. operating record TMP-BHT-401-CRS-01 2030-10-12 First Campaign First controlled CPT-BHT401-FLSH-01 flush/recirculation campaign commenced. TMP-BHT-401-CRS-01 2031-01-06 Isolated Temporary spools WO-BHT401-2031-011 removed for permanent BHT modification. TMP-BHT-401-CRS-01 2031-01-16 Design Revision Temporary arrangement TMP-DWG-BHT401- revised to Rev C for new CRS01 Rev C spool geometry. TMP-BHT-401-CRS-01 2031-01-24 Reconnected Skid returned to PTW-BHT401-0124 controlled commissioning service. TMP-BHT-401-CRS-01 2031-03-17 Operator Observation Higher-than- OPLOG-2031-03-17-BHT remembered vibration observed; no limit exceeded. TMP-BHT-401-CRS-01 2031-03-20 Walkdown Follow-up field WALK-BHT401-0320 walkdown; no</w:t>
      </w:r>
    </w:p>
    <w:p>
      <w:r>
        <w:t>immediate defect identified; inspection recommended. TMP-BHT-401-CRS-01 2031-04-12 High-Potential Near Miss Lateral movement EVT-2031-0412-HPNM exceeded expected envelope during loaded circulation; operator in potential crush zone; no injury. TMP-BHT-401-CRS-01 2031-04-13 Extent of Condition Inspection family EOC-BHT-TMP-001</w:t>
      </w:r>
    </w:p>
    <w:p>
      <w:r>
        <w:br w:type="page"/>
      </w:r>
    </w:p>
    <w:p>
      <w:r>
        <w:br w:type="page"/>
      </w:r>
    </w:p>
    <w:p>
      <w:pPr>
        <w:pStyle w:val="Heading1"/>
      </w:pPr>
      <w:r>
        <w:t>Integrated OFG encyclopedia — period state</w:t>
      </w:r>
    </w:p>
    <w:p>
      <w:pPr>
        <w:pStyle w:val="Heading2"/>
      </w:pPr>
      <w:r>
        <w:t>Physical event</w:t>
      </w:r>
    </w:p>
    <w:p>
      <w:r>
        <w:t>During loaded circulation on 12 April, TMP-BHT-401-CRS-01 experiences lateral movement beyond its expected envelope. Several hundred kilograms move and an operator is inside the potential crushing zone. The outcome is a near miss: no injury occurs. There is no radiological release, no environmental consequence and no loss of licensed safety function. Equipment is isolated and immediate residual risk is low, but the event's potential severity justifies a serious investigation.</w:t>
      </w:r>
    </w:p>
    <w:p>
      <w:pPr>
        <w:pStyle w:val="Heading2"/>
      </w:pPr>
      <w:r>
        <w:t>Immediate response and evidence control</w:t>
      </w:r>
    </w:p>
    <w:p>
      <w:r>
        <w:t>The immediate priorities are protection, shutdown/isolation, accountability, scene preservation and fact capture. Photographs, witness information, equipment identity, temporary configuration, test state and obvious damage/no-damage are preserved. Commissioning/work-control authority, HSE, responsible technical staff, E&amp;C field, Bechtel, QA/QC and relevant contractor/OEM personnel enter according to scope. Rescue/emergency mechanisms are graded to the actual condition; the event is not retrospectively labelled a nuclear emergency merely because it occurred on a licensed site.</w:t>
      </w:r>
    </w:p>
    <w:p>
      <w:pPr>
        <w:pStyle w:val="Heading2"/>
      </w:pPr>
      <w:r>
        <w:t>Causal discipline</w:t>
      </w:r>
    </w:p>
    <w:p>
      <w:r>
        <w:t>The first hours cannot distinguish design, manufacturing, installation, maintenance, temporary-configuration, work-control or operational contributions. Neither the benign outcome nor the later importance of the event justifies an immediate root-cause story. Investigators must preserve the load path, restraint geometry, fasteners, witness marks, work history, drawings, procedures, inspection records and comparable-population evidence before extensive intervention destroys the scene.</w:t>
      </w:r>
    </w:p>
    <w:p>
      <w:pPr>
        <w:pStyle w:val="Heading2"/>
      </w:pPr>
      <w:r>
        <w:t>Regulatory/commercial screening</w:t>
      </w:r>
    </w:p>
    <w:p>
      <w:r>
        <w:t>OPG performs the appropriate safety/licensing/reportability screen; E&amp;C/HMS assess whether the technology/design basis is implicated; construction parties preserve records and cooperate. The event is not automatically an EPC default, financing default, warranty breach, material adverse effect, Aurora CP failure or proof of contractor fault. Those consequences require defined contractual thresholds and a technically supported materiality path.</w:t>
      </w:r>
    </w:p>
    <w:p>
      <w:pPr>
        <w:pStyle w:val="Heading2"/>
      </w:pPr>
      <w:r>
        <w:t>Knowledge state by the end of 12 April</w:t>
      </w:r>
    </w:p>
    <w:p>
      <w:r>
        <w:t>What is known is the movement, exposure, outcome, equipment identity, immediate configuration and absence of radiological/environmental/licensed-safety consequence. What is not yet known includes root cause, project-wide extent, First-Plasma impact, contract liability and whether any record inconsistency is causal. This boundary is essential for every scene set that day.</w:t>
      </w:r>
    </w:p>
    <w:p>
      <w:pPr>
        <w:pStyle w:val="Heading1"/>
      </w:pPr>
      <w:r>
        <w:t>Organizations, authority and external involvement</w:t>
      </w:r>
    </w:p>
    <w:p>
      <w:pPr>
        <w:pStyle w:val="ReferenceNote"/>
      </w:pPr>
      <w:r>
        <w:t>The table is the authority map at the 19 April cut. In this period, use only the organizations whose involvement has already begun in the chronology above; later organizations must not be back-projected.</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Organization / institution</w:t>
            </w:r>
          </w:p>
        </w:tc>
        <w:tc>
          <w:tcPr>
            <w:tcW w:type="dxa" w:w="3485"/>
            <w:vAlign w:val="center"/>
          </w:tcPr>
          <w:p>
            <w:r>
              <w:rPr>
                <w:b/>
                <w:sz w:val="13"/>
              </w:rPr>
              <w:t>OFG role</w:t>
            </w:r>
          </w:p>
        </w:tc>
        <w:tc>
          <w:tcPr>
            <w:tcW w:type="dxa" w:w="3485"/>
            <w:vAlign w:val="center"/>
          </w:tcPr>
          <w:p>
            <w:r>
              <w:rPr>
                <w:b/>
                <w:sz w:val="13"/>
              </w:rPr>
              <w:t>Authority boundary</w:t>
            </w:r>
          </w:p>
        </w:tc>
      </w:tr>
      <w:tr>
        <w:tc>
          <w:tcPr>
            <w:tcW w:type="dxa" w:w="3485"/>
            <w:vAlign w:val="top"/>
          </w:tcPr>
          <w:p>
            <w:r>
              <w:rPr>
                <w:sz w:val="13"/>
              </w:rPr>
              <w:t>OPG</w:t>
            </w:r>
          </w:p>
        </w:tc>
        <w:tc>
          <w:tcPr>
            <w:tcW w:type="dxa" w:w="3485"/>
            <w:vAlign w:val="top"/>
          </w:tcPr>
          <w:p>
            <w:r>
              <w:rPr>
                <w:sz w:val="13"/>
              </w:rPr>
              <w:t>Owner, CNSC licensee, project manager, commissioning authority, future operator, majority equity sponsor.</w:t>
            </w:r>
          </w:p>
        </w:tc>
        <w:tc>
          <w:tcPr>
            <w:tcW w:type="dxa" w:w="3485"/>
            <w:vAlign w:val="top"/>
          </w:tcPr>
          <w:p>
            <w:r>
              <w:rPr>
                <w:sz w:val="13"/>
              </w:rPr>
              <w:t>Cannot transfer licensed-facility responsibility to EPC contractors.</w:t>
            </w:r>
          </w:p>
        </w:tc>
      </w:tr>
      <w:tr>
        <w:tc>
          <w:tcPr>
            <w:tcW w:type="dxa" w:w="3485"/>
            <w:vAlign w:val="top"/>
          </w:tcPr>
          <w:p>
            <w:r>
              <w:rPr>
                <w:sz w:val="13"/>
              </w:rPr>
              <w:t>CNSC</w:t>
            </w:r>
          </w:p>
        </w:tc>
        <w:tc>
          <w:tcPr>
            <w:tcW w:type="dxa" w:w="3485"/>
            <w:vAlign w:val="top"/>
          </w:tcPr>
          <w:p>
            <w:r>
              <w:rPr>
                <w:sz w:val="13"/>
              </w:rPr>
              <w:t>Independent nuclear regulator.</w:t>
            </w:r>
          </w:p>
        </w:tc>
        <w:tc>
          <w:tcPr>
            <w:tcW w:type="dxa" w:w="3485"/>
            <w:vAlign w:val="top"/>
          </w:tcPr>
          <w:p>
            <w:r>
              <w:rPr>
                <w:sz w:val="13"/>
              </w:rPr>
              <w:t>Outside project hierarchy; licensing and regulatory hold points.</w:t>
            </w:r>
          </w:p>
        </w:tc>
      </w:tr>
      <w:tr>
        <w:tc>
          <w:tcPr>
            <w:tcW w:type="dxa" w:w="3485"/>
            <w:vAlign w:val="top"/>
          </w:tcPr>
          <w:p>
            <w:r>
              <w:rPr>
                <w:sz w:val="13"/>
              </w:rPr>
              <w:t>Ontario</w:t>
            </w:r>
          </w:p>
        </w:tc>
        <w:tc>
          <w:tcPr>
            <w:tcW w:type="dxa" w:w="3485"/>
            <w:vAlign w:val="top"/>
          </w:tcPr>
          <w:p>
            <w:r>
              <w:rPr>
                <w:sz w:val="13"/>
              </w:rPr>
              <w:t>OPG shareholder context, electricity policy, public completion support.</w:t>
            </w:r>
          </w:p>
        </w:tc>
        <w:tc>
          <w:tcPr>
            <w:tcW w:type="dxa" w:w="3485"/>
            <w:vAlign w:val="top"/>
          </w:tcPr>
          <w:p>
            <w:r>
              <w:rPr>
                <w:sz w:val="13"/>
              </w:rPr>
              <w:t>Political/economic influence without field technical authority.</w:t>
            </w:r>
          </w:p>
        </w:tc>
      </w:tr>
      <w:tr>
        <w:tc>
          <w:tcPr>
            <w:tcW w:type="dxa" w:w="3485"/>
            <w:vAlign w:val="top"/>
          </w:tcPr>
          <w:p>
            <w:r>
              <w:rPr>
                <w:sz w:val="13"/>
              </w:rPr>
              <w:t>IESO</w:t>
            </w:r>
          </w:p>
        </w:tc>
        <w:tc>
          <w:tcPr>
            <w:tcW w:type="dxa" w:w="3485"/>
            <w:vAlign w:val="top"/>
          </w:tcPr>
          <w:p>
            <w:r>
              <w:rPr>
                <w:sz w:val="13"/>
              </w:rPr>
              <w:t>Bulk-system planning and market/system integration.</w:t>
            </w:r>
          </w:p>
        </w:tc>
        <w:tc>
          <w:tcPr>
            <w:tcW w:type="dxa" w:w="3485"/>
            <w:vAlign w:val="top"/>
          </w:tcPr>
          <w:p>
            <w:r>
              <w:rPr>
                <w:sz w:val="13"/>
              </w:rPr>
              <w:t>External system-planning interface.</w:t>
            </w:r>
          </w:p>
        </w:tc>
      </w:tr>
      <w:tr>
        <w:tc>
          <w:tcPr>
            <w:tcW w:type="dxa" w:w="3485"/>
            <w:vAlign w:val="top"/>
          </w:tcPr>
          <w:p>
            <w:r>
              <w:rPr>
                <w:sz w:val="13"/>
              </w:rPr>
              <w:t>Hydro One</w:t>
            </w:r>
          </w:p>
        </w:tc>
        <w:tc>
          <w:tcPr>
            <w:tcW w:type="dxa" w:w="3485"/>
            <w:vAlign w:val="top"/>
          </w:tcPr>
          <w:p>
            <w:r>
              <w:rPr>
                <w:sz w:val="13"/>
              </w:rPr>
              <w:t>Transmission owner/operator and connection counterparty.</w:t>
            </w:r>
          </w:p>
        </w:tc>
        <w:tc>
          <w:tcPr>
            <w:tcW w:type="dxa" w:w="3485"/>
            <w:vAlign w:val="top"/>
          </w:tcPr>
          <w:p>
            <w:r>
              <w:rPr>
                <w:sz w:val="13"/>
              </w:rPr>
              <w:t>External transmission facilities and Point of Connection.</w:t>
            </w:r>
          </w:p>
        </w:tc>
      </w:tr>
      <w:tr>
        <w:tc>
          <w:tcPr>
            <w:tcW w:type="dxa" w:w="3485"/>
            <w:vAlign w:val="top"/>
          </w:tcPr>
          <w:p>
            <w:r>
              <w:rPr>
                <w:sz w:val="13"/>
              </w:rPr>
              <w:t>OEB</w:t>
            </w:r>
          </w:p>
        </w:tc>
        <w:tc>
          <w:tcPr>
            <w:tcW w:type="dxa" w:w="3485"/>
            <w:vAlign w:val="top"/>
          </w:tcPr>
          <w:p>
            <w:r>
              <w:rPr>
                <w:sz w:val="13"/>
              </w:rPr>
              <w:t>Economic/rate regulatory treatment where applicable.</w:t>
            </w:r>
          </w:p>
        </w:tc>
        <w:tc>
          <w:tcPr>
            <w:tcW w:type="dxa" w:w="3485"/>
            <w:vAlign w:val="top"/>
          </w:tcPr>
          <w:p>
            <w:r>
              <w:rPr>
                <w:sz w:val="13"/>
              </w:rPr>
              <w:t>Recovery/economic mechanism, not construction cash.</w:t>
            </w:r>
          </w:p>
        </w:tc>
      </w:tr>
      <w:tr>
        <w:tc>
          <w:tcPr>
            <w:tcW w:type="dxa" w:w="3485"/>
            <w:vAlign w:val="top"/>
          </w:tcPr>
          <w:p>
            <w:r>
              <w:rPr>
                <w:sz w:val="13"/>
              </w:rPr>
              <w:t>Infrastructure Ontario</w:t>
            </w:r>
          </w:p>
        </w:tc>
        <w:tc>
          <w:tcPr>
            <w:tcW w:type="dxa" w:w="3485"/>
            <w:vAlign w:val="top"/>
          </w:tcPr>
          <w:p>
            <w:r>
              <w:rPr>
                <w:sz w:val="13"/>
              </w:rPr>
              <w:t>Commercial/procurement advisory role when assigned.</w:t>
            </w:r>
          </w:p>
        </w:tc>
        <w:tc>
          <w:tcPr>
            <w:tcW w:type="dxa" w:w="3485"/>
            <w:vAlign w:val="top"/>
          </w:tcPr>
          <w:p>
            <w:r>
              <w:rPr>
                <w:sz w:val="13"/>
              </w:rPr>
              <w:t>Delivery-model and government commercial interface; no engineering authority.</w:t>
            </w:r>
          </w:p>
        </w:tc>
      </w:tr>
      <w:tr>
        <w:tc>
          <w:tcPr>
            <w:tcW w:type="dxa" w:w="3485"/>
            <w:vAlign w:val="top"/>
          </w:tcPr>
          <w:p>
            <w:r>
              <w:rPr>
                <w:sz w:val="13"/>
              </w:rPr>
              <w:t>Clarington</w:t>
            </w:r>
          </w:p>
        </w:tc>
        <w:tc>
          <w:tcPr>
            <w:tcW w:type="dxa" w:w="3485"/>
            <w:vAlign w:val="top"/>
          </w:tcPr>
          <w:p>
            <w:r>
              <w:rPr>
                <w:sz w:val="13"/>
              </w:rPr>
              <w:t>Municipal roads/services/planning interface.</w:t>
            </w:r>
          </w:p>
        </w:tc>
        <w:tc>
          <w:tcPr>
            <w:tcW w:type="dxa" w:w="3485"/>
            <w:vAlign w:val="top"/>
          </w:tcPr>
          <w:p>
            <w:r>
              <w:rPr>
                <w:sz w:val="13"/>
              </w:rPr>
              <w:t>Local government; no nuclear-design authority.</w:t>
            </w:r>
          </w:p>
        </w:tc>
      </w:tr>
      <w:tr>
        <w:tc>
          <w:tcPr>
            <w:tcW w:type="dxa" w:w="3485"/>
            <w:vAlign w:val="top"/>
          </w:tcPr>
          <w:p>
            <w:r>
              <w:rPr>
                <w:sz w:val="13"/>
              </w:rPr>
              <w:t>Williams Treaties First Nations</w:t>
            </w:r>
          </w:p>
        </w:tc>
        <w:tc>
          <w:tcPr>
            <w:tcW w:type="dxa" w:w="3485"/>
            <w:vAlign w:val="top"/>
          </w:tcPr>
          <w:p>
            <w:r>
              <w:rPr>
                <w:sz w:val="13"/>
              </w:rPr>
              <w:t>Rights-holder/consultation interface and separately an economic investor vehicle.</w:t>
            </w:r>
          </w:p>
        </w:tc>
        <w:tc>
          <w:tcPr>
            <w:tcW w:type="dxa" w:w="3485"/>
            <w:vAlign w:val="top"/>
          </w:tcPr>
          <w:p>
            <w:r>
              <w:rPr>
                <w:sz w:val="13"/>
              </w:rPr>
              <w:t>Equity participation does not extinguish consultation rights.</w:t>
            </w:r>
          </w:p>
        </w:tc>
      </w:tr>
      <w:tr>
        <w:tc>
          <w:tcPr>
            <w:tcW w:type="dxa" w:w="3485"/>
            <w:vAlign w:val="top"/>
          </w:tcPr>
          <w:p>
            <w:r>
              <w:rPr>
                <w:sz w:val="13"/>
              </w:rPr>
              <w:t>HMS Group / HMS</w:t>
            </w:r>
          </w:p>
        </w:tc>
        <w:tc>
          <w:tcPr>
            <w:tcW w:type="dxa" w:w="3485"/>
            <w:vAlign w:val="top"/>
          </w:tcPr>
          <w:p>
            <w:r>
              <w:rPr>
                <w:sz w:val="13"/>
              </w:rPr>
              <w:t>Technology parent and proprietary HFRP technology owner.</w:t>
            </w:r>
          </w:p>
        </w:tc>
        <w:tc>
          <w:tcPr>
            <w:tcW w:type="dxa" w:w="3485"/>
            <w:vAlign w:val="top"/>
          </w:tcPr>
          <w:p>
            <w:r>
              <w:rPr>
                <w:sz w:val="13"/>
              </w:rPr>
              <w:t>Controls qualified technology basis; not EPC constructor.</w:t>
            </w:r>
          </w:p>
        </w:tc>
      </w:tr>
      <w:tr>
        <w:tc>
          <w:tcPr>
            <w:tcW w:type="dxa" w:w="3485"/>
            <w:vAlign w:val="top"/>
          </w:tcPr>
          <w:p>
            <w:r>
              <w:rPr>
                <w:sz w:val="13"/>
              </w:rPr>
              <w:t>E&amp;C Holdings / E&amp;C Canada</w:t>
            </w:r>
          </w:p>
        </w:tc>
        <w:tc>
          <w:tcPr>
            <w:tcW w:type="dxa" w:w="3485"/>
            <w:vAlign w:val="top"/>
          </w:tcPr>
          <w:p>
            <w:r>
              <w:rPr>
                <w:sz w:val="13"/>
              </w:rPr>
              <w:t>Global engineering parent / Canadian EPC entity.</w:t>
            </w:r>
          </w:p>
        </w:tc>
        <w:tc>
          <w:tcPr>
            <w:tcW w:type="dxa" w:w="3485"/>
            <w:vAlign w:val="top"/>
          </w:tcPr>
          <w:p>
            <w:r>
              <w:rPr>
                <w:sz w:val="13"/>
              </w:rPr>
              <w:t>E&amp;C Canada integrates detailed design/procurement/execution.</w:t>
            </w:r>
          </w:p>
        </w:tc>
      </w:tr>
      <w:tr>
        <w:tc>
          <w:tcPr>
            <w:tcW w:type="dxa" w:w="3485"/>
            <w:vAlign w:val="top"/>
          </w:tcPr>
          <w:p>
            <w:r>
              <w:rPr>
                <w:sz w:val="13"/>
              </w:rPr>
              <w:t>Bechtel</w:t>
            </w:r>
          </w:p>
        </w:tc>
        <w:tc>
          <w:tcPr>
            <w:tcW w:type="dxa" w:w="3485"/>
            <w:vAlign w:val="top"/>
          </w:tcPr>
          <w:p>
            <w:r>
              <w:rPr>
                <w:sz w:val="13"/>
              </w:rPr>
              <w:t>Principal construction contractor and designated constructor.</w:t>
            </w:r>
          </w:p>
        </w:tc>
        <w:tc>
          <w:tcPr>
            <w:tcW w:type="dxa" w:w="3485"/>
            <w:vAlign w:val="top"/>
          </w:tcPr>
          <w:p>
            <w:r>
              <w:rPr>
                <w:sz w:val="13"/>
              </w:rPr>
              <w:t>Construction sequencing, logistics, site H&amp;S/constructor control; not HFRP design authority.</w:t>
            </w:r>
          </w:p>
        </w:tc>
      </w:tr>
      <w:tr>
        <w:tc>
          <w:tcPr>
            <w:tcW w:type="dxa" w:w="3485"/>
            <w:vAlign w:val="top"/>
          </w:tcPr>
          <w:p>
            <w:r>
              <w:rPr>
                <w:sz w:val="13"/>
              </w:rPr>
              <w:t>Aecon / Kiewit / E.S. Fox / Bird</w:t>
            </w:r>
          </w:p>
        </w:tc>
        <w:tc>
          <w:tcPr>
            <w:tcW w:type="dxa" w:w="3485"/>
            <w:vAlign w:val="top"/>
          </w:tcPr>
          <w:p>
            <w:r>
              <w:rPr>
                <w:sz w:val="13"/>
              </w:rPr>
              <w:t>Major field package contractors.</w:t>
            </w:r>
          </w:p>
        </w:tc>
        <w:tc>
          <w:tcPr>
            <w:tcW w:type="dxa" w:w="3485"/>
            <w:vAlign w:val="top"/>
          </w:tcPr>
          <w:p>
            <w:r>
              <w:rPr>
                <w:sz w:val="13"/>
              </w:rPr>
              <w:t>Execute defined packages beneath Bechtel.</w:t>
            </w:r>
          </w:p>
        </w:tc>
      </w:tr>
      <w:tr>
        <w:tc>
          <w:tcPr>
            <w:tcW w:type="dxa" w:w="3485"/>
            <w:vAlign w:val="top"/>
          </w:tcPr>
          <w:p>
            <w:r>
              <w:rPr>
                <w:sz w:val="13"/>
              </w:rPr>
              <w:t>MHI / IHI / JGC / BWXT / Arabelle / GE Vernova / Emerson / Westinghouse</w:t>
            </w:r>
          </w:p>
        </w:tc>
        <w:tc>
          <w:tcPr>
            <w:tcW w:type="dxa" w:w="3485"/>
            <w:vAlign w:val="top"/>
          </w:tcPr>
          <w:p>
            <w:r>
              <w:rPr>
                <w:sz w:val="13"/>
              </w:rPr>
              <w:t>Major OEM and specialist package suppliers.</w:t>
            </w:r>
          </w:p>
        </w:tc>
        <w:tc>
          <w:tcPr>
            <w:tcW w:type="dxa" w:w="3485"/>
            <w:vAlign w:val="top"/>
          </w:tcPr>
          <w:p>
            <w:r>
              <w:rPr>
                <w:sz w:val="13"/>
              </w:rPr>
              <w:t>Package scope only; not parallel EPCs.</w:t>
            </w:r>
          </w:p>
        </w:tc>
      </w:tr>
      <w:tr>
        <w:tc>
          <w:tcPr>
            <w:tcW w:type="dxa" w:w="3485"/>
            <w:vAlign w:val="top"/>
          </w:tcPr>
          <w:p>
            <w:r>
              <w:rPr>
                <w:sz w:val="13"/>
              </w:rPr>
              <w:t>AtkinsRéalis</w:t>
            </w:r>
          </w:p>
        </w:tc>
        <w:tc>
          <w:tcPr>
            <w:tcW w:type="dxa" w:w="3485"/>
            <w:vAlign w:val="top"/>
          </w:tcPr>
          <w:p>
            <w:r>
              <w:rPr>
                <w:sz w:val="13"/>
              </w:rPr>
              <w:t>Narrow Canadian nuclear/licensing/safety-analysis specialist.</w:t>
            </w:r>
          </w:p>
        </w:tc>
        <w:tc>
          <w:tcPr>
            <w:tcW w:type="dxa" w:w="3485"/>
            <w:vAlign w:val="top"/>
          </w:tcPr>
          <w:p>
            <w:r>
              <w:rPr>
                <w:sz w:val="13"/>
              </w:rPr>
              <w:t>Advisory/specialist support.</w:t>
            </w:r>
          </w:p>
        </w:tc>
      </w:tr>
      <w:tr>
        <w:tc>
          <w:tcPr>
            <w:tcW w:type="dxa" w:w="3485"/>
            <w:vAlign w:val="top"/>
          </w:tcPr>
          <w:p>
            <w:r>
              <w:rPr>
                <w:sz w:val="13"/>
              </w:rPr>
              <w:t>Fluor</w:t>
            </w:r>
          </w:p>
        </w:tc>
        <w:tc>
          <w:tcPr>
            <w:tcW w:type="dxa" w:w="3485"/>
            <w:vAlign w:val="top"/>
          </w:tcPr>
          <w:p>
            <w:r>
              <w:rPr>
                <w:sz w:val="13"/>
              </w:rPr>
              <w:t>Completion/turnover/commissioning surge support.</w:t>
            </w:r>
          </w:p>
        </w:tc>
        <w:tc>
          <w:tcPr>
            <w:tcW w:type="dxa" w:w="3485"/>
            <w:vAlign w:val="top"/>
          </w:tcPr>
          <w:p>
            <w:r>
              <w:rPr>
                <w:sz w:val="13"/>
              </w:rPr>
              <w:t>No parallel EPC/design authority.</w:t>
            </w:r>
          </w:p>
        </w:tc>
      </w:tr>
      <w:tr>
        <w:tc>
          <w:tcPr>
            <w:tcW w:type="dxa" w:w="3485"/>
            <w:vAlign w:val="top"/>
          </w:tcPr>
          <w:p>
            <w:r>
              <w:rPr>
                <w:sz w:val="13"/>
              </w:rPr>
              <w:t>Sargent &amp; Lundy</w:t>
            </w:r>
          </w:p>
        </w:tc>
        <w:tc>
          <w:tcPr>
            <w:tcW w:type="dxa" w:w="3485"/>
            <w:vAlign w:val="top"/>
          </w:tcPr>
          <w:p>
            <w:r>
              <w:rPr>
                <w:sz w:val="13"/>
              </w:rPr>
              <w:t>Lenders Technical Adviser / Independent Engineer.</w:t>
            </w:r>
          </w:p>
        </w:tc>
        <w:tc>
          <w:tcPr>
            <w:tcW w:type="dxa" w:w="3485"/>
            <w:vAlign w:val="top"/>
          </w:tcPr>
          <w:p>
            <w:r>
              <w:rPr>
                <w:sz w:val="13"/>
              </w:rPr>
              <w:t>Translates physical progress and risk into finance-grade monitoring.</w:t>
            </w:r>
          </w:p>
        </w:tc>
      </w:tr>
      <w:tr>
        <w:tc>
          <w:tcPr>
            <w:tcW w:type="dxa" w:w="3485"/>
            <w:vAlign w:val="top"/>
          </w:tcPr>
          <w:p>
            <w:r>
              <w:rPr>
                <w:sz w:val="13"/>
              </w:rPr>
              <w:t>JPMorgan / MUFG / SMBC / bank syndicate</w:t>
            </w:r>
          </w:p>
        </w:tc>
        <w:tc>
          <w:tcPr>
            <w:tcW w:type="dxa" w:w="3485"/>
            <w:vAlign w:val="top"/>
          </w:tcPr>
          <w:p>
            <w:r>
              <w:rPr>
                <w:sz w:val="13"/>
              </w:rPr>
              <w:t>Banking/structuring/financing counterparties.</w:t>
            </w:r>
          </w:p>
        </w:tc>
        <w:tc>
          <w:tcPr>
            <w:tcW w:type="dxa" w:w="3485"/>
            <w:vAlign w:val="top"/>
          </w:tcPr>
          <w:p>
            <w:r>
              <w:rPr>
                <w:sz w:val="13"/>
              </w:rPr>
              <w:t>Economic/information rights; no nuclear decision authority.</w:t>
            </w:r>
          </w:p>
        </w:tc>
      </w:tr>
      <w:tr>
        <w:tc>
          <w:tcPr>
            <w:tcW w:type="dxa" w:w="3485"/>
            <w:vAlign w:val="top"/>
          </w:tcPr>
          <w:p>
            <w:r>
              <w:rPr>
                <w:sz w:val="13"/>
              </w:rPr>
              <w:t>METI/ANRE, MOFA, MOF, Cabinet Secretariat</w:t>
            </w:r>
          </w:p>
        </w:tc>
        <w:tc>
          <w:tcPr>
            <w:tcW w:type="dxa" w:w="3485"/>
            <w:vAlign w:val="top"/>
          </w:tcPr>
          <w:p>
            <w:r>
              <w:rPr>
                <w:sz w:val="13"/>
              </w:rPr>
              <w:t>Japanese industrial-policy, diplomacy, fiscal scrutiny and later central coordination.</w:t>
            </w:r>
          </w:p>
        </w:tc>
        <w:tc>
          <w:tcPr>
            <w:tcW w:type="dxa" w:w="3485"/>
            <w:vAlign w:val="top"/>
          </w:tcPr>
          <w:p>
            <w:r>
              <w:rPr>
                <w:sz w:val="13"/>
              </w:rPr>
              <w:t>External programme/political influence; no site chain of command.</w:t>
            </w:r>
          </w:p>
        </w:tc>
      </w:tr>
    </w:tbl>
    <w:p>
      <w:pPr>
        <w:pStyle w:val="Heading1"/>
      </w:pPr>
      <w:r>
        <w:t>Evidence / document state by period end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vAlign w:val="center"/>
          </w:tcPr>
          <w:p>
            <w:r>
              <w:rPr>
                <w:b/>
                <w:sz w:val="14"/>
              </w:rPr>
              <w:t>Evidence family</w:t>
            </w:r>
          </w:p>
        </w:tc>
        <w:tc>
          <w:tcPr>
            <w:tcW w:type="dxa" w:w="5227"/>
            <w:vAlign w:val="center"/>
          </w:tcPr>
          <w:p>
            <w:r>
              <w:rPr>
                <w:b/>
                <w:sz w:val="14"/>
              </w:rPr>
              <w:t>What exists / why it matters</w:t>
            </w:r>
          </w:p>
        </w:tc>
      </w:tr>
      <w:tr>
        <w:tc>
          <w:tcPr>
            <w:tcW w:type="dxa" w:w="5227"/>
            <w:vAlign w:val="top"/>
          </w:tcPr>
          <w:p>
            <w:r>
              <w:rPr>
                <w:sz w:val="14"/>
              </w:rPr>
              <w:t>Event evidence</w:t>
            </w:r>
          </w:p>
        </w:tc>
        <w:tc>
          <w:tcPr>
            <w:tcW w:type="dxa" w:w="5227"/>
            <w:vAlign w:val="top"/>
          </w:tcPr>
          <w:p>
            <w:r>
              <w:rPr>
                <w:sz w:val="14"/>
              </w:rPr>
              <w:t>Scene photographs, witness accounts, test data, equipment/configuration identity, immediate HSE/commissioning logs.</w:t>
            </w:r>
          </w:p>
        </w:tc>
      </w:tr>
      <w:tr>
        <w:tc>
          <w:tcPr>
            <w:tcW w:type="dxa" w:w="5227"/>
            <w:vAlign w:val="top"/>
          </w:tcPr>
          <w:p>
            <w:r>
              <w:rPr>
                <w:sz w:val="14"/>
              </w:rPr>
              <w:t>Preservation</w:t>
            </w:r>
          </w:p>
        </w:tc>
        <w:tc>
          <w:tcPr>
            <w:tcW w:type="dxa" w:w="5227"/>
            <w:vAlign w:val="top"/>
          </w:tcPr>
          <w:p>
            <w:r>
              <w:rPr>
                <w:sz w:val="14"/>
              </w:rPr>
              <w:t>Physical restraint/support evidence, access controls, initial records hold requests, immediate screening documentation.</w:t>
            </w:r>
          </w:p>
        </w:tc>
      </w:tr>
    </w:tbl>
    <w:p>
      <w:pPr>
        <w:pStyle w:val="Heading1"/>
      </w:pPr>
      <w:r>
        <w:t>Backlog coverage absorbed into the encyclopedia</w:t>
      </w:r>
    </w:p>
    <w:p>
      <w:pPr>
        <w:pStyle w:val="ReferenceNote"/>
      </w:pPr>
      <w:r>
        <w:t>This is a coverage register only. It records which subjects from the research programme were absorbed into the history; it does not reproduce work packets, lenses, prompts or executable research instructions.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vAlign w:val="center"/>
          </w:tcPr>
          <w:p>
            <w:r>
              <w:rPr>
                <w:b/>
                <w:sz w:val="13"/>
              </w:rPr>
              <w:t>Encyclopedia domain</w:t>
            </w:r>
          </w:p>
        </w:tc>
        <w:tc>
          <w:tcPr>
            <w:tcW w:type="dxa" w:w="3485"/>
            <w:vAlign w:val="center"/>
          </w:tcPr>
          <w:p>
            <w:r>
              <w:rPr>
                <w:b/>
                <w:sz w:val="13"/>
              </w:rPr>
              <w:t>Subjects absorbed into this period</w:t>
            </w:r>
          </w:p>
        </w:tc>
        <w:tc>
          <w:tcPr>
            <w:tcW w:type="dxa" w:w="3485"/>
            <w:vAlign w:val="center"/>
          </w:tcPr>
          <w:p>
            <w:r>
              <w:rPr>
                <w:b/>
                <w:sz w:val="13"/>
              </w:rPr>
              <w:t>Reference rule</w:t>
            </w:r>
          </w:p>
        </w:tc>
      </w:tr>
      <w:tr>
        <w:tc>
          <w:tcPr>
            <w:tcW w:type="dxa" w:w="3485"/>
            <w:vAlign w:val="top"/>
          </w:tcPr>
          <w:p>
            <w:r>
              <w:rPr>
                <w:sz w:val="13"/>
              </w:rPr>
              <w:t>Regulatory Evolution, Licensing, Safety Case &amp; Compliance History</w:t>
            </w:r>
          </w:p>
        </w:tc>
        <w:tc>
          <w:tcPr>
            <w:tcW w:type="dxa" w:w="3485"/>
            <w:vAlign w:val="top"/>
          </w:tcPr>
          <w:p>
            <w:r>
              <w:rPr>
                <w:sz w:val="13"/>
              </w:rPr>
              <w:t>April 12 near-miss regulatory screening</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Engineering, Procurement, Manufacturing, Supply Chain &amp; Equipment Genealogy</w:t>
            </w:r>
          </w:p>
        </w:tc>
        <w:tc>
          <w:tcPr>
            <w:tcW w:type="dxa" w:w="3485"/>
            <w:vAlign w:val="top"/>
          </w:tcPr>
          <w:p>
            <w:r>
              <w:rPr>
                <w:sz w:val="13"/>
              </w:rPr>
              <w:t>BHT/CRS procurement genealogy</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Construction, Installation, Turnover, Completions &amp; Field Execution</w:t>
            </w:r>
          </w:p>
        </w:tc>
        <w:tc>
          <w:tcPr>
            <w:tcW w:type="dxa" w:w="3485"/>
            <w:vAlign w:val="top"/>
          </w:tcPr>
          <w:p>
            <w:r>
              <w:rPr>
                <w:sz w:val="13"/>
              </w:rPr>
              <w:t>April 12 event field response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Commissioning, Operations Readiness, First Plasma &amp; Transition to Operation</w:t>
            </w:r>
          </w:p>
        </w:tc>
        <w:tc>
          <w:tcPr>
            <w:tcW w:type="dxa" w:w="3485"/>
            <w:vAlign w:val="top"/>
          </w:tcPr>
          <w:p>
            <w:r>
              <w:rPr>
                <w:sz w:val="13"/>
              </w:rPr>
              <w:t>April 12 event commissioning response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Operating Experience, Corrective Action, Precursor Ecology &amp; Information Propagation</w:t>
            </w:r>
          </w:p>
        </w:tc>
        <w:tc>
          <w:tcPr>
            <w:tcW w:type="dxa" w:w="3485"/>
            <w:vAlign w:val="top"/>
          </w:tcPr>
          <w:p>
            <w:r>
              <w:rPr>
                <w:sz w:val="13"/>
              </w:rPr>
              <w:t>April 12 CRS-01 classification</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Maintenance, Reliability, Work Management, Asset Health &amp; Remote Maintenance History</w:t>
            </w:r>
          </w:p>
        </w:tc>
        <w:tc>
          <w:tcPr>
            <w:tcW w:type="dxa" w:w="3485"/>
            <w:vAlign w:val="top"/>
          </w:tcPr>
          <w:p>
            <w:r>
              <w:rPr>
                <w:sz w:val="13"/>
              </w:rPr>
              <w:t>CRS-01 maintenance basis</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r>
        <w:tc>
          <w:tcPr>
            <w:tcW w:type="dxa" w:w="3485"/>
            <w:vAlign w:val="top"/>
          </w:tcPr>
          <w:p>
            <w:r>
              <w:rPr>
                <w:sz w:val="13"/>
              </w:rPr>
              <w:t>Emergency Preparedness, Fire Protection, Accident Management &amp; Mass-Casualty Response</w:t>
            </w:r>
          </w:p>
        </w:tc>
        <w:tc>
          <w:tcPr>
            <w:tcW w:type="dxa" w:w="3485"/>
            <w:vAlign w:val="top"/>
          </w:tcPr>
          <w:p>
            <w:r>
              <w:rPr>
                <w:sz w:val="13"/>
              </w:rPr>
              <w:t>CRS-01 emergency significance</w:t>
            </w:r>
          </w:p>
        </w:tc>
        <w:tc>
          <w:tcPr>
            <w:tcW w:type="dxa" w:w="3485"/>
            <w:vAlign w:val="top"/>
          </w:tcPr>
          <w:p>
            <w:r>
              <w:rPr>
                <w:sz w:val="13"/>
              </w:rPr>
              <w:t>Coverage assurance only. Historical claims must come from the chronological/source-derived sections in this volume; unresolved lower-level details remain controlled open items.</w:t>
            </w:r>
          </w:p>
        </w:tc>
      </w:tr>
    </w:tbl>
    <w:p>
      <w:pPr>
        <w:pStyle w:val="Heading1"/>
      </w:pPr>
      <w:r>
        <w:t>Safe cross-thread assumptions at period end</w:t>
      </w:r>
    </w:p>
    <w:p>
      <w:pPr>
        <w:pStyle w:val="ListBullet"/>
      </w:pPr>
      <w:r>
        <w:t>CRS-01 is a high-potential no-injury near miss with no radiological/environmental/licensed-safety consequence.</w:t>
      </w:r>
    </w:p>
    <w:p>
      <w:pPr>
        <w:pStyle w:val="ListBullet"/>
      </w:pPr>
      <w:r>
        <w:t>Root cause, extent and schedule impact remain open on April 12.</w:t>
      </w:r>
    </w:p>
    <w:p>
      <w:pPr>
        <w:pStyle w:val="Heading1"/>
      </w:pPr>
      <w:r>
        <w:t>Continuity rule</w:t>
      </w:r>
    </w:p>
    <w:p>
      <w:r>
        <w:t>The next volume starts from this exact technical, contractual, regulatory, financial and information state. Do not import a later organization, approval, maintenance history, financing instrument, plant state or knowledge state merely because it exists by 19 April 2031.</w:t>
      </w:r>
    </w:p>
    <w:p>
      <w:r>
        <w:br w:type="page"/>
      </w:r>
    </w:p>
    <w:p>
      <w:pPr>
        <w:pStyle w:val="Heading1"/>
      </w:pPr>
      <w:r>
        <w:t>Integrated controlled source — OFG_E10_Commissioning_Operations_Maintenance_Rev2.docx</w:t>
      </w:r>
    </w:p>
    <w:p>
      <w:r>
        <w:t>Preserved at source granularity. Later explicit canon and change-provenance entries govern conflicts; source text is not silently rewritten.</w:t>
      </w:r>
    </w:p>
    <w:p>
      <w:pPr>
        <w:jc w:val="center"/>
      </w:pPr>
      <w:r>
        <w:rPr>
          <w:b/>
          <w:sz w:val="20"/>
        </w:rPr>
        <w:t>ONTARIO FUSION GENERATION PROJECT</w:t>
      </w:r>
    </w:p>
    <w:p>
      <w:pPr>
        <w:jc w:val="center"/>
      </w:pPr>
      <w:r>
        <w:rPr>
          <w:b/>
          <w:sz w:val="34"/>
        </w:rPr>
        <w:t>VOLUME E10 — COMMISSIONING, TURNOVER, OPERATIONS &amp; MAINTENANCE PHYSICAL ENCYCLOPEDIA</w:t>
      </w:r>
    </w:p>
    <w:p>
      <w:pPr>
        <w:jc w:val="center"/>
      </w:pPr>
      <w:r>
        <w:rPr>
          <w:i/>
          <w:sz w:val="18"/>
        </w:rPr>
        <w:t>Plant-state progression, test hierarchy, custody, operating modes, maintenance and evidence</w:t>
      </w:r>
    </w:p>
    <w:p>
      <w:r>
        <w:t>REV 2 ENGINEERING RECONSTRUCTION · DESIGN CUT 19 APRIL 2031 · C/R/E/O PROVENANCE CONTROL</w:t>
      </w:r>
    </w:p>
    <w:p>
      <w:pPr>
        <w:pStyle w:val="Heading1"/>
      </w:pPr>
      <w:r>
        <w:t>1. Commissioning sequence</w:t>
      </w:r>
    </w:p>
    <w:p>
      <w:r>
        <w:t>R precedent from ITER: steady-state electrical → central controls → liquid/gas/HVAC services → cooling water → cryoplant → heating → vacuum → fuelling → coil power. OFG adapts this to a power-producing plant by inserting steam-cycle, grid synchronization, tritium/fuel-cycle and integrated machine-protection gates.</w:t>
      </w:r>
    </w:p>
    <w:tbl>
      <w:tblPr>
        <w:tblStyle w:val="TableGrid"/>
        <w:tblW w:type="auto" w:w="0"/>
        <w:tblLook w:firstColumn="1" w:firstRow="1" w:lastColumn="0" w:lastRow="0" w:noHBand="0" w:noVBand="1" w:val="04A0"/>
      </w:tblPr>
      <w:tblGrid>
        <w:gridCol w:w="5227"/>
        <w:gridCol w:w="5227"/>
      </w:tblGrid>
      <w:tr>
        <w:tc>
          <w:tcPr>
            <w:tcW w:type="dxa" w:w="5227"/>
            <w:shd w:fill="D9EAF7"/>
          </w:tcPr>
          <w:p>
            <w:r>
              <w:t>Level</w:t>
            </w:r>
          </w:p>
        </w:tc>
        <w:tc>
          <w:tcPr>
            <w:tcW w:type="dxa" w:w="5227"/>
            <w:shd w:fill="D9EAF7"/>
          </w:tcPr>
          <w:p>
            <w:r>
              <w:t>Verification</w:t>
            </w:r>
          </w:p>
        </w:tc>
      </w:tr>
      <w:tr>
        <w:tc>
          <w:tcPr>
            <w:tcW w:type="dxa" w:w="5227"/>
          </w:tcPr>
          <w:p>
            <w:r>
              <w:t>Component</w:t>
            </w:r>
          </w:p>
        </w:tc>
        <w:tc>
          <w:tcPr>
            <w:tcW w:type="dxa" w:w="5227"/>
          </w:tcPr>
          <w:p>
            <w:r>
              <w:t>rotation, stroke, calibration, insulation, pressure/leak, local function</w:t>
            </w:r>
          </w:p>
        </w:tc>
      </w:tr>
      <w:tr>
        <w:tc>
          <w:tcPr>
            <w:tcW w:type="dxa" w:w="5227"/>
          </w:tcPr>
          <w:p>
            <w:r>
              <w:t>Subsystem</w:t>
            </w:r>
          </w:p>
        </w:tc>
        <w:tc>
          <w:tcPr>
            <w:tcW w:type="dxa" w:w="5227"/>
          </w:tcPr>
          <w:p>
            <w:r>
              <w:t>pump train, valve lineup, cooling branch, electrical board, control cabinet</w:t>
            </w:r>
          </w:p>
        </w:tc>
      </w:tr>
      <w:tr>
        <w:tc>
          <w:tcPr>
            <w:tcW w:type="dxa" w:w="5227"/>
          </w:tcPr>
          <w:p>
            <w:r>
              <w:t>System</w:t>
            </w:r>
          </w:p>
        </w:tc>
        <w:tc>
          <w:tcPr>
            <w:tcW w:type="dxa" w:w="5227"/>
          </w:tcPr>
          <w:p>
            <w:r>
              <w:t>full hydraulic/electrical/control function with design acceptance criteria</w:t>
            </w:r>
          </w:p>
        </w:tc>
      </w:tr>
      <w:tr>
        <w:tc>
          <w:tcPr>
            <w:tcW w:type="dxa" w:w="5227"/>
          </w:tcPr>
          <w:p>
            <w:r>
              <w:t>Integrated plant</w:t>
            </w:r>
          </w:p>
        </w:tc>
        <w:tc>
          <w:tcPr>
            <w:tcW w:type="dxa" w:w="5227"/>
          </w:tcPr>
          <w:p>
            <w:r>
              <w:t>cross-system permissives, trips, loss-of-support, transient response</w:t>
            </w:r>
          </w:p>
        </w:tc>
      </w:tr>
      <w:tr>
        <w:tc>
          <w:tcPr>
            <w:tcW w:type="dxa" w:w="5227"/>
          </w:tcPr>
          <w:p>
            <w:r>
              <w:t>Machine commissioning</w:t>
            </w:r>
          </w:p>
        </w:tc>
        <w:tc>
          <w:tcPr>
            <w:tcW w:type="dxa" w:w="5227"/>
          </w:tcPr>
          <w:p>
            <w:r>
              <w:t>vacuum, cryogenic cooldown, magnet energization, heating/fuelling, protection</w:t>
            </w:r>
          </w:p>
        </w:tc>
      </w:tr>
      <w:tr>
        <w:tc>
          <w:tcPr>
            <w:tcW w:type="dxa" w:w="5227"/>
          </w:tcPr>
          <w:p>
            <w:r>
              <w:t>First plasma</w:t>
            </w:r>
          </w:p>
        </w:tc>
        <w:tc>
          <w:tcPr>
            <w:tcW w:type="dxa" w:w="5227"/>
          </w:tcPr>
          <w:p>
            <w:r>
              <w:t>bounded machine milestone; not commercial operation</w:t>
            </w:r>
          </w:p>
        </w:tc>
      </w:tr>
      <w:tr>
        <w:tc>
          <w:tcPr>
            <w:tcW w:type="dxa" w:w="5227"/>
          </w:tcPr>
          <w:p>
            <w:r>
              <w:t>Power ascension</w:t>
            </w:r>
          </w:p>
        </w:tc>
        <w:tc>
          <w:tcPr>
            <w:tcW w:type="dxa" w:w="5227"/>
          </w:tcPr>
          <w:p>
            <w:r>
              <w:t>progressive fusion/thermal/electrical output with hold points</w:t>
            </w:r>
          </w:p>
        </w:tc>
      </w:tr>
    </w:tbl>
    <w:p>
      <w:pPr>
        <w:pStyle w:val="Heading1"/>
      </w:pPr>
      <w:r>
        <w:t>2. Operating configurations</w:t>
      </w:r>
    </w:p>
    <w:p>
      <w:pPr>
        <w:pStyle w:val="ListBullet"/>
      </w:pPr>
      <w:r>
        <w:t>Construction/installation configuration</w:t>
      </w:r>
    </w:p>
    <w:p>
      <w:pPr>
        <w:pStyle w:val="ListBullet"/>
      </w:pPr>
      <w:r>
        <w:t>Turned-over but not commissioned</w:t>
      </w:r>
    </w:p>
    <w:p>
      <w:pPr>
        <w:pStyle w:val="ListBullet"/>
      </w:pPr>
      <w:r>
        <w:t>Cold commissioning</w:t>
      </w:r>
    </w:p>
    <w:p>
      <w:pPr>
        <w:pStyle w:val="ListBullet"/>
      </w:pPr>
      <w:r>
        <w:t>Hot functional/thermal commissioning</w:t>
      </w:r>
    </w:p>
    <w:p>
      <w:pPr>
        <w:pStyle w:val="ListBullet"/>
      </w:pPr>
      <w:r>
        <w:t>Cryogenic machine state</w:t>
      </w:r>
    </w:p>
    <w:p>
      <w:pPr>
        <w:pStyle w:val="ListBullet"/>
      </w:pPr>
      <w:r>
        <w:t>Magnet energized / no plasma</w:t>
      </w:r>
    </w:p>
    <w:p>
      <w:pPr>
        <w:pStyle w:val="ListBullet"/>
      </w:pPr>
      <w:r>
        <w:t>Plasma commissioning</w:t>
      </w:r>
    </w:p>
    <w:p>
      <w:pPr>
        <w:pStyle w:val="ListBullet"/>
      </w:pPr>
      <w:r>
        <w:t>D-T commissioning</w:t>
      </w:r>
    </w:p>
    <w:p>
      <w:pPr>
        <w:pStyle w:val="ListBullet"/>
      </w:pPr>
      <w:r>
        <w:t>Power ascension</w:t>
      </w:r>
    </w:p>
    <w:p>
      <w:pPr>
        <w:pStyle w:val="ListBullet"/>
      </w:pPr>
      <w:r>
        <w:t>Commercial steady-state</w:t>
      </w:r>
    </w:p>
    <w:p>
      <w:pPr>
        <w:pStyle w:val="ListBullet"/>
      </w:pPr>
      <w:r>
        <w:t>Planned outage/remote maintenance</w:t>
      </w:r>
    </w:p>
    <w:p>
      <w:pPr>
        <w:pStyle w:val="ListBullet"/>
      </w:pPr>
      <w:r>
        <w:t>Abnormal/transient/emergency states</w:t>
      </w:r>
    </w:p>
    <w:p>
      <w:pPr>
        <w:pStyle w:val="Heading1"/>
      </w:pPr>
      <w:r>
        <w:t>3. Maintenance basis</w:t>
      </w:r>
    </w:p>
    <w:p>
      <w:r>
        <w:t>Every maintainable item receives preventive/predictive/corrective strategy, condition-monitoring points, isolation boundary, contamination/radiation controls, access/lifting plan, post-maintenance test, equipment-history update and configuration reconciliation. CLOSED/APPROVED work-management status is not treated as proof of physical execution without objective as-found/as-left evidence.</w:t>
      </w:r>
    </w:p>
    <w:p>
      <w:r>
        <w:br w:type="page"/>
      </w:r>
    </w:p>
    <w:p>
      <w:pPr>
        <w:pStyle w:val="Heading1"/>
      </w:pPr>
      <w:r>
        <w:t>Integrated controlled source — OFG_Engineering_Encyclopedia_Rev2_V08_Construction_Commissioning_Verification.docx</w:t>
      </w:r>
    </w:p>
    <w:p>
      <w:r>
        <w:t>Preserved at source granularity. Later explicit canon and change-provenance entries govern conflicts; source text is not silently rewritten.</w:t>
      </w:r>
    </w:p>
    <w:p>
      <w:pPr>
        <w:jc w:val="center"/>
      </w:pPr>
      <w:r>
        <w:rPr>
          <w:b/>
          <w:sz w:val="22"/>
        </w:rPr>
        <w:t>ONTARIO FUSION GENERATION PROJECT</w:t>
      </w:r>
    </w:p>
    <w:p>
      <w:pPr>
        <w:jc w:val="center"/>
      </w:pPr>
      <w:r>
        <w:rPr>
          <w:b/>
          <w:sz w:val="36"/>
        </w:rPr>
        <w:t>ENGINEERING SYSTEM ENCYCLOPEDIA REV 2 — V08</w:t>
      </w:r>
    </w:p>
    <w:p>
      <w:pPr>
        <w:jc w:val="center"/>
      </w:pPr>
      <w:r>
        <w:rPr>
          <w:b/>
          <w:sz w:val="30"/>
        </w:rPr>
        <w:t>CONSTRUCTION, INSTALLATION, COMMISSIONING &amp; VERIFICATION IMPLEMENTATION</w:t>
      </w:r>
    </w:p>
    <w:p>
      <w:pPr>
        <w:jc w:val="center"/>
      </w:pPr>
      <w:r>
        <w:rPr>
          <w:i/>
        </w:rPr>
        <w:t>How the theoretical plant becomes the physical/evidence plant</w:t>
      </w:r>
    </w:p>
    <w:p>
      <w:r>
        <w:t>Status legend: LOCKED/SOURCE-DERIVED = supplied canon; VERIFIED PRECEDENT = authoritative real-world constraint; DESIGN RECONSTRUCTION = engineered fictional choice required to make OFG physically complete; OPEN/CONTROLLED = source set cannot support a unique answer.</w:t>
      </w:r>
    </w:p>
    <w:p>
      <w:pPr>
        <w:pStyle w:val="Heading1"/>
      </w:pPr>
      <w:r>
        <w:t>1. Construction execution chain</w:t>
      </w:r>
    </w:p>
    <w:p>
      <w:r>
        <w:t>01. survey/control network</w:t>
      </w:r>
    </w:p>
    <w:p>
      <w:r>
        <w:t>02. excavation/dewatering</w:t>
      </w:r>
    </w:p>
    <w:p>
      <w:r>
        <w:t>03. foundations and embedded items</w:t>
      </w:r>
    </w:p>
    <w:p>
      <w:r>
        <w:t>04. civil structures</w:t>
      </w:r>
    </w:p>
    <w:p>
      <w:r>
        <w:t>05. building enclosure</w:t>
      </w:r>
    </w:p>
    <w:p>
      <w:r>
        <w:t>06. permanent utilities</w:t>
      </w:r>
    </w:p>
    <w:p>
      <w:r>
        <w:t>07. equipment setting/alignment</w:t>
      </w:r>
    </w:p>
    <w:p>
      <w:r>
        <w:t>08. piping/duct/cable installation</w:t>
      </w:r>
    </w:p>
    <w:p>
      <w:r>
        <w:t>09. welding/NDE/testing</w:t>
      </w:r>
    </w:p>
    <w:p>
      <w:r>
        <w:t>10. E&amp;I termination</w:t>
      </w:r>
    </w:p>
    <w:p>
      <w:r>
        <w:t>11. cleanliness/flushing</w:t>
      </w:r>
    </w:p>
    <w:p>
      <w:r>
        <w:t>12. mechanical completion</w:t>
      </w:r>
    </w:p>
    <w:p>
      <w:r>
        <w:t>13. system turnover</w:t>
      </w:r>
    </w:p>
    <w:p>
      <w:r>
        <w:t>14. pre-commissioning</w:t>
      </w:r>
    </w:p>
    <w:p>
      <w:r>
        <w:t>15. functional commissioning</w:t>
      </w:r>
    </w:p>
    <w:p>
      <w:r>
        <w:t>16. integrated commissioning</w:t>
      </w:r>
    </w:p>
    <w:p>
      <w:r>
        <w:t>17. operations acceptance</w:t>
      </w:r>
    </w:p>
    <w:p>
      <w:pPr>
        <w:pStyle w:val="Heading1"/>
      </w:pPr>
      <w:r>
        <w:t>2. Hold points by commodity</w:t>
      </w:r>
    </w:p>
    <w:tbl>
      <w:tblPr>
        <w:tblStyle w:val="TableGrid"/>
        <w:tblW w:type="auto" w:w="0"/>
        <w:tblLook w:firstColumn="1" w:firstRow="1" w:lastColumn="0" w:lastRow="0" w:noHBand="0" w:noVBand="1" w:val="04A0"/>
      </w:tblPr>
      <w:tblGrid>
        <w:gridCol w:w="5328"/>
        <w:gridCol w:w="5328"/>
      </w:tblGrid>
      <w:tr>
        <w:tc>
          <w:tcPr>
            <w:tcW w:type="dxa" w:w="5328"/>
            <w:shd w:fill="D9EAF7"/>
          </w:tcPr>
          <w:p>
            <w:r>
              <w:t>Commodity</w:t>
            </w:r>
          </w:p>
        </w:tc>
        <w:tc>
          <w:tcPr>
            <w:tcW w:type="dxa" w:w="5328"/>
            <w:shd w:fill="D9EAF7"/>
          </w:tcPr>
          <w:p>
            <w:r>
              <w:t>Mandatory implementation checks</w:t>
            </w:r>
          </w:p>
        </w:tc>
      </w:tr>
      <w:tr>
        <w:tc>
          <w:tcPr>
            <w:tcW w:type="dxa" w:w="5328"/>
          </w:tcPr>
          <w:p>
            <w:r>
              <w:t>Concrete</w:t>
            </w:r>
          </w:p>
        </w:tc>
        <w:tc>
          <w:tcPr>
            <w:tcW w:type="dxa" w:w="5328"/>
          </w:tcPr>
          <w:p>
            <w:r>
              <w:t>survey, rebar/embed inspection, batch records, placement, curing, strength, as-built</w:t>
            </w:r>
          </w:p>
        </w:tc>
      </w:tr>
      <w:tr>
        <w:tc>
          <w:tcPr>
            <w:tcW w:type="dxa" w:w="5328"/>
          </w:tcPr>
          <w:p>
            <w:r>
              <w:t>Structural steel</w:t>
            </w:r>
          </w:p>
        </w:tc>
        <w:tc>
          <w:tcPr>
            <w:tcW w:type="dxa" w:w="5328"/>
          </w:tcPr>
          <w:p>
            <w:r>
              <w:t>material cert, fit-up, weld procedure/qualification, NDE, bolt tension, survey</w:t>
            </w:r>
          </w:p>
        </w:tc>
      </w:tr>
      <w:tr>
        <w:tc>
          <w:tcPr>
            <w:tcW w:type="dxa" w:w="5328"/>
          </w:tcPr>
          <w:p>
            <w:r>
              <w:t>Pressure piping</w:t>
            </w:r>
          </w:p>
        </w:tc>
        <w:tc>
          <w:tcPr>
            <w:tcW w:type="dxa" w:w="5328"/>
          </w:tcPr>
          <w:p>
            <w:r>
              <w:t>material traceability, fit-up, weld map, NDE, supports, cleanliness, pressure/leak test, reinstatement</w:t>
            </w:r>
          </w:p>
        </w:tc>
      </w:tr>
      <w:tr>
        <w:tc>
          <w:tcPr>
            <w:tcW w:type="dxa" w:w="5328"/>
          </w:tcPr>
          <w:p>
            <w:r>
              <w:t>Rotating equipment</w:t>
            </w:r>
          </w:p>
        </w:tc>
        <w:tc>
          <w:tcPr>
            <w:tcW w:type="dxa" w:w="5328"/>
          </w:tcPr>
          <w:p>
            <w:r>
              <w:t>foundation/grout, soft foot, alignment, lubrication, rotation, vibration baseline, performance test</w:t>
            </w:r>
          </w:p>
        </w:tc>
      </w:tr>
      <w:tr>
        <w:tc>
          <w:tcPr>
            <w:tcW w:type="dxa" w:w="5328"/>
          </w:tcPr>
          <w:p>
            <w:r>
              <w:t>Electrical</w:t>
            </w:r>
          </w:p>
        </w:tc>
        <w:tc>
          <w:tcPr>
            <w:tcW w:type="dxa" w:w="5328"/>
          </w:tcPr>
          <w:p>
            <w:r>
              <w:t>cable ID/routing, termination torque, insulation resistance, hipot where applicable, relay settings, phase rotation</w:t>
            </w:r>
          </w:p>
        </w:tc>
      </w:tr>
      <w:tr>
        <w:tc>
          <w:tcPr>
            <w:tcW w:type="dxa" w:w="5328"/>
          </w:tcPr>
          <w:p>
            <w:r>
              <w:t>I&amp;C</w:t>
            </w:r>
          </w:p>
        </w:tc>
        <w:tc>
          <w:tcPr>
            <w:tcW w:type="dxa" w:w="5328"/>
          </w:tcPr>
          <w:p>
            <w:r>
              <w:t>calibration, impulse/sample line check, loop check, cause/effect, setpoint verification, channel test</w:t>
            </w:r>
          </w:p>
        </w:tc>
      </w:tr>
      <w:tr>
        <w:tc>
          <w:tcPr>
            <w:tcW w:type="dxa" w:w="5328"/>
          </w:tcPr>
          <w:p>
            <w:r>
              <w:t>Vacuum</w:t>
            </w:r>
          </w:p>
        </w:tc>
        <w:tc>
          <w:tcPr>
            <w:tcW w:type="dxa" w:w="5328"/>
          </w:tcPr>
          <w:p>
            <w:r>
              <w:t>cleanliness, flange/weld integrity, helium leak test, pumpdown curve, RGA baseline</w:t>
            </w:r>
          </w:p>
        </w:tc>
      </w:tr>
      <w:tr>
        <w:tc>
          <w:tcPr>
            <w:tcW w:type="dxa" w:w="5328"/>
          </w:tcPr>
          <w:p>
            <w:r>
              <w:t>Cryogenic</w:t>
            </w:r>
          </w:p>
        </w:tc>
        <w:tc>
          <w:tcPr>
            <w:tcW w:type="dxa" w:w="5328"/>
          </w:tcPr>
          <w:p>
            <w:r>
              <w:t>cleanliness/dryness, pressure/leak test, insulation vacuum, cooldown rate, contraction/alignment, cold performance</w:t>
            </w:r>
          </w:p>
        </w:tc>
      </w:tr>
      <w:tr>
        <w:tc>
          <w:tcPr>
            <w:tcW w:type="dxa" w:w="5328"/>
          </w:tcPr>
          <w:p>
            <w:r>
              <w:t>Tritium/confinement</w:t>
            </w:r>
          </w:p>
        </w:tc>
        <w:tc>
          <w:tcPr>
            <w:tcW w:type="dxa" w:w="5328"/>
          </w:tcPr>
          <w:p>
            <w:r>
              <w:t>leak tightness, pressure cascade, detritiation/monitoring, accountancy readiness, contamination controls</w:t>
            </w:r>
          </w:p>
        </w:tc>
      </w:tr>
      <w:tr>
        <w:tc>
          <w:tcPr>
            <w:tcW w:type="dxa" w:w="5328"/>
          </w:tcPr>
          <w:p>
            <w:r>
              <w:t>Temporary systems</w:t>
            </w:r>
          </w:p>
        </w:tc>
        <w:tc>
          <w:tcPr>
            <w:tcW w:type="dxa" w:w="5328"/>
          </w:tcPr>
          <w:p>
            <w:r>
              <w:t>engineering approval, load/restraint analysis, tagged configuration, inspection, test, expiry/removal plan</w:t>
            </w:r>
          </w:p>
        </w:tc>
      </w:tr>
    </w:tbl>
    <w:p>
      <w:pPr>
        <w:pStyle w:val="Heading1"/>
      </w:pPr>
      <w:r>
        <w:t>3. Verification matrix</w:t>
      </w:r>
    </w:p>
    <w:p>
      <w:pPr>
        <w:pStyle w:val="Heading2"/>
      </w:pPr>
      <w:r>
        <w:t>Analysis</w:t>
      </w:r>
    </w:p>
    <w:p>
      <w:r>
        <w:t>Requirement -&gt; acceptance criterion -&gt; procedure/calculation -&gt; prerequisites -&gt; calibrated tools/models -&gt; result -&gt; anomaly disposition -&gt; independent review where required -&gt; configuration baseline update.</w:t>
      </w:r>
    </w:p>
    <w:p>
      <w:pPr>
        <w:pStyle w:val="Heading2"/>
      </w:pPr>
      <w:r>
        <w:t>Inspection</w:t>
      </w:r>
    </w:p>
    <w:p>
      <w:r>
        <w:t>Requirement -&gt; acceptance criterion -&gt; procedure/calculation -&gt; prerequisites -&gt; calibrated tools/models -&gt; result -&gt; anomaly disposition -&gt; independent review where required -&gt; configuration baseline update.</w:t>
      </w:r>
    </w:p>
    <w:p>
      <w:pPr>
        <w:pStyle w:val="Heading2"/>
      </w:pPr>
      <w:r>
        <w:t>Demonstration</w:t>
      </w:r>
    </w:p>
    <w:p>
      <w:r>
        <w:t>Requirement -&gt; acceptance criterion -&gt; procedure/calculation -&gt; prerequisites -&gt; calibrated tools/models -&gt; result -&gt; anomaly disposition -&gt; independent review where required -&gt; configuration baseline update.</w:t>
      </w:r>
    </w:p>
    <w:p>
      <w:pPr>
        <w:pStyle w:val="Heading2"/>
      </w:pPr>
      <w:r>
        <w:t>Test</w:t>
      </w:r>
    </w:p>
    <w:p>
      <w:r>
        <w:t>Requirement -&gt; acceptance criterion -&gt; procedure/calculation -&gt; prerequisites -&gt; calibrated tools/models -&gt; result -&gt; anomaly disposition -&gt; independent review where required -&gt; configuration baseline update.</w:t>
      </w:r>
    </w:p>
    <w:p>
      <w:pPr>
        <w:pStyle w:val="Heading1"/>
      </w:pPr>
      <w:r>
        <w:t>4. Backward-propagation / canon control</w:t>
      </w:r>
    </w:p>
    <w:p>
      <w:r>
        <w:t>Any Rev-2 design reconstruction that conflicts with Rev N narrative, Annex A/B or later controlling canon is not silently reconciled. The reconstruction is revised, the old statement retained in revision history, and affected equipment, connections, construction work packages, commissioning tests and historical scenes are flagged.</w:t>
      </w:r>
    </w:p>
    <w:p>
      <w:r>
        <w:br w:type="page"/>
      </w:r>
    </w:p>
    <w:p>
      <w:pPr>
        <w:pStyle w:val="Heading1"/>
      </w:pPr>
      <w:r>
        <w:t>Integrated controlled source — OFG_S08R1_Commissioning_Turnover_Operations_Readiness.docx</w:t>
      </w:r>
    </w:p>
    <w:p>
      <w:r>
        <w:t>Preserved at source granularity. Later explicit canon and change-provenance entries govern conflicts; source text is not silently rewritten.</w:t>
      </w:r>
    </w:p>
    <w:p>
      <w:pPr>
        <w:jc w:val="center"/>
      </w:pPr>
      <w:r>
        <w:rPr>
          <w:b/>
          <w:sz w:val="36"/>
        </w:rPr>
        <w:t>ONTARIO FUSION GENERATION PROJECT</w:t>
      </w:r>
    </w:p>
    <w:p>
      <w:pPr>
        <w:jc w:val="center"/>
      </w:pPr>
      <w:r>
        <w:rPr>
          <w:b/>
          <w:sz w:val="48"/>
        </w:rPr>
        <w:t>VOLUME S08R1 — COMMISSIONING STATE, TURNOVER &amp; OPERATIONS-READINESS PHYSICAL ENCYCLOPEDIA</w:t>
      </w:r>
    </w:p>
    <w:p>
      <w:pPr>
        <w:jc w:val="center"/>
      </w:pPr>
      <w:r>
        <w:rPr>
          <w:i/>
          <w:sz w:val="22"/>
        </w:rPr>
        <w:t>System state, custody boundaries, test configurations, temporary modifications and readiness evidence</w:t>
      </w:r>
    </w:p>
    <w:p>
      <w:pPr>
        <w:jc w:val="center"/>
      </w:pPr>
      <w:r>
        <w:t>SYSTEM &amp; SITE ENCYCLOPEDIA · REV 1 · DESIGN RECONSTRUCTION CUT 19 APRIL 2031</w:t>
      </w:r>
    </w:p>
    <w:p>
      <w:r>
        <w:br w:type="page"/>
      </w:r>
    </w:p>
    <w:p>
      <w:pPr>
        <w:pStyle w:val="Heading1"/>
      </w:pPr>
      <w:r>
        <w:t>Document control and epistemic status</w:t>
      </w:r>
    </w:p>
    <w:p>
      <w:r>
        <w:t>This volume preserves the supplied Rev N story corpus as the canonical skeleton. Statements are classified as LOCKED/SOURCE-DERIVED, VERIFIED PRECEDENT CONSTRAINT, DESIGN RECONSTRUCTION, or OPEN/CONTROLLED. Real-world precedent constrains plausibility but does not silently create OFG canon.</w:t>
      </w:r>
    </w:p>
    <w:p>
      <w:r>
        <w:t>Governing rule: Design Plant = Physical Plant = Evidence Plant. Design identity, installed identity, connectivity, custody/state, and objective evidence are tracked separately.</w:t>
      </w:r>
    </w:p>
    <w:tbl>
      <w:tblPr>
        <w:tblStyle w:val="TableGrid"/>
        <w:tblW w:type="auto" w:w="0"/>
        <w:tblLook w:firstColumn="1" w:firstRow="1" w:lastColumn="0" w:lastRow="0" w:noHBand="0" w:noVBand="1" w:val="04A0"/>
      </w:tblPr>
      <w:tblGrid>
        <w:gridCol w:w="5256"/>
        <w:gridCol w:w="5256"/>
      </w:tblGrid>
      <w:tr>
        <w:tc>
          <w:tcPr>
            <w:tcW w:type="dxa" w:w="5256"/>
          </w:tcPr>
          <w:p>
            <w:r>
              <w:t>Status</w:t>
            </w:r>
          </w:p>
        </w:tc>
        <w:tc>
          <w:tcPr>
            <w:tcW w:type="dxa" w:w="5256"/>
          </w:tcPr>
          <w:p>
            <w:r>
              <w:t>Meaning</w:t>
            </w:r>
          </w:p>
        </w:tc>
      </w:tr>
      <w:tr>
        <w:tc>
          <w:tcPr>
            <w:tcW w:type="dxa" w:w="5256"/>
          </w:tcPr>
          <w:p>
            <w:r>
              <w:t>LOCKED/SOURCE-DERIVED</w:t>
            </w:r>
          </w:p>
        </w:tc>
        <w:tc>
          <w:tcPr>
            <w:tcW w:type="dxa" w:w="5256"/>
          </w:tcPr>
          <w:p>
            <w:r>
              <w:t>Explicitly supported by supplied OFG corpus/control registers.</w:t>
            </w:r>
          </w:p>
        </w:tc>
      </w:tr>
      <w:tr>
        <w:tc>
          <w:tcPr>
            <w:tcW w:type="dxa" w:w="5256"/>
          </w:tcPr>
          <w:p>
            <w:r>
              <w:t>VERIFIED PRECEDENT CONSTRAINT</w:t>
            </w:r>
          </w:p>
        </w:tc>
        <w:tc>
          <w:tcPr>
            <w:tcW w:type="dxa" w:w="5256"/>
          </w:tcPr>
          <w:p>
            <w:r>
              <w:t>Supported by authoritative real-world practice; constrains but does not itself establish OFG history.</w:t>
            </w:r>
          </w:p>
        </w:tc>
      </w:tr>
      <w:tr>
        <w:tc>
          <w:tcPr>
            <w:tcW w:type="dxa" w:w="5256"/>
          </w:tcPr>
          <w:p>
            <w:r>
              <w:t>DESIGN RECONSTRUCTION</w:t>
            </w:r>
          </w:p>
        </w:tc>
        <w:tc>
          <w:tcPr>
            <w:tcW w:type="dxa" w:w="5256"/>
          </w:tcPr>
          <w:p>
            <w:r>
              <w:t>New OFG engineering design adopted for internal coherence; must not be misrepresented as previously sourced history.</w:t>
            </w:r>
          </w:p>
        </w:tc>
      </w:tr>
      <w:tr>
        <w:tc>
          <w:tcPr>
            <w:tcW w:type="dxa" w:w="5256"/>
          </w:tcPr>
          <w:p>
            <w:r>
              <w:t>OPEN/CONTROLLED</w:t>
            </w:r>
          </w:p>
        </w:tc>
        <w:tc>
          <w:tcPr>
            <w:tcW w:type="dxa" w:w="5256"/>
          </w:tcPr>
          <w:p>
            <w:r>
              <w:t>Evidence does not support a unique answer; intentionally unresolved.</w:t>
            </w:r>
          </w:p>
        </w:tc>
      </w:tr>
    </w:tbl>
    <w:p>
      <w:pPr>
        <w:pStyle w:val="Heading2"/>
      </w:pPr>
      <w:r>
        <w:t>Authoritative precedent used in Rev 1</w:t>
      </w:r>
    </w:p>
    <w:p>
      <w:r>
        <w:t>CNSC REGDOC-2.5.2 v2.1: design authority, configuration management, SSC interfaces and facility-layout requirements. IAEA Commissioning for Nuclear Power Plants: transfer boundaries, partial-system commissioning, work control and construction/commissioning interfaces. ITER Organization: machine/support-system topology, cooling-water architecture and assembly/installation precedent. QST/JA-DEMO literature: DEMO-class functional architecture precedent.</w:t>
      </w:r>
    </w:p>
    <w:p>
      <w:r>
        <w:t>No exact surveyed OFG coordinate, unprovided line endpoint, cable endpoint, I/O channel, nozzle schedule, serial-level BOM, or hidden historical fact is promoted to LOCKED status.</w:t>
      </w:r>
    </w:p>
    <w:tbl>
      <w:tblPr>
        <w:tblStyle w:val="TableGrid"/>
        <w:tblW w:type="auto" w:w="0"/>
        <w:tblLook w:firstColumn="1" w:firstRow="1" w:lastColumn="0" w:lastRow="0" w:noHBand="0" w:noVBand="1" w:val="04A0"/>
      </w:tblPr>
      <w:tblGrid>
        <w:gridCol w:w="5256"/>
        <w:gridCol w:w="5256"/>
      </w:tblGrid>
      <w:tr>
        <w:tc>
          <w:tcPr>
            <w:tcW w:type="dxa" w:w="5256"/>
          </w:tcPr>
          <w:p>
            <w:r>
              <w:t>Code</w:t>
            </w:r>
          </w:p>
        </w:tc>
        <w:tc>
          <w:tcPr>
            <w:tcW w:type="dxa" w:w="5256"/>
          </w:tcPr>
          <w:p>
            <w:r>
              <w:t>Meaning</w:t>
            </w:r>
          </w:p>
        </w:tc>
      </w:tr>
      <w:tr>
        <w:tc>
          <w:tcPr>
            <w:tcW w:type="dxa" w:w="5256"/>
          </w:tcPr>
          <w:p>
            <w:r>
              <w:t>CON</w:t>
            </w:r>
          </w:p>
        </w:tc>
        <w:tc>
          <w:tcPr>
            <w:tcW w:type="dxa" w:w="5256"/>
          </w:tcPr>
          <w:p>
            <w:r>
              <w:t>Construction-controlled</w:t>
            </w:r>
          </w:p>
        </w:tc>
      </w:tr>
      <w:tr>
        <w:tc>
          <w:tcPr>
            <w:tcW w:type="dxa" w:w="5256"/>
          </w:tcPr>
          <w:p>
            <w:r>
              <w:t>MC</w:t>
            </w:r>
          </w:p>
        </w:tc>
        <w:tc>
          <w:tcPr>
            <w:tcW w:type="dxa" w:w="5256"/>
          </w:tcPr>
          <w:p>
            <w:r>
              <w:t>Mechanical Completion achieved</w:t>
            </w:r>
          </w:p>
        </w:tc>
      </w:tr>
      <w:tr>
        <w:tc>
          <w:tcPr>
            <w:tcW w:type="dxa" w:w="5256"/>
          </w:tcPr>
          <w:p>
            <w:r>
              <w:t>TO</w:t>
            </w:r>
          </w:p>
        </w:tc>
        <w:tc>
          <w:tcPr>
            <w:tcW w:type="dxa" w:w="5256"/>
          </w:tcPr>
          <w:p>
            <w:r>
              <w:t>Formally turned over to commissioning</w:t>
            </w:r>
          </w:p>
        </w:tc>
      </w:tr>
      <w:tr>
        <w:tc>
          <w:tcPr>
            <w:tcW w:type="dxa" w:w="5256"/>
          </w:tcPr>
          <w:p>
            <w:r>
              <w:t>PC</w:t>
            </w:r>
          </w:p>
        </w:tc>
        <w:tc>
          <w:tcPr>
            <w:tcW w:type="dxa" w:w="5256"/>
          </w:tcPr>
          <w:p>
            <w:r>
              <w:t>Pre-commissioning</w:t>
            </w:r>
          </w:p>
        </w:tc>
      </w:tr>
      <w:tr>
        <w:tc>
          <w:tcPr>
            <w:tcW w:type="dxa" w:w="5256"/>
          </w:tcPr>
          <w:p>
            <w:r>
              <w:t>FC</w:t>
            </w:r>
          </w:p>
        </w:tc>
        <w:tc>
          <w:tcPr>
            <w:tcW w:type="dxa" w:w="5256"/>
          </w:tcPr>
          <w:p>
            <w:r>
              <w:t>Functional commissioning</w:t>
            </w:r>
          </w:p>
        </w:tc>
      </w:tr>
      <w:tr>
        <w:tc>
          <w:tcPr>
            <w:tcW w:type="dxa" w:w="5256"/>
          </w:tcPr>
          <w:p>
            <w:r>
              <w:t>IC</w:t>
            </w:r>
          </w:p>
        </w:tc>
        <w:tc>
          <w:tcPr>
            <w:tcW w:type="dxa" w:w="5256"/>
          </w:tcPr>
          <w:p>
            <w:r>
              <w:t>Integrated commissioning</w:t>
            </w:r>
          </w:p>
        </w:tc>
      </w:tr>
      <w:tr>
        <w:tc>
          <w:tcPr>
            <w:tcW w:type="dxa" w:w="5256"/>
          </w:tcPr>
          <w:p>
            <w:r>
              <w:t>OA</w:t>
            </w:r>
          </w:p>
        </w:tc>
        <w:tc>
          <w:tcPr>
            <w:tcW w:type="dxa" w:w="5256"/>
          </w:tcPr>
          <w:p>
            <w:r>
              <w:t>Accepted/available for operating support</w:t>
            </w:r>
          </w:p>
        </w:tc>
      </w:tr>
      <w:tr>
        <w:tc>
          <w:tcPr>
            <w:tcW w:type="dxa" w:w="5256"/>
          </w:tcPr>
          <w:p>
            <w:r>
              <w:t>HOLD</w:t>
            </w:r>
          </w:p>
        </w:tc>
        <w:tc>
          <w:tcPr>
            <w:tcW w:type="dxa" w:w="5256"/>
          </w:tcPr>
          <w:p>
            <w:r>
              <w:t>Progression prohibited pending disposition</w:t>
            </w:r>
          </w:p>
        </w:tc>
      </w:tr>
    </w:tbl>
    <w:p>
      <w:pPr>
        <w:pStyle w:val="Heading1"/>
      </w:pPr>
      <w:r>
        <w:t>19 April 2031 controlled plant-state map</w:t>
      </w:r>
    </w:p>
    <w:p>
      <w:pPr>
        <w:pStyle w:val="ListBullet"/>
      </w:pPr>
      <w:r>
        <w:t>Permanent electrical / DC / UPS: OA / IC</w:t>
      </w:r>
    </w:p>
    <w:p>
      <w:pPr>
        <w:pStyle w:val="ListBullet"/>
      </w:pPr>
      <w:r>
        <w:t>Cooling water / chilled water / fire / HVAC: OA / IC</w:t>
      </w:r>
    </w:p>
    <w:p>
      <w:pPr>
        <w:pStyle w:val="ListBullet"/>
      </w:pPr>
      <w:r>
        <w:t>Plant DCS / MPS / safety I&amp;C: IC</w:t>
      </w:r>
    </w:p>
    <w:p>
      <w:pPr>
        <w:pStyle w:val="ListBullet"/>
      </w:pPr>
      <w:r>
        <w:t>Cryoplant / cryodistribution: IC; operating support</w:t>
      </w:r>
    </w:p>
    <w:p>
      <w:pPr>
        <w:pStyle w:val="ListBullet"/>
      </w:pPr>
      <w:r>
        <w:t>TF/PF/CS magnet circuits: IC; staged energization</w:t>
      </w:r>
    </w:p>
    <w:p>
      <w:pPr>
        <w:pStyle w:val="ListBullet"/>
      </w:pPr>
      <w:r>
        <w:t>Vacuum: IC; pump-down/leak campaigns</w:t>
      </w:r>
    </w:p>
    <w:p>
      <w:pPr>
        <w:pStyle w:val="ListBullet"/>
      </w:pPr>
      <w:r>
        <w:t>Blanket/divertor/vessel cooling: FC / IC</w:t>
      </w:r>
    </w:p>
    <w:p>
      <w:pPr>
        <w:pStyle w:val="ListBullet"/>
      </w:pPr>
      <w:r>
        <w:t>Fuelling / disruption mitigation: FC / IC</w:t>
      </w:r>
    </w:p>
    <w:p>
      <w:pPr>
        <w:pStyle w:val="ListBullet"/>
      </w:pPr>
      <w:r>
        <w:t>ECH: FC / IC</w:t>
      </w:r>
    </w:p>
    <w:p>
      <w:pPr>
        <w:pStyle w:val="ListBullet"/>
      </w:pPr>
      <w:r>
        <w:t>NBI / ICH: PC / FC; portions post-First-Plasma</w:t>
      </w:r>
    </w:p>
    <w:p>
      <w:pPr>
        <w:pStyle w:val="ListBullet"/>
      </w:pPr>
      <w:r>
        <w:t>Tritium/fuel cycle: PC / FC; no full D-T service</w:t>
      </w:r>
    </w:p>
    <w:p>
      <w:pPr>
        <w:pStyle w:val="ListBullet"/>
      </w:pPr>
      <w:r>
        <w:t>Hot cell / remote handling: FC; cold acceptance/training</w:t>
      </w:r>
    </w:p>
    <w:p>
      <w:pPr>
        <w:pStyle w:val="ListBullet"/>
      </w:pPr>
      <w:r>
        <w:t>Main steam / turbine / feedwater: PC / FC</w:t>
      </w:r>
    </w:p>
    <w:p>
      <w:pPr>
        <w:pStyle w:val="ListBullet"/>
      </w:pPr>
      <w:r>
        <w:t>Grid synchronization: Not yet performed</w:t>
      </w:r>
    </w:p>
    <w:p>
      <w:pPr>
        <w:pStyle w:val="ListBullet"/>
      </w:pPr>
      <w:r>
        <w:t>Residual construction pockets: CON under post-turnover authorization where inside commissioned boundaries</w:t>
      </w:r>
    </w:p>
    <w:p>
      <w:pPr>
        <w:pStyle w:val="Heading1"/>
      </w:pPr>
      <w:r>
        <w:t>Turnover evidence chain</w:t>
      </w:r>
    </w:p>
    <w:p>
      <w:r>
        <w:t>Construction release → installation completion → inspection/test completion → punch categorization → Mechanical Completion certificate → boundary walkdown → turnover package → commissioning acceptance → pre-commissioning → functional test → integrated test → operating-support acceptance. No arrow is automatically implied by the preceding state.</w:t>
      </w:r>
    </w:p>
    <w:p>
      <w:pPr>
        <w:pStyle w:val="Heading1"/>
      </w:pPr>
      <w:r>
        <w:t>Rev 1 change and backward-propagation register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t>Old statement</w:t>
            </w:r>
          </w:p>
        </w:tc>
        <w:tc>
          <w:tcPr>
            <w:tcW w:type="dxa" w:w="1752"/>
          </w:tcPr>
          <w:p>
            <w:r>
              <w:t>Rev 1 statement</w:t>
            </w:r>
          </w:p>
        </w:tc>
        <w:tc>
          <w:tcPr>
            <w:tcW w:type="dxa" w:w="1752"/>
          </w:tcPr>
          <w:p>
            <w:r>
              <w:t>Reason</w:t>
            </w:r>
          </w:p>
        </w:tc>
        <w:tc>
          <w:tcPr>
            <w:tcW w:type="dxa" w:w="1752"/>
          </w:tcPr>
          <w:p>
            <w:r>
              <w:t>Evidence class</w:t>
            </w:r>
          </w:p>
        </w:tc>
        <w:tc>
          <w:tcPr>
            <w:tcW w:type="dxa" w:w="1752"/>
          </w:tcPr>
          <w:p>
            <w:r>
              <w:t>Affected packets</w:t>
            </w:r>
          </w:p>
        </w:tc>
        <w:tc>
          <w:tcPr>
            <w:tcW w:type="dxa" w:w="1752"/>
          </w:tcPr>
          <w:p>
            <w:r>
              <w:t>Status</w:t>
            </w:r>
          </w:p>
        </w:tc>
      </w:tr>
      <w:tr>
        <w:tc>
          <w:tcPr>
            <w:tcW w:type="dxa" w:w="1752"/>
          </w:tcPr>
          <w:p>
            <w:r>
              <w:t>Exact coordinates unavailable.</w:t>
            </w:r>
          </w:p>
        </w:tc>
        <w:tc>
          <w:tcPr>
            <w:tcW w:type="dxa" w:w="1752"/>
          </w:tcPr>
          <w:p>
            <w:r>
              <w:t>A project-local engineering coordinate framework is introduced, but all numeric coordinates remain DESIGN RECONSTRUCTION until survey/master-plot evidence is supplied.</w:t>
            </w:r>
          </w:p>
        </w:tc>
        <w:tc>
          <w:tcPr>
            <w:tcW w:type="dxa" w:w="1752"/>
          </w:tcPr>
          <w:p>
            <w:r>
              <w:t>Needed to make the plant spatially computable without falsifying provenance.</w:t>
            </w:r>
          </w:p>
        </w:tc>
        <w:tc>
          <w:tcPr>
            <w:tcW w:type="dxa" w:w="1752"/>
          </w:tcPr>
          <w:p>
            <w:r>
              <w:t>Corpus + layout precedent</w:t>
            </w:r>
          </w:p>
        </w:tc>
        <w:tc>
          <w:tcPr>
            <w:tcW w:type="dxa" w:w="1752"/>
          </w:tcPr>
          <w:p>
            <w:r>
              <w:t>S01,S03-S10; earlier geography packets</w:t>
            </w:r>
          </w:p>
        </w:tc>
        <w:tc>
          <w:tcPr>
            <w:tcW w:type="dxa" w:w="1752"/>
          </w:tcPr>
          <w:p>
            <w:r>
              <w:t>CONTROLLED</w:t>
            </w:r>
          </w:p>
        </w:tc>
      </w:tr>
      <w:tr>
        <w:tc>
          <w:tcPr>
            <w:tcW w:type="dxa" w:w="1752"/>
          </w:tcPr>
          <w:p>
            <w:r>
              <w:t>System connectivity summarized functionally.</w:t>
            </w:r>
          </w:p>
        </w:tc>
        <w:tc>
          <w:tcPr>
            <w:tcW w:type="dxa" w:w="1752"/>
          </w:tcPr>
          <w:p>
            <w:r>
              <w:t>Interfaces are decomposed by process/electrical/I&amp;C/network/structural/material-handling edge classes; unsupported endpoints remain OPEN.</w:t>
            </w:r>
          </w:p>
        </w:tc>
        <w:tc>
          <w:tcPr>
            <w:tcW w:type="dxa" w:w="1752"/>
          </w:tcPr>
          <w:p>
            <w:r>
              <w:t>Prevents inferred graphs from masquerading as as-built evidence.</w:t>
            </w:r>
          </w:p>
        </w:tc>
        <w:tc>
          <w:tcPr>
            <w:tcW w:type="dxa" w:w="1752"/>
          </w:tcPr>
          <w:p>
            <w:r>
              <w:t>Corpus + CNSC/IAEA</w:t>
            </w:r>
          </w:p>
        </w:tc>
        <w:tc>
          <w:tcPr>
            <w:tcW w:type="dxa" w:w="1752"/>
          </w:tcPr>
          <w:p>
            <w:r>
              <w:t>S02,S06,S07; commissioning packets</w:t>
            </w:r>
          </w:p>
        </w:tc>
        <w:tc>
          <w:tcPr>
            <w:tcW w:type="dxa" w:w="1752"/>
          </w:tcPr>
          <w:p>
            <w:r>
              <w:t>CONTROLLED</w:t>
            </w:r>
          </w:p>
        </w:tc>
      </w:tr>
      <w:tr>
        <w:tc>
          <w:tcPr>
            <w:tcW w:type="dxa" w:w="1752"/>
          </w:tcPr>
          <w:p>
            <w:r>
              <w:t>Temporary plant treated as support equipment.</w:t>
            </w:r>
          </w:p>
        </w:tc>
        <w:tc>
          <w:tcPr>
            <w:tcW w:type="dxa" w:w="1752"/>
          </w:tcPr>
          <w:p>
            <w:r>
              <w:t>Temporary commissioning and construction assets are configuration items whenever they interface with commissioned plant.</w:t>
            </w:r>
          </w:p>
        </w:tc>
        <w:tc>
          <w:tcPr>
            <w:tcW w:type="dxa" w:w="1752"/>
          </w:tcPr>
          <w:p>
            <w:r>
              <w:t>IAEA construction/commissioning interface practice and CRS-01 canon.</w:t>
            </w:r>
          </w:p>
        </w:tc>
        <w:tc>
          <w:tcPr>
            <w:tcW w:type="dxa" w:w="1752"/>
          </w:tcPr>
          <w:p>
            <w:r>
              <w:t>Corpus + IAEA</w:t>
            </w:r>
          </w:p>
        </w:tc>
        <w:tc>
          <w:tcPr>
            <w:tcW w:type="dxa" w:w="1752"/>
          </w:tcPr>
          <w:p>
            <w:r>
              <w:t>S05; CRS-01 investigation packets</w:t>
            </w:r>
          </w:p>
        </w:tc>
        <w:tc>
          <w:tcPr>
            <w:tcW w:type="dxa" w:w="1752"/>
          </w:tcPr>
          <w:p>
            <w:r>
              <w:t>LOCKED/EXPANDED</w:t>
            </w:r>
          </w:p>
        </w:tc>
      </w:tr>
      <w:tr>
        <w:tc>
          <w:tcPr>
            <w:tcW w:type="dxa" w:w="1752"/>
          </w:tcPr>
          <w:p>
            <w:r>
              <w:t>Construction completion used as broad maturity proxy.</w:t>
            </w:r>
          </w:p>
        </w:tc>
        <w:tc>
          <w:tcPr>
            <w:tcW w:type="dxa" w:w="1752"/>
          </w:tcPr>
          <w:p>
            <w:r>
              <w:t>Construction, MC, turnover, pre-commissioning, functional commissioning, integrated commissioning and operating acceptance are distinct states.</w:t>
            </w:r>
          </w:p>
        </w:tc>
        <w:tc>
          <w:tcPr>
            <w:tcW w:type="dxa" w:w="1752"/>
          </w:tcPr>
          <w:p>
            <w:r>
              <w:t>Explicit Rev N control rule and commissioning precedent.</w:t>
            </w:r>
          </w:p>
        </w:tc>
        <w:tc>
          <w:tcPr>
            <w:tcW w:type="dxa" w:w="1752"/>
          </w:tcPr>
          <w:p>
            <w:r>
              <w:t>Corpus + IAEA</w:t>
            </w:r>
          </w:p>
        </w:tc>
        <w:tc>
          <w:tcPr>
            <w:tcW w:type="dxa" w:w="1752"/>
          </w:tcPr>
          <w:p>
            <w:r>
              <w:t>All 2027-2031 field histories</w:t>
            </w:r>
          </w:p>
        </w:tc>
        <w:tc>
          <w:tcPr>
            <w:tcW w:type="dxa" w:w="1752"/>
          </w:tcPr>
          <w:p>
            <w:r>
              <w:t>LOCKED</w:t>
            </w:r>
          </w:p>
        </w:tc>
      </w:tr>
    </w:tbl>
    <w:p>
      <w:pPr>
        <w:pStyle w:val="Heading1"/>
      </w:pPr>
      <w:r>
        <w:t>Source register</w:t>
      </w:r>
    </w:p>
    <w:p>
      <w:pPr>
        <w:pStyle w:val="ListBullet"/>
      </w:pPr>
      <w:r>
        <w:t>Supplied OFG Encyclopedia Rev N Volumes 00-14, Master Canonical Story Backbone, Annex A controlled asset register, Annex B chronological registers, and prior System Encyclopedia Rev 0 volumes.</w:t>
      </w:r>
    </w:p>
    <w:p>
      <w:pPr>
        <w:pStyle w:val="ListBullet"/>
      </w:pPr>
      <w:r>
        <w:t>Canadian Nuclear Safety Commission, REGDOC-2.5.2, Design of Reactor Facilities, Version 2.1 (May 2023).</w:t>
      </w:r>
    </w:p>
    <w:p>
      <w:pPr>
        <w:pStyle w:val="ListBullet"/>
      </w:pPr>
      <w:r>
        <w:t>International Atomic Energy Agency, Commissioning for Nuclear Power Plants — guidance on interfaces, transfer, work control and partially installed systems.</w:t>
      </w:r>
    </w:p>
    <w:p>
      <w:pPr>
        <w:pStyle w:val="ListBullet"/>
      </w:pPr>
      <w:r>
        <w:t>ITER Organization official system descriptions and assembly/construction material, including cooling-water and machine/support-system architecture.</w:t>
      </w:r>
    </w:p>
    <w:p>
      <w:pPr>
        <w:pStyle w:val="ListBullet"/>
      </w:pPr>
      <w:r>
        <w:t>QST / Japanese DEMO conceptual-design publications used only as fusion-DEMO precedent where the supplied corpus calls for them.</w:t>
      </w:r>
    </w:p>
    <w:p>
      <w:r>
        <w:br w:type="page"/>
      </w:r>
    </w:p>
    <w:p>
      <w:pPr>
        <w:pStyle w:val="Heading1"/>
      </w:pPr>
      <w:r>
        <w:t>Controlled register — COMM04_R01_Commissioning_Boundary_Register.csv</w:t>
      </w:r>
    </w:p>
    <w:p>
      <w:pPr>
        <w:sectPr>
          <w:pgSz w:w="12240" w:h="15840"/>
          <w:pgMar w:top="648" w:right="720" w:bottom="648" w:left="720" w:header="720" w:footer="720" w:gutter="0"/>
          <w:cols w:space="720"/>
          <w:docGrid w:linePitch="360"/>
        </w:sectPr>
      </w:pPr>
    </w:p>
    <w:tbl>
      <w:tblPr>
        <w:tblStyle w:val="TableGrid"/>
        <w:tblW w:type="auto" w:w="0"/>
        <w:tblLook w:firstColumn="1" w:firstRow="1" w:lastColumn="0" w:lastRow="0" w:noHBand="0" w:noVBand="1" w:val="04A0"/>
      </w:tblPr>
      <w:tblGrid>
        <w:gridCol w:w="2119"/>
        <w:gridCol w:w="2119"/>
        <w:gridCol w:w="2119"/>
        <w:gridCol w:w="2119"/>
        <w:gridCol w:w="2119"/>
        <w:gridCol w:w="2119"/>
        <w:gridCol w:w="2119"/>
      </w:tblGrid>
      <w:tr>
        <w:tc>
          <w:tcPr>
            <w:tcW w:type="dxa" w:w="2119"/>
          </w:tcPr>
          <w:p>
            <w:r>
              <w:t>Boundary</w:t>
            </w:r>
          </w:p>
        </w:tc>
        <w:tc>
          <w:tcPr>
            <w:tcW w:type="dxa" w:w="2119"/>
          </w:tcPr>
          <w:p>
            <w:r>
              <w:t>Included_configuration</w:t>
            </w:r>
          </w:p>
        </w:tc>
        <w:tc>
          <w:tcPr>
            <w:tcW w:type="dxa" w:w="2119"/>
          </w:tcPr>
          <w:p>
            <w:r>
              <w:t>Purpose</w:t>
            </w:r>
          </w:p>
        </w:tc>
        <w:tc>
          <w:tcPr>
            <w:tcW w:type="dxa" w:w="2119"/>
          </w:tcPr>
          <w:p>
            <w:r>
              <w:t>Authority</w:t>
            </w:r>
          </w:p>
        </w:tc>
        <w:tc>
          <w:tcPr>
            <w:tcW w:type="dxa" w:w="2119"/>
          </w:tcPr>
          <w:p>
            <w:r>
              <w:t>Prerequisites/evidence</w:t>
            </w:r>
          </w:p>
        </w:tc>
        <w:tc>
          <w:tcPr>
            <w:tcW w:type="dxa" w:w="2119"/>
          </w:tcPr>
          <w:p>
            <w:r>
              <w:t>2031-04-19_state</w:t>
            </w:r>
          </w:p>
        </w:tc>
        <w:tc>
          <w:tcPr>
            <w:tcW w:type="dxa" w:w="2119"/>
          </w:tcPr>
          <w:p>
            <w:r>
              <w:t>Status</w:t>
            </w:r>
          </w:p>
        </w:tc>
      </w:tr>
      <w:tr>
        <w:tc>
          <w:tcPr>
            <w:tcW w:type="dxa" w:w="2119"/>
          </w:tcPr>
          <w:p>
            <w:r>
              <w:t>CB-BHT-01</w:t>
            </w:r>
          </w:p>
        </w:tc>
        <w:tc>
          <w:tcPr>
            <w:tcW w:type="dxa" w:w="2119"/>
          </w:tcPr>
          <w:p>
            <w:r>
              <w:t>BHT Train 1 + temporary CRS-01 loop</w:t>
            </w:r>
          </w:p>
        </w:tc>
        <w:tc>
          <w:tcPr>
            <w:tcW w:type="dxa" w:w="2119"/>
          </w:tcPr>
          <w:p>
            <w:r>
              <w:t>temporary hydraulic test/recirculation boundary</w:t>
            </w:r>
          </w:p>
        </w:tc>
        <w:tc>
          <w:tcPr>
            <w:tcW w:type="dxa" w:w="2119"/>
          </w:tcPr>
          <w:p>
            <w:r>
              <w:t>OPG Commissioning</w:t>
            </w:r>
          </w:p>
        </w:tc>
        <w:tc>
          <w:tcPr>
            <w:tcW w:type="dxa" w:w="2119"/>
          </w:tcPr>
          <w:p>
            <w:r>
              <w:t>Rev C temp design; PTW; calibrated test instruments; restraint/support inspection</w:t>
            </w:r>
          </w:p>
        </w:tc>
        <w:tc>
          <w:tcPr>
            <w:tcW w:type="dxa" w:w="2119"/>
          </w:tcPr>
          <w:p>
            <w:r>
              <w:t>skid isolated; train restricted 19-Apr</w:t>
            </w:r>
          </w:p>
        </w:tc>
        <w:tc>
          <w:tcPr>
            <w:tcW w:type="dxa" w:w="2119"/>
          </w:tcPr>
          <w:p>
            <w:r>
              <w:t>C</w:t>
            </w:r>
          </w:p>
        </w:tc>
      </w:tr>
      <w:tr>
        <w:tc>
          <w:tcPr>
            <w:tcW w:type="dxa" w:w="2119"/>
          </w:tcPr>
          <w:p>
            <w:r>
              <w:t>CB-VAC-02</w:t>
            </w:r>
          </w:p>
        </w:tc>
        <w:tc>
          <w:tcPr>
            <w:tcW w:type="dxa" w:w="2119"/>
          </w:tcPr>
          <w:p>
            <w:r>
              <w:t>VV roughing train 2 boundary</w:t>
            </w:r>
          </w:p>
        </w:tc>
        <w:tc>
          <w:tcPr>
            <w:tcW w:type="dxa" w:w="2119"/>
          </w:tcPr>
          <w:p>
            <w:r>
              <w:t>vacuum pumpdown</w:t>
            </w:r>
          </w:p>
        </w:tc>
        <w:tc>
          <w:tcPr>
            <w:tcW w:type="dxa" w:w="2119"/>
          </w:tcPr>
          <w:p>
            <w:r>
              <w:t>OPG Commissioning</w:t>
            </w:r>
          </w:p>
        </w:tc>
        <w:tc>
          <w:tcPr>
            <w:tcW w:type="dxa" w:w="2119"/>
          </w:tcPr>
          <w:p>
            <w:r>
              <w:t>approved lineup; isolation; calibrated vacuum gauges; leak status; protection permissives</w:t>
            </w:r>
          </w:p>
        </w:tc>
        <w:tc>
          <w:tcPr>
            <w:tcW w:type="dxa" w:w="2119"/>
          </w:tcPr>
          <w:p>
            <w:r>
              <w:t>in service 07:15 19-Apr</w:t>
            </w:r>
          </w:p>
        </w:tc>
        <w:tc>
          <w:tcPr>
            <w:tcW w:type="dxa" w:w="2119"/>
          </w:tcPr>
          <w:p>
            <w:r>
              <w:t>C/E</w:t>
            </w:r>
          </w:p>
        </w:tc>
      </w:tr>
      <w:tr>
        <w:tc>
          <w:tcPr>
            <w:tcW w:type="dxa" w:w="2119"/>
          </w:tcPr>
          <w:p>
            <w:r>
              <w:t>CB-CRYO-A/C</w:t>
            </w:r>
          </w:p>
        </w:tc>
        <w:tc>
          <w:tcPr>
            <w:tcW w:type="dxa" w:w="2119"/>
          </w:tcPr>
          <w:p>
            <w:r>
              <w:t>Cryoplant A/C to selected clients</w:t>
            </w:r>
          </w:p>
        </w:tc>
        <w:tc>
          <w:tcPr>
            <w:tcW w:type="dxa" w:w="2119"/>
          </w:tcPr>
          <w:p>
            <w:r>
              <w:t>cryogenic campaign</w:t>
            </w:r>
          </w:p>
        </w:tc>
        <w:tc>
          <w:tcPr>
            <w:tcW w:type="dxa" w:w="2119"/>
          </w:tcPr>
          <w:p>
            <w:r>
              <w:t>OPG Commissioning</w:t>
            </w:r>
          </w:p>
        </w:tc>
        <w:tc>
          <w:tcPr>
            <w:tcW w:type="dxa" w:w="2119"/>
          </w:tcPr>
          <w:p>
            <w:r>
              <w:t>train availability; relief/quench; leak tightness; client readiness</w:t>
            </w:r>
          </w:p>
        </w:tc>
        <w:tc>
          <w:tcPr>
            <w:tcW w:type="dxa" w:w="2119"/>
          </w:tcPr>
          <w:p>
            <w:r>
              <w:t>A/C available; B unavailable</w:t>
            </w:r>
          </w:p>
        </w:tc>
        <w:tc>
          <w:tcPr>
            <w:tcW w:type="dxa" w:w="2119"/>
          </w:tcPr>
          <w:p>
            <w:r>
              <w:t>C/E</w:t>
            </w:r>
          </w:p>
        </w:tc>
      </w:tr>
      <w:tr>
        <w:tc>
          <w:tcPr>
            <w:tcW w:type="dxa" w:w="2119"/>
          </w:tcPr>
          <w:p>
            <w:r>
              <w:t>CB-MAG-01</w:t>
            </w:r>
          </w:p>
        </w:tc>
        <w:tc>
          <w:tcPr>
            <w:tcW w:type="dxa" w:w="2119"/>
          </w:tcPr>
          <w:p>
            <w:r>
              <w:t>selected magnet energization circuit</w:t>
            </w:r>
          </w:p>
        </w:tc>
        <w:tc>
          <w:tcPr>
            <w:tcW w:type="dxa" w:w="2119"/>
          </w:tcPr>
          <w:p>
            <w:r>
              <w:t>controlled energization</w:t>
            </w:r>
          </w:p>
        </w:tc>
        <w:tc>
          <w:tcPr>
            <w:tcW w:type="dxa" w:w="2119"/>
          </w:tcPr>
          <w:p>
            <w:r>
              <w:t>OPG Commissioning</w:t>
            </w:r>
          </w:p>
        </w:tc>
        <w:tc>
          <w:tcPr>
            <w:tcW w:type="dxa" w:w="2119"/>
          </w:tcPr>
          <w:p>
            <w:r>
              <w:t>walkdown; cryo state; converter/feeder readiness; quench/MPS tests</w:t>
            </w:r>
          </w:p>
        </w:tc>
        <w:tc>
          <w:tcPr>
            <w:tcW w:type="dxa" w:w="2119"/>
          </w:tcPr>
          <w:p>
            <w:r>
              <w:t>prerequisite walkdown 07:00</w:t>
            </w:r>
          </w:p>
        </w:tc>
        <w:tc>
          <w:tcPr>
            <w:tcW w:type="dxa" w:w="2119"/>
          </w:tcPr>
          <w:p>
            <w:r>
              <w:t>C/E</w:t>
            </w:r>
          </w:p>
        </w:tc>
      </w:tr>
      <w:tr>
        <w:tc>
          <w:tcPr>
            <w:tcW w:type="dxa" w:w="2119"/>
          </w:tcPr>
          <w:p>
            <w:r>
              <w:t>CB-HVAC-01</w:t>
            </w:r>
          </w:p>
        </w:tc>
        <w:tc>
          <w:tcPr>
            <w:tcW w:type="dxa" w:w="2119"/>
          </w:tcPr>
          <w:p>
            <w:r>
              <w:t>selected confinement ventilation test boundary</w:t>
            </w:r>
          </w:p>
        </w:tc>
        <w:tc>
          <w:tcPr>
            <w:tcW w:type="dxa" w:w="2119"/>
          </w:tcPr>
          <w:p>
            <w:r>
              <w:t>cold functional test</w:t>
            </w:r>
          </w:p>
        </w:tc>
        <w:tc>
          <w:tcPr>
            <w:tcW w:type="dxa" w:w="2119"/>
          </w:tcPr>
          <w:p>
            <w:r>
              <w:t>OPG Commissioning/E&amp;C completion</w:t>
            </w:r>
          </w:p>
        </w:tc>
        <w:tc>
          <w:tcPr>
            <w:tcW w:type="dxa" w:w="2119"/>
          </w:tcPr>
          <w:p>
            <w:r>
              <w:t>damper lineup; fan/filter state; calibrated DP instruments</w:t>
            </w:r>
          </w:p>
        </w:tc>
        <w:tc>
          <w:tcPr>
            <w:tcW w:type="dxa" w:w="2119"/>
          </w:tcPr>
          <w:p>
            <w:r>
              <w:t>pre-tritium</w:t>
            </w:r>
          </w:p>
        </w:tc>
        <w:tc>
          <w:tcPr>
            <w:tcW w:type="dxa" w:w="2119"/>
          </w:tcPr>
          <w:p>
            <w:r>
              <w:t>E/C</w:t>
            </w:r>
          </w:p>
        </w:tc>
      </w:tr>
    </w:tbl>
    <w:p>
      <w:r>
        <w:t>Rows preserved in this register: 5.</w:t>
      </w:r>
    </w:p>
    <w:p>
      <w:r>
        <w:br w:type="page"/>
      </w:r>
    </w:p>
    <w:p>
      <w:pPr>
        <w:pStyle w:val="Heading1"/>
      </w:pPr>
      <w:r>
        <w:t>Controlled register — WP05_R01_Physical_Object_Lifecycle_Package_Model.csv</w:t>
      </w:r>
    </w:p>
    <w:p>
      <w:pPr>
        <w:sectPr>
          <w:pgSz w:w="15840" w:h="122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246"/>
        <w:gridCol w:w="2246"/>
        <w:gridCol w:w="2246"/>
        <w:gridCol w:w="2246"/>
        <w:gridCol w:w="2246"/>
      </w:tblGrid>
      <w:tr>
        <w:tc>
          <w:tcPr>
            <w:tcW w:type="dxa" w:w="2246"/>
          </w:tcPr>
          <w:p>
            <w:r>
              <w:t>Package</w:t>
            </w:r>
          </w:p>
        </w:tc>
        <w:tc>
          <w:tcPr>
            <w:tcW w:type="dxa" w:w="2246"/>
          </w:tcPr>
          <w:p>
            <w:r>
              <w:t>Stage</w:t>
            </w:r>
          </w:p>
        </w:tc>
        <w:tc>
          <w:tcPr>
            <w:tcW w:type="dxa" w:w="2246"/>
          </w:tcPr>
          <w:p>
            <w:r>
              <w:t>Minimum_inputs</w:t>
            </w:r>
          </w:p>
        </w:tc>
        <w:tc>
          <w:tcPr>
            <w:tcW w:type="dxa" w:w="2246"/>
          </w:tcPr>
          <w:p>
            <w:r>
              <w:t>Authority</w:t>
            </w:r>
          </w:p>
        </w:tc>
        <w:tc>
          <w:tcPr>
            <w:tcW w:type="dxa" w:w="2246"/>
          </w:tcPr>
          <w:p>
            <w:r>
              <w:t>Output</w:t>
            </w:r>
          </w:p>
        </w:tc>
      </w:tr>
      <w:tr>
        <w:tc>
          <w:tcPr>
            <w:tcW w:type="dxa" w:w="2246"/>
          </w:tcPr>
          <w:p>
            <w:r>
              <w:t>WP-DES</w:t>
            </w:r>
          </w:p>
        </w:tc>
        <w:tc>
          <w:tcPr>
            <w:tcW w:type="dxa" w:w="2246"/>
          </w:tcPr>
          <w:p>
            <w:r>
              <w:t>design release</w:t>
            </w:r>
          </w:p>
        </w:tc>
        <w:tc>
          <w:tcPr>
            <w:tcW w:type="dxa" w:w="2246"/>
          </w:tcPr>
          <w:p>
            <w:r>
              <w:t>approved drawing/model/spec/calculation; interfaces; hold points</w:t>
            </w:r>
          </w:p>
        </w:tc>
        <w:tc>
          <w:tcPr>
            <w:tcW w:type="dxa" w:w="2246"/>
          </w:tcPr>
          <w:p>
            <w:r>
              <w:t>design authority</w:t>
            </w:r>
          </w:p>
        </w:tc>
        <w:tc>
          <w:tcPr>
            <w:tcW w:type="dxa" w:w="2246"/>
          </w:tcPr>
          <w:p>
            <w:r>
              <w:t>IFC/released package</w:t>
            </w:r>
          </w:p>
        </w:tc>
      </w:tr>
      <w:tr>
        <w:tc>
          <w:tcPr>
            <w:tcW w:type="dxa" w:w="2246"/>
          </w:tcPr>
          <w:p>
            <w:r>
              <w:t>WP-PROC</w:t>
            </w:r>
          </w:p>
        </w:tc>
        <w:tc>
          <w:tcPr>
            <w:tcW w:type="dxa" w:w="2246"/>
          </w:tcPr>
          <w:p>
            <w:r>
              <w:t>procurement/manufacture</w:t>
            </w:r>
          </w:p>
        </w:tc>
        <w:tc>
          <w:tcPr>
            <w:tcW w:type="dxa" w:w="2246"/>
          </w:tcPr>
          <w:p>
            <w:r>
              <w:t>PO/spec; vendor data; material traceability; FAT</w:t>
            </w:r>
          </w:p>
        </w:tc>
        <w:tc>
          <w:tcPr>
            <w:tcW w:type="dxa" w:w="2246"/>
          </w:tcPr>
          <w:p>
            <w:r>
              <w:t>procurement + supplier + QA</w:t>
            </w:r>
          </w:p>
        </w:tc>
        <w:tc>
          <w:tcPr>
            <w:tcW w:type="dxa" w:w="2246"/>
          </w:tcPr>
          <w:p>
            <w:r>
              <w:t>accepted item/data book</w:t>
            </w:r>
          </w:p>
        </w:tc>
      </w:tr>
      <w:tr>
        <w:tc>
          <w:tcPr>
            <w:tcW w:type="dxa" w:w="2246"/>
          </w:tcPr>
          <w:p>
            <w:r>
              <w:t>WP-LOG</w:t>
            </w:r>
          </w:p>
        </w:tc>
        <w:tc>
          <w:tcPr>
            <w:tcW w:type="dxa" w:w="2246"/>
          </w:tcPr>
          <w:p>
            <w:r>
              <w:t>transport/receipt/storage</w:t>
            </w:r>
          </w:p>
        </w:tc>
        <w:tc>
          <w:tcPr>
            <w:tcW w:type="dxa" w:w="2246"/>
          </w:tcPr>
          <w:p>
            <w:r>
              <w:t>shipping plan; lift/transport restraints; receipt inspection; preservation</w:t>
            </w:r>
          </w:p>
        </w:tc>
        <w:tc>
          <w:tcPr>
            <w:tcW w:type="dxa" w:w="2246"/>
          </w:tcPr>
          <w:p>
            <w:r>
              <w:t>logistics/site materials</w:t>
            </w:r>
          </w:p>
        </w:tc>
        <w:tc>
          <w:tcPr>
            <w:tcW w:type="dxa" w:w="2246"/>
          </w:tcPr>
          <w:p>
            <w:r>
              <w:t>released for installation</w:t>
            </w:r>
          </w:p>
        </w:tc>
      </w:tr>
      <w:tr>
        <w:tc>
          <w:tcPr>
            <w:tcW w:type="dxa" w:w="2246"/>
          </w:tcPr>
          <w:p>
            <w:r>
              <w:t>WP-IWP</w:t>
            </w:r>
          </w:p>
        </w:tc>
        <w:tc>
          <w:tcPr>
            <w:tcW w:type="dxa" w:w="2246"/>
          </w:tcPr>
          <w:p>
            <w:r>
              <w:t>installation work package</w:t>
            </w:r>
          </w:p>
        </w:tc>
        <w:tc>
          <w:tcPr>
            <w:tcW w:type="dxa" w:w="2246"/>
          </w:tcPr>
          <w:p>
            <w:r>
              <w:t>latest design; method; sequence; temporary works; access; tools; hazards; ITP</w:t>
            </w:r>
          </w:p>
        </w:tc>
        <w:tc>
          <w:tcPr>
            <w:tcW w:type="dxa" w:w="2246"/>
          </w:tcPr>
          <w:p>
            <w:r>
              <w:t>construction</w:t>
            </w:r>
          </w:p>
        </w:tc>
        <w:tc>
          <w:tcPr>
            <w:tcW w:type="dxa" w:w="2246"/>
          </w:tcPr>
          <w:p>
            <w:r>
              <w:t>installed physical scope</w:t>
            </w:r>
          </w:p>
        </w:tc>
      </w:tr>
      <w:tr>
        <w:tc>
          <w:tcPr>
            <w:tcW w:type="dxa" w:w="2246"/>
          </w:tcPr>
          <w:p>
            <w:r>
              <w:t>WP-QA</w:t>
            </w:r>
          </w:p>
        </w:tc>
        <w:tc>
          <w:tcPr>
            <w:tcW w:type="dxa" w:w="2246"/>
          </w:tcPr>
          <w:p>
            <w:r>
              <w:t>inspection/NDE</w:t>
            </w:r>
          </w:p>
        </w:tc>
        <w:tc>
          <w:tcPr>
            <w:tcW w:type="dxa" w:w="2246"/>
          </w:tcPr>
          <w:p>
            <w:r>
              <w:t>ITP; weld/bolt/anchor/survey/NDE records</w:t>
            </w:r>
          </w:p>
        </w:tc>
        <w:tc>
          <w:tcPr>
            <w:tcW w:type="dxa" w:w="2246"/>
          </w:tcPr>
          <w:p>
            <w:r>
              <w:t>QA/QC</w:t>
            </w:r>
          </w:p>
        </w:tc>
        <w:tc>
          <w:tcPr>
            <w:tcW w:type="dxa" w:w="2246"/>
          </w:tcPr>
          <w:p>
            <w:r>
              <w:t>accepted construction evidence</w:t>
            </w:r>
          </w:p>
        </w:tc>
      </w:tr>
      <w:tr>
        <w:tc>
          <w:tcPr>
            <w:tcW w:type="dxa" w:w="2246"/>
          </w:tcPr>
          <w:p>
            <w:r>
              <w:t>WP-MC</w:t>
            </w:r>
          </w:p>
        </w:tc>
        <w:tc>
          <w:tcPr>
            <w:tcW w:type="dxa" w:w="2246"/>
          </w:tcPr>
          <w:p>
            <w:r>
              <w:t>mechanical completion</w:t>
            </w:r>
          </w:p>
        </w:tc>
        <w:tc>
          <w:tcPr>
            <w:tcW w:type="dxa" w:w="2246"/>
          </w:tcPr>
          <w:p>
            <w:r>
              <w:t>scope check; punch; cleanliness; preservation; tags</w:t>
            </w:r>
          </w:p>
        </w:tc>
        <w:tc>
          <w:tcPr>
            <w:tcW w:type="dxa" w:w="2246"/>
          </w:tcPr>
          <w:p>
            <w:r>
              <w:t>construction + commissioning</w:t>
            </w:r>
          </w:p>
        </w:tc>
        <w:tc>
          <w:tcPr>
            <w:tcW w:type="dxa" w:w="2246"/>
          </w:tcPr>
          <w:p>
            <w:r>
              <w:t>MC certificate</w:t>
            </w:r>
          </w:p>
        </w:tc>
      </w:tr>
      <w:tr>
        <w:tc>
          <w:tcPr>
            <w:tcW w:type="dxa" w:w="2246"/>
          </w:tcPr>
          <w:p>
            <w:r>
              <w:t>WP-TOV</w:t>
            </w:r>
          </w:p>
        </w:tc>
        <w:tc>
          <w:tcPr>
            <w:tcW w:type="dxa" w:w="2246"/>
          </w:tcPr>
          <w:p>
            <w:r>
              <w:t>turnover</w:t>
            </w:r>
          </w:p>
        </w:tc>
        <w:tc>
          <w:tcPr>
            <w:tcW w:type="dxa" w:w="2246"/>
          </w:tcPr>
          <w:p>
            <w:r>
              <w:t>boundary; configuration; outstanding items; as-built; baseline inspection</w:t>
            </w:r>
          </w:p>
        </w:tc>
        <w:tc>
          <w:tcPr>
            <w:tcW w:type="dxa" w:w="2246"/>
          </w:tcPr>
          <w:p>
            <w:r>
              <w:t>construction/commissioning/operations</w:t>
            </w:r>
          </w:p>
        </w:tc>
        <w:tc>
          <w:tcPr>
            <w:tcW w:type="dxa" w:w="2246"/>
          </w:tcPr>
          <w:p>
            <w:r>
              <w:t>custody transfer</w:t>
            </w:r>
          </w:p>
        </w:tc>
      </w:tr>
      <w:tr>
        <w:tc>
          <w:tcPr>
            <w:tcW w:type="dxa" w:w="2246"/>
          </w:tcPr>
          <w:p>
            <w:r>
              <w:t>WP-COM</w:t>
            </w:r>
          </w:p>
        </w:tc>
        <w:tc>
          <w:tcPr>
            <w:tcW w:type="dxa" w:w="2246"/>
          </w:tcPr>
          <w:p>
            <w:r>
              <w:t>commissioning</w:t>
            </w:r>
          </w:p>
        </w:tc>
        <w:tc>
          <w:tcPr>
            <w:tcW w:type="dxa" w:w="2246"/>
          </w:tcPr>
          <w:p>
            <w:r>
              <w:t>test specification/procedure; prerequisites; calibrated instruments; acceptance; restoration</w:t>
            </w:r>
          </w:p>
        </w:tc>
        <w:tc>
          <w:tcPr>
            <w:tcW w:type="dxa" w:w="2246"/>
          </w:tcPr>
          <w:p>
            <w:r>
              <w:t>OPG commissioning</w:t>
            </w:r>
          </w:p>
        </w:tc>
        <w:tc>
          <w:tcPr>
            <w:tcW w:type="dxa" w:w="2246"/>
          </w:tcPr>
          <w:p>
            <w:r>
              <w:t>test report</w:t>
            </w:r>
          </w:p>
        </w:tc>
      </w:tr>
      <w:tr>
        <w:tc>
          <w:tcPr>
            <w:tcW w:type="dxa" w:w="2246"/>
          </w:tcPr>
          <w:p>
            <w:r>
              <w:t>WP-OPS</w:t>
            </w:r>
          </w:p>
        </w:tc>
        <w:tc>
          <w:tcPr>
            <w:tcW w:type="dxa" w:w="2246"/>
          </w:tcPr>
          <w:p>
            <w:r>
              <w:t>operations readiness</w:t>
            </w:r>
          </w:p>
        </w:tc>
        <w:tc>
          <w:tcPr>
            <w:tcW w:type="dxa" w:w="2246"/>
          </w:tcPr>
          <w:p>
            <w:r>
              <w:t>procedures; maintenance; spares; training; surveillance; baseline data</w:t>
            </w:r>
          </w:p>
        </w:tc>
        <w:tc>
          <w:tcPr>
            <w:tcW w:type="dxa" w:w="2246"/>
          </w:tcPr>
          <w:p>
            <w:r>
              <w:t>OPG operations</w:t>
            </w:r>
          </w:p>
        </w:tc>
        <w:tc>
          <w:tcPr>
            <w:tcW w:type="dxa" w:w="2246"/>
          </w:tcPr>
          <w:p>
            <w:r>
              <w:t>system acceptance</w:t>
            </w:r>
          </w:p>
        </w:tc>
      </w:tr>
    </w:tbl>
    <w:p>
      <w:r>
        <w:t>Rows preserved in this register: 9.</w:t>
      </w:r>
    </w:p>
    <w:p>
      <w:r>
        <w:br w:type="page"/>
      </w:r>
    </w:p>
    <w:p>
      <w:pPr>
        <w:pStyle w:val="Heading1"/>
      </w:pPr>
      <w:r>
        <w:t>Controlled register — ITP05_R01_Inspection_Test_NDE_Hold_Point_Register.csv</w:t>
      </w:r>
    </w:p>
    <w:p>
      <w:pPr>
        <w:sectPr>
          <w:pgSz w:w="12240" w:h="15840" w:orient="landscape"/>
          <w:pgMar w:top="504" w:right="504" w:bottom="504" w:left="504" w:header="720" w:footer="720" w:gutter="0"/>
          <w:cols w:space="720"/>
          <w:docGrid w:linePitch="360"/>
        </w:sectPr>
      </w:pPr>
    </w:p>
    <w:tbl>
      <w:tblPr>
        <w:tblStyle w:val="TableGrid"/>
        <w:tblW w:type="auto" w:w="0"/>
        <w:tblLook w:firstColumn="1" w:firstRow="1" w:lastColumn="0" w:lastRow="0" w:noHBand="0" w:noVBand="1" w:val="04A0"/>
      </w:tblPr>
      <w:tblGrid>
        <w:gridCol w:w="2119"/>
        <w:gridCol w:w="2119"/>
        <w:gridCol w:w="2119"/>
        <w:gridCol w:w="2119"/>
        <w:gridCol w:w="2119"/>
        <w:gridCol w:w="2119"/>
        <w:gridCol w:w="2119"/>
      </w:tblGrid>
      <w:tr>
        <w:tc>
          <w:tcPr>
            <w:tcW w:type="dxa" w:w="2119"/>
          </w:tcPr>
          <w:p>
            <w:r>
              <w:t>ID</w:t>
            </w:r>
          </w:p>
        </w:tc>
        <w:tc>
          <w:tcPr>
            <w:tcW w:type="dxa" w:w="2119"/>
          </w:tcPr>
          <w:p>
            <w:r>
              <w:t>Object</w:t>
            </w:r>
          </w:p>
        </w:tc>
        <w:tc>
          <w:tcPr>
            <w:tcW w:type="dxa" w:w="2119"/>
          </w:tcPr>
          <w:p>
            <w:r>
              <w:t>Activity</w:t>
            </w:r>
          </w:p>
        </w:tc>
        <w:tc>
          <w:tcPr>
            <w:tcW w:type="dxa" w:w="2119"/>
          </w:tcPr>
          <w:p>
            <w:r>
              <w:t>Point</w:t>
            </w:r>
          </w:p>
        </w:tc>
        <w:tc>
          <w:tcPr>
            <w:tcW w:type="dxa" w:w="2119"/>
          </w:tcPr>
          <w:p>
            <w:r>
              <w:t>Required_record</w:t>
            </w:r>
          </w:p>
        </w:tc>
        <w:tc>
          <w:tcPr>
            <w:tcW w:type="dxa" w:w="2119"/>
          </w:tcPr>
          <w:p>
            <w:r>
              <w:t>Authority</w:t>
            </w:r>
          </w:p>
        </w:tc>
        <w:tc>
          <w:tcPr>
            <w:tcW w:type="dxa" w:w="2119"/>
          </w:tcPr>
          <w:p>
            <w:r>
              <w:t>Release_condition</w:t>
            </w:r>
          </w:p>
        </w:tc>
      </w:tr>
      <w:tr>
        <w:tc>
          <w:tcPr>
            <w:tcW w:type="dxa" w:w="2119"/>
          </w:tcPr>
          <w:p>
            <w:r>
              <w:t>ITP-PB-01</w:t>
            </w:r>
          </w:p>
        </w:tc>
        <w:tc>
          <w:tcPr>
            <w:tcW w:type="dxa" w:w="2119"/>
          </w:tcPr>
          <w:p>
            <w:r>
              <w:t>pressure-boundary spool fabrication</w:t>
            </w:r>
          </w:p>
        </w:tc>
        <w:tc>
          <w:tcPr>
            <w:tcW w:type="dxa" w:w="2119"/>
          </w:tcPr>
          <w:p>
            <w:r>
              <w:t>material identity</w:t>
            </w:r>
          </w:p>
        </w:tc>
        <w:tc>
          <w:tcPr>
            <w:tcW w:type="dxa" w:w="2119"/>
          </w:tcPr>
          <w:p>
            <w:r>
              <w:t>R</w:t>
            </w:r>
          </w:p>
        </w:tc>
        <w:tc>
          <w:tcPr>
            <w:tcW w:type="dxa" w:w="2119"/>
          </w:tcPr>
          <w:p>
            <w:r>
              <w:t>material cert/traceability</w:t>
            </w:r>
          </w:p>
        </w:tc>
        <w:tc>
          <w:tcPr>
            <w:tcW w:type="dxa" w:w="2119"/>
          </w:tcPr>
          <w:p>
            <w:r>
              <w:t>QA</w:t>
            </w:r>
          </w:p>
        </w:tc>
        <w:tc>
          <w:tcPr>
            <w:tcW w:type="dxa" w:w="2119"/>
          </w:tcPr>
          <w:p>
            <w:r>
              <w:t>before fabrication release</w:t>
            </w:r>
          </w:p>
        </w:tc>
      </w:tr>
      <w:tr>
        <w:tc>
          <w:tcPr>
            <w:tcW w:type="dxa" w:w="2119"/>
          </w:tcPr>
          <w:p>
            <w:r>
              <w:t>ITP-PB-02</w:t>
            </w:r>
          </w:p>
        </w:tc>
        <w:tc>
          <w:tcPr>
            <w:tcW w:type="dxa" w:w="2119"/>
          </w:tcPr>
          <w:p>
            <w:r>
              <w:t>pressure-boundary weld</w:t>
            </w:r>
          </w:p>
        </w:tc>
        <w:tc>
          <w:tcPr>
            <w:tcW w:type="dxa" w:w="2119"/>
          </w:tcPr>
          <w:p>
            <w:r>
              <w:t>fit-up/WPS/welder qualification</w:t>
            </w:r>
          </w:p>
        </w:tc>
        <w:tc>
          <w:tcPr>
            <w:tcW w:type="dxa" w:w="2119"/>
          </w:tcPr>
          <w:p>
            <w:r>
              <w:t>H</w:t>
            </w:r>
          </w:p>
        </w:tc>
        <w:tc>
          <w:tcPr>
            <w:tcW w:type="dxa" w:w="2119"/>
          </w:tcPr>
          <w:p>
            <w:r>
              <w:t>fit-up + weld traveler</w:t>
            </w:r>
          </w:p>
        </w:tc>
        <w:tc>
          <w:tcPr>
            <w:tcW w:type="dxa" w:w="2119"/>
          </w:tcPr>
          <w:p>
            <w:r>
              <w:t>QA/design as specified</w:t>
            </w:r>
          </w:p>
        </w:tc>
        <w:tc>
          <w:tcPr>
            <w:tcW w:type="dxa" w:w="2119"/>
          </w:tcPr>
          <w:p>
            <w:r>
              <w:t>before weld</w:t>
            </w:r>
          </w:p>
        </w:tc>
      </w:tr>
      <w:tr>
        <w:tc>
          <w:tcPr>
            <w:tcW w:type="dxa" w:w="2119"/>
          </w:tcPr>
          <w:p>
            <w:r>
              <w:t>ITP-PB-03</w:t>
            </w:r>
          </w:p>
        </w:tc>
        <w:tc>
          <w:tcPr>
            <w:tcW w:type="dxa" w:w="2119"/>
          </w:tcPr>
          <w:p>
            <w:r>
              <w:t>pressure-boundary weld</w:t>
            </w:r>
          </w:p>
        </w:tc>
        <w:tc>
          <w:tcPr>
            <w:tcW w:type="dxa" w:w="2119"/>
          </w:tcPr>
          <w:p>
            <w:r>
              <w:t>NDE</w:t>
            </w:r>
          </w:p>
        </w:tc>
        <w:tc>
          <w:tcPr>
            <w:tcW w:type="dxa" w:w="2119"/>
          </w:tcPr>
          <w:p>
            <w:r>
              <w:t>H/R</w:t>
            </w:r>
          </w:p>
        </w:tc>
        <w:tc>
          <w:tcPr>
            <w:tcW w:type="dxa" w:w="2119"/>
          </w:tcPr>
          <w:p>
            <w:r>
              <w:t>VT plus code/design-required volumetric/surface NDE</w:t>
            </w:r>
          </w:p>
        </w:tc>
        <w:tc>
          <w:tcPr>
            <w:tcW w:type="dxa" w:w="2119"/>
          </w:tcPr>
          <w:p>
            <w:r>
              <w:t>qualified NDE</w:t>
            </w:r>
          </w:p>
        </w:tc>
        <w:tc>
          <w:tcPr>
            <w:tcW w:type="dxa" w:w="2119"/>
          </w:tcPr>
          <w:p>
            <w:r>
              <w:t>before pressure/leak test</w:t>
            </w:r>
          </w:p>
        </w:tc>
      </w:tr>
      <w:tr>
        <w:tc>
          <w:tcPr>
            <w:tcW w:type="dxa" w:w="2119"/>
          </w:tcPr>
          <w:p>
            <w:r>
              <w:t>ITP-PB-04</w:t>
            </w:r>
          </w:p>
        </w:tc>
        <w:tc>
          <w:tcPr>
            <w:tcW w:type="dxa" w:w="2119"/>
          </w:tcPr>
          <w:p>
            <w:r>
              <w:t>assembled line</w:t>
            </w:r>
          </w:p>
        </w:tc>
        <w:tc>
          <w:tcPr>
            <w:tcW w:type="dxa" w:w="2119"/>
          </w:tcPr>
          <w:p>
            <w:r>
              <w:t>pressure/leak test</w:t>
            </w:r>
          </w:p>
        </w:tc>
        <w:tc>
          <w:tcPr>
            <w:tcW w:type="dxa" w:w="2119"/>
          </w:tcPr>
          <w:p>
            <w:r>
              <w:t>H</w:t>
            </w:r>
          </w:p>
        </w:tc>
        <w:tc>
          <w:tcPr>
            <w:tcW w:type="dxa" w:w="2119"/>
          </w:tcPr>
          <w:p>
            <w:r>
              <w:t>test package, calibrated instruments, boundaries, result</w:t>
            </w:r>
          </w:p>
        </w:tc>
        <w:tc>
          <w:tcPr>
            <w:tcW w:type="dxa" w:w="2119"/>
          </w:tcPr>
          <w:p>
            <w:r>
              <w:t>construction + commissioning</w:t>
            </w:r>
          </w:p>
        </w:tc>
        <w:tc>
          <w:tcPr>
            <w:tcW w:type="dxa" w:w="2119"/>
          </w:tcPr>
          <w:p>
            <w:r>
              <w:t>before turnover</w:t>
            </w:r>
          </w:p>
        </w:tc>
      </w:tr>
      <w:tr>
        <w:tc>
          <w:tcPr>
            <w:tcW w:type="dxa" w:w="2119"/>
          </w:tcPr>
          <w:p>
            <w:r>
              <w:t>ITP-SUP-01</w:t>
            </w:r>
          </w:p>
        </w:tc>
        <w:tc>
          <w:tcPr>
            <w:tcW w:type="dxa" w:w="2119"/>
          </w:tcPr>
          <w:p>
            <w:r>
              <w:t>support/restraint</w:t>
            </w:r>
          </w:p>
        </w:tc>
        <w:tc>
          <w:tcPr>
            <w:tcW w:type="dxa" w:w="2119"/>
          </w:tcPr>
          <w:p>
            <w:r>
              <w:t>anchor/baseplate/grout</w:t>
            </w:r>
          </w:p>
        </w:tc>
        <w:tc>
          <w:tcPr>
            <w:tcW w:type="dxa" w:w="2119"/>
          </w:tcPr>
          <w:p>
            <w:r>
              <w:t>W/H</w:t>
            </w:r>
          </w:p>
        </w:tc>
        <w:tc>
          <w:tcPr>
            <w:tcW w:type="dxa" w:w="2119"/>
          </w:tcPr>
          <w:p>
            <w:r>
              <w:t>survey/anchor/torque/grout record</w:t>
            </w:r>
          </w:p>
        </w:tc>
        <w:tc>
          <w:tcPr>
            <w:tcW w:type="dxa" w:w="2119"/>
          </w:tcPr>
          <w:p>
            <w:r>
              <w:t>civil/mechanical QA</w:t>
            </w:r>
          </w:p>
        </w:tc>
        <w:tc>
          <w:tcPr>
            <w:tcW w:type="dxa" w:w="2119"/>
          </w:tcPr>
          <w:p>
            <w:r>
              <w:t>before load transfer</w:t>
            </w:r>
          </w:p>
        </w:tc>
      </w:tr>
      <w:tr>
        <w:tc>
          <w:tcPr>
            <w:tcW w:type="dxa" w:w="2119"/>
          </w:tcPr>
          <w:p>
            <w:r>
              <w:t>ITP-SUP-02</w:t>
            </w:r>
          </w:p>
        </w:tc>
        <w:tc>
          <w:tcPr>
            <w:tcW w:type="dxa" w:w="2119"/>
          </w:tcPr>
          <w:p>
            <w:r>
              <w:t>support/restraint</w:t>
            </w:r>
          </w:p>
        </w:tc>
        <w:tc>
          <w:tcPr>
            <w:tcW w:type="dxa" w:w="2119"/>
          </w:tcPr>
          <w:p>
            <w:r>
              <w:t>final setting/gap</w:t>
            </w:r>
          </w:p>
        </w:tc>
        <w:tc>
          <w:tcPr>
            <w:tcW w:type="dxa" w:w="2119"/>
          </w:tcPr>
          <w:p>
            <w:r>
              <w:t>H</w:t>
            </w:r>
          </w:p>
        </w:tc>
        <w:tc>
          <w:tcPr>
            <w:tcW w:type="dxa" w:w="2119"/>
          </w:tcPr>
          <w:p>
            <w:r>
              <w:t>as-built gap/setpoint + photo</w:t>
            </w:r>
          </w:p>
        </w:tc>
        <w:tc>
          <w:tcPr>
            <w:tcW w:type="dxa" w:w="2119"/>
          </w:tcPr>
          <w:p>
            <w:r>
              <w:t>mechanical/commissioning</w:t>
            </w:r>
          </w:p>
        </w:tc>
        <w:tc>
          <w:tcPr>
            <w:tcW w:type="dxa" w:w="2119"/>
          </w:tcPr>
          <w:p>
            <w:r>
              <w:t>before energized/pressurized test</w:t>
            </w:r>
          </w:p>
        </w:tc>
      </w:tr>
      <w:tr>
        <w:tc>
          <w:tcPr>
            <w:tcW w:type="dxa" w:w="2119"/>
          </w:tcPr>
          <w:p>
            <w:r>
              <w:t>ITP-EQP-01</w:t>
            </w:r>
          </w:p>
        </w:tc>
        <w:tc>
          <w:tcPr>
            <w:tcW w:type="dxa" w:w="2119"/>
          </w:tcPr>
          <w:p>
            <w:r>
              <w:t>rotating equipment</w:t>
            </w:r>
          </w:p>
        </w:tc>
        <w:tc>
          <w:tcPr>
            <w:tcW w:type="dxa" w:w="2119"/>
          </w:tcPr>
          <w:p>
            <w:r>
              <w:t>alignment</w:t>
            </w:r>
          </w:p>
        </w:tc>
        <w:tc>
          <w:tcPr>
            <w:tcW w:type="dxa" w:w="2119"/>
          </w:tcPr>
          <w:p>
            <w:r>
              <w:t>H</w:t>
            </w:r>
          </w:p>
        </w:tc>
        <w:tc>
          <w:tcPr>
            <w:tcW w:type="dxa" w:w="2119"/>
          </w:tcPr>
          <w:p>
            <w:r>
              <w:t>shaft/coupling alignment record</w:t>
            </w:r>
          </w:p>
        </w:tc>
        <w:tc>
          <w:tcPr>
            <w:tcW w:type="dxa" w:w="2119"/>
          </w:tcPr>
          <w:p>
            <w:r>
              <w:t>mechanical QA/OEM</w:t>
            </w:r>
          </w:p>
        </w:tc>
        <w:tc>
          <w:tcPr>
            <w:tcW w:type="dxa" w:w="2119"/>
          </w:tcPr>
          <w:p>
            <w:r>
              <w:t>before run</w:t>
            </w:r>
          </w:p>
        </w:tc>
      </w:tr>
      <w:tr>
        <w:tc>
          <w:tcPr>
            <w:tcW w:type="dxa" w:w="2119"/>
          </w:tcPr>
          <w:p>
            <w:r>
              <w:t>ITP-EQP-02</w:t>
            </w:r>
          </w:p>
        </w:tc>
        <w:tc>
          <w:tcPr>
            <w:tcW w:type="dxa" w:w="2119"/>
          </w:tcPr>
          <w:p>
            <w:r>
              <w:t>rotating equipment</w:t>
            </w:r>
          </w:p>
        </w:tc>
        <w:tc>
          <w:tcPr>
            <w:tcW w:type="dxa" w:w="2119"/>
          </w:tcPr>
          <w:p>
            <w:r>
              <w:t>functional run</w:t>
            </w:r>
          </w:p>
        </w:tc>
        <w:tc>
          <w:tcPr>
            <w:tcW w:type="dxa" w:w="2119"/>
          </w:tcPr>
          <w:p>
            <w:r>
              <w:t>H</w:t>
            </w:r>
          </w:p>
        </w:tc>
        <w:tc>
          <w:tcPr>
            <w:tcW w:type="dxa" w:w="2119"/>
          </w:tcPr>
          <w:p>
            <w:r>
              <w:t>vibration/temp/current/flow/pressure trend</w:t>
            </w:r>
          </w:p>
        </w:tc>
        <w:tc>
          <w:tcPr>
            <w:tcW w:type="dxa" w:w="2119"/>
          </w:tcPr>
          <w:p>
            <w:r>
              <w:t>commissioning/OEM</w:t>
            </w:r>
          </w:p>
        </w:tc>
        <w:tc>
          <w:tcPr>
            <w:tcW w:type="dxa" w:w="2119"/>
          </w:tcPr>
          <w:p>
            <w:r>
              <w:t>before acceptance</w:t>
            </w:r>
          </w:p>
        </w:tc>
      </w:tr>
      <w:tr>
        <w:tc>
          <w:tcPr>
            <w:tcW w:type="dxa" w:w="2119"/>
          </w:tcPr>
          <w:p>
            <w:r>
              <w:t>ITP-IC-01</w:t>
            </w:r>
          </w:p>
        </w:tc>
        <w:tc>
          <w:tcPr>
            <w:tcW w:type="dxa" w:w="2119"/>
          </w:tcPr>
          <w:p>
            <w:r>
              <w:t>instrument</w:t>
            </w:r>
          </w:p>
        </w:tc>
        <w:tc>
          <w:tcPr>
            <w:tcW w:type="dxa" w:w="2119"/>
          </w:tcPr>
          <w:p>
            <w:r>
              <w:t>calibration</w:t>
            </w:r>
          </w:p>
        </w:tc>
        <w:tc>
          <w:tcPr>
            <w:tcW w:type="dxa" w:w="2119"/>
          </w:tcPr>
          <w:p>
            <w:r>
              <w:t>H</w:t>
            </w:r>
          </w:p>
        </w:tc>
        <w:tc>
          <w:tcPr>
            <w:tcW w:type="dxa" w:w="2119"/>
          </w:tcPr>
          <w:p>
            <w:r>
              <w:t>calibration certificate + as-left data</w:t>
            </w:r>
          </w:p>
        </w:tc>
        <w:tc>
          <w:tcPr>
            <w:tcW w:type="dxa" w:w="2119"/>
          </w:tcPr>
          <w:p>
            <w:r>
              <w:t>I&amp;C QA</w:t>
            </w:r>
          </w:p>
        </w:tc>
        <w:tc>
          <w:tcPr>
            <w:tcW w:type="dxa" w:w="2119"/>
          </w:tcPr>
          <w:p>
            <w:r>
              <w:t>before test use</w:t>
            </w:r>
          </w:p>
        </w:tc>
      </w:tr>
      <w:tr>
        <w:tc>
          <w:tcPr>
            <w:tcW w:type="dxa" w:w="2119"/>
          </w:tcPr>
          <w:p>
            <w:r>
              <w:t>ITP-IC-02</w:t>
            </w:r>
          </w:p>
        </w:tc>
        <w:tc>
          <w:tcPr>
            <w:tcW w:type="dxa" w:w="2119"/>
          </w:tcPr>
          <w:p>
            <w:r>
              <w:t>loop/channel</w:t>
            </w:r>
          </w:p>
        </w:tc>
        <w:tc>
          <w:tcPr>
            <w:tcW w:type="dxa" w:w="2119"/>
          </w:tcPr>
          <w:p>
            <w:r>
              <w:t>loop/functional test</w:t>
            </w:r>
          </w:p>
        </w:tc>
        <w:tc>
          <w:tcPr>
            <w:tcW w:type="dxa" w:w="2119"/>
          </w:tcPr>
          <w:p>
            <w:r>
              <w:t>H</w:t>
            </w:r>
          </w:p>
        </w:tc>
        <w:tc>
          <w:tcPr>
            <w:tcW w:type="dxa" w:w="2119"/>
          </w:tcPr>
          <w:p>
            <w:r>
              <w:t>point-to-point + cause/effect result</w:t>
            </w:r>
          </w:p>
        </w:tc>
        <w:tc>
          <w:tcPr>
            <w:tcW w:type="dxa" w:w="2119"/>
          </w:tcPr>
          <w:p>
            <w:r>
              <w:t>commissioning</w:t>
            </w:r>
          </w:p>
        </w:tc>
        <w:tc>
          <w:tcPr>
            <w:tcW w:type="dxa" w:w="2119"/>
          </w:tcPr>
          <w:p>
            <w:r>
              <w:t>before integrated test</w:t>
            </w:r>
          </w:p>
        </w:tc>
      </w:tr>
      <w:tr>
        <w:tc>
          <w:tcPr>
            <w:tcW w:type="dxa" w:w="2119"/>
          </w:tcPr>
          <w:p>
            <w:r>
              <w:t>ITP-RH-01</w:t>
            </w:r>
          </w:p>
        </w:tc>
        <w:tc>
          <w:tcPr>
            <w:tcW w:type="dxa" w:w="2119"/>
          </w:tcPr>
          <w:p>
            <w:r>
              <w:t>maintainable component</w:t>
            </w:r>
          </w:p>
        </w:tc>
        <w:tc>
          <w:tcPr>
            <w:tcW w:type="dxa" w:w="2119"/>
          </w:tcPr>
          <w:p>
            <w:r>
              <w:t>removal/reinsert demonstration</w:t>
            </w:r>
          </w:p>
        </w:tc>
        <w:tc>
          <w:tcPr>
            <w:tcW w:type="dxa" w:w="2119"/>
          </w:tcPr>
          <w:p>
            <w:r>
              <w:t>H</w:t>
            </w:r>
          </w:p>
        </w:tc>
        <w:tc>
          <w:tcPr>
            <w:tcW w:type="dxa" w:w="2119"/>
          </w:tcPr>
          <w:p>
            <w:r>
              <w:t>route/tool/docking/partial withdrawal record</w:t>
            </w:r>
          </w:p>
        </w:tc>
        <w:tc>
          <w:tcPr>
            <w:tcW w:type="dxa" w:w="2119"/>
          </w:tcPr>
          <w:p>
            <w:r>
              <w:t>RH + commissioning</w:t>
            </w:r>
          </w:p>
        </w:tc>
        <w:tc>
          <w:tcPr>
            <w:tcW w:type="dxa" w:w="2119"/>
          </w:tcPr>
          <w:p>
            <w:r>
              <w:t>before maintenance closure</w:t>
            </w:r>
          </w:p>
        </w:tc>
      </w:tr>
    </w:tbl>
    <w:p>
      <w:r>
        <w:t>Rows preserved in this register: 11.</w:t>
      </w:r>
    </w:p>
    <w:sectPr w:rsidR="00FC693F" w:rsidRPr="0006063C"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