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ONTARIO FUSION GENERATION</w:t>
      </w:r>
    </w:p>
    <w:p>
      <w:pPr>
        <w:jc w:val="center"/>
      </w:pPr>
      <w:r>
        <w:rPr>
          <w:b/>
          <w:sz w:val="32"/>
        </w:rPr>
        <w:t>DEFINITIVE ENGINEERING ATLAS — REV 3</w:t>
      </w:r>
    </w:p>
    <w:p>
      <w:pPr>
        <w:jc w:val="center"/>
      </w:pPr>
      <w:r>
        <w:rPr>
          <w:b/>
          <w:sz w:val="24"/>
        </w:rPr>
        <w:t>VOLUME 15 — MASTER CHRONOLOGY, INSTALLATION HISTORY &amp; STORY-DATE PHYSICAL STATE</w:t>
      </w:r>
    </w:p>
    <w:p>
      <w:pPr>
        <w:jc w:val="center"/>
      </w:pPr>
      <w:r>
        <w:t>Complete controlled event chronology through 19 April 2031, annual timelines, installation/turnover history and current physical state</w:t>
      </w:r>
    </w:p>
    <w:p>
      <w:pPr>
        <w:jc w:val="center"/>
      </w:pPr>
      <w:r>
        <w:t>CONTROLLED STORY CONFIGURATION CUT: 19 APRIL 2031</w:t>
      </w:r>
    </w:p>
    <w:p>
      <w:pPr>
        <w:pStyle w:val="Heading1"/>
      </w:pPr>
      <w:r>
        <w:t>Atlas control doctrine</w:t>
      </w:r>
    </w:p>
    <w:p>
      <w:r>
        <w:t>This volume is part of the definitive self-contained story bible, not a work-package report. It preserves source-derived granularity and the engineering/configuration thread. C = controlled story/source canon; V = verified real-world precedent; E = controlled fictional engineering reconstruction; OPEN = unresolved. No precedent dimension, screening assumption, sensitivity value, code class, coordinate, vendor property, test result, or physical action is silently promoted to OFG historical fact.</w:t>
      </w:r>
    </w:p>
    <w:p>
      <w:r>
        <w:t>For every material configuration decision the controlling information chain is: originator → information → document/record → recipient → review → authority → decision → authorized action → physical consequence → inspection/test/as-built evidence → turnover/operations baseline → later change/supersession. CLOSED/APPROVED in an information system is not proof of physical execution.</w:t>
      </w:r>
    </w:p>
    <w:p>
      <w:pPr>
        <w:pStyle w:val="Heading1"/>
      </w:pPr>
      <w:r>
        <w:t>Integrated source map</w:t>
      </w:r>
    </w:p>
    <w:p>
      <w:r>
        <w:t>Detailed DOCX sources integrated: 2. Controlled CSV/ledger sources integrated: 0.</w:t>
      </w:r>
    </w:p>
    <w:p>
      <w:r>
        <w:t>DOCX · OFG_Encyclopedia_RevN_Volume_14_Master_Chronology_Ledger(6).docx</w:t>
      </w:r>
    </w:p>
    <w:p>
      <w:r>
        <w:t>DOCX · OFG_Encyclopedia_RevN_Volume_13_Cross_Reference(6).docx</w:t>
      </w:r>
    </w:p>
    <w:p>
      <w:r>
        <w:br w:type="page"/>
      </w:r>
    </w:p>
    <w:p>
      <w:pPr>
        <w:pStyle w:val="Heading1"/>
      </w:pPr>
      <w:r>
        <w:t>Integrated controlled source — OFG_Encyclopedia_RevN_Volume_14_Master_Chronology_Ledger(6).docx</w:t>
      </w:r>
    </w:p>
    <w:p>
      <w:r>
        <w:t>Preserved at source granularity. Later explicit canon and change-provenance entries govern conflicts; source text is not silently rewritten.</w:t>
      </w:r>
    </w:p>
    <w:p>
      <w:pPr>
        <w:pStyle w:val="Title"/>
        <w:jc w:val="center"/>
      </w:pPr>
      <w:r>
        <w:t>ONTARIO FUSION GENERATION PROJECT</w:t>
      </w:r>
    </w:p>
    <w:p>
      <w:pPr>
        <w:pStyle w:val="Title"/>
        <w:jc w:val="center"/>
      </w:pPr>
      <w:r>
        <w:t>VOLUME XIV — MASTER CANONICAL CHRONOLOGY LEDGER</w:t>
      </w:r>
    </w:p>
    <w:p>
      <w:pPr>
        <w:pStyle w:val="Title"/>
        <w:jc w:val="center"/>
      </w:pPr>
      <w:r>
        <w:t>Every locked or explicitly dated project transition through 19 April 2031</w:t>
      </w:r>
    </w:p>
    <w:p>
      <w:pPr>
        <w:jc w:val="center"/>
      </w:pPr>
      <w:r>
        <w:t>Canon cut: Saturday, 19 April 2031 · chronological control companion to Volumes I-XIII</w:t>
      </w:r>
    </w:p>
    <w:p>
      <w:r/>
    </w:p>
    <w:p>
      <w:pPr>
        <w:pStyle w:val="Heading1"/>
      </w:pPr>
      <w:r>
        <w:t>Control rule</w:t>
      </w:r>
    </w:p>
    <w:p>
      <w:r>
        <w:t>Every row in this ledger is either locked canon or an explicitly identified sequence/framework already accepted in the source canon. It must not be used to infer a more precise date, motive, fault allocation or knowledge state than the row supports.</w:t>
      </w:r>
    </w:p>
    <w:p>
      <w:pPr>
        <w:pStyle w:val="Heading1"/>
      </w:pPr>
      <w:r>
        <w:t>Master ledger</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tcPr>
          <w:p>
            <w:r>
              <w:rPr>
                <w:b/>
                <w:sz w:val="11"/>
              </w:rPr>
              <w:t>Date / period</w:t>
            </w:r>
          </w:p>
        </w:tc>
        <w:tc>
          <w:tcPr>
            <w:tcW w:type="dxa" w:w="1522"/>
          </w:tcPr>
          <w:p>
            <w:r>
              <w:rPr>
                <w:b/>
                <w:sz w:val="11"/>
              </w:rPr>
              <w:t>Technology / physical state</w:t>
            </w:r>
          </w:p>
        </w:tc>
        <w:tc>
          <w:tcPr>
            <w:tcW w:type="dxa" w:w="1522"/>
          </w:tcPr>
          <w:p>
            <w:r>
              <w:rPr>
                <w:b/>
                <w:sz w:val="11"/>
              </w:rPr>
              <w:t>Organizations / authority</w:t>
            </w:r>
          </w:p>
        </w:tc>
        <w:tc>
          <w:tcPr>
            <w:tcW w:type="dxa" w:w="1522"/>
          </w:tcPr>
          <w:p>
            <w:r>
              <w:rPr>
                <w:b/>
                <w:sz w:val="11"/>
              </w:rPr>
              <w:t>Business / finance</w:t>
            </w:r>
          </w:p>
        </w:tc>
        <w:tc>
          <w:tcPr>
            <w:tcW w:type="dxa" w:w="1522"/>
          </w:tcPr>
          <w:p>
            <w:r>
              <w:rPr>
                <w:b/>
                <w:sz w:val="11"/>
              </w:rPr>
              <w:t>Government / regulation</w:t>
            </w:r>
          </w:p>
        </w:tc>
        <w:tc>
          <w:tcPr>
            <w:tcW w:type="dxa" w:w="1522"/>
          </w:tcPr>
          <w:p>
            <w:r>
              <w:rPr>
                <w:b/>
                <w:sz w:val="11"/>
              </w:rPr>
              <w:t>Controlling record / evidence</w:t>
            </w:r>
          </w:p>
        </w:tc>
        <w:tc>
          <w:tcPr>
            <w:tcW w:type="dxa" w:w="1522"/>
          </w:tcPr>
          <w:p>
            <w:r>
              <w:rPr>
                <w:b/>
                <w:sz w:val="11"/>
              </w:rPr>
              <w:t>Knowledge / consequence</w:t>
            </w:r>
          </w:p>
        </w:tc>
      </w:tr>
      <w:tr>
        <w:tc>
          <w:tcPr>
            <w:tcW w:type="dxa" w:w="1522"/>
            <w:vAlign w:val="top"/>
          </w:tcPr>
          <w:p>
            <w:r>
              <w:rPr>
                <w:sz w:val="11"/>
              </w:rPr>
              <w:t>Pre-ITER / inherited era</w:t>
            </w:r>
          </w:p>
        </w:tc>
        <w:tc>
          <w:tcPr>
            <w:tcW w:type="dxa" w:w="1522"/>
            <w:vAlign w:val="top"/>
          </w:tcPr>
          <w:p>
            <w:r>
              <w:rPr>
                <w:sz w:val="11"/>
              </w:rPr>
              <w:t>Tokamak physics/control, superconducting magnets, vacuum, tritium, high-heat-flux, nuclear/industrial heat-transport and remote-maintenance knowledge exist as inherited technical foundations.</w:t>
            </w:r>
          </w:p>
        </w:tc>
        <w:tc>
          <w:tcPr>
            <w:tcW w:type="dxa" w:w="1522"/>
            <w:vAlign w:val="top"/>
          </w:tcPr>
          <w:p>
            <w:r>
              <w:rPr>
                <w:sz w:val="11"/>
              </w:rPr>
              <w:t>Research institutions, fusion programmes, laboratories, universities and industrial suppliers.</w:t>
            </w:r>
          </w:p>
        </w:tc>
        <w:tc>
          <w:tcPr>
            <w:tcW w:type="dxa" w:w="1522"/>
            <w:vAlign w:val="top"/>
          </w:tcPr>
          <w:p>
            <w:r>
              <w:rPr>
                <w:sz w:val="11"/>
              </w:rPr>
              <w:t>No OFG commercial structure.</w:t>
            </w:r>
          </w:p>
        </w:tc>
        <w:tc>
          <w:tcPr>
            <w:tcW w:type="dxa" w:w="1522"/>
            <w:vAlign w:val="top"/>
          </w:tcPr>
          <w:p>
            <w:r>
              <w:rPr>
                <w:sz w:val="11"/>
              </w:rPr>
              <w:t>National/international fusion programmes fund and govern precursor work.</w:t>
            </w:r>
          </w:p>
        </w:tc>
        <w:tc>
          <w:tcPr>
            <w:tcW w:type="dxa" w:w="1522"/>
            <w:vAlign w:val="top"/>
          </w:tcPr>
          <w:p>
            <w:r>
              <w:rPr>
                <w:sz w:val="11"/>
              </w:rPr>
              <w:t>Scientific publications, engineering test records, requirements and design studies.</w:t>
            </w:r>
          </w:p>
        </w:tc>
        <w:tc>
          <w:tcPr>
            <w:tcW w:type="dxa" w:w="1522"/>
            <w:vAlign w:val="top"/>
          </w:tcPr>
          <w:p>
            <w:r>
              <w:rPr>
                <w:sz w:val="11"/>
              </w:rPr>
              <w:t>Evidence later becomes the technical substrate for ITER/Q-DEMO/HFRP; exact fictional sub-dates are not locked.</w:t>
            </w:r>
          </w:p>
        </w:tc>
      </w:tr>
      <w:tr>
        <w:tc>
          <w:tcPr>
            <w:tcW w:type="dxa" w:w="1522"/>
            <w:vAlign w:val="top"/>
          </w:tcPr>
          <w:p>
            <w:r>
              <w:rPr>
                <w:sz w:val="11"/>
              </w:rPr>
              <w:t>ITER industrialization era</w:t>
            </w:r>
          </w:p>
        </w:tc>
        <w:tc>
          <w:tcPr>
            <w:tcW w:type="dxa" w:w="1522"/>
            <w:vAlign w:val="top"/>
          </w:tcPr>
          <w:p>
            <w:r>
              <w:rPr>
                <w:sz w:val="11"/>
              </w:rPr>
              <w:t>Large-scale magnet/vessel/cryostat/tritium/remote-handling manufacture, QA, metrology, logistics and assembly become industrial practice.</w:t>
            </w:r>
          </w:p>
        </w:tc>
        <w:tc>
          <w:tcPr>
            <w:tcW w:type="dxa" w:w="1522"/>
            <w:vAlign w:val="top"/>
          </w:tcPr>
          <w:p>
            <w:r>
              <w:rPr>
                <w:sz w:val="11"/>
              </w:rPr>
              <w:t>ITER Organization, Domestic Agencies and international supply chain.</w:t>
            </w:r>
          </w:p>
        </w:tc>
        <w:tc>
          <w:tcPr>
            <w:tcW w:type="dxa" w:w="1522"/>
            <w:vAlign w:val="top"/>
          </w:tcPr>
          <w:p>
            <w:r>
              <w:rPr>
                <w:sz w:val="11"/>
              </w:rPr>
              <w:t>Industrial supplier capability deepens.</w:t>
            </w:r>
          </w:p>
        </w:tc>
        <w:tc>
          <w:tcPr>
            <w:tcW w:type="dxa" w:w="1522"/>
            <w:vAlign w:val="top"/>
          </w:tcPr>
          <w:p>
            <w:r>
              <w:rPr>
                <w:sz w:val="11"/>
              </w:rPr>
              <w:t>Multinational programme governance.</w:t>
            </w:r>
          </w:p>
        </w:tc>
        <w:tc>
          <w:tcPr>
            <w:tcW w:type="dxa" w:w="1522"/>
            <w:vAlign w:val="top"/>
          </w:tcPr>
          <w:p>
            <w:r>
              <w:rPr>
                <w:sz w:val="11"/>
              </w:rPr>
              <w:t>Procurement specs, manufacturing records, NCRs, metrology, assembly and commissioning records.</w:t>
            </w:r>
          </w:p>
        </w:tc>
        <w:tc>
          <w:tcPr>
            <w:tcW w:type="dxa" w:w="1522"/>
            <w:vAlign w:val="top"/>
          </w:tcPr>
          <w:p>
            <w:r>
              <w:rPr>
                <w:sz w:val="11"/>
              </w:rPr>
              <w:t>OFG uses ITER as an industrial-method precedent, not a direct plant design.</w:t>
            </w:r>
          </w:p>
        </w:tc>
      </w:tr>
      <w:tr>
        <w:tc>
          <w:tcPr>
            <w:tcW w:type="dxa" w:w="1522"/>
            <w:vAlign w:val="top"/>
          </w:tcPr>
          <w:p>
            <w:r>
              <w:rPr>
                <w:sz w:val="11"/>
              </w:rPr>
              <w:t>Fictional Q-DEMO sequence</w:t>
            </w:r>
          </w:p>
        </w:tc>
        <w:tc>
          <w:tcPr>
            <w:tcW w:type="dxa" w:w="1522"/>
            <w:vAlign w:val="top"/>
          </w:tcPr>
          <w:p>
            <w:r>
              <w:rPr>
                <w:sz w:val="11"/>
              </w:rPr>
              <w:t>Japanese programme demonstrates power-plant-oriented operation, breeding, steady-state performance, remote maintenance, construction/commissioning and reliability growth.</w:t>
            </w:r>
          </w:p>
        </w:tc>
        <w:tc>
          <w:tcPr>
            <w:tcW w:type="dxa" w:w="1522"/>
            <w:vAlign w:val="top"/>
          </w:tcPr>
          <w:p>
            <w:r>
              <w:rPr>
                <w:sz w:val="11"/>
              </w:rPr>
              <w:t>Japanese programme sponsor/technical organizations, HMS and industrial partners in fictional history.</w:t>
            </w:r>
          </w:p>
        </w:tc>
        <w:tc>
          <w:tcPr>
            <w:tcW w:type="dxa" w:w="1522"/>
            <w:vAlign w:val="top"/>
          </w:tcPr>
          <w:p>
            <w:r>
              <w:rPr>
                <w:sz w:val="11"/>
              </w:rPr>
              <w:t>Creates a deployable technology/product basis.</w:t>
            </w:r>
          </w:p>
        </w:tc>
        <w:tc>
          <w:tcPr>
            <w:tcW w:type="dxa" w:w="1522"/>
            <w:vAlign w:val="top"/>
          </w:tcPr>
          <w:p>
            <w:r>
              <w:rPr>
                <w:sz w:val="11"/>
              </w:rPr>
              <w:t>Japanese industrial/fusion policy develops toward commercial deployment.</w:t>
            </w:r>
          </w:p>
        </w:tc>
        <w:tc>
          <w:tcPr>
            <w:tcW w:type="dxa" w:w="1522"/>
            <w:vAlign w:val="top"/>
          </w:tcPr>
          <w:p>
            <w:r>
              <w:rPr>
                <w:sz w:val="11"/>
              </w:rPr>
              <w:t>Qualification dossiers, operating/maintenance evidence, anomaly history, outage records.</w:t>
            </w:r>
          </w:p>
        </w:tc>
        <w:tc>
          <w:tcPr>
            <w:tcW w:type="dxa" w:w="1522"/>
            <w:vAlign w:val="top"/>
          </w:tcPr>
          <w:p>
            <w:r>
              <w:rPr>
                <w:sz w:val="11"/>
              </w:rPr>
              <w:t>Q-DEMO functions as Unit 0 for later HFRP deployment methodology; exact fictional calendar years remain open.</w:t>
            </w:r>
          </w:p>
        </w:tc>
      </w:tr>
      <w:tr>
        <w:tc>
          <w:tcPr>
            <w:tcW w:type="dxa" w:w="1522"/>
            <w:vAlign w:val="top"/>
          </w:tcPr>
          <w:p>
            <w:r>
              <w:rPr>
                <w:sz w:val="11"/>
              </w:rPr>
              <w:t>HFRP commercial qualification — pre-2023</w:t>
            </w:r>
          </w:p>
        </w:tc>
        <w:tc>
          <w:tcPr>
            <w:tcW w:type="dxa" w:w="1522"/>
            <w:vAlign w:val="top"/>
          </w:tcPr>
          <w:p>
            <w:r>
              <w:rPr>
                <w:sz w:val="11"/>
              </w:rPr>
              <w:t>HMS freezes/industrializes a 16-sector commercial reference architecture with repeatable supply, maintainability and lifecycle support.</w:t>
            </w:r>
          </w:p>
        </w:tc>
        <w:tc>
          <w:tcPr>
            <w:tcW w:type="dxa" w:w="1522"/>
            <w:vAlign w:val="top"/>
          </w:tcPr>
          <w:p>
            <w:r>
              <w:rPr>
                <w:sz w:val="11"/>
              </w:rPr>
              <w:t>HMS technology/design authority and supplier ecosystem.</w:t>
            </w:r>
          </w:p>
        </w:tc>
        <w:tc>
          <w:tcPr>
            <w:tcW w:type="dxa" w:w="1522"/>
            <w:vAlign w:val="top"/>
          </w:tcPr>
          <w:p>
            <w:r>
              <w:rPr>
                <w:sz w:val="11"/>
              </w:rPr>
              <w:t>HFRP becomes an exportable commercial reference product.</w:t>
            </w:r>
          </w:p>
        </w:tc>
        <w:tc>
          <w:tcPr>
            <w:tcW w:type="dxa" w:w="1522"/>
            <w:vAlign w:val="top"/>
          </w:tcPr>
          <w:p>
            <w:r>
              <w:rPr>
                <w:sz w:val="11"/>
              </w:rPr>
              <w:t>Japanese programme/export institutions have a mature technology to support.</w:t>
            </w:r>
          </w:p>
        </w:tc>
        <w:tc>
          <w:tcPr>
            <w:tcW w:type="dxa" w:w="1522"/>
            <w:vAlign w:val="top"/>
          </w:tcPr>
          <w:p>
            <w:r>
              <w:rPr>
                <w:sz w:val="11"/>
              </w:rPr>
              <w:t>Reference configuration, qualification evidence, supplier qualification, lifecycle support basis.</w:t>
            </w:r>
          </w:p>
        </w:tc>
        <w:tc>
          <w:tcPr>
            <w:tcW w:type="dxa" w:w="1522"/>
            <w:vAlign w:val="top"/>
          </w:tcPr>
          <w:p>
            <w:r>
              <w:rPr>
                <w:sz w:val="11"/>
              </w:rPr>
              <w:t>Commercial qualification is not Canadian regulatory approval.</w:t>
            </w:r>
          </w:p>
        </w:tc>
      </w:tr>
      <w:tr>
        <w:tc>
          <w:tcPr>
            <w:tcW w:type="dxa" w:w="1522"/>
            <w:vAlign w:val="top"/>
          </w:tcPr>
          <w:p>
            <w:r>
              <w:rPr>
                <w:sz w:val="11"/>
              </w:rPr>
              <w:t>Late 2010s / early 2020s</w:t>
            </w:r>
          </w:p>
        </w:tc>
        <w:tc>
          <w:tcPr>
            <w:tcW w:type="dxa" w:w="1522"/>
            <w:vAlign w:val="top"/>
          </w:tcPr>
          <w:p>
            <w:r>
              <w:rPr>
                <w:sz w:val="11"/>
              </w:rPr>
              <w:t>Clarington strategic future-generation site accumulates land/site-control, environmental, geotechnical/shoreline, transmission and heavy-access knowledge.</w:t>
            </w:r>
          </w:p>
        </w:tc>
        <w:tc>
          <w:tcPr>
            <w:tcW w:type="dxa" w:w="1522"/>
            <w:vAlign w:val="top"/>
          </w:tcPr>
          <w:p>
            <w:r>
              <w:rPr>
                <w:sz w:val="11"/>
              </w:rPr>
              <w:t>OPG strategic/site functions.</w:t>
            </w:r>
          </w:p>
        </w:tc>
        <w:tc>
          <w:tcPr>
            <w:tcW w:type="dxa" w:w="1522"/>
            <w:vAlign w:val="top"/>
          </w:tcPr>
          <w:p>
            <w:r>
              <w:rPr>
                <w:sz w:val="11"/>
              </w:rPr>
              <w:t>No OFG project yet.</w:t>
            </w:r>
          </w:p>
        </w:tc>
        <w:tc>
          <w:tcPr>
            <w:tcW w:type="dxa" w:w="1522"/>
            <w:vAlign w:val="top"/>
          </w:tcPr>
          <w:p>
            <w:r>
              <w:rPr>
                <w:sz w:val="11"/>
              </w:rPr>
              <w:t>Ontario energy-planning context; established regional/Indigenous consultation relationships.</w:t>
            </w:r>
          </w:p>
        </w:tc>
        <w:tc>
          <w:tcPr>
            <w:tcW w:type="dxa" w:w="1522"/>
            <w:vAlign w:val="top"/>
          </w:tcPr>
          <w:p>
            <w:r>
              <w:rPr>
                <w:sz w:val="11"/>
              </w:rPr>
              <w:t>Land, environmental baseline, geotechnical/shoreline and regional transmission records.</w:t>
            </w:r>
          </w:p>
        </w:tc>
        <w:tc>
          <w:tcPr>
            <w:tcW w:type="dxa" w:w="1522"/>
            <w:vAlign w:val="top"/>
          </w:tcPr>
          <w:p>
            <w:r>
              <w:rPr>
                <w:sz w:val="11"/>
              </w:rPr>
              <w:t>Prehistory permits rapid later project-specific development without implying prior fusion construction.</w:t>
            </w:r>
          </w:p>
        </w:tc>
      </w:tr>
      <w:tr>
        <w:tc>
          <w:tcPr>
            <w:tcW w:type="dxa" w:w="1522"/>
            <w:vAlign w:val="top"/>
          </w:tcPr>
          <w:p>
            <w:r>
              <w:rPr>
                <w:sz w:val="11"/>
              </w:rPr>
              <w:t>Q1 2023</w:t>
            </w:r>
          </w:p>
        </w:tc>
        <w:tc>
          <w:tcPr>
            <w:tcW w:type="dxa" w:w="1522"/>
            <w:vAlign w:val="top"/>
          </w:tcPr>
          <w:p>
            <w:r>
              <w:rPr>
                <w:sz w:val="11"/>
              </w:rPr>
              <w:t>OPG screens firm low-carbon generation options including HFRP.</w:t>
            </w:r>
          </w:p>
        </w:tc>
        <w:tc>
          <w:tcPr>
            <w:tcW w:type="dxa" w:w="1522"/>
            <w:vAlign w:val="top"/>
          </w:tcPr>
          <w:p>
            <w:r>
              <w:rPr>
                <w:sz w:val="11"/>
              </w:rPr>
              <w:t>OPG strategy/technical due diligence; HMS provides controlled data.</w:t>
            </w:r>
          </w:p>
        </w:tc>
        <w:tc>
          <w:tcPr>
            <w:tcW w:type="dxa" w:w="1522"/>
            <w:vAlign w:val="top"/>
          </w:tcPr>
          <w:p>
            <w:r>
              <w:rPr>
                <w:sz w:val="11"/>
              </w:rPr>
              <w:t>Owner-side opportunity definition only.</w:t>
            </w:r>
          </w:p>
        </w:tc>
        <w:tc>
          <w:tcPr>
            <w:tcW w:type="dxa" w:w="1522"/>
            <w:vAlign w:val="top"/>
          </w:tcPr>
          <w:p>
            <w:r>
              <w:rPr>
                <w:sz w:val="11"/>
              </w:rPr>
              <w:t>Ontario electricity-policy need frames the decision.</w:t>
            </w:r>
          </w:p>
        </w:tc>
        <w:tc>
          <w:tcPr>
            <w:tcW w:type="dxa" w:w="1522"/>
            <w:vAlign w:val="top"/>
          </w:tcPr>
          <w:p>
            <w:r>
              <w:rPr>
                <w:sz w:val="11"/>
              </w:rPr>
              <w:t>Initial screening studies and controlled data-room access planning.</w:t>
            </w:r>
          </w:p>
        </w:tc>
        <w:tc>
          <w:tcPr>
            <w:tcW w:type="dxa" w:w="1522"/>
            <w:vAlign w:val="top"/>
          </w:tcPr>
          <w:p>
            <w:r>
              <w:rPr>
                <w:sz w:val="11"/>
              </w:rPr>
              <w:t>No OFG project organization exists yet.</w:t>
            </w:r>
          </w:p>
        </w:tc>
      </w:tr>
      <w:tr>
        <w:tc>
          <w:tcPr>
            <w:tcW w:type="dxa" w:w="1522"/>
            <w:vAlign w:val="top"/>
          </w:tcPr>
          <w:p>
            <w:r>
              <w:rPr>
                <w:sz w:val="11"/>
              </w:rPr>
              <w:t>May 2023</w:t>
            </w:r>
          </w:p>
        </w:tc>
        <w:tc>
          <w:tcPr>
            <w:tcW w:type="dxa" w:w="1522"/>
            <w:vAlign w:val="top"/>
          </w:tcPr>
          <w:p>
            <w:r>
              <w:rPr>
                <w:sz w:val="11"/>
              </w:rPr>
              <w:t>HFRP reference/Q-DEMO information becomes formally accessible for diligence.</w:t>
            </w:r>
          </w:p>
        </w:tc>
        <w:tc>
          <w:tcPr>
            <w:tcW w:type="dxa" w:w="1522"/>
            <w:vAlign w:val="top"/>
          </w:tcPr>
          <w:p>
            <w:r>
              <w:rPr>
                <w:sz w:val="11"/>
              </w:rPr>
              <w:t>OPG ↔ HMS.</w:t>
            </w:r>
          </w:p>
        </w:tc>
        <w:tc>
          <w:tcPr>
            <w:tcW w:type="dxa" w:w="1522"/>
            <w:vAlign w:val="top"/>
          </w:tcPr>
          <w:p>
            <w:r>
              <w:rPr>
                <w:sz w:val="11"/>
              </w:rPr>
              <w:t>First OFG-specific contract relationship.</w:t>
            </w:r>
          </w:p>
        </w:tc>
        <w:tc>
          <w:tcPr>
            <w:tcW w:type="dxa" w:w="1522"/>
            <w:vAlign w:val="top"/>
          </w:tcPr>
          <w:p>
            <w:r>
              <w:rPr>
                <w:sz w:val="11"/>
              </w:rPr>
              <w:t>No licensing approval implied.</w:t>
            </w:r>
          </w:p>
        </w:tc>
        <w:tc>
          <w:tcPr>
            <w:tcW w:type="dxa" w:w="1522"/>
            <w:vAlign w:val="top"/>
          </w:tcPr>
          <w:p>
            <w:r>
              <w:rPr>
                <w:sz w:val="11"/>
              </w:rPr>
              <w:t>OFG-AGR-TECH-001 — Confidentiality &amp; Controlled Data Access.</w:t>
            </w:r>
          </w:p>
        </w:tc>
        <w:tc>
          <w:tcPr>
            <w:tcW w:type="dxa" w:w="1522"/>
            <w:vAlign w:val="top"/>
          </w:tcPr>
          <w:p>
            <w:r>
              <w:rPr>
                <w:sz w:val="11"/>
              </w:rPr>
              <w:t>OPG can inspect data but has no construction licence to use HMS IP.</w:t>
            </w:r>
          </w:p>
        </w:tc>
      </w:tr>
      <w:tr>
        <w:tc>
          <w:tcPr>
            <w:tcW w:type="dxa" w:w="1522"/>
            <w:vAlign w:val="top"/>
          </w:tcPr>
          <w:p>
            <w:r>
              <w:rPr>
                <w:sz w:val="11"/>
              </w:rPr>
              <w:t>Q2 2023</w:t>
            </w:r>
          </w:p>
        </w:tc>
        <w:tc>
          <w:tcPr>
            <w:tcW w:type="dxa" w:w="1522"/>
            <w:vAlign w:val="top"/>
          </w:tcPr>
          <w:p>
            <w:r>
              <w:rPr>
                <w:sz w:val="11"/>
              </w:rPr>
              <w:t>Due diligence examines reliability, blanket/divertor maintenance, tritium, availability, construction history, safety, waste, reference capex/schedule.</w:t>
            </w:r>
          </w:p>
        </w:tc>
        <w:tc>
          <w:tcPr>
            <w:tcW w:type="dxa" w:w="1522"/>
            <w:vAlign w:val="top"/>
          </w:tcPr>
          <w:p>
            <w:r>
              <w:rPr>
                <w:sz w:val="11"/>
              </w:rPr>
              <w:t>OPG multidisciplinary team; Canadian specialists; E&amp;C begins as potential integrator.</w:t>
            </w:r>
          </w:p>
        </w:tc>
        <w:tc>
          <w:tcPr>
            <w:tcW w:type="dxa" w:w="1522"/>
            <w:vAlign w:val="top"/>
          </w:tcPr>
          <w:p>
            <w:r>
              <w:rPr>
                <w:sz w:val="11"/>
              </w:rPr>
              <w:t>Commercial/technical screening deepens.</w:t>
            </w:r>
          </w:p>
        </w:tc>
        <w:tc>
          <w:tcPr>
            <w:tcW w:type="dxa" w:w="1522"/>
            <w:vAlign w:val="top"/>
          </w:tcPr>
          <w:p>
            <w:r>
              <w:rPr>
                <w:sz w:val="11"/>
              </w:rPr>
              <w:t>Canadian regulatory applicability work begins.</w:t>
            </w:r>
          </w:p>
        </w:tc>
        <w:tc>
          <w:tcPr>
            <w:tcW w:type="dxa" w:w="1522"/>
            <w:vAlign w:val="top"/>
          </w:tcPr>
          <w:p>
            <w:r>
              <w:rPr>
                <w:sz w:val="11"/>
              </w:rPr>
              <w:t>Due-diligence reports, data-room Q&amp;A, technical/economic evaluation.</w:t>
            </w:r>
          </w:p>
        </w:tc>
        <w:tc>
          <w:tcPr>
            <w:tcW w:type="dxa" w:w="1522"/>
            <w:vAlign w:val="top"/>
          </w:tcPr>
          <w:p>
            <w:r>
              <w:rPr>
                <w:sz w:val="11"/>
              </w:rPr>
              <w:t>HFRP survives screening but uncertainties remain tracked.</w:t>
            </w:r>
          </w:p>
        </w:tc>
      </w:tr>
      <w:tr>
        <w:tc>
          <w:tcPr>
            <w:tcW w:type="dxa" w:w="1522"/>
            <w:vAlign w:val="top"/>
          </w:tcPr>
          <w:p>
            <w:r>
              <w:rPr>
                <w:sz w:val="11"/>
              </w:rPr>
              <w:t>Jul 2023</w:t>
            </w:r>
          </w:p>
        </w:tc>
        <w:tc>
          <w:tcPr>
            <w:tcW w:type="dxa" w:w="1522"/>
            <w:vAlign w:val="top"/>
          </w:tcPr>
          <w:p>
            <w:r>
              <w:rPr>
                <w:sz w:val="11"/>
              </w:rPr>
              <w:t>Limited feasibility/licensing-use rights and Ontario negotiation option established.</w:t>
            </w:r>
          </w:p>
        </w:tc>
        <w:tc>
          <w:tcPr>
            <w:tcW w:type="dxa" w:w="1522"/>
            <w:vAlign w:val="top"/>
          </w:tcPr>
          <w:p>
            <w:r>
              <w:rPr>
                <w:sz w:val="11"/>
              </w:rPr>
              <w:t>OPG ↔ HMS.</w:t>
            </w:r>
          </w:p>
        </w:tc>
        <w:tc>
          <w:tcPr>
            <w:tcW w:type="dxa" w:w="1522"/>
            <w:vAlign w:val="top"/>
          </w:tcPr>
          <w:p>
            <w:r>
              <w:rPr>
                <w:sz w:val="11"/>
              </w:rPr>
              <w:t>Moves beyond NDA into deployment option.</w:t>
            </w:r>
          </w:p>
        </w:tc>
        <w:tc>
          <w:tcPr>
            <w:tcW w:type="dxa" w:w="1522"/>
            <w:vAlign w:val="top"/>
          </w:tcPr>
          <w:p>
            <w:r>
              <w:rPr>
                <w:sz w:val="11"/>
              </w:rPr>
              <w:t>Ontario/Japan project possibility becomes more concrete.</w:t>
            </w:r>
          </w:p>
        </w:tc>
        <w:tc>
          <w:tcPr>
            <w:tcW w:type="dxa" w:w="1522"/>
            <w:vAlign w:val="top"/>
          </w:tcPr>
          <w:p>
            <w:r>
              <w:rPr>
                <w:sz w:val="11"/>
              </w:rPr>
              <w:t>OFG-AGR-TECH-002.</w:t>
            </w:r>
          </w:p>
        </w:tc>
        <w:tc>
          <w:tcPr>
            <w:tcW w:type="dxa" w:w="1522"/>
            <w:vAlign w:val="top"/>
          </w:tcPr>
          <w:p>
            <w:r>
              <w:rPr>
                <w:sz w:val="11"/>
              </w:rPr>
              <w:t>HMS allocates project-specific engineering support.</w:t>
            </w:r>
          </w:p>
        </w:tc>
      </w:tr>
      <w:tr>
        <w:tc>
          <w:tcPr>
            <w:tcW w:type="dxa" w:w="1522"/>
            <w:vAlign w:val="top"/>
          </w:tcPr>
          <w:p>
            <w:r>
              <w:rPr>
                <w:sz w:val="11"/>
              </w:rPr>
              <w:t>Aug 2023</w:t>
            </w:r>
          </w:p>
        </w:tc>
        <w:tc>
          <w:tcPr>
            <w:tcW w:type="dxa" w:w="1522"/>
            <w:vAlign w:val="top"/>
          </w:tcPr>
          <w:p>
            <w:r>
              <w:rPr>
                <w:sz w:val="11"/>
              </w:rPr>
              <w:t>Canadian integration, code-gap, plot/logistics, cost/schedule development begins.</w:t>
            </w:r>
          </w:p>
        </w:tc>
        <w:tc>
          <w:tcPr>
            <w:tcW w:type="dxa" w:w="1522"/>
            <w:vAlign w:val="top"/>
          </w:tcPr>
          <w:p>
            <w:r>
              <w:rPr>
                <w:sz w:val="11"/>
              </w:rPr>
              <w:t>OPG ↔ E&amp;C Canada.</w:t>
            </w:r>
          </w:p>
        </w:tc>
        <w:tc>
          <w:tcPr>
            <w:tcW w:type="dxa" w:w="1522"/>
            <w:vAlign w:val="top"/>
          </w:tcPr>
          <w:p>
            <w:r>
              <w:rPr>
                <w:sz w:val="11"/>
              </w:rPr>
              <w:t>Preliminary reimbursable development services; no EPC promise.</w:t>
            </w:r>
          </w:p>
        </w:tc>
        <w:tc>
          <w:tcPr>
            <w:tcW w:type="dxa" w:w="1522"/>
            <w:vAlign w:val="top"/>
          </w:tcPr>
          <w:p>
            <w:r>
              <w:rPr>
                <w:sz w:val="11"/>
              </w:rPr>
              <w:t>—</w:t>
            </w:r>
          </w:p>
        </w:tc>
        <w:tc>
          <w:tcPr>
            <w:tcW w:type="dxa" w:w="1522"/>
            <w:vAlign w:val="top"/>
          </w:tcPr>
          <w:p>
            <w:r>
              <w:rPr>
                <w:sz w:val="11"/>
              </w:rPr>
              <w:t>OFG-AGR-DEV-001.</w:t>
            </w:r>
          </w:p>
        </w:tc>
        <w:tc>
          <w:tcPr>
            <w:tcW w:type="dxa" w:w="1522"/>
            <w:vAlign w:val="top"/>
          </w:tcPr>
          <w:p>
            <w:r>
              <w:rPr>
                <w:sz w:val="11"/>
              </w:rPr>
              <w:t>E&amp;C may seek quotations/market sounding but not major orders.</w:t>
            </w:r>
          </w:p>
        </w:tc>
      </w:tr>
      <w:tr>
        <w:tc>
          <w:tcPr>
            <w:tcW w:type="dxa" w:w="1522"/>
            <w:vAlign w:val="top"/>
          </w:tcPr>
          <w:p>
            <w:r>
              <w:rPr>
                <w:sz w:val="11"/>
              </w:rPr>
              <w:t>Sep 2023</w:t>
            </w:r>
          </w:p>
        </w:tc>
        <w:tc>
          <w:tcPr>
            <w:tcW w:type="dxa" w:w="1522"/>
            <w:vAlign w:val="top"/>
          </w:tcPr>
          <w:p>
            <w:r>
              <w:rPr>
                <w:sz w:val="11"/>
              </w:rPr>
              <w:t>Controlled HMS-E&amp;C project information interface and Reference Design Query process established.</w:t>
            </w:r>
          </w:p>
        </w:tc>
        <w:tc>
          <w:tcPr>
            <w:tcW w:type="dxa" w:w="1522"/>
            <w:vAlign w:val="top"/>
          </w:tcPr>
          <w:p>
            <w:r>
              <w:rPr>
                <w:sz w:val="11"/>
              </w:rPr>
              <w:t>HMS ↔ E&amp;C Canada.</w:t>
            </w:r>
          </w:p>
        </w:tc>
        <w:tc>
          <w:tcPr>
            <w:tcW w:type="dxa" w:w="1522"/>
            <w:vAlign w:val="top"/>
          </w:tcPr>
          <w:p>
            <w:r>
              <w:rPr>
                <w:sz w:val="11"/>
              </w:rPr>
              <w:t>Protects proprietary technology while enabling integration.</w:t>
            </w:r>
          </w:p>
        </w:tc>
        <w:tc>
          <w:tcPr>
            <w:tcW w:type="dxa" w:w="1522"/>
            <w:vAlign w:val="top"/>
          </w:tcPr>
          <w:p>
            <w:r>
              <w:rPr>
                <w:sz w:val="11"/>
              </w:rPr>
              <w:t>—</w:t>
            </w:r>
          </w:p>
        </w:tc>
        <w:tc>
          <w:tcPr>
            <w:tcW w:type="dxa" w:w="1522"/>
            <w:vAlign w:val="top"/>
          </w:tcPr>
          <w:p>
            <w:r>
              <w:rPr>
                <w:sz w:val="11"/>
              </w:rPr>
              <w:t>OFG-AGR-HMS-001.</w:t>
            </w:r>
          </w:p>
        </w:tc>
        <w:tc>
          <w:tcPr>
            <w:tcW w:type="dxa" w:w="1522"/>
            <w:vAlign w:val="top"/>
          </w:tcPr>
          <w:p>
            <w:r>
              <w:rPr>
                <w:sz w:val="11"/>
              </w:rPr>
              <w:t>Separates HMS proprietary, shared OFG and E&amp;C site-specific information.</w:t>
            </w:r>
          </w:p>
        </w:tc>
      </w:tr>
      <w:tr>
        <w:tc>
          <w:tcPr>
            <w:tcW w:type="dxa" w:w="1522"/>
            <w:vAlign w:val="top"/>
          </w:tcPr>
          <w:p>
            <w:r>
              <w:rPr>
                <w:sz w:val="11"/>
              </w:rPr>
              <w:t>Q3 2023</w:t>
            </w:r>
          </w:p>
        </w:tc>
        <w:tc>
          <w:tcPr>
            <w:tcW w:type="dxa" w:w="1522"/>
            <w:vAlign w:val="top"/>
          </w:tcPr>
          <w:p>
            <w:r>
              <w:rPr>
                <w:sz w:val="11"/>
              </w:rPr>
              <w:t>HFRP becomes preferred fusion technology; Ontario/Japan development track begins.</w:t>
            </w:r>
          </w:p>
        </w:tc>
        <w:tc>
          <w:tcPr>
            <w:tcW w:type="dxa" w:w="1522"/>
            <w:vAlign w:val="top"/>
          </w:tcPr>
          <w:p>
            <w:r>
              <w:rPr>
                <w:sz w:val="11"/>
              </w:rPr>
              <w:t>Ontario, OPG, HMS/E&amp;C, METI/ANRE, MOFA, IESO, Hydro One.</w:t>
            </w:r>
          </w:p>
        </w:tc>
        <w:tc>
          <w:tcPr>
            <w:tcW w:type="dxa" w:w="1522"/>
            <w:vAlign w:val="top"/>
          </w:tcPr>
          <w:p>
            <w:r>
              <w:rPr>
                <w:sz w:val="11"/>
              </w:rPr>
              <w:t>Project moves from internal evaluation to international development proposition.</w:t>
            </w:r>
          </w:p>
        </w:tc>
        <w:tc>
          <w:tcPr>
            <w:tcW w:type="dxa" w:w="1522"/>
            <w:vAlign w:val="top"/>
          </w:tcPr>
          <w:p>
            <w:r>
              <w:rPr>
                <w:sz w:val="11"/>
              </w:rPr>
              <w:t>METI/ANRE export/programme interest; MOFA bilateral support; Ontario energy-policy sponsorship.</w:t>
            </w:r>
          </w:p>
        </w:tc>
        <w:tc>
          <w:tcPr>
            <w:tcW w:type="dxa" w:w="1522"/>
            <w:vAlign w:val="top"/>
          </w:tcPr>
          <w:p>
            <w:r>
              <w:rPr>
                <w:sz w:val="11"/>
              </w:rPr>
              <w:t>Strategic briefs, system-impact and transmission study requests.</w:t>
            </w:r>
          </w:p>
        </w:tc>
        <w:tc>
          <w:tcPr>
            <w:tcW w:type="dxa" w:w="1522"/>
            <w:vAlign w:val="top"/>
          </w:tcPr>
          <w:p>
            <w:r>
              <w:rPr>
                <w:sz w:val="11"/>
              </w:rPr>
              <w:t>Governments receive strategic summaries, not raw proprietary design files.</w:t>
            </w:r>
          </w:p>
        </w:tc>
      </w:tr>
      <w:tr>
        <w:tc>
          <w:tcPr>
            <w:tcW w:type="dxa" w:w="1522"/>
            <w:vAlign w:val="top"/>
          </w:tcPr>
          <w:p>
            <w:r>
              <w:rPr>
                <w:sz w:val="11"/>
              </w:rPr>
              <w:t>Oct 2023</w:t>
            </w:r>
          </w:p>
        </w:tc>
        <w:tc>
          <w:tcPr>
            <w:tcW w:type="dxa" w:w="1522"/>
            <w:vAlign w:val="top"/>
          </w:tcPr>
          <w:p>
            <w:r>
              <w:rPr>
                <w:sz w:val="11"/>
              </w:rPr>
              <w:t>Canadian code/licensing/safety methodology support formalized.</w:t>
            </w:r>
          </w:p>
        </w:tc>
        <w:tc>
          <w:tcPr>
            <w:tcW w:type="dxa" w:w="1522"/>
            <w:vAlign w:val="top"/>
          </w:tcPr>
          <w:p>
            <w:r>
              <w:rPr>
                <w:sz w:val="11"/>
              </w:rPr>
              <w:t>E&amp;C Canada ↔ AtkinsRéalis.</w:t>
            </w:r>
          </w:p>
        </w:tc>
        <w:tc>
          <w:tcPr>
            <w:tcW w:type="dxa" w:w="1522"/>
            <w:vAlign w:val="top"/>
          </w:tcPr>
          <w:p>
            <w:r>
              <w:rPr>
                <w:sz w:val="11"/>
              </w:rPr>
              <w:t>Narrow specialist advisory role.</w:t>
            </w:r>
          </w:p>
        </w:tc>
        <w:tc>
          <w:tcPr>
            <w:tcW w:type="dxa" w:w="1522"/>
            <w:vAlign w:val="top"/>
          </w:tcPr>
          <w:p>
            <w:r>
              <w:rPr>
                <w:sz w:val="11"/>
              </w:rPr>
              <w:t>CNSC strategy support; no regulator decision.</w:t>
            </w:r>
          </w:p>
        </w:tc>
        <w:tc>
          <w:tcPr>
            <w:tcW w:type="dxa" w:w="1522"/>
            <w:vAlign w:val="top"/>
          </w:tcPr>
          <w:p>
            <w:r>
              <w:rPr>
                <w:sz w:val="11"/>
              </w:rPr>
              <w:t>OFG-SVC-NUC-001.</w:t>
            </w:r>
          </w:p>
        </w:tc>
        <w:tc>
          <w:tcPr>
            <w:tcW w:type="dxa" w:w="1522"/>
            <w:vAlign w:val="top"/>
          </w:tcPr>
          <w:p>
            <w:r>
              <w:rPr>
                <w:sz w:val="11"/>
              </w:rPr>
              <w:t>Atkins does not become the project architect-engineer.</w:t>
            </w:r>
          </w:p>
        </w:tc>
      </w:tr>
      <w:tr>
        <w:tc>
          <w:tcPr>
            <w:tcW w:type="dxa" w:w="1522"/>
            <w:vAlign w:val="top"/>
          </w:tcPr>
          <w:p>
            <w:r>
              <w:rPr>
                <w:sz w:val="11"/>
              </w:rPr>
              <w:t>Nov 2023</w:t>
            </w:r>
          </w:p>
        </w:tc>
        <w:tc>
          <w:tcPr>
            <w:tcW w:type="dxa" w:w="1522"/>
            <w:vAlign w:val="top"/>
          </w:tcPr>
          <w:p>
            <w:r>
              <w:rPr>
                <w:sz w:val="11"/>
              </w:rPr>
              <w:t>Formal transmission/system connection study relationships open.</w:t>
            </w:r>
          </w:p>
        </w:tc>
        <w:tc>
          <w:tcPr>
            <w:tcW w:type="dxa" w:w="1522"/>
            <w:vAlign w:val="top"/>
          </w:tcPr>
          <w:p>
            <w:r>
              <w:rPr>
                <w:sz w:val="11"/>
              </w:rPr>
              <w:t>OPG, IESO, Hydro One.</w:t>
            </w:r>
          </w:p>
        </w:tc>
        <w:tc>
          <w:tcPr>
            <w:tcW w:type="dxa" w:w="1522"/>
            <w:vAlign w:val="top"/>
          </w:tcPr>
          <w:p>
            <w:r>
              <w:rPr>
                <w:sz w:val="11"/>
              </w:rPr>
              <w:t>Study/application phase only.</w:t>
            </w:r>
          </w:p>
        </w:tc>
        <w:tc>
          <w:tcPr>
            <w:tcW w:type="dxa" w:w="1522"/>
            <w:vAlign w:val="top"/>
          </w:tcPr>
          <w:p>
            <w:r>
              <w:rPr>
                <w:sz w:val="11"/>
              </w:rPr>
              <w:t>Ontario system-planning interfaces activate.</w:t>
            </w:r>
          </w:p>
        </w:tc>
        <w:tc>
          <w:tcPr>
            <w:tcW w:type="dxa" w:w="1522"/>
            <w:vAlign w:val="top"/>
          </w:tcPr>
          <w:p>
            <w:r>
              <w:rPr>
                <w:sz w:val="11"/>
              </w:rPr>
              <w:t>Connection/system-impact study instruments.</w:t>
            </w:r>
          </w:p>
        </w:tc>
        <w:tc>
          <w:tcPr>
            <w:tcW w:type="dxa" w:w="1522"/>
            <w:vAlign w:val="top"/>
          </w:tcPr>
          <w:p>
            <w:r>
              <w:rPr>
                <w:sz w:val="11"/>
              </w:rPr>
              <w:t>No final Hydro One construction commitment yet.</w:t>
            </w:r>
          </w:p>
        </w:tc>
      </w:tr>
      <w:tr>
        <w:tc>
          <w:tcPr>
            <w:tcW w:type="dxa" w:w="1522"/>
            <w:vAlign w:val="top"/>
          </w:tcPr>
          <w:p>
            <w:r>
              <w:rPr>
                <w:sz w:val="11"/>
              </w:rPr>
              <w:t>Dec 2023</w:t>
            </w:r>
          </w:p>
        </w:tc>
        <w:tc>
          <w:tcPr>
            <w:tcW w:type="dxa" w:w="1522"/>
            <w:vAlign w:val="top"/>
          </w:tcPr>
          <w:p>
            <w:r>
              <w:rPr>
                <w:sz w:val="11"/>
              </w:rPr>
              <w:t>HFRP selected as preferred platform through FID window.</w:t>
            </w:r>
          </w:p>
        </w:tc>
        <w:tc>
          <w:tcPr>
            <w:tcW w:type="dxa" w:w="1522"/>
            <w:vAlign w:val="top"/>
          </w:tcPr>
          <w:p>
            <w:r>
              <w:rPr>
                <w:sz w:val="11"/>
              </w:rPr>
              <w:t>OPG ↔ HMS.</w:t>
            </w:r>
          </w:p>
        </w:tc>
        <w:tc>
          <w:tcPr>
            <w:tcW w:type="dxa" w:w="1522"/>
            <w:vAlign w:val="top"/>
          </w:tcPr>
          <w:p>
            <w:r>
              <w:rPr>
                <w:sz w:val="11"/>
              </w:rPr>
              <w:t>Exclusivity framework with off-ramp and development-spend timetable.</w:t>
            </w:r>
          </w:p>
        </w:tc>
        <w:tc>
          <w:tcPr>
            <w:tcW w:type="dxa" w:w="1522"/>
            <w:vAlign w:val="top"/>
          </w:tcPr>
          <w:p>
            <w:r>
              <w:rPr>
                <w:sz w:val="11"/>
              </w:rPr>
              <w:t>Project-specific Indigenous engagement and CNSC pre-application engagement underway.</w:t>
            </w:r>
          </w:p>
        </w:tc>
        <w:tc>
          <w:tcPr>
            <w:tcW w:type="dxa" w:w="1522"/>
            <w:vAlign w:val="top"/>
          </w:tcPr>
          <w:p>
            <w:r>
              <w:rPr>
                <w:sz w:val="11"/>
              </w:rPr>
              <w:t>OFG-AGR-TECH-003.</w:t>
            </w:r>
          </w:p>
        </w:tc>
        <w:tc>
          <w:tcPr>
            <w:tcW w:type="dxa" w:w="1522"/>
            <w:vAlign w:val="top"/>
          </w:tcPr>
          <w:p>
            <w:r>
              <w:rPr>
                <w:sz w:val="11"/>
              </w:rPr>
              <w:t>Still no FID or commitment to build.</w:t>
            </w:r>
          </w:p>
        </w:tc>
      </w:tr>
      <w:tr>
        <w:tc>
          <w:tcPr>
            <w:tcW w:type="dxa" w:w="1522"/>
            <w:vAlign w:val="top"/>
          </w:tcPr>
          <w:p>
            <w:r>
              <w:rPr>
                <w:sz w:val="11"/>
              </w:rPr>
              <w:t>Q1 2024</w:t>
            </w:r>
          </w:p>
        </w:tc>
        <w:tc>
          <w:tcPr>
            <w:tcW w:type="dxa" w:w="1522"/>
            <w:vAlign w:val="top"/>
          </w:tcPr>
          <w:p>
            <w:r>
              <w:rPr>
                <w:sz w:val="11"/>
              </w:rPr>
              <w:t>Formal commercial selection completed; Ontario authorizes development.</w:t>
            </w:r>
          </w:p>
        </w:tc>
        <w:tc>
          <w:tcPr>
            <w:tcW w:type="dxa" w:w="1522"/>
            <w:vAlign w:val="top"/>
          </w:tcPr>
          <w:p>
            <w:r>
              <w:rPr>
                <w:sz w:val="11"/>
              </w:rPr>
              <w:t>OPG/Ontario/HMS/E&amp;C; initial finance advisers.</w:t>
            </w:r>
          </w:p>
        </w:tc>
        <w:tc>
          <w:tcPr>
            <w:tcW w:type="dxa" w:w="1522"/>
            <w:vAlign w:val="top"/>
          </w:tcPr>
          <w:p>
            <w:r>
              <w:rPr>
                <w:sz w:val="11"/>
              </w:rPr>
              <w:t>Development case becomes an actual project proposition.</w:t>
            </w:r>
          </w:p>
        </w:tc>
        <w:tc>
          <w:tcPr>
            <w:tcW w:type="dxa" w:w="1522"/>
            <w:vAlign w:val="top"/>
          </w:tcPr>
          <w:p>
            <w:r>
              <w:rPr>
                <w:sz w:val="11"/>
              </w:rPr>
              <w:t>Government-to-government dialogue shifts from hypothetical export to actual infrastructure project.</w:t>
            </w:r>
          </w:p>
        </w:tc>
        <w:tc>
          <w:tcPr>
            <w:tcW w:type="dxa" w:w="1522"/>
            <w:vAlign w:val="top"/>
          </w:tcPr>
          <w:p>
            <w:r>
              <w:rPr>
                <w:sz w:val="11"/>
              </w:rPr>
              <w:t>Owner decision/business case.</w:t>
            </w:r>
          </w:p>
        </w:tc>
        <w:tc>
          <w:tcPr>
            <w:tcW w:type="dxa" w:w="1522"/>
            <w:vAlign w:val="top"/>
          </w:tcPr>
          <w:p>
            <w:r>
              <w:rPr>
                <w:sz w:val="11"/>
              </w:rPr>
              <w:t>Sets up formal authorization.</w:t>
            </w:r>
          </w:p>
        </w:tc>
      </w:tr>
      <w:tr>
        <w:tc>
          <w:tcPr>
            <w:tcW w:type="dxa" w:w="1522"/>
            <w:vAlign w:val="top"/>
          </w:tcPr>
          <w:p>
            <w:r>
              <w:rPr>
                <w:sz w:val="11"/>
              </w:rPr>
              <w:t>Apr 2024</w:t>
            </w:r>
          </w:p>
        </w:tc>
        <w:tc>
          <w:tcPr>
            <w:tcW w:type="dxa" w:w="1522"/>
            <w:vAlign w:val="top"/>
          </w:tcPr>
          <w:p>
            <w:r>
              <w:rPr>
                <w:sz w:val="11"/>
              </w:rPr>
              <w:t>OFG formally authorized; Project Director and E&amp;C OFG organization activated.</w:t>
            </w:r>
          </w:p>
        </w:tc>
        <w:tc>
          <w:tcPr>
            <w:tcW w:type="dxa" w:w="1522"/>
            <w:vAlign w:val="top"/>
          </w:tcPr>
          <w:p>
            <w:r>
              <w:rPr>
                <w:sz w:val="11"/>
              </w:rPr>
              <w:t>OPG; E&amp;C Canada; HMS.</w:t>
            </w:r>
          </w:p>
        </w:tc>
        <w:tc>
          <w:tcPr>
            <w:tcW w:type="dxa" w:w="1522"/>
            <w:vAlign w:val="top"/>
          </w:tcPr>
          <w:p>
            <w:r>
              <w:rPr>
                <w:sz w:val="11"/>
              </w:rPr>
              <w:t>Development Phase Agreement and project-development licence become effective.</w:t>
            </w:r>
          </w:p>
        </w:tc>
        <w:tc>
          <w:tcPr>
            <w:tcW w:type="dxa" w:w="1522"/>
            <w:vAlign w:val="top"/>
          </w:tcPr>
          <w:p>
            <w:r>
              <w:rPr>
                <w:sz w:val="11"/>
              </w:rPr>
              <w:t>Ontario sponsorship; CNSC licensing path continues independently.</w:t>
            </w:r>
          </w:p>
        </w:tc>
        <w:tc>
          <w:tcPr>
            <w:tcW w:type="dxa" w:w="1522"/>
            <w:vAlign w:val="top"/>
          </w:tcPr>
          <w:p>
            <w:r>
              <w:rPr>
                <w:sz w:val="11"/>
              </w:rPr>
              <w:t>OFG-DPA-001; OFG-AGR-TECH-004; project charter/governance records.</w:t>
            </w:r>
          </w:p>
        </w:tc>
        <w:tc>
          <w:tcPr>
            <w:tcW w:type="dxa" w:w="1522"/>
            <w:vAlign w:val="top"/>
          </w:tcPr>
          <w:p>
            <w:r>
              <w:rPr>
                <w:sz w:val="11"/>
              </w:rPr>
              <w:t>Public schedule remains broad: FP H1 2031; initial grid 2032; COD 2032-33.</w:t>
            </w:r>
          </w:p>
        </w:tc>
      </w:tr>
      <w:tr>
        <w:tc>
          <w:tcPr>
            <w:tcW w:type="dxa" w:w="1522"/>
            <w:vAlign w:val="top"/>
          </w:tcPr>
          <w:p>
            <w:r>
              <w:rPr>
                <w:sz w:val="11"/>
              </w:rPr>
              <w:t>May 2024</w:t>
            </w:r>
          </w:p>
        </w:tc>
        <w:tc>
          <w:tcPr>
            <w:tcW w:type="dxa" w:w="1522"/>
            <w:vAlign w:val="top"/>
          </w:tcPr>
          <w:p>
            <w:r>
              <w:rPr>
                <w:sz w:val="11"/>
              </w:rPr>
              <w:t>Tripartite technical authority model formalized.</w:t>
            </w:r>
          </w:p>
        </w:tc>
        <w:tc>
          <w:tcPr>
            <w:tcW w:type="dxa" w:w="1522"/>
            <w:vAlign w:val="top"/>
          </w:tcPr>
          <w:p>
            <w:r>
              <w:rPr>
                <w:sz w:val="11"/>
              </w:rPr>
              <w:t>OPG + E&amp;C + HMS.</w:t>
            </w:r>
          </w:p>
        </w:tc>
        <w:tc>
          <w:tcPr>
            <w:tcW w:type="dxa" w:w="1522"/>
            <w:vAlign w:val="top"/>
          </w:tcPr>
          <w:p>
            <w:r>
              <w:rPr>
                <w:sz w:val="11"/>
              </w:rPr>
              <w:t>Clarifies decision rights that later control changes/field work.</w:t>
            </w:r>
          </w:p>
        </w:tc>
        <w:tc>
          <w:tcPr>
            <w:tcW w:type="dxa" w:w="1522"/>
            <w:vAlign w:val="top"/>
          </w:tcPr>
          <w:p>
            <w:r>
              <w:rPr>
                <w:sz w:val="11"/>
              </w:rPr>
              <w:t>OPG retains licensee/acceptance authority.</w:t>
            </w:r>
          </w:p>
        </w:tc>
        <w:tc>
          <w:tcPr>
            <w:tcW w:type="dxa" w:w="1522"/>
            <w:vAlign w:val="top"/>
          </w:tcPr>
          <w:p>
            <w:r>
              <w:rPr>
                <w:sz w:val="11"/>
              </w:rPr>
              <w:t>OFG-AGR-TIP-001.</w:t>
            </w:r>
          </w:p>
        </w:tc>
        <w:tc>
          <w:tcPr>
            <w:tcW w:type="dxa" w:w="1522"/>
            <w:vAlign w:val="top"/>
          </w:tcPr>
          <w:p>
            <w:r>
              <w:rPr>
                <w:sz w:val="11"/>
              </w:rPr>
              <w:t>OPG = owner/licensing; E&amp;C = integrated design; HMS = HFRP technology basis.</w:t>
            </w:r>
          </w:p>
        </w:tc>
      </w:tr>
      <w:tr>
        <w:tc>
          <w:tcPr>
            <w:tcW w:type="dxa" w:w="1522"/>
            <w:vAlign w:val="top"/>
          </w:tcPr>
          <w:p>
            <w:r>
              <w:rPr>
                <w:sz w:val="11"/>
              </w:rPr>
              <w:t>Apr-Sep 2024</w:t>
            </w:r>
          </w:p>
        </w:tc>
        <w:tc>
          <w:tcPr>
            <w:tcW w:type="dxa" w:w="1522"/>
            <w:vAlign w:val="top"/>
          </w:tcPr>
          <w:p>
            <w:r>
              <w:rPr>
                <w:sz w:val="11"/>
              </w:rPr>
              <w:t>Reference adaptation/pre-FEED defines Canadian plant, system architecture, plot, buildings, lake-water, transmission, codes, classification, systemization, logistics, modularization and contracting.</w:t>
            </w:r>
          </w:p>
        </w:tc>
        <w:tc>
          <w:tcPr>
            <w:tcW w:type="dxa" w:w="1522"/>
            <w:vAlign w:val="top"/>
          </w:tcPr>
          <w:p>
            <w:r>
              <w:rPr>
                <w:sz w:val="11"/>
              </w:rPr>
              <w:t>OPG/E&amp;C/HMS with specialists.</w:t>
            </w:r>
          </w:p>
        </w:tc>
        <w:tc>
          <w:tcPr>
            <w:tcW w:type="dxa" w:w="1522"/>
            <w:vAlign w:val="top"/>
          </w:tcPr>
          <w:p>
            <w:r>
              <w:rPr>
                <w:sz w:val="11"/>
              </w:rPr>
              <w:t>Target-cost/procurement strategy forms.</w:t>
            </w:r>
          </w:p>
        </w:tc>
        <w:tc>
          <w:tcPr>
            <w:tcW w:type="dxa" w:w="1522"/>
            <w:vAlign w:val="top"/>
          </w:tcPr>
          <w:p>
            <w:r>
              <w:rPr>
                <w:sz w:val="11"/>
              </w:rPr>
              <w:t>CNSC/site/environment/Indigenous/grid work proceeds in parallel.</w:t>
            </w:r>
          </w:p>
        </w:tc>
        <w:tc>
          <w:tcPr>
            <w:tcW w:type="dxa" w:w="1522"/>
            <w:vAlign w:val="top"/>
          </w:tcPr>
          <w:p>
            <w:r>
              <w:rPr>
                <w:sz w:val="11"/>
              </w:rPr>
              <w:t>PBS/SBS/WBS, Interface Register, configuration baseline, early P&amp;IDs/one-lines/layouts.</w:t>
            </w:r>
          </w:p>
        </w:tc>
        <w:tc>
          <w:tcPr>
            <w:tcW w:type="dxa" w:w="1522"/>
            <w:vAlign w:val="top"/>
          </w:tcPr>
          <w:p>
            <w:r>
              <w:rPr>
                <w:sz w:val="11"/>
              </w:rPr>
              <w:t>Systemization is designed years before startup.</w:t>
            </w:r>
          </w:p>
        </w:tc>
      </w:tr>
      <w:tr>
        <w:tc>
          <w:tcPr>
            <w:tcW w:type="dxa" w:w="1522"/>
            <w:vAlign w:val="top"/>
          </w:tcPr>
          <w:p>
            <w:r>
              <w:rPr>
                <w:sz w:val="11"/>
              </w:rPr>
              <w:t>Jul 2024</w:t>
            </w:r>
          </w:p>
        </w:tc>
        <w:tc>
          <w:tcPr>
            <w:tcW w:type="dxa" w:w="1522"/>
            <w:vAlign w:val="top"/>
          </w:tcPr>
          <w:p>
            <w:r>
              <w:rPr>
                <w:sz w:val="11"/>
              </w:rPr>
              <w:t>Infrastructure Ontario advisory engagement.</w:t>
            </w:r>
          </w:p>
        </w:tc>
        <w:tc>
          <w:tcPr>
            <w:tcW w:type="dxa" w:w="1522"/>
            <w:vAlign w:val="top"/>
          </w:tcPr>
          <w:p>
            <w:r>
              <w:rPr>
                <w:sz w:val="11"/>
              </w:rPr>
              <w:t>Ontario/IO/OPG commercial teams.</w:t>
            </w:r>
          </w:p>
        </w:tc>
        <w:tc>
          <w:tcPr>
            <w:tcW w:type="dxa" w:w="1522"/>
            <w:vAlign w:val="top"/>
          </w:tcPr>
          <w:p>
            <w:r>
              <w:rPr>
                <w:sz w:val="11"/>
              </w:rPr>
              <w:t>Delivery-model/procurement/target-price advice.</w:t>
            </w:r>
          </w:p>
        </w:tc>
        <w:tc>
          <w:tcPr>
            <w:tcW w:type="dxa" w:w="1522"/>
            <w:vAlign w:val="top"/>
          </w:tcPr>
          <w:p>
            <w:r>
              <w:rPr>
                <w:sz w:val="11"/>
              </w:rPr>
              <w:t>Government commercial governance.</w:t>
            </w:r>
          </w:p>
        </w:tc>
        <w:tc>
          <w:tcPr>
            <w:tcW w:type="dxa" w:w="1522"/>
            <w:vAlign w:val="top"/>
          </w:tcPr>
          <w:p>
            <w:r>
              <w:rPr>
                <w:sz w:val="11"/>
              </w:rPr>
              <w:t>Advisory mandate.</w:t>
            </w:r>
          </w:p>
        </w:tc>
        <w:tc>
          <w:tcPr>
            <w:tcW w:type="dxa" w:w="1522"/>
            <w:vAlign w:val="top"/>
          </w:tcPr>
          <w:p>
            <w:r>
              <w:rPr>
                <w:sz w:val="11"/>
              </w:rPr>
              <w:t>IO has no engineering authority.</w:t>
            </w:r>
          </w:p>
        </w:tc>
      </w:tr>
      <w:tr>
        <w:tc>
          <w:tcPr>
            <w:tcW w:type="dxa" w:w="1522"/>
            <w:vAlign w:val="top"/>
          </w:tcPr>
          <w:p>
            <w:r>
              <w:rPr>
                <w:sz w:val="11"/>
              </w:rPr>
              <w:t>Sep 2024</w:t>
            </w:r>
          </w:p>
        </w:tc>
        <w:tc>
          <w:tcPr>
            <w:tcW w:type="dxa" w:w="1522"/>
            <w:vAlign w:val="top"/>
          </w:tcPr>
          <w:p>
            <w:r>
              <w:rPr>
                <w:sz w:val="11"/>
              </w:rPr>
              <w:t>Bechtel preconstruction services begin.</w:t>
            </w:r>
          </w:p>
        </w:tc>
        <w:tc>
          <w:tcPr>
            <w:tcW w:type="dxa" w:w="1522"/>
            <w:vAlign w:val="top"/>
          </w:tcPr>
          <w:p>
            <w:r>
              <w:rPr>
                <w:sz w:val="11"/>
              </w:rPr>
              <w:t>E&amp;C ↔ Bechtel.</w:t>
            </w:r>
          </w:p>
        </w:tc>
        <w:tc>
          <w:tcPr>
            <w:tcW w:type="dxa" w:w="1522"/>
            <w:vAlign w:val="top"/>
          </w:tcPr>
          <w:p>
            <w:r>
              <w:rPr>
                <w:sz w:val="11"/>
              </w:rPr>
              <w:t>Constructability, sequencing, heavy haul, cranes, labour, modularization, estimate/schedule validation.</w:t>
            </w:r>
          </w:p>
        </w:tc>
        <w:tc>
          <w:tcPr>
            <w:tcW w:type="dxa" w:w="1522"/>
            <w:vAlign w:val="top"/>
          </w:tcPr>
          <w:p>
            <w:r>
              <w:rPr>
                <w:sz w:val="11"/>
              </w:rPr>
              <w:t>—</w:t>
            </w:r>
          </w:p>
        </w:tc>
        <w:tc>
          <w:tcPr>
            <w:tcW w:type="dxa" w:w="1522"/>
            <w:vAlign w:val="top"/>
          </w:tcPr>
          <w:p>
            <w:r>
              <w:rPr>
                <w:sz w:val="11"/>
              </w:rPr>
              <w:t>OFG-CON-PCS-001.</w:t>
            </w:r>
          </w:p>
        </w:tc>
        <w:tc>
          <w:tcPr>
            <w:tcW w:type="dxa" w:w="1522"/>
            <w:vAlign w:val="top"/>
          </w:tcPr>
          <w:p>
            <w:r>
              <w:rPr>
                <w:sz w:val="11"/>
              </w:rPr>
              <w:t>Bechtel is not yet full principal constructor.</w:t>
            </w:r>
          </w:p>
        </w:tc>
      </w:tr>
      <w:tr>
        <w:tc>
          <w:tcPr>
            <w:tcW w:type="dxa" w:w="1522"/>
            <w:vAlign w:val="top"/>
          </w:tcPr>
          <w:p>
            <w:r>
              <w:rPr>
                <w:sz w:val="11"/>
              </w:rPr>
              <w:t>Q3 2024-May 2026</w:t>
            </w:r>
          </w:p>
        </w:tc>
        <w:tc>
          <w:tcPr>
            <w:tcW w:type="dxa" w:w="1522"/>
            <w:vAlign w:val="top"/>
          </w:tcPr>
          <w:p>
            <w:r>
              <w:rPr>
                <w:sz w:val="11"/>
              </w:rPr>
              <w:t>Construction-licence application/review proceeds.</w:t>
            </w:r>
          </w:p>
        </w:tc>
        <w:tc>
          <w:tcPr>
            <w:tcW w:type="dxa" w:w="1522"/>
            <w:vAlign w:val="top"/>
          </w:tcPr>
          <w:p>
            <w:r>
              <w:rPr>
                <w:sz w:val="11"/>
              </w:rPr>
              <w:t>OPG applicant; CNSC staff/Commission.</w:t>
            </w:r>
          </w:p>
        </w:tc>
        <w:tc>
          <w:tcPr>
            <w:tcW w:type="dxa" w:w="1522"/>
            <w:vAlign w:val="top"/>
          </w:tcPr>
          <w:p>
            <w:r>
              <w:rPr>
                <w:sz w:val="11"/>
              </w:rPr>
              <w:t>Commercial execution proceeds subject to regulatory path.</w:t>
            </w:r>
          </w:p>
        </w:tc>
        <w:tc>
          <w:tcPr>
            <w:tcW w:type="dxa" w:w="1522"/>
            <w:vAlign w:val="top"/>
          </w:tcPr>
          <w:p>
            <w:r>
              <w:rPr>
                <w:sz w:val="11"/>
              </w:rPr>
              <w:t>Independent licensing process.</w:t>
            </w:r>
          </w:p>
        </w:tc>
        <w:tc>
          <w:tcPr>
            <w:tcW w:type="dxa" w:w="1522"/>
            <w:vAlign w:val="top"/>
          </w:tcPr>
          <w:p>
            <w:r>
              <w:rPr>
                <w:sz w:val="11"/>
              </w:rPr>
              <w:t>Application, RFIs, responses, hearing record, future licence conditions.</w:t>
            </w:r>
          </w:p>
        </w:tc>
        <w:tc>
          <w:tcPr>
            <w:tcW w:type="dxa" w:w="1522"/>
            <w:vAlign w:val="top"/>
          </w:tcPr>
          <w:p>
            <w:r>
              <w:rPr>
                <w:sz w:val="11"/>
              </w:rPr>
              <w:t>Pre-licensing review is not certification.</w:t>
            </w:r>
          </w:p>
        </w:tc>
      </w:tr>
      <w:tr>
        <w:tc>
          <w:tcPr>
            <w:tcW w:type="dxa" w:w="1522"/>
            <w:vAlign w:val="top"/>
          </w:tcPr>
          <w:p>
            <w:r>
              <w:rPr>
                <w:sz w:val="11"/>
              </w:rPr>
              <w:t>Late 2024-2025</w:t>
            </w:r>
          </w:p>
        </w:tc>
        <w:tc>
          <w:tcPr>
            <w:tcW w:type="dxa" w:w="1522"/>
            <w:vAlign w:val="top"/>
          </w:tcPr>
          <w:p>
            <w:r>
              <w:rPr>
                <w:sz w:val="11"/>
              </w:rPr>
              <w:t>Long-lead reservations/early orders protect schedule.</w:t>
            </w:r>
          </w:p>
        </w:tc>
        <w:tc>
          <w:tcPr>
            <w:tcW w:type="dxa" w:w="1522"/>
            <w:vAlign w:val="top"/>
          </w:tcPr>
          <w:p>
            <w:r>
              <w:rPr>
                <w:sz w:val="11"/>
              </w:rPr>
              <w:t>E&amp;C procurement, HMS authority, OEMs.</w:t>
            </w:r>
          </w:p>
        </w:tc>
        <w:tc>
          <w:tcPr>
            <w:tcW w:type="dxa" w:w="1522"/>
            <w:vAlign w:val="top"/>
          </w:tcPr>
          <w:p>
            <w:r>
              <w:rPr>
                <w:sz w:val="11"/>
              </w:rPr>
              <w:t>Staged/cancellable commitments for magnets, cryogenics, turbine, transformers, pressure/tritium packages.</w:t>
            </w:r>
          </w:p>
        </w:tc>
        <w:tc>
          <w:tcPr>
            <w:tcW w:type="dxa" w:w="1522"/>
            <w:vAlign w:val="top"/>
          </w:tcPr>
          <w:p>
            <w:r>
              <w:rPr>
                <w:sz w:val="11"/>
              </w:rPr>
              <w:t>Export/support institutions become relevant by package.</w:t>
            </w:r>
          </w:p>
        </w:tc>
        <w:tc>
          <w:tcPr>
            <w:tcW w:type="dxa" w:w="1522"/>
            <w:vAlign w:val="top"/>
          </w:tcPr>
          <w:p>
            <w:r>
              <w:rPr>
                <w:sz w:val="11"/>
              </w:rPr>
              <w:t>Reservation agreements, early engineering, supplier capacity bookings.</w:t>
            </w:r>
          </w:p>
        </w:tc>
        <w:tc>
          <w:tcPr>
            <w:tcW w:type="dxa" w:w="1522"/>
            <w:vAlign w:val="top"/>
          </w:tcPr>
          <w:p>
            <w:r>
              <w:rPr>
                <w:sz w:val="11"/>
              </w:rPr>
              <w:t>Schedule protection before full FID.</w:t>
            </w:r>
          </w:p>
        </w:tc>
      </w:tr>
      <w:tr>
        <w:tc>
          <w:tcPr>
            <w:tcW w:type="dxa" w:w="1522"/>
            <w:vAlign w:val="top"/>
          </w:tcPr>
          <w:p>
            <w:r>
              <w:rPr>
                <w:sz w:val="11"/>
              </w:rPr>
              <w:t>Q1 2025</w:t>
            </w:r>
          </w:p>
        </w:tc>
        <w:tc>
          <w:tcPr>
            <w:tcW w:type="dxa" w:w="1522"/>
            <w:vAlign w:val="top"/>
          </w:tcPr>
          <w:p>
            <w:r>
              <w:rPr>
                <w:sz w:val="11"/>
              </w:rPr>
              <w:t>FEED ~60%; major package boundaries/OEM selections mature.</w:t>
            </w:r>
          </w:p>
        </w:tc>
        <w:tc>
          <w:tcPr>
            <w:tcW w:type="dxa" w:w="1522"/>
            <w:vAlign w:val="top"/>
          </w:tcPr>
          <w:p>
            <w:r>
              <w:rPr>
                <w:sz w:val="11"/>
              </w:rPr>
              <w:t>OPG/E&amp;C/HMS/Bechtel/OEMs.</w:t>
            </w:r>
          </w:p>
        </w:tc>
        <w:tc>
          <w:tcPr>
            <w:tcW w:type="dxa" w:w="1522"/>
            <w:vAlign w:val="top"/>
          </w:tcPr>
          <w:p>
            <w:r>
              <w:rPr>
                <w:sz w:val="11"/>
              </w:rPr>
              <w:t>Financing negotiations intensify.</w:t>
            </w:r>
          </w:p>
        </w:tc>
        <w:tc>
          <w:tcPr>
            <w:tcW w:type="dxa" w:w="1522"/>
            <w:vAlign w:val="top"/>
          </w:tcPr>
          <w:p>
            <w:r>
              <w:rPr>
                <w:sz w:val="11"/>
              </w:rPr>
              <w:t>Regulatory/site programme continues.</w:t>
            </w:r>
          </w:p>
        </w:tc>
        <w:tc>
          <w:tcPr>
            <w:tcW w:type="dxa" w:w="1522"/>
            <w:vAlign w:val="top"/>
          </w:tcPr>
          <w:p>
            <w:r>
              <w:rPr>
                <w:sz w:val="11"/>
              </w:rPr>
              <w:t>FEED estimate/schedule/risk registers.</w:t>
            </w:r>
          </w:p>
        </w:tc>
        <w:tc>
          <w:tcPr>
            <w:tcW w:type="dxa" w:w="1522"/>
            <w:vAlign w:val="top"/>
          </w:tcPr>
          <w:p>
            <w:r>
              <w:rPr>
                <w:sz w:val="11"/>
              </w:rPr>
              <w:t>FID definition becomes credible.</w:t>
            </w:r>
          </w:p>
        </w:tc>
      </w:tr>
      <w:tr>
        <w:tc>
          <w:tcPr>
            <w:tcW w:type="dxa" w:w="1522"/>
            <w:vAlign w:val="top"/>
          </w:tcPr>
          <w:p>
            <w:r>
              <w:rPr>
                <w:sz w:val="11"/>
              </w:rPr>
              <w:t>Q2 2025</w:t>
            </w:r>
          </w:p>
        </w:tc>
        <w:tc>
          <w:tcPr>
            <w:tcW w:type="dxa" w:w="1522"/>
            <w:vAlign w:val="top"/>
          </w:tcPr>
          <w:p>
            <w:r>
              <w:rPr>
                <w:sz w:val="11"/>
              </w:rPr>
              <w:t>FEED ~80-90%; site-preparation authorization supports early works.</w:t>
            </w:r>
          </w:p>
        </w:tc>
        <w:tc>
          <w:tcPr>
            <w:tcW w:type="dxa" w:w="1522"/>
            <w:vAlign w:val="top"/>
          </w:tcPr>
          <w:p>
            <w:r>
              <w:rPr>
                <w:sz w:val="11"/>
              </w:rPr>
              <w:t>OPG/E&amp;C/Bechtel and early works contractors.</w:t>
            </w:r>
          </w:p>
        </w:tc>
        <w:tc>
          <w:tcPr>
            <w:tcW w:type="dxa" w:w="1522"/>
            <w:vAlign w:val="top"/>
          </w:tcPr>
          <w:p>
            <w:r>
              <w:rPr>
                <w:sz w:val="11"/>
              </w:rPr>
              <w:t>Capped Early Works Amendment.</w:t>
            </w:r>
          </w:p>
        </w:tc>
        <w:tc>
          <w:tcPr>
            <w:tcW w:type="dxa" w:w="1522"/>
            <w:vAlign w:val="top"/>
          </w:tcPr>
          <w:p>
            <w:r>
              <w:rPr>
                <w:sz w:val="11"/>
              </w:rPr>
              <w:t>Approvals distinguish site prep from full licensed permanent construction.</w:t>
            </w:r>
          </w:p>
        </w:tc>
        <w:tc>
          <w:tcPr>
            <w:tcW w:type="dxa" w:w="1522"/>
            <w:vAlign w:val="top"/>
          </w:tcPr>
          <w:p>
            <w:r>
              <w:rPr>
                <w:sz w:val="11"/>
              </w:rPr>
              <w:t>OFG-DPA-AMD-02; OFG-CON-DIR-001.</w:t>
            </w:r>
          </w:p>
        </w:tc>
        <w:tc>
          <w:tcPr>
            <w:tcW w:type="dxa" w:w="1522"/>
            <w:vAlign w:val="top"/>
          </w:tcPr>
          <w:p>
            <w:r>
              <w:rPr>
                <w:sz w:val="11"/>
              </w:rPr>
              <w:t>Bechtel explicitly becomes constructor for defined early works.</w:t>
            </w:r>
          </w:p>
        </w:tc>
      </w:tr>
      <w:tr>
        <w:tc>
          <w:tcPr>
            <w:tcW w:type="dxa" w:w="1522"/>
            <w:vAlign w:val="top"/>
          </w:tcPr>
          <w:p>
            <w:r>
              <w:rPr>
                <w:sz w:val="11"/>
              </w:rPr>
              <w:t>Sep 2025 — FID</w:t>
            </w:r>
          </w:p>
        </w:tc>
        <w:tc>
          <w:tcPr>
            <w:tcW w:type="dxa" w:w="1522"/>
            <w:vAlign w:val="top"/>
          </w:tcPr>
          <w:p>
            <w:r>
              <w:rPr>
                <w:sz w:val="11"/>
              </w:rPr>
              <w:t>Target-cost EPC execution starts; OEB-1 fixed.</w:t>
            </w:r>
          </w:p>
        </w:tc>
        <w:tc>
          <w:tcPr>
            <w:tcW w:type="dxa" w:w="1522"/>
            <w:vAlign w:val="top"/>
          </w:tcPr>
          <w:p>
            <w:r>
              <w:rPr>
                <w:sz w:val="11"/>
              </w:rPr>
              <w:t>OPG, E&amp;C, HMS, Bechtel, corporate parents, lenders/investors.</w:t>
            </w:r>
          </w:p>
        </w:tc>
        <w:tc>
          <w:tcPr>
            <w:tcW w:type="dxa" w:w="1522"/>
            <w:vAlign w:val="top"/>
          </w:tcPr>
          <w:p>
            <w:r>
              <w:rPr>
                <w:sz w:val="11"/>
              </w:rPr>
              <w:t>Economic point of no return; full contract suite closes.</w:t>
            </w:r>
          </w:p>
        </w:tc>
        <w:tc>
          <w:tcPr>
            <w:tcW w:type="dxa" w:w="1522"/>
            <w:vAlign w:val="top"/>
          </w:tcPr>
          <w:p>
            <w:r>
              <w:rPr>
                <w:sz w:val="11"/>
              </w:rPr>
              <w:t>OPG Board/provincial approvals; licensing still independent.</w:t>
            </w:r>
          </w:p>
        </w:tc>
        <w:tc>
          <w:tcPr>
            <w:tcW w:type="dxa" w:w="1522"/>
            <w:vAlign w:val="top"/>
          </w:tcPr>
          <w:p>
            <w:r>
              <w:rPr>
                <w:sz w:val="11"/>
              </w:rPr>
              <w:t>OFG-EPC-001; TLA; TASA; TESA; Bechtel agreements; parent guarantee.</w:t>
            </w:r>
          </w:p>
        </w:tc>
        <w:tc>
          <w:tcPr>
            <w:tcW w:type="dxa" w:w="1522"/>
            <w:vAlign w:val="top"/>
          </w:tcPr>
          <w:p>
            <w:r>
              <w:rPr>
                <w:sz w:val="11"/>
              </w:rPr>
              <w:t>FP 31 Mar 2031; D-T Q1 2032; sync Q2 2032; COD Dec 2032.</w:t>
            </w:r>
          </w:p>
        </w:tc>
      </w:tr>
      <w:tr>
        <w:tc>
          <w:tcPr>
            <w:tcW w:type="dxa" w:w="1522"/>
            <w:vAlign w:val="top"/>
          </w:tcPr>
          <w:p>
            <w:r>
              <w:rPr>
                <w:sz w:val="11"/>
              </w:rPr>
              <w:t>Oct 2025 onward</w:t>
            </w:r>
          </w:p>
        </w:tc>
        <w:tc>
          <w:tcPr>
            <w:tcW w:type="dxa" w:w="1522"/>
            <w:vAlign w:val="top"/>
          </w:tcPr>
          <w:p>
            <w:r>
              <w:rPr>
                <w:sz w:val="11"/>
              </w:rPr>
              <w:t>OFG Project LP economic vehicle / project-management arrangements operate.</w:t>
            </w:r>
          </w:p>
        </w:tc>
        <w:tc>
          <w:tcPr>
            <w:tcW w:type="dxa" w:w="1522"/>
            <w:vAlign w:val="top"/>
          </w:tcPr>
          <w:p>
            <w:r>
              <w:rPr>
                <w:sz w:val="11"/>
              </w:rPr>
              <w:t>OFG LP + OPG + investors/lenders.</w:t>
            </w:r>
          </w:p>
        </w:tc>
        <w:tc>
          <w:tcPr>
            <w:tcW w:type="dxa" w:w="1522"/>
            <w:vAlign w:val="top"/>
          </w:tcPr>
          <w:p>
            <w:r>
              <w:rPr>
                <w:sz w:val="11"/>
              </w:rPr>
              <w:t>Project economics centralized; financing rights may be novated/joindered.</w:t>
            </w:r>
          </w:p>
        </w:tc>
        <w:tc>
          <w:tcPr>
            <w:tcW w:type="dxa" w:w="1522"/>
            <w:vAlign w:val="top"/>
          </w:tcPr>
          <w:p>
            <w:r>
              <w:rPr>
                <w:sz w:val="11"/>
              </w:rPr>
              <w:t>OPG remains licensee/project manager/operator.</w:t>
            </w:r>
          </w:p>
        </w:tc>
        <w:tc>
          <w:tcPr>
            <w:tcW w:type="dxa" w:w="1522"/>
            <w:vAlign w:val="top"/>
          </w:tcPr>
          <w:p>
            <w:r>
              <w:rPr>
                <w:sz w:val="11"/>
              </w:rPr>
              <w:t>LPA/project management/novation instruments.</w:t>
            </w:r>
          </w:p>
        </w:tc>
        <w:tc>
          <w:tcPr>
            <w:tcW w:type="dxa" w:w="1522"/>
            <w:vAlign w:val="top"/>
          </w:tcPr>
          <w:p>
            <w:r>
              <w:rPr>
                <w:sz w:val="11"/>
              </w:rPr>
              <w:t>LP does not displace OPG regulatory authority.</w:t>
            </w:r>
          </w:p>
        </w:tc>
      </w:tr>
      <w:tr>
        <w:tc>
          <w:tcPr>
            <w:tcW w:type="dxa" w:w="1522"/>
            <w:vAlign w:val="top"/>
          </w:tcPr>
          <w:p>
            <w:r>
              <w:rPr>
                <w:sz w:val="11"/>
              </w:rPr>
              <w:t>Late 2025-May 2026</w:t>
            </w:r>
          </w:p>
        </w:tc>
        <w:tc>
          <w:tcPr>
            <w:tcW w:type="dxa" w:w="1522"/>
            <w:vAlign w:val="top"/>
          </w:tcPr>
          <w:p>
            <w:r>
              <w:rPr>
                <w:sz w:val="11"/>
              </w:rPr>
              <w:t>Site establishment, grading, roads, drainage, warehousing, temporary utilities, marine/rail/heavy-haul systems build out.</w:t>
            </w:r>
          </w:p>
        </w:tc>
        <w:tc>
          <w:tcPr>
            <w:tcW w:type="dxa" w:w="1522"/>
            <w:vAlign w:val="top"/>
          </w:tcPr>
          <w:p>
            <w:r>
              <w:rPr>
                <w:sz w:val="11"/>
              </w:rPr>
              <w:t>Bechtel/E&amp;C/contractors; OPG oversight.</w:t>
            </w:r>
          </w:p>
        </w:tc>
        <w:tc>
          <w:tcPr>
            <w:tcW w:type="dxa" w:w="1522"/>
            <w:vAlign w:val="top"/>
          </w:tcPr>
          <w:p>
            <w:r>
              <w:rPr>
                <w:sz w:val="11"/>
              </w:rPr>
              <w:t>Construction cash burn and procurement accelerate.</w:t>
            </w:r>
          </w:p>
        </w:tc>
        <w:tc>
          <w:tcPr>
            <w:tcW w:type="dxa" w:w="1522"/>
            <w:vAlign w:val="top"/>
          </w:tcPr>
          <w:p>
            <w:r>
              <w:rPr>
                <w:sz w:val="11"/>
              </w:rPr>
              <w:t>Municipal/environmental/licensing interfaces active.</w:t>
            </w:r>
          </w:p>
        </w:tc>
        <w:tc>
          <w:tcPr>
            <w:tcW w:type="dxa" w:w="1522"/>
            <w:vAlign w:val="top"/>
          </w:tcPr>
          <w:p>
            <w:r>
              <w:rPr>
                <w:sz w:val="11"/>
              </w:rPr>
              <w:t>Early work packages, surveys, inspections, as-builts.</w:t>
            </w:r>
          </w:p>
        </w:tc>
        <w:tc>
          <w:tcPr>
            <w:tcW w:type="dxa" w:w="1522"/>
            <w:vAlign w:val="top"/>
          </w:tcPr>
          <w:p>
            <w:r>
              <w:rPr>
                <w:sz w:val="11"/>
              </w:rPr>
              <w:t>Site becomes a production system before first nuclear concrete.</w:t>
            </w:r>
          </w:p>
        </w:tc>
      </w:tr>
      <w:tr>
        <w:tc>
          <w:tcPr>
            <w:tcW w:type="dxa" w:w="1522"/>
            <w:vAlign w:val="top"/>
          </w:tcPr>
          <w:p>
            <w:r>
              <w:rPr>
                <w:sz w:val="11"/>
              </w:rPr>
              <w:t>May 2026</w:t>
            </w:r>
          </w:p>
        </w:tc>
        <w:tc>
          <w:tcPr>
            <w:tcW w:type="dxa" w:w="1522"/>
            <w:vAlign w:val="top"/>
          </w:tcPr>
          <w:p>
            <w:r>
              <w:rPr>
                <w:sz w:val="11"/>
              </w:rPr>
              <w:t>Licence to Construct issued with hold points.</w:t>
            </w:r>
          </w:p>
        </w:tc>
        <w:tc>
          <w:tcPr>
            <w:tcW w:type="dxa" w:w="1522"/>
            <w:vAlign w:val="top"/>
          </w:tcPr>
          <w:p>
            <w:r>
              <w:rPr>
                <w:sz w:val="11"/>
              </w:rPr>
              <w:t>CNSC → OPG licensee.</w:t>
            </w:r>
          </w:p>
        </w:tc>
        <w:tc>
          <w:tcPr>
            <w:tcW w:type="dxa" w:w="1522"/>
            <w:vAlign w:val="top"/>
          </w:tcPr>
          <w:p>
            <w:r>
              <w:rPr>
                <w:sz w:val="11"/>
              </w:rPr>
              <w:t>Safety-significant permanent construction authorized.</w:t>
            </w:r>
          </w:p>
        </w:tc>
        <w:tc>
          <w:tcPr>
            <w:tcW w:type="dxa" w:w="1522"/>
            <w:vAlign w:val="top"/>
          </w:tcPr>
          <w:p>
            <w:r>
              <w:rPr>
                <w:sz w:val="11"/>
              </w:rPr>
              <w:t>Independent Commission decision.</w:t>
            </w:r>
          </w:p>
        </w:tc>
        <w:tc>
          <w:tcPr>
            <w:tcW w:type="dxa" w:w="1522"/>
            <w:vAlign w:val="top"/>
          </w:tcPr>
          <w:p>
            <w:r>
              <w:rPr>
                <w:sz w:val="11"/>
              </w:rPr>
              <w:t>Licence/LCH/conditions and compliance map.</w:t>
            </w:r>
          </w:p>
        </w:tc>
        <w:tc>
          <w:tcPr>
            <w:tcW w:type="dxa" w:w="1522"/>
            <w:vAlign w:val="top"/>
          </w:tcPr>
          <w:p>
            <w:r>
              <w:rPr>
                <w:sz w:val="11"/>
              </w:rPr>
              <w:t>Schedule cannot override hold points.</w:t>
            </w:r>
          </w:p>
        </w:tc>
      </w:tr>
      <w:tr>
        <w:tc>
          <w:tcPr>
            <w:tcW w:type="dxa" w:w="1522"/>
            <w:vAlign w:val="top"/>
          </w:tcPr>
          <w:p>
            <w:r>
              <w:rPr>
                <w:sz w:val="11"/>
              </w:rPr>
              <w:t>Q2-Q4 2026</w:t>
            </w:r>
          </w:p>
        </w:tc>
        <w:tc>
          <w:tcPr>
            <w:tcW w:type="dxa" w:w="1522"/>
            <w:vAlign w:val="top"/>
          </w:tcPr>
          <w:p>
            <w:r>
              <w:rPr>
                <w:sz w:val="11"/>
              </w:rPr>
              <w:t>Deep civil, first safety-significant concrete, shielding structures, turbine foundations, cooling tunnels, switchyard and marine terminal progress.</w:t>
            </w:r>
          </w:p>
        </w:tc>
        <w:tc>
          <w:tcPr>
            <w:tcW w:type="dxa" w:w="1522"/>
            <w:vAlign w:val="top"/>
          </w:tcPr>
          <w:p>
            <w:r>
              <w:rPr>
                <w:sz w:val="11"/>
              </w:rPr>
              <w:t>OPG/E&amp;C/Bechtel/Aecon/Kiewit/E.S. Fox/Bird; suppliers.</w:t>
            </w:r>
          </w:p>
        </w:tc>
        <w:tc>
          <w:tcPr>
            <w:tcW w:type="dxa" w:w="1522"/>
            <w:vAlign w:val="top"/>
          </w:tcPr>
          <w:p>
            <w:r>
              <w:rPr>
                <w:sz w:val="11"/>
              </w:rPr>
              <w:t>Major subcontracts/OEM contracts active; institutional financing continues.</w:t>
            </w:r>
          </w:p>
        </w:tc>
        <w:tc>
          <w:tcPr>
            <w:tcW w:type="dxa" w:w="1522"/>
            <w:vAlign w:val="top"/>
          </w:tcPr>
          <w:p>
            <w:r>
              <w:rPr>
                <w:sz w:val="11"/>
              </w:rPr>
              <w:t>Indigenous equity and separate participation/relationship structures mature.</w:t>
            </w:r>
          </w:p>
        </w:tc>
        <w:tc>
          <w:tcPr>
            <w:tcW w:type="dxa" w:w="1522"/>
            <w:vAlign w:val="top"/>
          </w:tcPr>
          <w:p>
            <w:r>
              <w:rPr>
                <w:sz w:val="11"/>
              </w:rPr>
              <w:t>CWP/IWP/ITP, concrete/embedded-item/survey/NDE records.</w:t>
            </w:r>
          </w:p>
        </w:tc>
        <w:tc>
          <w:tcPr>
            <w:tcW w:type="dxa" w:w="1522"/>
            <w:vAlign w:val="top"/>
          </w:tcPr>
          <w:p>
            <w:r>
              <w:rPr>
                <w:sz w:val="11"/>
              </w:rPr>
              <w:t>Overseas manufacturing proceeds in parallel.</w:t>
            </w:r>
          </w:p>
        </w:tc>
      </w:tr>
      <w:tr>
        <w:tc>
          <w:tcPr>
            <w:tcW w:type="dxa" w:w="1522"/>
            <w:vAlign w:val="top"/>
          </w:tcPr>
          <w:p>
            <w:r>
              <w:rPr>
                <w:sz w:val="11"/>
              </w:rPr>
              <w:t>2026</w:t>
            </w:r>
          </w:p>
        </w:tc>
        <w:tc>
          <w:tcPr>
            <w:tcW w:type="dxa" w:w="1522"/>
            <w:vAlign w:val="top"/>
          </w:tcPr>
          <w:p>
            <w:r>
              <w:rPr>
                <w:sz w:val="11"/>
              </w:rPr>
              <w:t>Indigenous investment vehicle acquires C$0.8B equity with separate acquisition-financing/guarantee structures.</w:t>
            </w:r>
          </w:p>
        </w:tc>
        <w:tc>
          <w:tcPr>
            <w:tcW w:type="dxa" w:w="1522"/>
            <w:vAlign w:val="top"/>
          </w:tcPr>
          <w:p>
            <w:r>
              <w:rPr>
                <w:sz w:val="11"/>
              </w:rPr>
              <w:t>WTFN investment vehicle, OPG/OFG, finance parties.</w:t>
            </w:r>
          </w:p>
        </w:tc>
        <w:tc>
          <w:tcPr>
            <w:tcW w:type="dxa" w:w="1522"/>
            <w:vAlign w:val="top"/>
          </w:tcPr>
          <w:p>
            <w:r>
              <w:rPr>
                <w:sz w:val="11"/>
              </w:rPr>
              <w:t>Minority economic participation.</w:t>
            </w:r>
          </w:p>
        </w:tc>
        <w:tc>
          <w:tcPr>
            <w:tcW w:type="dxa" w:w="1522"/>
            <w:vAlign w:val="top"/>
          </w:tcPr>
          <w:p>
            <w:r>
              <w:rPr>
                <w:sz w:val="11"/>
              </w:rPr>
              <w:t>Rights-holder consultation remains legally/institutionally distinct.</w:t>
            </w:r>
          </w:p>
        </w:tc>
        <w:tc>
          <w:tcPr>
            <w:tcW w:type="dxa" w:w="1522"/>
            <w:vAlign w:val="top"/>
          </w:tcPr>
          <w:p>
            <w:r>
              <w:rPr>
                <w:sz w:val="11"/>
              </w:rPr>
              <w:t>Equity, debt, federal/provincial support and relationship agreements.</w:t>
            </w:r>
          </w:p>
        </w:tc>
        <w:tc>
          <w:tcPr>
            <w:tcW w:type="dxa" w:w="1522"/>
            <w:vAlign w:val="top"/>
          </w:tcPr>
          <w:p>
            <w:r>
              <w:rPr>
                <w:sz w:val="11"/>
              </w:rPr>
              <w:t>Investment does not extinguish consultation rights.</w:t>
            </w:r>
          </w:p>
        </w:tc>
      </w:tr>
      <w:tr>
        <w:tc>
          <w:tcPr>
            <w:tcW w:type="dxa" w:w="1522"/>
            <w:vAlign w:val="top"/>
          </w:tcPr>
          <w:p>
            <w:r>
              <w:rPr>
                <w:sz w:val="11"/>
              </w:rPr>
              <w:t>2026-27</w:t>
            </w:r>
          </w:p>
        </w:tc>
        <w:tc>
          <w:tcPr>
            <w:tcW w:type="dxa" w:w="1522"/>
            <w:vAlign w:val="top"/>
          </w:tcPr>
          <w:p>
            <w:r>
              <w:rPr>
                <w:sz w:val="11"/>
              </w:rPr>
              <w:t>Institutional debt placement and hybrid-capital layers develop.</w:t>
            </w:r>
          </w:p>
        </w:tc>
        <w:tc>
          <w:tcPr>
            <w:tcW w:type="dxa" w:w="1522"/>
            <w:vAlign w:val="top"/>
          </w:tcPr>
          <w:p>
            <w:r>
              <w:rPr>
                <w:sz w:val="11"/>
              </w:rPr>
              <w:t>OFG LP/OPG; institutional investors; Apollo/KKR/Brookfield.</w:t>
            </w:r>
          </w:p>
        </w:tc>
        <w:tc>
          <w:tcPr>
            <w:tcW w:type="dxa" w:w="1522"/>
            <w:vAlign w:val="top"/>
          </w:tcPr>
          <w:p>
            <w:r>
              <w:rPr>
                <w:sz w:val="11"/>
              </w:rPr>
              <w:t>C$10B institutional pool; C$3.5B hybrid layer in canon.</w:t>
            </w:r>
          </w:p>
        </w:tc>
        <w:tc>
          <w:tcPr>
            <w:tcW w:type="dxa" w:w="1522"/>
            <w:vAlign w:val="top"/>
          </w:tcPr>
          <w:p>
            <w:r>
              <w:rPr>
                <w:sz w:val="11"/>
              </w:rPr>
              <w:t>Public-risk/sponsor support underpins bankability.</w:t>
            </w:r>
          </w:p>
        </w:tc>
        <w:tc>
          <w:tcPr>
            <w:tcW w:type="dxa" w:w="1522"/>
            <w:vAlign w:val="top"/>
          </w:tcPr>
          <w:p>
            <w:r>
              <w:rPr>
                <w:sz w:val="11"/>
              </w:rPr>
              <w:t>Master Note Purchase / subordinated-capital framework.</w:t>
            </w:r>
          </w:p>
        </w:tc>
        <w:tc>
          <w:tcPr>
            <w:tcW w:type="dxa" w:w="1522"/>
            <w:vAlign w:val="top"/>
          </w:tcPr>
          <w:p>
            <w:r>
              <w:rPr>
                <w:sz w:val="11"/>
              </w:rPr>
              <w:t>Economic rights do not create plant technical authority.</w:t>
            </w:r>
          </w:p>
        </w:tc>
      </w:tr>
      <w:tr>
        <w:tc>
          <w:tcPr>
            <w:tcW w:type="dxa" w:w="1522"/>
            <w:vAlign w:val="top"/>
          </w:tcPr>
          <w:p>
            <w:r>
              <w:rPr>
                <w:sz w:val="11"/>
              </w:rPr>
              <w:t>2027</w:t>
            </w:r>
          </w:p>
        </w:tc>
        <w:tc>
          <w:tcPr>
            <w:tcW w:type="dxa" w:w="1522"/>
            <w:vAlign w:val="top"/>
          </w:tcPr>
          <w:p>
            <w:r>
              <w:rPr>
                <w:sz w:val="11"/>
              </w:rPr>
              <w:t>Buildings go vertical; electrical/cryogenic/turbine/cooling structures progress.</w:t>
            </w:r>
          </w:p>
        </w:tc>
        <w:tc>
          <w:tcPr>
            <w:tcW w:type="dxa" w:w="1522"/>
            <w:vAlign w:val="top"/>
          </w:tcPr>
          <w:p>
            <w:r>
              <w:rPr>
                <w:sz w:val="11"/>
              </w:rPr>
              <w:t>Construction ecosystem + OEMs; commissioning planners increasingly present.</w:t>
            </w:r>
          </w:p>
        </w:tc>
        <w:tc>
          <w:tcPr>
            <w:tcW w:type="dxa" w:w="1522"/>
            <w:vAlign w:val="top"/>
          </w:tcPr>
          <w:p>
            <w:r>
              <w:rPr>
                <w:sz w:val="11"/>
              </w:rPr>
              <w:t>Construction output peaks toward 2028.</w:t>
            </w:r>
          </w:p>
        </w:tc>
        <w:tc>
          <w:tcPr>
            <w:tcW w:type="dxa" w:w="1522"/>
            <w:vAlign w:val="top"/>
          </w:tcPr>
          <w:p>
            <w:r>
              <w:rPr>
                <w:sz w:val="11"/>
              </w:rPr>
              <w:t>—</w:t>
            </w:r>
          </w:p>
        </w:tc>
        <w:tc>
          <w:tcPr>
            <w:tcW w:type="dxa" w:w="1522"/>
            <w:vAlign w:val="top"/>
          </w:tcPr>
          <w:p>
            <w:r>
              <w:rPr>
                <w:sz w:val="11"/>
              </w:rPr>
              <w:t>Field packages, inspections, logistics/receiving records.</w:t>
            </w:r>
          </w:p>
        </w:tc>
        <w:tc>
          <w:tcPr>
            <w:tcW w:type="dxa" w:w="1522"/>
            <w:vAlign w:val="top"/>
          </w:tcPr>
          <w:p>
            <w:r>
              <w:rPr>
                <w:sz w:val="11"/>
              </w:rPr>
              <w:t>Permanent power infrastructure prioritized early.</w:t>
            </w:r>
          </w:p>
        </w:tc>
      </w:tr>
      <w:tr>
        <w:tc>
          <w:tcPr>
            <w:tcW w:type="dxa" w:w="1522"/>
            <w:vAlign w:val="top"/>
          </w:tcPr>
          <w:p>
            <w:r>
              <w:rPr>
                <w:sz w:val="11"/>
              </w:rPr>
              <w:t>Mid-late 2027</w:t>
            </w:r>
          </w:p>
        </w:tc>
        <w:tc>
          <w:tcPr>
            <w:tcW w:type="dxa" w:w="1522"/>
            <w:vAlign w:val="top"/>
          </w:tcPr>
          <w:p>
            <w:r>
              <w:rPr>
                <w:sz w:val="11"/>
              </w:rPr>
              <w:t>Large modules arrive; Assembly Hall heavy crane/fixtures commissioned; first HFRP machine hardware reaches site.</w:t>
            </w:r>
          </w:p>
        </w:tc>
        <w:tc>
          <w:tcPr>
            <w:tcW w:type="dxa" w:w="1522"/>
            <w:vAlign w:val="top"/>
          </w:tcPr>
          <w:p>
            <w:r>
              <w:rPr>
                <w:sz w:val="11"/>
              </w:rPr>
              <w:t>E&amp;C logistics, Bechtel, HMS/OEM assembly specialists.</w:t>
            </w:r>
          </w:p>
        </w:tc>
        <w:tc>
          <w:tcPr>
            <w:tcW w:type="dxa" w:w="1522"/>
            <w:vAlign w:val="top"/>
          </w:tcPr>
          <w:p>
            <w:r>
              <w:rPr>
                <w:sz w:val="11"/>
              </w:rPr>
              <w:t>Seaway/port/heavy-haul schedule becomes critical.</w:t>
            </w:r>
          </w:p>
        </w:tc>
        <w:tc>
          <w:tcPr>
            <w:tcW w:type="dxa" w:w="1522"/>
            <w:vAlign w:val="top"/>
          </w:tcPr>
          <w:p>
            <w:r>
              <w:rPr>
                <w:sz w:val="11"/>
              </w:rPr>
              <w:t>Customs/export/transport interfaces active.</w:t>
            </w:r>
          </w:p>
        </w:tc>
        <w:tc>
          <w:tcPr>
            <w:tcW w:type="dxa" w:w="1522"/>
            <w:vAlign w:val="top"/>
          </w:tcPr>
          <w:p>
            <w:r>
              <w:rPr>
                <w:sz w:val="11"/>
              </w:rPr>
              <w:t>Shipping release, receiving inspection, preservation, lift plans/metrology.</w:t>
            </w:r>
          </w:p>
        </w:tc>
        <w:tc>
          <w:tcPr>
            <w:tcW w:type="dxa" w:w="1522"/>
            <w:vAlign w:val="top"/>
          </w:tcPr>
          <w:p>
            <w:r>
              <w:rPr>
                <w:sz w:val="11"/>
              </w:rPr>
              <w:t>Winter navigation windows drive stockpiling strategy.</w:t>
            </w:r>
          </w:p>
        </w:tc>
      </w:tr>
      <w:tr>
        <w:tc>
          <w:tcPr>
            <w:tcW w:type="dxa" w:w="1522"/>
            <w:vAlign w:val="top"/>
          </w:tcPr>
          <w:p>
            <w:r>
              <w:rPr>
                <w:sz w:val="11"/>
              </w:rPr>
              <w:t>2028</w:t>
            </w:r>
          </w:p>
        </w:tc>
        <w:tc>
          <w:tcPr>
            <w:tcW w:type="dxa" w:w="1522"/>
            <w:vAlign w:val="top"/>
          </w:tcPr>
          <w:p>
            <w:r>
              <w:rPr>
                <w:sz w:val="11"/>
              </w:rPr>
              <w:t>Peak construction ~1,700-2,100; 16-sector machine erection advances.</w:t>
            </w:r>
          </w:p>
        </w:tc>
        <w:tc>
          <w:tcPr>
            <w:tcW w:type="dxa" w:w="1522"/>
            <w:vAlign w:val="top"/>
          </w:tcPr>
          <w:p>
            <w:r>
              <w:rPr>
                <w:sz w:val="11"/>
              </w:rPr>
              <w:t>Civil/mech/electrical/fusion teams, vendor field services, QA/metrology.</w:t>
            </w:r>
          </w:p>
        </w:tc>
        <w:tc>
          <w:tcPr>
            <w:tcW w:type="dxa" w:w="1522"/>
            <w:vAlign w:val="top"/>
          </w:tcPr>
          <w:p>
            <w:r>
              <w:rPr>
                <w:sz w:val="11"/>
              </w:rPr>
              <w:t>High concurrent labour/equipment spend.</w:t>
            </w:r>
          </w:p>
        </w:tc>
        <w:tc>
          <w:tcPr>
            <w:tcW w:type="dxa" w:w="1522"/>
            <w:vAlign w:val="top"/>
          </w:tcPr>
          <w:p>
            <w:r>
              <w:rPr>
                <w:sz w:val="11"/>
              </w:rPr>
              <w:t>—</w:t>
            </w:r>
          </w:p>
        </w:tc>
        <w:tc>
          <w:tcPr>
            <w:tcW w:type="dxa" w:w="1522"/>
            <w:vAlign w:val="top"/>
          </w:tcPr>
          <w:p>
            <w:r>
              <w:rPr>
                <w:sz w:val="11"/>
              </w:rPr>
              <w:t>Assembly procedures, weld/NDE/metrology/as-built records.</w:t>
            </w:r>
          </w:p>
        </w:tc>
        <w:tc>
          <w:tcPr>
            <w:tcW w:type="dxa" w:w="1522"/>
            <w:vAlign w:val="top"/>
          </w:tcPr>
          <w:p>
            <w:r>
              <w:rPr>
                <w:sz w:val="11"/>
              </w:rPr>
              <w:t>Integration risk grows while bulk civil declines.</w:t>
            </w:r>
          </w:p>
        </w:tc>
      </w:tr>
      <w:tr>
        <w:tc>
          <w:tcPr>
            <w:tcW w:type="dxa" w:w="1522"/>
            <w:vAlign w:val="top"/>
          </w:tcPr>
          <w:p>
            <w:r>
              <w:rPr>
                <w:sz w:val="11"/>
              </w:rPr>
              <w:t>H1 2029</w:t>
            </w:r>
          </w:p>
        </w:tc>
        <w:tc>
          <w:tcPr>
            <w:tcW w:type="dxa" w:w="1522"/>
            <w:vAlign w:val="top"/>
          </w:tcPr>
          <w:p>
            <w:r>
              <w:rPr>
                <w:sz w:val="11"/>
              </w:rPr>
              <w:t>Major toroidal assembly approaches completion; CS and blanket/divertor work advance.</w:t>
            </w:r>
          </w:p>
        </w:tc>
        <w:tc>
          <w:tcPr>
            <w:tcW w:type="dxa" w:w="1522"/>
            <w:vAlign w:val="top"/>
          </w:tcPr>
          <w:p>
            <w:r>
              <w:rPr>
                <w:sz w:val="11"/>
              </w:rPr>
              <w:t>HMS/E&amp;C/constructor/OEM/metrology.</w:t>
            </w:r>
          </w:p>
        </w:tc>
        <w:tc>
          <w:tcPr>
            <w:tcW w:type="dxa" w:w="1522"/>
            <w:vAlign w:val="top"/>
          </w:tcPr>
          <w:p>
            <w:r>
              <w:rPr>
                <w:sz w:val="11"/>
              </w:rPr>
              <w:t>Completion focus shifts toward interfaces and evidence.</w:t>
            </w:r>
          </w:p>
        </w:tc>
        <w:tc>
          <w:tcPr>
            <w:tcW w:type="dxa" w:w="1522"/>
            <w:vAlign w:val="top"/>
          </w:tcPr>
          <w:p>
            <w:r>
              <w:rPr>
                <w:sz w:val="11"/>
              </w:rPr>
              <w:t>—</w:t>
            </w:r>
          </w:p>
        </w:tc>
        <w:tc>
          <w:tcPr>
            <w:tcW w:type="dxa" w:w="1522"/>
            <w:vAlign w:val="top"/>
          </w:tcPr>
          <w:p>
            <w:r>
              <w:rPr>
                <w:sz w:val="11"/>
              </w:rPr>
              <w:t>Field-joint, alignment, configuration and completion records.</w:t>
            </w:r>
          </w:p>
        </w:tc>
        <w:tc>
          <w:tcPr>
            <w:tcW w:type="dxa" w:w="1522"/>
            <w:vAlign w:val="top"/>
          </w:tcPr>
          <w:p>
            <w:r>
              <w:rPr>
                <w:sz w:val="11"/>
              </w:rPr>
              <w:t>Project changes character from civil production to integration.</w:t>
            </w:r>
          </w:p>
        </w:tc>
      </w:tr>
      <w:tr>
        <w:tc>
          <w:tcPr>
            <w:tcW w:type="dxa" w:w="1522"/>
            <w:vAlign w:val="top"/>
          </w:tcPr>
          <w:p>
            <w:r>
              <w:rPr>
                <w:sz w:val="11"/>
              </w:rPr>
              <w:t>Q2 2029</w:t>
            </w:r>
          </w:p>
        </w:tc>
        <w:tc>
          <w:tcPr>
            <w:tcW w:type="dxa" w:w="1522"/>
            <w:vAlign w:val="top"/>
          </w:tcPr>
          <w:p>
            <w:r>
              <w:rPr>
                <w:sz w:val="11"/>
              </w:rPr>
              <w:t>Permanent power enters designated buildings.</w:t>
            </w:r>
          </w:p>
        </w:tc>
        <w:tc>
          <w:tcPr>
            <w:tcW w:type="dxa" w:w="1522"/>
            <w:vAlign w:val="top"/>
          </w:tcPr>
          <w:p>
            <w:r>
              <w:rPr>
                <w:sz w:val="11"/>
              </w:rPr>
              <w:t>OPG commissioning + construction organizations.</w:t>
            </w:r>
          </w:p>
        </w:tc>
        <w:tc>
          <w:tcPr>
            <w:tcW w:type="dxa" w:w="1522"/>
            <w:vAlign w:val="top"/>
          </w:tcPr>
          <w:p>
            <w:r>
              <w:rPr>
                <w:sz w:val="11"/>
              </w:rPr>
              <w:t>Live-system boundaries affect access/productivity.</w:t>
            </w:r>
          </w:p>
        </w:tc>
        <w:tc>
          <w:tcPr>
            <w:tcW w:type="dxa" w:w="1522"/>
            <w:vAlign w:val="top"/>
          </w:tcPr>
          <w:p>
            <w:r>
              <w:rPr>
                <w:sz w:val="11"/>
              </w:rPr>
              <w:t>Electrical/regulatory controls become operating-like.</w:t>
            </w:r>
          </w:p>
        </w:tc>
        <w:tc>
          <w:tcPr>
            <w:tcW w:type="dxa" w:w="1522"/>
            <w:vAlign w:val="top"/>
          </w:tcPr>
          <w:p>
            <w:r>
              <w:rPr>
                <w:sz w:val="11"/>
              </w:rPr>
              <w:t>Energization packages, tagging/clearance, system boundaries.</w:t>
            </w:r>
          </w:p>
        </w:tc>
        <w:tc>
          <w:tcPr>
            <w:tcW w:type="dxa" w:w="1522"/>
            <w:vAlign w:val="top"/>
          </w:tcPr>
          <w:p>
            <w:r>
              <w:rPr>
                <w:sz w:val="11"/>
              </w:rPr>
              <w:t>Buildings no longer have a single custody state.</w:t>
            </w:r>
          </w:p>
        </w:tc>
      </w:tr>
      <w:tr>
        <w:tc>
          <w:tcPr>
            <w:tcW w:type="dxa" w:w="1522"/>
            <w:vAlign w:val="top"/>
          </w:tcPr>
          <w:p>
            <w:r>
              <w:rPr>
                <w:sz w:val="11"/>
              </w:rPr>
              <w:t>Q3 2029</w:t>
            </w:r>
          </w:p>
        </w:tc>
        <w:tc>
          <w:tcPr>
            <w:tcW w:type="dxa" w:w="1522"/>
            <w:vAlign w:val="top"/>
          </w:tcPr>
          <w:p>
            <w:r>
              <w:rPr>
                <w:sz w:val="11"/>
              </w:rPr>
              <w:t>Earliest utilities reach MC; first formal turnover.</w:t>
            </w:r>
          </w:p>
        </w:tc>
        <w:tc>
          <w:tcPr>
            <w:tcW w:type="dxa" w:w="1522"/>
            <w:vAlign w:val="top"/>
          </w:tcPr>
          <w:p>
            <w:r>
              <w:rPr>
                <w:sz w:val="11"/>
              </w:rPr>
              <w:t>Construction transfers to OPG Commissioning by system.</w:t>
            </w:r>
          </w:p>
        </w:tc>
        <w:tc>
          <w:tcPr>
            <w:tcW w:type="dxa" w:w="1522"/>
            <w:vAlign w:val="top"/>
          </w:tcPr>
          <w:p>
            <w:r>
              <w:rPr>
                <w:sz w:val="11"/>
              </w:rPr>
              <w:t>Completion database and punch status become central.</w:t>
            </w:r>
          </w:p>
        </w:tc>
        <w:tc>
          <w:tcPr>
            <w:tcW w:type="dxa" w:w="1522"/>
            <w:vAlign w:val="top"/>
          </w:tcPr>
          <w:p>
            <w:r>
              <w:rPr>
                <w:sz w:val="11"/>
              </w:rPr>
              <w:t>OPG submits operating/commissioning licence package.</w:t>
            </w:r>
          </w:p>
        </w:tc>
        <w:tc>
          <w:tcPr>
            <w:tcW w:type="dxa" w:w="1522"/>
            <w:vAlign w:val="top"/>
          </w:tcPr>
          <w:p>
            <w:r>
              <w:rPr>
                <w:sz w:val="11"/>
              </w:rPr>
              <w:t>MC certs, turnover dossiers, as-builts, open-item lists.</w:t>
            </w:r>
          </w:p>
        </w:tc>
        <w:tc>
          <w:tcPr>
            <w:tcW w:type="dxa" w:w="1522"/>
            <w:vAlign w:val="top"/>
          </w:tcPr>
          <w:p>
            <w:r>
              <w:rPr>
                <w:sz w:val="11"/>
              </w:rPr>
              <w:t>Post-turnover work requires authorization.</w:t>
            </w:r>
          </w:p>
        </w:tc>
      </w:tr>
      <w:tr>
        <w:tc>
          <w:tcPr>
            <w:tcW w:type="dxa" w:w="1522"/>
            <w:vAlign w:val="top"/>
          </w:tcPr>
          <w:p>
            <w:r>
              <w:rPr>
                <w:sz w:val="11"/>
              </w:rPr>
              <w:t>Q4 / late 2029</w:t>
            </w:r>
          </w:p>
        </w:tc>
        <w:tc>
          <w:tcPr>
            <w:tcW w:type="dxa" w:w="1522"/>
            <w:vAlign w:val="top"/>
          </w:tcPr>
          <w:p>
            <w:r>
              <w:rPr>
                <w:sz w:val="11"/>
              </w:rPr>
              <w:t>Machine structural closure substantially achieved; OEB-2 rebaseline.</w:t>
            </w:r>
          </w:p>
        </w:tc>
        <w:tc>
          <w:tcPr>
            <w:tcW w:type="dxa" w:w="1522"/>
            <w:vAlign w:val="top"/>
          </w:tcPr>
          <w:p>
            <w:r>
              <w:rPr>
                <w:sz w:val="11"/>
              </w:rPr>
              <w:t>OPG/E&amp;C/HMS/contractors/project controls.</w:t>
            </w:r>
          </w:p>
        </w:tc>
        <w:tc>
          <w:tcPr>
            <w:tcW w:type="dxa" w:w="1522"/>
            <w:vAlign w:val="top"/>
          </w:tcPr>
          <w:p>
            <w:r>
              <w:rPr>
                <w:sz w:val="11"/>
              </w:rPr>
              <w:t>FP moves 31 Mar → 31 May 2031; EPC Amendment No.2 adjusts duration/support without conceding fault.</w:t>
            </w:r>
          </w:p>
        </w:tc>
        <w:tc>
          <w:tcPr>
            <w:tcW w:type="dxa" w:w="1522"/>
            <w:vAlign w:val="top"/>
          </w:tcPr>
          <w:p>
            <w:r>
              <w:rPr>
                <w:sz w:val="11"/>
              </w:rPr>
              <w:t>Regulatory schedule remains separate.</w:t>
            </w:r>
          </w:p>
        </w:tc>
        <w:tc>
          <w:tcPr>
            <w:tcW w:type="dxa" w:w="1522"/>
            <w:vAlign w:val="top"/>
          </w:tcPr>
          <w:p>
            <w:r>
              <w:rPr>
                <w:sz w:val="11"/>
              </w:rPr>
              <w:t>OFG-EPC-AMD-02; updated IMS/cost-to-complete.</w:t>
            </w:r>
          </w:p>
        </w:tc>
        <w:tc>
          <w:tcPr>
            <w:tcW w:type="dxa" w:w="1522"/>
            <w:vAlign w:val="top"/>
          </w:tcPr>
          <w:p>
            <w:r>
              <w:rPr>
                <w:sz w:val="11"/>
              </w:rPr>
              <w:t>Ordinary cumulative delays consume margin.</w:t>
            </w:r>
          </w:p>
        </w:tc>
      </w:tr>
      <w:tr>
        <w:tc>
          <w:tcPr>
            <w:tcW w:type="dxa" w:w="1522"/>
            <w:vAlign w:val="top"/>
          </w:tcPr>
          <w:p>
            <w:r>
              <w:rPr>
                <w:sz w:val="11"/>
              </w:rPr>
              <w:t>2029</w:t>
            </w:r>
          </w:p>
        </w:tc>
        <w:tc>
          <w:tcPr>
            <w:tcW w:type="dxa" w:w="1522"/>
            <w:vAlign w:val="top"/>
          </w:tcPr>
          <w:p>
            <w:r>
              <w:rPr>
                <w:sz w:val="11"/>
              </w:rPr>
              <w:t>Construction-to-Commissioning Interface Agreement and Fluor completion support.</w:t>
            </w:r>
          </w:p>
        </w:tc>
        <w:tc>
          <w:tcPr>
            <w:tcW w:type="dxa" w:w="1522"/>
            <w:vAlign w:val="top"/>
          </w:tcPr>
          <w:p>
            <w:r>
              <w:rPr>
                <w:sz w:val="11"/>
              </w:rPr>
              <w:t>OPG/OFG LP/E&amp;C/Bechtel; Fluor as specialist support.</w:t>
            </w:r>
          </w:p>
        </w:tc>
        <w:tc>
          <w:tcPr>
            <w:tcW w:type="dxa" w:w="1522"/>
            <w:vAlign w:val="top"/>
          </w:tcPr>
          <w:p>
            <w:r>
              <w:rPr>
                <w:sz w:val="11"/>
              </w:rPr>
              <w:t>Defines custody/re-entry and supports dossier/punch closeout.</w:t>
            </w:r>
          </w:p>
        </w:tc>
        <w:tc>
          <w:tcPr>
            <w:tcW w:type="dxa" w:w="1522"/>
            <w:vAlign w:val="top"/>
          </w:tcPr>
          <w:p>
            <w:r>
              <w:rPr>
                <w:sz w:val="11"/>
              </w:rPr>
              <w:t>Licensee control preserved.</w:t>
            </w:r>
          </w:p>
        </w:tc>
        <w:tc>
          <w:tcPr>
            <w:tcW w:type="dxa" w:w="1522"/>
            <w:vAlign w:val="top"/>
          </w:tcPr>
          <w:p>
            <w:r>
              <w:rPr>
                <w:sz w:val="11"/>
              </w:rPr>
              <w:t>OFG-CTC-001; OFG-SVC-FLU-001.</w:t>
            </w:r>
          </w:p>
        </w:tc>
        <w:tc>
          <w:tcPr>
            <w:tcW w:type="dxa" w:w="1522"/>
            <w:vAlign w:val="top"/>
          </w:tcPr>
          <w:p>
            <w:r>
              <w:rPr>
                <w:sz w:val="11"/>
              </w:rPr>
              <w:t>Systemization replaces geography as organizing principle.</w:t>
            </w:r>
          </w:p>
        </w:tc>
      </w:tr>
      <w:tr>
        <w:tc>
          <w:tcPr>
            <w:tcW w:type="dxa" w:w="1522"/>
            <w:vAlign w:val="top"/>
          </w:tcPr>
          <w:p>
            <w:r>
              <w:rPr>
                <w:sz w:val="11"/>
              </w:rPr>
              <w:t>Q1-Q3 2030</w:t>
            </w:r>
          </w:p>
        </w:tc>
        <w:tc>
          <w:tcPr>
            <w:tcW w:type="dxa" w:w="1522"/>
            <w:vAlign w:val="top"/>
          </w:tcPr>
          <w:p>
            <w:r>
              <w:rPr>
                <w:sz w:val="11"/>
              </w:rPr>
              <w:t>Permanent electrical/utilities/cooling/HVAC/fire/DCS enter functional service; turbine auxiliaries and cryoplant/vacuum commissioning intensify.</w:t>
            </w:r>
          </w:p>
        </w:tc>
        <w:tc>
          <w:tcPr>
            <w:tcW w:type="dxa" w:w="1522"/>
            <w:vAlign w:val="top"/>
          </w:tcPr>
          <w:p>
            <w:r>
              <w:rPr>
                <w:sz w:val="11"/>
              </w:rPr>
              <w:t>OPG Commissioning/Operations Readiness; E&amp;C/HMS/OEMs; residual construction.</w:t>
            </w:r>
          </w:p>
        </w:tc>
        <w:tc>
          <w:tcPr>
            <w:tcW w:type="dxa" w:w="1522"/>
            <w:vAlign w:val="top"/>
          </w:tcPr>
          <w:p>
            <w:r>
              <w:rPr>
                <w:sz w:val="11"/>
              </w:rPr>
              <w:t>Commissioning/vendor extension costs increase relative to civil production.</w:t>
            </w:r>
          </w:p>
        </w:tc>
        <w:tc>
          <w:tcPr>
            <w:tcW w:type="dxa" w:w="1522"/>
            <w:vAlign w:val="top"/>
          </w:tcPr>
          <w:p>
            <w:r>
              <w:rPr>
                <w:sz w:val="11"/>
              </w:rPr>
              <w:t>CNSC oversight shifts toward commissioning evidence.</w:t>
            </w:r>
          </w:p>
        </w:tc>
        <w:tc>
          <w:tcPr>
            <w:tcW w:type="dxa" w:w="1522"/>
            <w:vAlign w:val="top"/>
          </w:tcPr>
          <w:p>
            <w:r>
              <w:rPr>
                <w:sz w:val="11"/>
              </w:rPr>
              <w:t>Test procedures/reports, deficiencies, temporary mods, work control.</w:t>
            </w:r>
          </w:p>
        </w:tc>
        <w:tc>
          <w:tcPr>
            <w:tcW w:type="dxa" w:w="1522"/>
            <w:vAlign w:val="top"/>
          </w:tcPr>
          <w:p>
            <w:r>
              <w:rPr>
                <w:sz w:val="11"/>
              </w:rPr>
              <w:t>Physical completion separates further from integrated readiness.</w:t>
            </w:r>
          </w:p>
        </w:tc>
      </w:tr>
      <w:tr>
        <w:tc>
          <w:tcPr>
            <w:tcW w:type="dxa" w:w="1522"/>
            <w:vAlign w:val="top"/>
          </w:tcPr>
          <w:p>
            <w:r>
              <w:rPr>
                <w:sz w:val="11"/>
              </w:rPr>
              <w:t>14 May 2030</w:t>
            </w:r>
          </w:p>
        </w:tc>
        <w:tc>
          <w:tcPr>
            <w:tcW w:type="dxa" w:w="1522"/>
            <w:vAlign w:val="top"/>
          </w:tcPr>
          <w:p>
            <w:r>
              <w:rPr>
                <w:sz w:val="11"/>
              </w:rPr>
              <w:t>Need identified for supplemental BHT-401 temporary circulation.</w:t>
            </w:r>
          </w:p>
        </w:tc>
        <w:tc>
          <w:tcPr>
            <w:tcW w:type="dxa" w:w="1522"/>
            <w:vAlign w:val="top"/>
          </w:tcPr>
          <w:p>
            <w:r>
              <w:rPr>
                <w:sz w:val="11"/>
              </w:rPr>
              <w:t>Commissioning/system engineering.</w:t>
            </w:r>
          </w:p>
        </w:tc>
        <w:tc>
          <w:tcPr>
            <w:tcW w:type="dxa" w:w="1522"/>
            <w:vAlign w:val="top"/>
          </w:tcPr>
          <w:p>
            <w:r>
              <w:rPr>
                <w:sz w:val="11"/>
              </w:rPr>
              <w:t>Temporary plant procured/mobilized.</w:t>
            </w:r>
          </w:p>
        </w:tc>
        <w:tc>
          <w:tcPr>
            <w:tcW w:type="dxa" w:w="1522"/>
            <w:vAlign w:val="top"/>
          </w:tcPr>
          <w:p>
            <w:r>
              <w:rPr>
                <w:sz w:val="11"/>
              </w:rPr>
              <w:t>No HFRP design impact yet.</w:t>
            </w:r>
          </w:p>
        </w:tc>
        <w:tc>
          <w:tcPr>
            <w:tcW w:type="dxa" w:w="1522"/>
            <w:vAlign w:val="top"/>
          </w:tcPr>
          <w:p>
            <w:r>
              <w:rPr>
                <w:sz w:val="11"/>
              </w:rPr>
              <w:t>TEMP-SYS-REQ-BHT401-01.</w:t>
            </w:r>
          </w:p>
        </w:tc>
        <w:tc>
          <w:tcPr>
            <w:tcW w:type="dxa" w:w="1522"/>
            <w:vAlign w:val="top"/>
          </w:tcPr>
          <w:p>
            <w:r>
              <w:rPr>
                <w:sz w:val="11"/>
              </w:rPr>
              <w:t>Begins CRS-01 equipment genealogy.</w:t>
            </w:r>
          </w:p>
        </w:tc>
      </w:tr>
      <w:tr>
        <w:tc>
          <w:tcPr>
            <w:tcW w:type="dxa" w:w="1522"/>
            <w:vAlign w:val="top"/>
          </w:tcPr>
          <w:p>
            <w:r>
              <w:rPr>
                <w:sz w:val="11"/>
              </w:rPr>
              <w:t>12 Jun 2030</w:t>
            </w:r>
          </w:p>
        </w:tc>
        <w:tc>
          <w:tcPr>
            <w:tcW w:type="dxa" w:w="1522"/>
            <w:vAlign w:val="top"/>
          </w:tcPr>
          <w:p>
            <w:r>
              <w:rPr>
                <w:sz w:val="11"/>
              </w:rPr>
              <w:t>Temporary recirculation design Rev A issued.</w:t>
            </w:r>
          </w:p>
        </w:tc>
        <w:tc>
          <w:tcPr>
            <w:tcW w:type="dxa" w:w="1522"/>
            <w:vAlign w:val="top"/>
          </w:tcPr>
          <w:p>
            <w:r>
              <w:rPr>
                <w:sz w:val="11"/>
              </w:rPr>
              <w:t>E&amp;C/commissioning design chain.</w:t>
            </w:r>
          </w:p>
        </w:tc>
        <w:tc>
          <w:tcPr>
            <w:tcW w:type="dxa" w:w="1522"/>
            <w:vAlign w:val="top"/>
          </w:tcPr>
          <w:p>
            <w:r>
              <w:rPr>
                <w:sz w:val="11"/>
              </w:rPr>
              <w:t>—</w:t>
            </w:r>
          </w:p>
        </w:tc>
        <w:tc>
          <w:tcPr>
            <w:tcW w:type="dxa" w:w="1522"/>
            <w:vAlign w:val="top"/>
          </w:tcPr>
          <w:p>
            <w:r>
              <w:rPr>
                <w:sz w:val="11"/>
              </w:rPr>
              <w:t>—</w:t>
            </w:r>
          </w:p>
        </w:tc>
        <w:tc>
          <w:tcPr>
            <w:tcW w:type="dxa" w:w="1522"/>
            <w:vAlign w:val="top"/>
          </w:tcPr>
          <w:p>
            <w:r>
              <w:rPr>
                <w:sz w:val="11"/>
              </w:rPr>
              <w:t>TMP-DWG-BHT401-CRS01 Rev A.</w:t>
            </w:r>
          </w:p>
        </w:tc>
        <w:tc>
          <w:tcPr>
            <w:tcW w:type="dxa" w:w="1522"/>
            <w:vAlign w:val="top"/>
          </w:tcPr>
          <w:p>
            <w:r>
              <w:rPr>
                <w:sz w:val="11"/>
              </w:rPr>
              <w:t>Temporary plant is configuration-controlled.</w:t>
            </w:r>
          </w:p>
        </w:tc>
      </w:tr>
      <w:tr>
        <w:tc>
          <w:tcPr>
            <w:tcW w:type="dxa" w:w="1522"/>
            <w:vAlign w:val="top"/>
          </w:tcPr>
          <w:p>
            <w:r>
              <w:rPr>
                <w:sz w:val="11"/>
              </w:rPr>
              <w:t>19 Jun 2030</w:t>
            </w:r>
          </w:p>
        </w:tc>
        <w:tc>
          <w:tcPr>
            <w:tcW w:type="dxa" w:w="1522"/>
            <w:vAlign w:val="top"/>
          </w:tcPr>
          <w:p>
            <w:r>
              <w:rPr>
                <w:sz w:val="11"/>
              </w:rPr>
              <w:t>HMS screens temporary arrangement.</w:t>
            </w:r>
          </w:p>
        </w:tc>
        <w:tc>
          <w:tcPr>
            <w:tcW w:type="dxa" w:w="1522"/>
            <w:vAlign w:val="top"/>
          </w:tcPr>
          <w:p>
            <w:r>
              <w:rPr>
                <w:sz w:val="11"/>
              </w:rPr>
              <w:t>HMS → E&amp;C technical governance.</w:t>
            </w:r>
          </w:p>
        </w:tc>
        <w:tc>
          <w:tcPr>
            <w:tcW w:type="dxa" w:w="1522"/>
            <w:vAlign w:val="top"/>
          </w:tcPr>
          <w:p>
            <w:r>
              <w:rPr>
                <w:sz w:val="11"/>
              </w:rPr>
              <w:t>—</w:t>
            </w:r>
          </w:p>
        </w:tc>
        <w:tc>
          <w:tcPr>
            <w:tcW w:type="dxa" w:w="1522"/>
            <w:vAlign w:val="top"/>
          </w:tcPr>
          <w:p>
            <w:r>
              <w:rPr>
                <w:sz w:val="11"/>
              </w:rPr>
              <w:t>Technology-basis review.</w:t>
            </w:r>
          </w:p>
        </w:tc>
        <w:tc>
          <w:tcPr>
            <w:tcW w:type="dxa" w:w="1522"/>
            <w:vAlign w:val="top"/>
          </w:tcPr>
          <w:p>
            <w:r>
              <w:rPr>
                <w:sz w:val="11"/>
              </w:rPr>
              <w:t>HMS-SCR-2030-447.</w:t>
            </w:r>
          </w:p>
        </w:tc>
        <w:tc>
          <w:tcPr>
            <w:tcW w:type="dxa" w:w="1522"/>
            <w:vAlign w:val="top"/>
          </w:tcPr>
          <w:p>
            <w:r>
              <w:rPr>
                <w:sz w:val="11"/>
              </w:rPr>
              <w:t>No HFRP reference impact if nozzle-load limits maintained.</w:t>
            </w:r>
          </w:p>
        </w:tc>
      </w:tr>
      <w:tr>
        <w:tc>
          <w:tcPr>
            <w:tcW w:type="dxa" w:w="1522"/>
            <w:vAlign w:val="top"/>
          </w:tcPr>
          <w:p>
            <w:r>
              <w:rPr>
                <w:sz w:val="11"/>
              </w:rPr>
              <w:t>18 Aug 2030</w:t>
            </w:r>
          </w:p>
        </w:tc>
        <w:tc>
          <w:tcPr>
            <w:tcW w:type="dxa" w:w="1522"/>
            <w:vAlign w:val="top"/>
          </w:tcPr>
          <w:p>
            <w:r>
              <w:rPr>
                <w:sz w:val="11"/>
              </w:rPr>
              <w:t>CRS-01 skid FAT completed.</w:t>
            </w:r>
          </w:p>
        </w:tc>
        <w:tc>
          <w:tcPr>
            <w:tcW w:type="dxa" w:w="1522"/>
            <w:vAlign w:val="top"/>
          </w:tcPr>
          <w:p>
            <w:r>
              <w:rPr>
                <w:sz w:val="11"/>
              </w:rPr>
              <w:t>Supplier/E&amp;C/QA.</w:t>
            </w:r>
          </w:p>
        </w:tc>
        <w:tc>
          <w:tcPr>
            <w:tcW w:type="dxa" w:w="1522"/>
            <w:vAlign w:val="top"/>
          </w:tcPr>
          <w:p>
            <w:r>
              <w:rPr>
                <w:sz w:val="11"/>
              </w:rPr>
              <w:t>Factory release pathway.</w:t>
            </w:r>
          </w:p>
        </w:tc>
        <w:tc>
          <w:tcPr>
            <w:tcW w:type="dxa" w:w="1522"/>
            <w:vAlign w:val="top"/>
          </w:tcPr>
          <w:p>
            <w:r>
              <w:rPr>
                <w:sz w:val="11"/>
              </w:rPr>
              <w:t>—</w:t>
            </w:r>
          </w:p>
        </w:tc>
        <w:tc>
          <w:tcPr>
            <w:tcW w:type="dxa" w:w="1522"/>
            <w:vAlign w:val="top"/>
          </w:tcPr>
          <w:p>
            <w:r>
              <w:rPr>
                <w:sz w:val="11"/>
              </w:rPr>
              <w:t>FAT-CRS01.</w:t>
            </w:r>
          </w:p>
        </w:tc>
        <w:tc>
          <w:tcPr>
            <w:tcW w:type="dxa" w:w="1522"/>
            <w:vAlign w:val="top"/>
          </w:tcPr>
          <w:p>
            <w:r>
              <w:rPr>
                <w:sz w:val="11"/>
              </w:rPr>
              <w:t>Equipment proceeds to site.</w:t>
            </w:r>
          </w:p>
        </w:tc>
      </w:tr>
      <w:tr>
        <w:tc>
          <w:tcPr>
            <w:tcW w:type="dxa" w:w="1522"/>
            <w:vAlign w:val="top"/>
          </w:tcPr>
          <w:p>
            <w:r>
              <w:rPr>
                <w:sz w:val="11"/>
              </w:rPr>
              <w:t>3 Sep 2030</w:t>
            </w:r>
          </w:p>
        </w:tc>
        <w:tc>
          <w:tcPr>
            <w:tcW w:type="dxa" w:w="1522"/>
            <w:vAlign w:val="top"/>
          </w:tcPr>
          <w:p>
            <w:r>
              <w:rPr>
                <w:sz w:val="11"/>
              </w:rPr>
              <w:t>CRS-01 skid/restraint components arrive at site.</w:t>
            </w:r>
          </w:p>
        </w:tc>
        <w:tc>
          <w:tcPr>
            <w:tcW w:type="dxa" w:w="1522"/>
            <w:vAlign w:val="top"/>
          </w:tcPr>
          <w:p>
            <w:r>
              <w:rPr>
                <w:sz w:val="11"/>
              </w:rPr>
              <w:t>Receiving/QA/logistics.</w:t>
            </w:r>
          </w:p>
        </w:tc>
        <w:tc>
          <w:tcPr>
            <w:tcW w:type="dxa" w:w="1522"/>
            <w:vAlign w:val="top"/>
          </w:tcPr>
          <w:p>
            <w:r>
              <w:rPr>
                <w:sz w:val="11"/>
              </w:rPr>
              <w:t>—</w:t>
            </w:r>
          </w:p>
        </w:tc>
        <w:tc>
          <w:tcPr>
            <w:tcW w:type="dxa" w:w="1522"/>
            <w:vAlign w:val="top"/>
          </w:tcPr>
          <w:p>
            <w:r>
              <w:rPr>
                <w:sz w:val="11"/>
              </w:rPr>
              <w:t>—</w:t>
            </w:r>
          </w:p>
        </w:tc>
        <w:tc>
          <w:tcPr>
            <w:tcW w:type="dxa" w:w="1522"/>
            <w:vAlign w:val="top"/>
          </w:tcPr>
          <w:p>
            <w:r>
              <w:rPr>
                <w:sz w:val="11"/>
              </w:rPr>
              <w:t>Receiving inspection/delivery records.</w:t>
            </w:r>
          </w:p>
        </w:tc>
        <w:tc>
          <w:tcPr>
            <w:tcW w:type="dxa" w:w="1522"/>
            <w:vAlign w:val="top"/>
          </w:tcPr>
          <w:p>
            <w:r>
              <w:rPr>
                <w:sz w:val="11"/>
              </w:rPr>
              <w:t>Identity/condition checked.</w:t>
            </w:r>
          </w:p>
        </w:tc>
      </w:tr>
      <w:tr>
        <w:tc>
          <w:tcPr>
            <w:tcW w:type="dxa" w:w="1522"/>
            <w:vAlign w:val="top"/>
          </w:tcPr>
          <w:p>
            <w:r>
              <w:rPr>
                <w:sz w:val="11"/>
              </w:rPr>
              <w:t>22 Sep 2030</w:t>
            </w:r>
          </w:p>
        </w:tc>
        <w:tc>
          <w:tcPr>
            <w:tcW w:type="dxa" w:w="1522"/>
            <w:vAlign w:val="top"/>
          </w:tcPr>
          <w:p>
            <w:r>
              <w:rPr>
                <w:sz w:val="11"/>
              </w:rPr>
              <w:t>CRS-01 installation/mobilization begins.</w:t>
            </w:r>
          </w:p>
        </w:tc>
        <w:tc>
          <w:tcPr>
            <w:tcW w:type="dxa" w:w="1522"/>
            <w:vAlign w:val="top"/>
          </w:tcPr>
          <w:p>
            <w:r>
              <w:rPr>
                <w:sz w:val="11"/>
              </w:rPr>
              <w:t>Field execution under construction/commissioning interface.</w:t>
            </w:r>
          </w:p>
        </w:tc>
        <w:tc>
          <w:tcPr>
            <w:tcW w:type="dxa" w:w="1522"/>
            <w:vAlign w:val="top"/>
          </w:tcPr>
          <w:p>
            <w:r>
              <w:rPr>
                <w:sz w:val="11"/>
              </w:rPr>
              <w:t>—</w:t>
            </w:r>
          </w:p>
        </w:tc>
        <w:tc>
          <w:tcPr>
            <w:tcW w:type="dxa" w:w="1522"/>
            <w:vAlign w:val="top"/>
          </w:tcPr>
          <w:p>
            <w:r>
              <w:rPr>
                <w:sz w:val="11"/>
              </w:rPr>
              <w:t>—</w:t>
            </w:r>
          </w:p>
        </w:tc>
        <w:tc>
          <w:tcPr>
            <w:tcW w:type="dxa" w:w="1522"/>
            <w:vAlign w:val="top"/>
          </w:tcPr>
          <w:p>
            <w:r>
              <w:rPr>
                <w:sz w:val="11"/>
              </w:rPr>
              <w:t>IWP/setup records.</w:t>
            </w:r>
          </w:p>
        </w:tc>
        <w:tc>
          <w:tcPr>
            <w:tcW w:type="dxa" w:w="1522"/>
            <w:vAlign w:val="top"/>
          </w:tcPr>
          <w:p>
            <w:r>
              <w:rPr>
                <w:sz w:val="11"/>
              </w:rPr>
              <w:t>Physical configuration established.</w:t>
            </w:r>
          </w:p>
        </w:tc>
      </w:tr>
      <w:tr>
        <w:tc>
          <w:tcPr>
            <w:tcW w:type="dxa" w:w="1522"/>
            <w:vAlign w:val="top"/>
          </w:tcPr>
          <w:p>
            <w:r>
              <w:rPr>
                <w:sz w:val="11"/>
              </w:rPr>
              <w:t>28 Sep 2030</w:t>
            </w:r>
          </w:p>
        </w:tc>
        <w:tc>
          <w:tcPr>
            <w:tcW w:type="dxa" w:w="1522"/>
            <w:vAlign w:val="top"/>
          </w:tcPr>
          <w:p>
            <w:r>
              <w:rPr>
                <w:sz w:val="11"/>
              </w:rPr>
              <w:t>CRS-01 installation reaches MC.</w:t>
            </w:r>
          </w:p>
        </w:tc>
        <w:tc>
          <w:tcPr>
            <w:tcW w:type="dxa" w:w="1522"/>
            <w:vAlign w:val="top"/>
          </w:tcPr>
          <w:p>
            <w:r>
              <w:rPr>
                <w:sz w:val="11"/>
              </w:rPr>
              <w:t>Field/QA/completion.</w:t>
            </w:r>
          </w:p>
        </w:tc>
        <w:tc>
          <w:tcPr>
            <w:tcW w:type="dxa" w:w="1522"/>
            <w:vAlign w:val="top"/>
          </w:tcPr>
          <w:p>
            <w:r>
              <w:rPr>
                <w:sz w:val="11"/>
              </w:rPr>
              <w:t>—</w:t>
            </w:r>
          </w:p>
        </w:tc>
        <w:tc>
          <w:tcPr>
            <w:tcW w:type="dxa" w:w="1522"/>
            <w:vAlign w:val="top"/>
          </w:tcPr>
          <w:p>
            <w:r>
              <w:rPr>
                <w:sz w:val="11"/>
              </w:rPr>
              <w:t>—</w:t>
            </w:r>
          </w:p>
        </w:tc>
        <w:tc>
          <w:tcPr>
            <w:tcW w:type="dxa" w:w="1522"/>
            <w:vAlign w:val="top"/>
          </w:tcPr>
          <w:p>
            <w:r>
              <w:rPr>
                <w:sz w:val="11"/>
              </w:rPr>
              <w:t>MC certificate/completion package.</w:t>
            </w:r>
          </w:p>
        </w:tc>
        <w:tc>
          <w:tcPr>
            <w:tcW w:type="dxa" w:w="1522"/>
            <w:vAlign w:val="top"/>
          </w:tcPr>
          <w:p>
            <w:r>
              <w:rPr>
                <w:sz w:val="11"/>
              </w:rPr>
              <w:t>Punch/open-item status remains distinct from later turnover.</w:t>
            </w:r>
          </w:p>
        </w:tc>
      </w:tr>
      <w:tr>
        <w:tc>
          <w:tcPr>
            <w:tcW w:type="dxa" w:w="1522"/>
            <w:vAlign w:val="top"/>
          </w:tcPr>
          <w:p>
            <w:r>
              <w:rPr>
                <w:sz w:val="11"/>
              </w:rPr>
              <w:t>11 Oct 2030</w:t>
            </w:r>
          </w:p>
        </w:tc>
        <w:tc>
          <w:tcPr>
            <w:tcW w:type="dxa" w:w="1522"/>
            <w:vAlign w:val="top"/>
          </w:tcPr>
          <w:p>
            <w:r>
              <w:rPr>
                <w:sz w:val="11"/>
              </w:rPr>
              <w:t>CRS-01 turnover to receiving organization.</w:t>
            </w:r>
          </w:p>
        </w:tc>
        <w:tc>
          <w:tcPr>
            <w:tcW w:type="dxa" w:w="1522"/>
            <w:vAlign w:val="top"/>
          </w:tcPr>
          <w:p>
            <w:r>
              <w:rPr>
                <w:sz w:val="11"/>
              </w:rPr>
              <w:t>Construction → Commissioning custody.</w:t>
            </w:r>
          </w:p>
        </w:tc>
        <w:tc>
          <w:tcPr>
            <w:tcW w:type="dxa" w:w="1522"/>
            <w:vAlign w:val="top"/>
          </w:tcPr>
          <w:p>
            <w:r>
              <w:rPr>
                <w:sz w:val="11"/>
              </w:rPr>
              <w:t>—</w:t>
            </w:r>
          </w:p>
        </w:tc>
        <w:tc>
          <w:tcPr>
            <w:tcW w:type="dxa" w:w="1522"/>
            <w:vAlign w:val="top"/>
          </w:tcPr>
          <w:p>
            <w:r>
              <w:rPr>
                <w:sz w:val="11"/>
              </w:rPr>
              <w:t>OPG licensee work control applies.</w:t>
            </w:r>
          </w:p>
        </w:tc>
        <w:tc>
          <w:tcPr>
            <w:tcW w:type="dxa" w:w="1522"/>
            <w:vAlign w:val="top"/>
          </w:tcPr>
          <w:p>
            <w:r>
              <w:rPr>
                <w:sz w:val="11"/>
              </w:rPr>
              <w:t>Turnover dossier/certificate.</w:t>
            </w:r>
          </w:p>
        </w:tc>
        <w:tc>
          <w:tcPr>
            <w:tcW w:type="dxa" w:w="1522"/>
            <w:vAlign w:val="top"/>
          </w:tcPr>
          <w:p>
            <w:r>
              <w:rPr>
                <w:sz w:val="11"/>
              </w:rPr>
              <w:t>Installer no longer has unilateral access.</w:t>
            </w:r>
          </w:p>
        </w:tc>
      </w:tr>
      <w:tr>
        <w:tc>
          <w:tcPr>
            <w:tcW w:type="dxa" w:w="1522"/>
            <w:vAlign w:val="top"/>
          </w:tcPr>
          <w:p>
            <w:r>
              <w:rPr>
                <w:sz w:val="11"/>
              </w:rPr>
              <w:t>12 Oct 2030</w:t>
            </w:r>
          </w:p>
        </w:tc>
        <w:tc>
          <w:tcPr>
            <w:tcW w:type="dxa" w:w="1522"/>
            <w:vAlign w:val="top"/>
          </w:tcPr>
          <w:p>
            <w:r>
              <w:rPr>
                <w:sz w:val="11"/>
              </w:rPr>
              <w:t>CRS-01 first controlled flush/recirculation campaign; functional commissioning use begins.</w:t>
            </w:r>
          </w:p>
        </w:tc>
        <w:tc>
          <w:tcPr>
            <w:tcW w:type="dxa" w:w="1522"/>
            <w:vAlign w:val="top"/>
          </w:tcPr>
          <w:p>
            <w:r>
              <w:rPr>
                <w:sz w:val="11"/>
              </w:rPr>
              <w:t>OPG commissioning + technical support.</w:t>
            </w:r>
          </w:p>
        </w:tc>
        <w:tc>
          <w:tcPr>
            <w:tcW w:type="dxa" w:w="1522"/>
            <w:vAlign w:val="top"/>
          </w:tcPr>
          <w:p>
            <w:r>
              <w:rPr>
                <w:sz w:val="11"/>
              </w:rPr>
              <w:t>—</w:t>
            </w:r>
          </w:p>
        </w:tc>
        <w:tc>
          <w:tcPr>
            <w:tcW w:type="dxa" w:w="1522"/>
            <w:vAlign w:val="top"/>
          </w:tcPr>
          <w:p>
            <w:r>
              <w:rPr>
                <w:sz w:val="11"/>
              </w:rPr>
              <w:t>—</w:t>
            </w:r>
          </w:p>
        </w:tc>
        <w:tc>
          <w:tcPr>
            <w:tcW w:type="dxa" w:w="1522"/>
            <w:vAlign w:val="top"/>
          </w:tcPr>
          <w:p>
            <w:r>
              <w:rPr>
                <w:sz w:val="11"/>
              </w:rPr>
              <w:t>CPT-BHT401-FLSH-01; commissioning record.</w:t>
            </w:r>
          </w:p>
        </w:tc>
        <w:tc>
          <w:tcPr>
            <w:tcW w:type="dxa" w:w="1522"/>
            <w:vAlign w:val="top"/>
          </w:tcPr>
          <w:p>
            <w:r>
              <w:rPr>
                <w:sz w:val="11"/>
              </w:rPr>
              <w:t>Temporary system becomes live operating evidence source.</w:t>
            </w:r>
          </w:p>
        </w:tc>
      </w:tr>
      <w:tr>
        <w:tc>
          <w:tcPr>
            <w:tcW w:type="dxa" w:w="1522"/>
            <w:vAlign w:val="top"/>
          </w:tcPr>
          <w:p>
            <w:r>
              <w:rPr>
                <w:sz w:val="11"/>
              </w:rPr>
              <w:t>Nov 2030</w:t>
            </w:r>
          </w:p>
        </w:tc>
        <w:tc>
          <w:tcPr>
            <w:tcW w:type="dxa" w:w="1522"/>
            <w:vAlign w:val="top"/>
          </w:tcPr>
          <w:p>
            <w:r>
              <w:rPr>
                <w:sz w:val="11"/>
              </w:rPr>
              <w:t>OEB-3 moves FP 31 May → 30 Jun 2031.</w:t>
            </w:r>
          </w:p>
        </w:tc>
        <w:tc>
          <w:tcPr>
            <w:tcW w:type="dxa" w:w="1522"/>
            <w:vAlign w:val="top"/>
          </w:tcPr>
          <w:p>
            <w:r>
              <w:rPr>
                <w:sz w:val="11"/>
              </w:rPr>
              <w:t>OPG/E&amp;C/HMS/project controls/commercial teams.</w:t>
            </w:r>
          </w:p>
        </w:tc>
        <w:tc>
          <w:tcPr>
            <w:tcW w:type="dxa" w:w="1522"/>
            <w:vAlign w:val="top"/>
          </w:tcPr>
          <w:p>
            <w:r>
              <w:rPr>
                <w:sz w:val="11"/>
              </w:rPr>
              <w:t>EPC AMD-03 extends support windows/cost allowances and adjusts incentives.</w:t>
            </w:r>
          </w:p>
        </w:tc>
        <w:tc>
          <w:tcPr>
            <w:tcW w:type="dxa" w:w="1522"/>
            <w:vAlign w:val="top"/>
          </w:tcPr>
          <w:p>
            <w:r>
              <w:rPr>
                <w:sz w:val="11"/>
              </w:rPr>
              <w:t>Public H1 2031 commitment makes 30 Jun the visible edge.</w:t>
            </w:r>
          </w:p>
        </w:tc>
        <w:tc>
          <w:tcPr>
            <w:tcW w:type="dxa" w:w="1522"/>
            <w:vAlign w:val="top"/>
          </w:tcPr>
          <w:p>
            <w:r>
              <w:rPr>
                <w:sz w:val="11"/>
              </w:rPr>
              <w:t>OFG-EPC-AMD-03.</w:t>
            </w:r>
          </w:p>
        </w:tc>
        <w:tc>
          <w:tcPr>
            <w:tcW w:type="dxa" w:w="1522"/>
            <w:vAlign w:val="top"/>
          </w:tcPr>
          <w:p>
            <w:r>
              <w:rPr>
                <w:sz w:val="11"/>
              </w:rPr>
              <w:t>Date changes; readiness criteria do not.</w:t>
            </w:r>
          </w:p>
        </w:tc>
      </w:tr>
      <w:tr>
        <w:tc>
          <w:tcPr>
            <w:tcW w:type="dxa" w:w="1522"/>
            <w:vAlign w:val="top"/>
          </w:tcPr>
          <w:p>
            <w:r>
              <w:rPr>
                <w:sz w:val="11"/>
              </w:rPr>
              <w:t>Dec 2030</w:t>
            </w:r>
          </w:p>
        </w:tc>
        <w:tc>
          <w:tcPr>
            <w:tcW w:type="dxa" w:w="1522"/>
            <w:vAlign w:val="top"/>
          </w:tcPr>
          <w:p>
            <w:r>
              <w:rPr>
                <w:sz w:val="11"/>
              </w:rPr>
              <w:t>Project Aurora launched.</w:t>
            </w:r>
          </w:p>
        </w:tc>
        <w:tc>
          <w:tcPr>
            <w:tcW w:type="dxa" w:w="1522"/>
            <w:vAlign w:val="top"/>
          </w:tcPr>
          <w:p>
            <w:r>
              <w:rPr>
                <w:sz w:val="11"/>
              </w:rPr>
              <w:t>OPG/OFG LP appoints JPMorgan; MUFG/SMBC remain key banks.</w:t>
            </w:r>
          </w:p>
        </w:tc>
        <w:tc>
          <w:tcPr>
            <w:tcW w:type="dxa" w:w="1522"/>
            <w:vAlign w:val="top"/>
          </w:tcPr>
          <w:p>
            <w:r>
              <w:rPr>
                <w:sz w:val="11"/>
              </w:rPr>
              <w:t>Supplemental completion finance/placement begins.</w:t>
            </w:r>
          </w:p>
        </w:tc>
        <w:tc>
          <w:tcPr>
            <w:tcW w:type="dxa" w:w="1522"/>
            <w:vAlign w:val="top"/>
          </w:tcPr>
          <w:p>
            <w:r>
              <w:rPr>
                <w:sz w:val="11"/>
              </w:rPr>
              <w:t>Government/public-capital stakeholders monitor fiscal/completion exposure.</w:t>
            </w:r>
          </w:p>
        </w:tc>
        <w:tc>
          <w:tcPr>
            <w:tcW w:type="dxa" w:w="1522"/>
            <w:vAlign w:val="top"/>
          </w:tcPr>
          <w:p>
            <w:r>
              <w:rPr>
                <w:sz w:val="11"/>
              </w:rPr>
              <w:t>AUR-MAND-001.</w:t>
            </w:r>
          </w:p>
        </w:tc>
        <w:tc>
          <w:tcPr>
            <w:tcW w:type="dxa" w:w="1522"/>
            <w:vAlign w:val="top"/>
          </w:tcPr>
          <w:p>
            <w:r>
              <w:rPr>
                <w:sz w:val="11"/>
              </w:rPr>
              <w:t>Financing consumes curated cost/schedule/regulatory information, not raw field data.</w:t>
            </w:r>
          </w:p>
        </w:tc>
      </w:tr>
      <w:tr>
        <w:tc>
          <w:tcPr>
            <w:tcW w:type="dxa" w:w="1522"/>
            <w:vAlign w:val="top"/>
          </w:tcPr>
          <w:p>
            <w:r>
              <w:rPr>
                <w:sz w:val="11"/>
              </w:rPr>
              <w:t>6 Jan 2031</w:t>
            </w:r>
          </w:p>
        </w:tc>
        <w:tc>
          <w:tcPr>
            <w:tcW w:type="dxa" w:w="1522"/>
            <w:vAlign w:val="top"/>
          </w:tcPr>
          <w:p>
            <w:r>
              <w:rPr>
                <w:sz w:val="11"/>
              </w:rPr>
              <w:t>CRS-01 isolated; temporary spools removed for permanent BHT modification.</w:t>
            </w:r>
          </w:p>
        </w:tc>
        <w:tc>
          <w:tcPr>
            <w:tcW w:type="dxa" w:w="1522"/>
            <w:vAlign w:val="top"/>
          </w:tcPr>
          <w:p>
            <w:r>
              <w:rPr>
                <w:sz w:val="11"/>
              </w:rPr>
              <w:t>OPG commissioning/work control + technical support.</w:t>
            </w:r>
          </w:p>
        </w:tc>
        <w:tc>
          <w:tcPr>
            <w:tcW w:type="dxa" w:w="1522"/>
            <w:vAlign w:val="top"/>
          </w:tcPr>
          <w:p>
            <w:r>
              <w:rPr>
                <w:sz w:val="11"/>
              </w:rPr>
              <w:t>—</w:t>
            </w:r>
          </w:p>
        </w:tc>
        <w:tc>
          <w:tcPr>
            <w:tcW w:type="dxa" w:w="1522"/>
            <w:vAlign w:val="top"/>
          </w:tcPr>
          <w:p>
            <w:r>
              <w:rPr>
                <w:sz w:val="11"/>
              </w:rPr>
              <w:t>—</w:t>
            </w:r>
          </w:p>
        </w:tc>
        <w:tc>
          <w:tcPr>
            <w:tcW w:type="dxa" w:w="1522"/>
            <w:vAlign w:val="top"/>
          </w:tcPr>
          <w:p>
            <w:r>
              <w:rPr>
                <w:sz w:val="11"/>
              </w:rPr>
              <w:t>WO-BHT401-2031-011.</w:t>
            </w:r>
          </w:p>
        </w:tc>
        <w:tc>
          <w:tcPr>
            <w:tcW w:type="dxa" w:w="1522"/>
            <w:vAlign w:val="top"/>
          </w:tcPr>
          <w:p>
            <w:r>
              <w:rPr>
                <w:sz w:val="11"/>
              </w:rPr>
              <w:t>Configuration changes create new baseline need.</w:t>
            </w:r>
          </w:p>
        </w:tc>
      </w:tr>
      <w:tr>
        <w:tc>
          <w:tcPr>
            <w:tcW w:type="dxa" w:w="1522"/>
            <w:vAlign w:val="top"/>
          </w:tcPr>
          <w:p>
            <w:r>
              <w:rPr>
                <w:sz w:val="11"/>
              </w:rPr>
              <w:t>16 Jan 2031</w:t>
            </w:r>
          </w:p>
        </w:tc>
        <w:tc>
          <w:tcPr>
            <w:tcW w:type="dxa" w:w="1522"/>
            <w:vAlign w:val="top"/>
          </w:tcPr>
          <w:p>
            <w:r>
              <w:rPr>
                <w:sz w:val="11"/>
              </w:rPr>
              <w:t>Temporary arrangement revised to Rev C for new spool geometry.</w:t>
            </w:r>
          </w:p>
        </w:tc>
        <w:tc>
          <w:tcPr>
            <w:tcW w:type="dxa" w:w="1522"/>
            <w:vAlign w:val="top"/>
          </w:tcPr>
          <w:p>
            <w:r>
              <w:rPr>
                <w:sz w:val="11"/>
              </w:rPr>
              <w:t>Design authority / commissioning interface.</w:t>
            </w:r>
          </w:p>
        </w:tc>
        <w:tc>
          <w:tcPr>
            <w:tcW w:type="dxa" w:w="1522"/>
            <w:vAlign w:val="top"/>
          </w:tcPr>
          <w:p>
            <w:r>
              <w:rPr>
                <w:sz w:val="11"/>
              </w:rPr>
              <w:t>—</w:t>
            </w:r>
          </w:p>
        </w:tc>
        <w:tc>
          <w:tcPr>
            <w:tcW w:type="dxa" w:w="1522"/>
            <w:vAlign w:val="top"/>
          </w:tcPr>
          <w:p>
            <w:r>
              <w:rPr>
                <w:sz w:val="11"/>
              </w:rPr>
              <w:t>—</w:t>
            </w:r>
          </w:p>
        </w:tc>
        <w:tc>
          <w:tcPr>
            <w:tcW w:type="dxa" w:w="1522"/>
            <w:vAlign w:val="top"/>
          </w:tcPr>
          <w:p>
            <w:r>
              <w:rPr>
                <w:sz w:val="11"/>
              </w:rPr>
              <w:t>TMP-DWG-BHT401-CRS01 Rev C.</w:t>
            </w:r>
          </w:p>
        </w:tc>
        <w:tc>
          <w:tcPr>
            <w:tcW w:type="dxa" w:w="1522"/>
            <w:vAlign w:val="top"/>
          </w:tcPr>
          <w:p>
            <w:r>
              <w:rPr>
                <w:sz w:val="11"/>
              </w:rPr>
              <w:t>Later event must be evaluated against current revision, not initial Rev A.</w:t>
            </w:r>
          </w:p>
        </w:tc>
      </w:tr>
      <w:tr>
        <w:tc>
          <w:tcPr>
            <w:tcW w:type="dxa" w:w="1522"/>
            <w:vAlign w:val="top"/>
          </w:tcPr>
          <w:p>
            <w:r>
              <w:rPr>
                <w:sz w:val="11"/>
              </w:rPr>
              <w:t>24 Jan 2031</w:t>
            </w:r>
          </w:p>
        </w:tc>
        <w:tc>
          <w:tcPr>
            <w:tcW w:type="dxa" w:w="1522"/>
            <w:vAlign w:val="top"/>
          </w:tcPr>
          <w:p>
            <w:r>
              <w:rPr>
                <w:sz w:val="11"/>
              </w:rPr>
              <w:t>CRS-01 reconnected and returned to controlled service.</w:t>
            </w:r>
          </w:p>
        </w:tc>
        <w:tc>
          <w:tcPr>
            <w:tcW w:type="dxa" w:w="1522"/>
            <w:vAlign w:val="top"/>
          </w:tcPr>
          <w:p>
            <w:r>
              <w:rPr>
                <w:sz w:val="11"/>
              </w:rPr>
              <w:t>OPG commissioning authorization.</w:t>
            </w:r>
          </w:p>
        </w:tc>
        <w:tc>
          <w:tcPr>
            <w:tcW w:type="dxa" w:w="1522"/>
            <w:vAlign w:val="top"/>
          </w:tcPr>
          <w:p>
            <w:r>
              <w:rPr>
                <w:sz w:val="11"/>
              </w:rPr>
              <w:t>—</w:t>
            </w:r>
          </w:p>
        </w:tc>
        <w:tc>
          <w:tcPr>
            <w:tcW w:type="dxa" w:w="1522"/>
            <w:vAlign w:val="top"/>
          </w:tcPr>
          <w:p>
            <w:r>
              <w:rPr>
                <w:sz w:val="11"/>
              </w:rPr>
              <w:t>—</w:t>
            </w:r>
          </w:p>
        </w:tc>
        <w:tc>
          <w:tcPr>
            <w:tcW w:type="dxa" w:w="1522"/>
            <w:vAlign w:val="top"/>
          </w:tcPr>
          <w:p>
            <w:r>
              <w:rPr>
                <w:sz w:val="11"/>
              </w:rPr>
              <w:t>PTW-BHT401-0124.</w:t>
            </w:r>
          </w:p>
        </w:tc>
        <w:tc>
          <w:tcPr>
            <w:tcW w:type="dxa" w:w="1522"/>
            <w:vAlign w:val="top"/>
          </w:tcPr>
          <w:p>
            <w:r>
              <w:rPr>
                <w:sz w:val="11"/>
              </w:rPr>
              <w:t>Live commissioning configuration re-established.</w:t>
            </w:r>
          </w:p>
        </w:tc>
      </w:tr>
      <w:tr>
        <w:tc>
          <w:tcPr>
            <w:tcW w:type="dxa" w:w="1522"/>
            <w:vAlign w:val="top"/>
          </w:tcPr>
          <w:p>
            <w:r>
              <w:rPr>
                <w:sz w:val="11"/>
              </w:rPr>
              <w:t>Jan 2031</w:t>
            </w:r>
          </w:p>
        </w:tc>
        <w:tc>
          <w:tcPr>
            <w:tcW w:type="dxa" w:w="1522"/>
            <w:vAlign w:val="top"/>
          </w:tcPr>
          <w:p>
            <w:r>
              <w:rPr>
                <w:sz w:val="11"/>
              </w:rPr>
              <w:t>Operating/commissioning authorization supports defined machine-commissioning phase.</w:t>
            </w:r>
          </w:p>
        </w:tc>
        <w:tc>
          <w:tcPr>
            <w:tcW w:type="dxa" w:w="1522"/>
            <w:vAlign w:val="top"/>
          </w:tcPr>
          <w:p>
            <w:r>
              <w:rPr>
                <w:sz w:val="11"/>
              </w:rPr>
              <w:t>OPG/CNSC.</w:t>
            </w:r>
          </w:p>
        </w:tc>
        <w:tc>
          <w:tcPr>
            <w:tcW w:type="dxa" w:w="1522"/>
            <w:vAlign w:val="top"/>
          </w:tcPr>
          <w:p>
            <w:r>
              <w:rPr>
                <w:sz w:val="11"/>
              </w:rPr>
              <w:t>Finance/lenders track regulatory status as condition/risk input.</w:t>
            </w:r>
          </w:p>
        </w:tc>
        <w:tc>
          <w:tcPr>
            <w:tcW w:type="dxa" w:w="1522"/>
            <w:vAlign w:val="top"/>
          </w:tcPr>
          <w:p>
            <w:r>
              <w:rPr>
                <w:sz w:val="11"/>
              </w:rPr>
              <w:t>Additional D-T/power hold points remain.</w:t>
            </w:r>
          </w:p>
        </w:tc>
        <w:tc>
          <w:tcPr>
            <w:tcW w:type="dxa" w:w="1522"/>
            <w:vAlign w:val="top"/>
          </w:tcPr>
          <w:p>
            <w:r>
              <w:rPr>
                <w:sz w:val="11"/>
              </w:rPr>
              <w:t>Operating/commissioning authorization package.</w:t>
            </w:r>
          </w:p>
        </w:tc>
        <w:tc>
          <w:tcPr>
            <w:tcW w:type="dxa" w:w="1522"/>
            <w:vAlign w:val="top"/>
          </w:tcPr>
          <w:p>
            <w:r>
              <w:rPr>
                <w:sz w:val="11"/>
              </w:rPr>
              <w:t>Not commercial-operation approval.</w:t>
            </w:r>
          </w:p>
        </w:tc>
      </w:tr>
      <w:tr>
        <w:tc>
          <w:tcPr>
            <w:tcW w:type="dxa" w:w="1522"/>
            <w:vAlign w:val="top"/>
          </w:tcPr>
          <w:p>
            <w:r>
              <w:rPr>
                <w:sz w:val="11"/>
              </w:rPr>
              <w:t>Jan-Feb 2031</w:t>
            </w:r>
          </w:p>
        </w:tc>
        <w:tc>
          <w:tcPr>
            <w:tcW w:type="dxa" w:w="1522"/>
            <w:vAlign w:val="top"/>
          </w:tcPr>
          <w:p>
            <w:r>
              <w:rPr>
                <w:sz w:val="11"/>
              </w:rPr>
              <w:t>Magnet commissioning progresses through low-current energization, quench/fast-discharge and protective testing.</w:t>
            </w:r>
          </w:p>
        </w:tc>
        <w:tc>
          <w:tcPr>
            <w:tcW w:type="dxa" w:w="1522"/>
            <w:vAlign w:val="top"/>
          </w:tcPr>
          <w:p>
            <w:r>
              <w:rPr>
                <w:sz w:val="11"/>
              </w:rPr>
              <w:t>OPG/HMS/E&amp;C/OEMs.</w:t>
            </w:r>
          </w:p>
        </w:tc>
        <w:tc>
          <w:tcPr>
            <w:tcW w:type="dxa" w:w="1522"/>
            <w:vAlign w:val="top"/>
          </w:tcPr>
          <w:p>
            <w:r>
              <w:rPr>
                <w:sz w:val="11"/>
              </w:rPr>
              <w:t>Schedule risk increasingly tied to test results/rework duration.</w:t>
            </w:r>
          </w:p>
        </w:tc>
        <w:tc>
          <w:tcPr>
            <w:tcW w:type="dxa" w:w="1522"/>
            <w:vAlign w:val="top"/>
          </w:tcPr>
          <w:p>
            <w:r>
              <w:rPr>
                <w:sz w:val="11"/>
              </w:rPr>
              <w:t>Regulatory/technical hold points govern progression.</w:t>
            </w:r>
          </w:p>
        </w:tc>
        <w:tc>
          <w:tcPr>
            <w:tcW w:type="dxa" w:w="1522"/>
            <w:vAlign w:val="top"/>
          </w:tcPr>
          <w:p>
            <w:r>
              <w:rPr>
                <w:sz w:val="11"/>
              </w:rPr>
              <w:t>Test procedures/logs/deviation/retest records.</w:t>
            </w:r>
          </w:p>
        </w:tc>
        <w:tc>
          <w:tcPr>
            <w:tcW w:type="dxa" w:w="1522"/>
            <w:vAlign w:val="top"/>
          </w:tcPr>
          <w:p>
            <w:r>
              <w:rPr>
                <w:sz w:val="11"/>
              </w:rPr>
              <w:t>Machine is an energized integrated system, not merely installed hardware.</w:t>
            </w:r>
          </w:p>
        </w:tc>
      </w:tr>
      <w:tr>
        <w:tc>
          <w:tcPr>
            <w:tcW w:type="dxa" w:w="1522"/>
            <w:vAlign w:val="top"/>
          </w:tcPr>
          <w:p>
            <w:r>
              <w:rPr>
                <w:sz w:val="11"/>
              </w:rPr>
              <w:t>Feb-Mar 2031</w:t>
            </w:r>
          </w:p>
        </w:tc>
        <w:tc>
          <w:tcPr>
            <w:tcW w:type="dxa" w:w="1522"/>
            <w:vAlign w:val="top"/>
          </w:tcPr>
          <w:p>
            <w:r>
              <w:rPr>
                <w:sz w:val="11"/>
              </w:rPr>
              <w:t>Vacuum/bakeout, cryopumps, gas injection, diagnostics, MPS/DMS and integrated controls testing intensify.</w:t>
            </w:r>
          </w:p>
        </w:tc>
        <w:tc>
          <w:tcPr>
            <w:tcW w:type="dxa" w:w="1522"/>
            <w:vAlign w:val="top"/>
          </w:tcPr>
          <w:p>
            <w:r>
              <w:rPr>
                <w:sz w:val="11"/>
              </w:rPr>
              <w:t>Commissioning/operations-readiness organization with OEM/technology support.</w:t>
            </w:r>
          </w:p>
        </w:tc>
        <w:tc>
          <w:tcPr>
            <w:tcW w:type="dxa" w:w="1522"/>
            <w:vAlign w:val="top"/>
          </w:tcPr>
          <w:p>
            <w:r>
              <w:rPr>
                <w:sz w:val="11"/>
              </w:rPr>
              <w:t>Aurora LTA uses completion/readiness abstractions.</w:t>
            </w:r>
          </w:p>
        </w:tc>
        <w:tc>
          <w:tcPr>
            <w:tcW w:type="dxa" w:w="1522"/>
            <w:vAlign w:val="top"/>
          </w:tcPr>
          <w:p>
            <w:r>
              <w:rPr>
                <w:sz w:val="11"/>
              </w:rPr>
              <w:t>—</w:t>
            </w:r>
          </w:p>
        </w:tc>
        <w:tc>
          <w:tcPr>
            <w:tcW w:type="dxa" w:w="1522"/>
            <w:vAlign w:val="top"/>
          </w:tcPr>
          <w:p>
            <w:r>
              <w:rPr>
                <w:sz w:val="11"/>
              </w:rPr>
              <w:t>Commissioning test packages and readiness register inputs.</w:t>
            </w:r>
          </w:p>
        </w:tc>
        <w:tc>
          <w:tcPr>
            <w:tcW w:type="dxa" w:w="1522"/>
            <w:vAlign w:val="top"/>
          </w:tcPr>
          <w:p>
            <w:r>
              <w:rPr>
                <w:sz w:val="11"/>
              </w:rPr>
              <w:t>Construction workforce declines; operator/maintainer/specialist population rises.</w:t>
            </w:r>
          </w:p>
        </w:tc>
      </w:tr>
      <w:tr>
        <w:tc>
          <w:tcPr>
            <w:tcW w:type="dxa" w:w="1522"/>
            <w:vAlign w:val="top"/>
          </w:tcPr>
          <w:p>
            <w:r>
              <w:rPr>
                <w:sz w:val="11"/>
              </w:rPr>
              <w:t>Mar 2031</w:t>
            </w:r>
          </w:p>
        </w:tc>
        <w:tc>
          <w:tcPr>
            <w:tcW w:type="dxa" w:w="1522"/>
            <w:vAlign w:val="top"/>
          </w:tcPr>
          <w:p>
            <w:r>
              <w:rPr>
                <w:sz w:val="11"/>
              </w:rPr>
              <w:t>Formal First Plasma Readiness Programme / Register active.</w:t>
            </w:r>
          </w:p>
        </w:tc>
        <w:tc>
          <w:tcPr>
            <w:tcW w:type="dxa" w:w="1522"/>
            <w:vAlign w:val="top"/>
          </w:tcPr>
          <w:p>
            <w:r>
              <w:rPr>
                <w:sz w:val="11"/>
              </w:rPr>
              <w:t>OPG commissioning/operations readiness; E&amp;C/HMS support; regulator at hold points.</w:t>
            </w:r>
          </w:p>
        </w:tc>
        <w:tc>
          <w:tcPr>
            <w:tcW w:type="dxa" w:w="1522"/>
            <w:vAlign w:val="top"/>
          </w:tcPr>
          <w:p>
            <w:r>
              <w:rPr>
                <w:sz w:val="11"/>
              </w:rPr>
              <w:t>Milestone status becomes finance/executive input.</w:t>
            </w:r>
          </w:p>
        </w:tc>
        <w:tc>
          <w:tcPr>
            <w:tcW w:type="dxa" w:w="1522"/>
            <w:vAlign w:val="top"/>
          </w:tcPr>
          <w:p>
            <w:r>
              <w:rPr>
                <w:sz w:val="11"/>
              </w:rPr>
              <w:t>Government sees milestone confidence and material regulatory issues only at high level.</w:t>
            </w:r>
          </w:p>
        </w:tc>
        <w:tc>
          <w:tcPr>
            <w:tcW w:type="dxa" w:w="1522"/>
            <w:vAlign w:val="top"/>
          </w:tcPr>
          <w:p>
            <w:r>
              <w:rPr>
                <w:sz w:val="11"/>
              </w:rPr>
              <w:t>FP Readiness Register.</w:t>
            </w:r>
          </w:p>
        </w:tc>
        <w:tc>
          <w:tcPr>
            <w:tcW w:type="dxa" w:w="1522"/>
            <w:vAlign w:val="top"/>
          </w:tcPr>
          <w:p>
            <w:r>
              <w:rPr>
                <w:sz w:val="11"/>
              </w:rPr>
              <w:t>Blocker/must-close/conditional/post-FP categories separate date from state.</w:t>
            </w:r>
          </w:p>
        </w:tc>
      </w:tr>
      <w:tr>
        <w:tc>
          <w:tcPr>
            <w:tcW w:type="dxa" w:w="1522"/>
            <w:vAlign w:val="top"/>
          </w:tcPr>
          <w:p>
            <w:r>
              <w:rPr>
                <w:sz w:val="11"/>
              </w:rPr>
              <w:t>17 Mar 2031</w:t>
            </w:r>
          </w:p>
        </w:tc>
        <w:tc>
          <w:tcPr>
            <w:tcW w:type="dxa" w:w="1522"/>
            <w:vAlign w:val="top"/>
          </w:tcPr>
          <w:p>
            <w:r>
              <w:rPr>
                <w:sz w:val="11"/>
              </w:rPr>
              <w:t>Operator observes higher-than-remembered BHT-401 temporary skid vibration; no limit exceeded.</w:t>
            </w:r>
          </w:p>
        </w:tc>
        <w:tc>
          <w:tcPr>
            <w:tcW w:type="dxa" w:w="1522"/>
            <w:vAlign w:val="top"/>
          </w:tcPr>
          <w:p>
            <w:r>
              <w:rPr>
                <w:sz w:val="11"/>
              </w:rPr>
              <w:t>Operator/commissioning chain.</w:t>
            </w:r>
          </w:p>
        </w:tc>
        <w:tc>
          <w:tcPr>
            <w:tcW w:type="dxa" w:w="1522"/>
            <w:vAlign w:val="top"/>
          </w:tcPr>
          <w:p>
            <w:r>
              <w:rPr>
                <w:sz w:val="11"/>
              </w:rPr>
              <w:t>No immediate commercial consequence.</w:t>
            </w:r>
          </w:p>
        </w:tc>
        <w:tc>
          <w:tcPr>
            <w:tcW w:type="dxa" w:w="1522"/>
            <w:vAlign w:val="top"/>
          </w:tcPr>
          <w:p>
            <w:r>
              <w:rPr>
                <w:sz w:val="11"/>
              </w:rPr>
              <w:t>No automatic reportability conclusion.</w:t>
            </w:r>
          </w:p>
        </w:tc>
        <w:tc>
          <w:tcPr>
            <w:tcW w:type="dxa" w:w="1522"/>
            <w:vAlign w:val="top"/>
          </w:tcPr>
          <w:p>
            <w:r>
              <w:rPr>
                <w:sz w:val="11"/>
              </w:rPr>
              <w:t>OPLOG-2031-03-17-BHT.</w:t>
            </w:r>
          </w:p>
        </w:tc>
        <w:tc>
          <w:tcPr>
            <w:tcW w:type="dxa" w:w="1522"/>
            <w:vAlign w:val="top"/>
          </w:tcPr>
          <w:p>
            <w:r>
              <w:rPr>
                <w:sz w:val="11"/>
              </w:rPr>
              <w:t>Weak signal only at the time.</w:t>
            </w:r>
          </w:p>
        </w:tc>
      </w:tr>
      <w:tr>
        <w:tc>
          <w:tcPr>
            <w:tcW w:type="dxa" w:w="1522"/>
            <w:vAlign w:val="top"/>
          </w:tcPr>
          <w:p>
            <w:r>
              <w:rPr>
                <w:sz w:val="11"/>
              </w:rPr>
              <w:t>20 Mar 2031</w:t>
            </w:r>
          </w:p>
        </w:tc>
        <w:tc>
          <w:tcPr>
            <w:tcW w:type="dxa" w:w="1522"/>
            <w:vAlign w:val="top"/>
          </w:tcPr>
          <w:p>
            <w:r>
              <w:rPr>
                <w:sz w:val="11"/>
              </w:rPr>
              <w:t>Follow-up walkdown finds no immediate defect; inspection recommended.</w:t>
            </w:r>
          </w:p>
        </w:tc>
        <w:tc>
          <w:tcPr>
            <w:tcW w:type="dxa" w:w="1522"/>
            <w:vAlign w:val="top"/>
          </w:tcPr>
          <w:p>
            <w:r>
              <w:rPr>
                <w:sz w:val="11"/>
              </w:rPr>
              <w:t>Commissioning/field engineering.</w:t>
            </w:r>
          </w:p>
        </w:tc>
        <w:tc>
          <w:tcPr>
            <w:tcW w:type="dxa" w:w="1522"/>
            <w:vAlign w:val="top"/>
          </w:tcPr>
          <w:p>
            <w:r>
              <w:rPr>
                <w:sz w:val="11"/>
              </w:rPr>
              <w:t>—</w:t>
            </w:r>
          </w:p>
        </w:tc>
        <w:tc>
          <w:tcPr>
            <w:tcW w:type="dxa" w:w="1522"/>
            <w:vAlign w:val="top"/>
          </w:tcPr>
          <w:p>
            <w:r>
              <w:rPr>
                <w:sz w:val="11"/>
              </w:rPr>
              <w:t>—</w:t>
            </w:r>
          </w:p>
        </w:tc>
        <w:tc>
          <w:tcPr>
            <w:tcW w:type="dxa" w:w="1522"/>
            <w:vAlign w:val="top"/>
          </w:tcPr>
          <w:p>
            <w:r>
              <w:rPr>
                <w:sz w:val="11"/>
              </w:rPr>
              <w:t>WALK-BHT401-0320.</w:t>
            </w:r>
          </w:p>
        </w:tc>
        <w:tc>
          <w:tcPr>
            <w:tcW w:type="dxa" w:w="1522"/>
            <w:vAlign w:val="top"/>
          </w:tcPr>
          <w:p>
            <w:r>
              <w:rPr>
                <w:sz w:val="11"/>
              </w:rPr>
              <w:t>Another precursor input without hindsight determinism.</w:t>
            </w:r>
          </w:p>
        </w:tc>
      </w:tr>
      <w:tr>
        <w:tc>
          <w:tcPr>
            <w:tcW w:type="dxa" w:w="1522"/>
            <w:vAlign w:val="top"/>
          </w:tcPr>
          <w:p>
            <w:r>
              <w:rPr>
                <w:sz w:val="11"/>
              </w:rPr>
              <w:t>Jan-Mar 2031</w:t>
            </w:r>
          </w:p>
        </w:tc>
        <w:tc>
          <w:tcPr>
            <w:tcW w:type="dxa" w:w="1522"/>
            <w:vAlign w:val="top"/>
          </w:tcPr>
          <w:p>
            <w:r>
              <w:rPr>
                <w:sz w:val="11"/>
              </w:rPr>
              <w:t>Aurora commitments documented.</w:t>
            </w:r>
          </w:p>
        </w:tc>
        <w:tc>
          <w:tcPr>
            <w:tcW w:type="dxa" w:w="1522"/>
            <w:vAlign w:val="top"/>
          </w:tcPr>
          <w:p>
            <w:r>
              <w:rPr>
                <w:sz w:val="11"/>
              </w:rPr>
              <w:t>OFG/OPG; JPMorgan/MUFG/SMBC; investors; S&amp;L LTA.</w:t>
            </w:r>
          </w:p>
        </w:tc>
        <w:tc>
          <w:tcPr>
            <w:tcW w:type="dxa" w:w="1522"/>
            <w:vAlign w:val="top"/>
          </w:tcPr>
          <w:p>
            <w:r>
              <w:rPr>
                <w:sz w:val="11"/>
              </w:rPr>
              <w:t>C$1.40B SCF; C$0.75B placement target; C$0.60B conditional OPG equity; C$0.50B uncommitted accordion.</w:t>
            </w:r>
          </w:p>
        </w:tc>
        <w:tc>
          <w:tcPr>
            <w:tcW w:type="dxa" w:w="1522"/>
            <w:vAlign w:val="top"/>
          </w:tcPr>
          <w:p>
            <w:r>
              <w:rPr>
                <w:sz w:val="11"/>
              </w:rPr>
              <w:t>Regulatory status/cost-to-complete/sponsor support are CP/diligence inputs.</w:t>
            </w:r>
          </w:p>
        </w:tc>
        <w:tc>
          <w:tcPr>
            <w:tcW w:type="dxa" w:w="1522"/>
            <w:vAlign w:val="top"/>
          </w:tcPr>
          <w:p>
            <w:r>
              <w:rPr>
                <w:sz w:val="11"/>
              </w:rPr>
              <w:t>AUR-SCF-001; AUR-PP-001; AUR-EQ-001.</w:t>
            </w:r>
          </w:p>
        </w:tc>
        <w:tc>
          <w:tcPr>
            <w:tcW w:type="dxa" w:w="1522"/>
            <w:vAlign w:val="top"/>
          </w:tcPr>
          <w:p>
            <w:r>
              <w:rPr>
                <w:sz w:val="11"/>
              </w:rPr>
              <w:t>Finance does not determine engineering acceptability.</w:t>
            </w:r>
          </w:p>
        </w:tc>
      </w:tr>
      <w:tr>
        <w:tc>
          <w:tcPr>
            <w:tcW w:type="dxa" w:w="1522"/>
            <w:vAlign w:val="top"/>
          </w:tcPr>
          <w:p>
            <w:r>
              <w:rPr>
                <w:sz w:val="11"/>
              </w:rPr>
              <w:t>1-9 Apr 2031</w:t>
            </w:r>
          </w:p>
        </w:tc>
        <w:tc>
          <w:tcPr>
            <w:tcW w:type="dxa" w:w="1522"/>
            <w:vAlign w:val="top"/>
          </w:tcPr>
          <w:p>
            <w:r>
              <w:rPr>
                <w:sz w:val="11"/>
              </w:rPr>
              <w:t>Late integrated commissioning; physical plant very high-90s complete but verification/turnover/readiness remain open.</w:t>
            </w:r>
          </w:p>
        </w:tc>
        <w:tc>
          <w:tcPr>
            <w:tcW w:type="dxa" w:w="1522"/>
            <w:vAlign w:val="top"/>
          </w:tcPr>
          <w:p>
            <w:r>
              <w:rPr>
                <w:sz w:val="11"/>
              </w:rPr>
              <w:t>OPG Commissioning/Operations; E&amp;C/HMS/OEMs; residual Bechtel/contractors.</w:t>
            </w:r>
          </w:p>
        </w:tc>
        <w:tc>
          <w:tcPr>
            <w:tcW w:type="dxa" w:w="1522"/>
            <w:vAlign w:val="top"/>
          </w:tcPr>
          <w:p>
            <w:r>
              <w:rPr>
                <w:sz w:val="11"/>
              </w:rPr>
              <w:t>Aurora remains in commitment/closing work.</w:t>
            </w:r>
          </w:p>
        </w:tc>
        <w:tc>
          <w:tcPr>
            <w:tcW w:type="dxa" w:w="1522"/>
            <w:vAlign w:val="top"/>
          </w:tcPr>
          <w:p>
            <w:r>
              <w:rPr>
                <w:sz w:val="11"/>
              </w:rPr>
              <w:t>Japanese/Canadian government channels monitor flagship milestone at executive resolution.</w:t>
            </w:r>
          </w:p>
        </w:tc>
        <w:tc>
          <w:tcPr>
            <w:tcW w:type="dxa" w:w="1522"/>
            <w:vAlign w:val="top"/>
          </w:tcPr>
          <w:p>
            <w:r>
              <w:rPr>
                <w:sz w:val="11"/>
              </w:rPr>
              <w:t>IMS, FP Readiness Register, system/test status, risk register.</w:t>
            </w:r>
          </w:p>
        </w:tc>
        <w:tc>
          <w:tcPr>
            <w:tcW w:type="dxa" w:w="1522"/>
            <w:vAlign w:val="top"/>
          </w:tcPr>
          <w:p>
            <w:r>
              <w:rPr>
                <w:sz w:val="11"/>
              </w:rPr>
              <w:t>The critical path is commissioning/configuration, not concrete/steel.</w:t>
            </w:r>
          </w:p>
        </w:tc>
      </w:tr>
      <w:tr>
        <w:tc>
          <w:tcPr>
            <w:tcW w:type="dxa" w:w="1522"/>
            <w:vAlign w:val="top"/>
          </w:tcPr>
          <w:p>
            <w:r>
              <w:rPr>
                <w:sz w:val="11"/>
              </w:rPr>
              <w:t>10 Apr 2031</w:t>
            </w:r>
          </w:p>
        </w:tc>
        <w:tc>
          <w:tcPr>
            <w:tcW w:type="dxa" w:w="1522"/>
            <w:vAlign w:val="top"/>
          </w:tcPr>
          <w:p>
            <w:r>
              <w:rPr>
                <w:sz w:val="11"/>
              </w:rPr>
              <w:t>Routine photographic survey captures CRS01-RST-L2 geometry and witness marks.</w:t>
            </w:r>
          </w:p>
        </w:tc>
        <w:tc>
          <w:tcPr>
            <w:tcW w:type="dxa" w:w="1522"/>
            <w:vAlign w:val="top"/>
          </w:tcPr>
          <w:p>
            <w:r>
              <w:rPr>
                <w:sz w:val="11"/>
              </w:rPr>
              <w:t>Field/commissioning record system.</w:t>
            </w:r>
          </w:p>
        </w:tc>
        <w:tc>
          <w:tcPr>
            <w:tcW w:type="dxa" w:w="1522"/>
            <w:vAlign w:val="top"/>
          </w:tcPr>
          <w:p>
            <w:r>
              <w:rPr>
                <w:sz w:val="11"/>
              </w:rPr>
              <w:t>—</w:t>
            </w:r>
          </w:p>
        </w:tc>
        <w:tc>
          <w:tcPr>
            <w:tcW w:type="dxa" w:w="1522"/>
            <w:vAlign w:val="top"/>
          </w:tcPr>
          <w:p>
            <w:r>
              <w:rPr>
                <w:sz w:val="11"/>
              </w:rPr>
              <w:t>—</w:t>
            </w:r>
          </w:p>
        </w:tc>
        <w:tc>
          <w:tcPr>
            <w:tcW w:type="dxa" w:w="1522"/>
            <w:vAlign w:val="top"/>
          </w:tcPr>
          <w:p>
            <w:r>
              <w:rPr>
                <w:sz w:val="11"/>
              </w:rPr>
              <w:t>PHOTO-BHT401-0410.</w:t>
            </w:r>
          </w:p>
        </w:tc>
        <w:tc>
          <w:tcPr>
            <w:tcW w:type="dxa" w:w="1522"/>
            <w:vAlign w:val="top"/>
          </w:tcPr>
          <w:p>
            <w:r>
              <w:rPr>
                <w:sz w:val="11"/>
              </w:rPr>
              <w:t>Creates pre-event physical baseline.</w:t>
            </w:r>
          </w:p>
        </w:tc>
      </w:tr>
      <w:tr>
        <w:tc>
          <w:tcPr>
            <w:tcW w:type="dxa" w:w="1522"/>
            <w:vAlign w:val="top"/>
          </w:tcPr>
          <w:p>
            <w:r>
              <w:rPr>
                <w:sz w:val="11"/>
              </w:rPr>
              <w:t>11 Apr 2031</w:t>
            </w:r>
          </w:p>
        </w:tc>
        <w:tc>
          <w:tcPr>
            <w:tcW w:type="dxa" w:w="1522"/>
            <w:vAlign w:val="top"/>
          </w:tcPr>
          <w:p>
            <w:r>
              <w:rPr>
                <w:sz w:val="11"/>
              </w:rPr>
              <w:t>M-88217 indexed CLOSED/APPROVED as lateral-restraint inspection/adjustment.</w:t>
            </w:r>
          </w:p>
        </w:tc>
        <w:tc>
          <w:tcPr>
            <w:tcW w:type="dxa" w:w="1522"/>
            <w:vAlign w:val="top"/>
          </w:tcPr>
          <w:p>
            <w:r>
              <w:rPr>
                <w:sz w:val="11"/>
              </w:rPr>
              <w:t>Maintenance/work-management chain; exact performer/authorization still to be reconstructed.</w:t>
            </w:r>
          </w:p>
        </w:tc>
        <w:tc>
          <w:tcPr>
            <w:tcW w:type="dxa" w:w="1522"/>
            <w:vAlign w:val="top"/>
          </w:tcPr>
          <w:p>
            <w:r>
              <w:rPr>
                <w:sz w:val="11"/>
              </w:rPr>
              <w:t>—</w:t>
            </w:r>
          </w:p>
        </w:tc>
        <w:tc>
          <w:tcPr>
            <w:tcW w:type="dxa" w:w="1522"/>
            <w:vAlign w:val="top"/>
          </w:tcPr>
          <w:p>
            <w:r>
              <w:rPr>
                <w:sz w:val="11"/>
              </w:rPr>
              <w:t>—</w:t>
            </w:r>
          </w:p>
        </w:tc>
        <w:tc>
          <w:tcPr>
            <w:tcW w:type="dxa" w:w="1522"/>
            <w:vAlign w:val="top"/>
          </w:tcPr>
          <w:p>
            <w:r>
              <w:rPr>
                <w:sz w:val="11"/>
              </w:rPr>
              <w:t>M-88217.</w:t>
            </w:r>
          </w:p>
        </w:tc>
        <w:tc>
          <w:tcPr>
            <w:tcW w:type="dxa" w:w="1522"/>
            <w:vAlign w:val="top"/>
          </w:tcPr>
          <w:p>
            <w:r>
              <w:rPr>
                <w:sz w:val="11"/>
              </w:rPr>
              <w:t>Status later proves insufficient without linked evidence/as-left proof.</w:t>
            </w:r>
          </w:p>
        </w:tc>
      </w:tr>
      <w:tr>
        <w:tc>
          <w:tcPr>
            <w:tcW w:type="dxa" w:w="1522"/>
            <w:vAlign w:val="top"/>
          </w:tcPr>
          <w:p>
            <w:r>
              <w:rPr>
                <w:sz w:val="11"/>
              </w:rPr>
              <w:t>12 Apr 2031</w:t>
            </w:r>
          </w:p>
        </w:tc>
        <w:tc>
          <w:tcPr>
            <w:tcW w:type="dxa" w:w="1522"/>
            <w:vAlign w:val="top"/>
          </w:tcPr>
          <w:p>
            <w:r>
              <w:rPr>
                <w:sz w:val="11"/>
              </w:rPr>
              <w:t>Loaded circulation produces lateral movement outside expected envelope; operator in potential crush zone; no injury.</w:t>
            </w:r>
          </w:p>
        </w:tc>
        <w:tc>
          <w:tcPr>
            <w:tcW w:type="dxa" w:w="1522"/>
            <w:vAlign w:val="top"/>
          </w:tcPr>
          <w:p>
            <w:r>
              <w:rPr>
                <w:sz w:val="11"/>
              </w:rPr>
              <w:t>Operator/test director/control room; OPG commissioning/HSE; E&amp;C/Bechtel/QA/contractor/technical staff by scope.</w:t>
            </w:r>
          </w:p>
        </w:tc>
        <w:tc>
          <w:tcPr>
            <w:tcW w:type="dxa" w:w="1522"/>
            <w:vAlign w:val="top"/>
          </w:tcPr>
          <w:p>
            <w:r>
              <w:rPr>
                <w:sz w:val="11"/>
              </w:rPr>
              <w:t>No automatic default or financing consequence.</w:t>
            </w:r>
          </w:p>
        </w:tc>
        <w:tc>
          <w:tcPr>
            <w:tcW w:type="dxa" w:w="1522"/>
            <w:vAlign w:val="top"/>
          </w:tcPr>
          <w:p>
            <w:r>
              <w:rPr>
                <w:sz w:val="11"/>
              </w:rPr>
              <w:t>No radiological/environmental consequence; no licensed safety-function loss; emergency classification remains graded.</w:t>
            </w:r>
          </w:p>
        </w:tc>
        <w:tc>
          <w:tcPr>
            <w:tcW w:type="dxa" w:w="1522"/>
            <w:vAlign w:val="top"/>
          </w:tcPr>
          <w:p>
            <w:r>
              <w:rPr>
                <w:sz w:val="11"/>
              </w:rPr>
              <w:t>EVT-2031-0412-HPNM; evidence-control record.</w:t>
            </w:r>
          </w:p>
        </w:tc>
        <w:tc>
          <w:tcPr>
            <w:tcW w:type="dxa" w:w="1522"/>
            <w:vAlign w:val="top"/>
          </w:tcPr>
          <w:p>
            <w:r>
              <w:rPr>
                <w:sz w:val="11"/>
              </w:rPr>
              <w:t>Equipment isolated; scene preserved; cause and schedule impact open.</w:t>
            </w:r>
          </w:p>
        </w:tc>
      </w:tr>
      <w:tr>
        <w:tc>
          <w:tcPr>
            <w:tcW w:type="dxa" w:w="1522"/>
            <w:vAlign w:val="top"/>
          </w:tcPr>
          <w:p>
            <w:r>
              <w:rPr>
                <w:sz w:val="11"/>
              </w:rPr>
              <w:t>13 Apr 2031</w:t>
            </w:r>
          </w:p>
        </w:tc>
        <w:tc>
          <w:tcPr>
            <w:tcW w:type="dxa" w:w="1522"/>
            <w:vAlign w:val="top"/>
          </w:tcPr>
          <w:p>
            <w:r>
              <w:rPr>
                <w:sz w:val="11"/>
              </w:rPr>
              <w:t>Extent-of-condition expands to related temporary restraint/support arrangements.</w:t>
            </w:r>
          </w:p>
        </w:tc>
        <w:tc>
          <w:tcPr>
            <w:tcW w:type="dxa" w:w="1522"/>
            <w:vAlign w:val="top"/>
          </w:tcPr>
          <w:p>
            <w:r>
              <w:rPr>
                <w:sz w:val="11"/>
              </w:rPr>
              <w:t>Investigation/system/configuration teams.</w:t>
            </w:r>
          </w:p>
        </w:tc>
        <w:tc>
          <w:tcPr>
            <w:tcW w:type="dxa" w:w="1522"/>
            <w:vAlign w:val="top"/>
          </w:tcPr>
          <w:p>
            <w:r>
              <w:rPr>
                <w:sz w:val="11"/>
              </w:rPr>
              <w:t>Potential project significance begins to depend on population/relevance.</w:t>
            </w:r>
          </w:p>
        </w:tc>
        <w:tc>
          <w:tcPr>
            <w:tcW w:type="dxa" w:w="1522"/>
            <w:vAlign w:val="top"/>
          </w:tcPr>
          <w:p>
            <w:r>
              <w:rPr>
                <w:sz w:val="11"/>
              </w:rPr>
              <w:t>Regulatory significance screen continues as facts develop.</w:t>
            </w:r>
          </w:p>
        </w:tc>
        <w:tc>
          <w:tcPr>
            <w:tcW w:type="dxa" w:w="1522"/>
            <w:vAlign w:val="top"/>
          </w:tcPr>
          <w:p>
            <w:r>
              <w:rPr>
                <w:sz w:val="11"/>
              </w:rPr>
              <w:t>EOC-BHT-TMP-001.</w:t>
            </w:r>
          </w:p>
        </w:tc>
        <w:tc>
          <w:tcPr>
            <w:tcW w:type="dxa" w:w="1522"/>
            <w:vAlign w:val="top"/>
          </w:tcPr>
          <w:p>
            <w:r>
              <w:rPr>
                <w:sz w:val="11"/>
              </w:rPr>
              <w:t>Local event begins to become a system/information problem.</w:t>
            </w:r>
          </w:p>
        </w:tc>
      </w:tr>
      <w:tr>
        <w:tc>
          <w:tcPr>
            <w:tcW w:type="dxa" w:w="1522"/>
            <w:vAlign w:val="top"/>
          </w:tcPr>
          <w:p>
            <w:r>
              <w:rPr>
                <w:sz w:val="11"/>
              </w:rPr>
              <w:t>13-17 Apr 2031</w:t>
            </w:r>
          </w:p>
        </w:tc>
        <w:tc>
          <w:tcPr>
            <w:tcW w:type="dxa" w:w="1522"/>
            <w:vAlign w:val="top"/>
          </w:tcPr>
          <w:p>
            <w:r>
              <w:rPr>
                <w:sz w:val="11"/>
              </w:rPr>
              <w:t>Photos/statements/drawings/vendor records/load path/installation/maintenance history assembled; M-88217 retrieval discrepancy emerges.</w:t>
            </w:r>
          </w:p>
        </w:tc>
        <w:tc>
          <w:tcPr>
            <w:tcW w:type="dxa" w:w="1522"/>
            <w:vAlign w:val="top"/>
          </w:tcPr>
          <w:p>
            <w:r>
              <w:rPr>
                <w:sz w:val="11"/>
              </w:rPr>
              <w:t>OPG/E&amp;C/HMS/contractors/records/maintenance/QA.</w:t>
            </w:r>
          </w:p>
        </w:tc>
        <w:tc>
          <w:tcPr>
            <w:tcW w:type="dxa" w:w="1522"/>
            <w:vAlign w:val="top"/>
          </w:tcPr>
          <w:p>
            <w:r>
              <w:rPr>
                <w:sz w:val="11"/>
              </w:rPr>
              <w:t>Management asks about FP impact; no defensible conclusion yet.</w:t>
            </w:r>
          </w:p>
        </w:tc>
        <w:tc>
          <w:tcPr>
            <w:tcW w:type="dxa" w:w="1522"/>
            <w:vAlign w:val="top"/>
          </w:tcPr>
          <w:p>
            <w:r>
              <w:rPr>
                <w:sz w:val="11"/>
              </w:rPr>
              <w:t>CNSC/government interfaces receive only information appropriate to thresholds/channels.</w:t>
            </w:r>
          </w:p>
        </w:tc>
        <w:tc>
          <w:tcPr>
            <w:tcW w:type="dxa" w:w="1522"/>
            <w:vAlign w:val="top"/>
          </w:tcPr>
          <w:p>
            <w:r>
              <w:rPr>
                <w:sz w:val="11"/>
              </w:rPr>
              <w:t>Investigation package, work-order/audit trail searches, walkdowns.</w:t>
            </w:r>
          </w:p>
        </w:tc>
        <w:tc>
          <w:tcPr>
            <w:tcW w:type="dxa" w:w="1522"/>
            <w:vAlign w:val="top"/>
          </w:tcPr>
          <w:p>
            <w:r>
              <w:rPr>
                <w:sz w:val="11"/>
              </w:rPr>
              <w:t>Missing record does not prove no work, falsification or causation.</w:t>
            </w:r>
          </w:p>
        </w:tc>
      </w:tr>
      <w:tr>
        <w:tc>
          <w:tcPr>
            <w:tcW w:type="dxa" w:w="1522"/>
            <w:vAlign w:val="top"/>
          </w:tcPr>
          <w:p>
            <w:r>
              <w:rPr>
                <w:sz w:val="11"/>
              </w:rPr>
              <w:t>18 Apr 2031</w:t>
            </w:r>
          </w:p>
        </w:tc>
        <w:tc>
          <w:tcPr>
            <w:tcW w:type="dxa" w:w="1522"/>
            <w:vAlign w:val="top"/>
          </w:tcPr>
          <w:p>
            <w:r>
              <w:rPr>
                <w:sz w:val="11"/>
              </w:rPr>
              <w:t>Weekly project/finance data cut.</w:t>
            </w:r>
          </w:p>
        </w:tc>
        <w:tc>
          <w:tcPr>
            <w:tcW w:type="dxa" w:w="1522"/>
            <w:vAlign w:val="top"/>
          </w:tcPr>
          <w:p>
            <w:r>
              <w:rPr>
                <w:sz w:val="11"/>
              </w:rPr>
              <w:t>OPG project controls; E&amp;C schedule; S&amp;L; finance; JPMorgan.</w:t>
            </w:r>
          </w:p>
        </w:tc>
        <w:tc>
          <w:tcPr>
            <w:tcW w:type="dxa" w:w="1522"/>
            <w:vAlign w:val="top"/>
          </w:tcPr>
          <w:p>
            <w:r>
              <w:rPr>
                <w:sz w:val="11"/>
              </w:rPr>
              <w:t>Event described at finance level as under investigation with no confirmed FP schedule effect pending technical assessment.</w:t>
            </w:r>
          </w:p>
        </w:tc>
        <w:tc>
          <w:tcPr>
            <w:tcW w:type="dxa" w:w="1522"/>
            <w:vAlign w:val="top"/>
          </w:tcPr>
          <w:p>
            <w:r>
              <w:rPr>
                <w:sz w:val="11"/>
              </w:rPr>
              <w:t>Government/executive channels receive high-level milestone/safety/regulatory status as appropriate.</w:t>
            </w:r>
          </w:p>
        </w:tc>
        <w:tc>
          <w:tcPr>
            <w:tcW w:type="dxa" w:w="1522"/>
            <w:vAlign w:val="top"/>
          </w:tcPr>
          <w:p>
            <w:r>
              <w:rPr>
                <w:sz w:val="11"/>
              </w:rPr>
              <w:t>Weekly project report, IMS/cost data, LTA/Aurora data-room update.</w:t>
            </w:r>
          </w:p>
        </w:tc>
        <w:tc>
          <w:tcPr>
            <w:tcW w:type="dxa" w:w="1522"/>
            <w:vAlign w:val="top"/>
          </w:tcPr>
          <w:p>
            <w:r>
              <w:rPr>
                <w:sz w:val="11"/>
              </w:rPr>
              <w:t>Daniel receives abstraction, not raw technician evidence.</w:t>
            </w:r>
          </w:p>
        </w:tc>
      </w:tr>
      <w:tr>
        <w:tc>
          <w:tcPr>
            <w:tcW w:type="dxa" w:w="1522"/>
            <w:vAlign w:val="top"/>
          </w:tcPr>
          <w:p>
            <w:r>
              <w:rPr>
                <w:sz w:val="11"/>
              </w:rPr>
              <w:t>19 Apr 2031</w:t>
            </w:r>
          </w:p>
        </w:tc>
        <w:tc>
          <w:tcPr>
            <w:tcW w:type="dxa" w:w="1522"/>
            <w:vAlign w:val="top"/>
          </w:tcPr>
          <w:p>
            <w:r>
              <w:rPr>
                <w:sz w:val="11"/>
              </w:rPr>
              <w:t>Story present: integrated commissioning continues; EOC/M-88217 unresolved; FP critical path open.</w:t>
            </w:r>
          </w:p>
        </w:tc>
        <w:tc>
          <w:tcPr>
            <w:tcW w:type="dxa" w:w="1522"/>
            <w:vAlign w:val="top"/>
          </w:tcPr>
          <w:p>
            <w:r>
              <w:rPr>
                <w:sz w:val="11"/>
              </w:rPr>
              <w:t>OPG/E&amp;C/HMS/contractors/CNSC/financiers/governments each hold different information slices; Yuji, Monica, Daniel and Japanese officials occupy different layers.</w:t>
            </w:r>
          </w:p>
        </w:tc>
        <w:tc>
          <w:tcPr>
            <w:tcW w:type="dxa" w:w="1522"/>
            <w:vAlign w:val="top"/>
          </w:tcPr>
          <w:p>
            <w:r>
              <w:rPr>
                <w:sz w:val="11"/>
              </w:rPr>
              <w:t>Aurora committed/conditional, not fully closed.</w:t>
            </w:r>
          </w:p>
        </w:tc>
        <w:tc>
          <w:tcPr>
            <w:tcW w:type="dxa" w:w="1522"/>
            <w:vAlign w:val="top"/>
          </w:tcPr>
          <w:p>
            <w:r>
              <w:rPr>
                <w:sz w:val="11"/>
              </w:rPr>
              <w:t>No public crisis; flagship milestone pressure exists without a lawful/technical bypass.</w:t>
            </w:r>
          </w:p>
        </w:tc>
        <w:tc>
          <w:tcPr>
            <w:tcW w:type="dxa" w:w="1522"/>
            <w:vAlign w:val="top"/>
          </w:tcPr>
          <w:p>
            <w:r>
              <w:rPr>
                <w:sz w:val="11"/>
              </w:rPr>
              <w:t>Current controlled project records and knowledge-state matrix.</w:t>
            </w:r>
          </w:p>
        </w:tc>
        <w:tc>
          <w:tcPr>
            <w:tcW w:type="dxa" w:w="1522"/>
            <w:vAlign w:val="top"/>
          </w:tcPr>
          <w:p>
            <w:r>
              <w:rPr>
                <w:sz w:val="11"/>
              </w:rPr>
              <w:t>No actor has the later inquiry’s complete picture.</w:t>
            </w:r>
          </w:p>
        </w:tc>
      </w:tr>
    </w:tbl>
    <w:p>
      <w:pPr>
        <w:pStyle w:val="Heading1"/>
      </w:pPr>
      <w:r>
        <w:t>Structured timeline companion</w:t>
      </w:r>
    </w:p>
    <w:p>
      <w:r>
        <w:t>For asset-level lifecycle chronology, use Annex B and its period extracts. Annex B rows marked WORKING DATASET are evidence aids and do not override this canonical ledger. Rows after 19 April 2031 are segregated in the quarantine annex and are not historical facts at the story cut.</w:t>
      </w:r>
    </w:p>
    <w:p>
      <w:r>
        <w:br w:type="page"/>
      </w:r>
    </w:p>
    <w:p>
      <w:pPr>
        <w:pStyle w:val="Heading1"/>
      </w:pPr>
      <w:r>
        <w:t>Integrated controlled source — OFG_Encyclopedia_RevN_Volume_13_Cross_Reference(6).docx</w:t>
      </w:r>
    </w:p>
    <w:p>
      <w:r>
        <w:t>Preserved at source granularity. Later explicit canon and change-provenance entries govern conflicts; source text is not silently rewritten.</w:t>
      </w:r>
    </w:p>
    <w:p>
      <w:pPr>
        <w:pStyle w:val="Title"/>
        <w:jc w:val="center"/>
      </w:pPr>
      <w:r>
        <w:t>ONTARIO FUSION GENERATION PROJECT</w:t>
      </w:r>
    </w:p>
    <w:p>
      <w:pPr>
        <w:pStyle w:val="Title"/>
        <w:jc w:val="center"/>
      </w:pPr>
      <w:r>
        <w:t>VOLUME XIII — CROSS-REFERENCE ENCYCLOPEDIA</w:t>
      </w:r>
    </w:p>
    <w:p>
      <w:pPr>
        <w:pStyle w:val="Subtitle"/>
        <w:jc w:val="center"/>
      </w:pPr>
      <w:r>
        <w:t>Institutions, contracts, finance, site, buildings, systems, documents, information layers and canon corrections</w:t>
      </w:r>
    </w:p>
    <w:p>
      <w:pPr>
        <w:jc w:val="center"/>
      </w:pPr>
      <w:r>
        <w:t>Complete chronological reference · canon cut: Saturday, 19 April 2031</w:t>
      </w:r>
    </w:p>
    <w:p>
      <w:pPr>
        <w:jc w:val="center"/>
      </w:pPr>
      <w:r>
        <w:t>Compiled from the Canonical Story Backbone Rev B, Master Reference, Backlogs 01–11, Revision Directives B–J, and controlled Rev A equipment/event datasets.</w:t>
      </w:r>
    </w:p>
    <w:p>
      <w:r>
        <w:br w:type="page"/>
      </w:r>
    </w:p>
    <w:p>
      <w:pPr>
        <w:pStyle w:val="Heading1"/>
      </w:pPr>
      <w:r>
        <w:t>Reference-status legend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Status</w:t>
            </w:r>
          </w:p>
        </w:tc>
        <w:tc>
          <w:tcPr>
            <w:tcW w:type="dxa" w:w="5227"/>
            <w:vAlign w:val="center"/>
          </w:tcPr>
          <w:p>
            <w:r>
              <w:rPr>
                <w:b/>
                <w:sz w:val="14"/>
              </w:rPr>
              <w:t>Meaning</w:t>
            </w:r>
          </w:p>
        </w:tc>
      </w:tr>
      <w:tr>
        <w:tc>
          <w:tcPr>
            <w:tcW w:type="dxa" w:w="5227"/>
            <w:vAlign w:val="top"/>
          </w:tcPr>
          <w:p>
            <w:r>
              <w:rPr>
                <w:sz w:val="14"/>
              </w:rPr>
              <w:t>LOCKED CANON</w:t>
            </w:r>
          </w:p>
        </w:tc>
        <w:tc>
          <w:tcPr>
            <w:tcW w:type="dxa" w:w="5227"/>
            <w:vAlign w:val="top"/>
          </w:tcPr>
          <w:p>
            <w:r>
              <w:rPr>
                <w:sz w:val="14"/>
              </w:rPr>
              <w:t>Explicitly fixed by the controlling OFG canon at the 19 April 2031 cut.</w:t>
            </w:r>
          </w:p>
        </w:tc>
      </w:tr>
      <w:tr>
        <w:tc>
          <w:tcPr>
            <w:tcW w:type="dxa" w:w="5227"/>
            <w:vAlign w:val="top"/>
          </w:tcPr>
          <w:p>
            <w:r>
              <w:rPr>
                <w:sz w:val="14"/>
              </w:rPr>
              <w:t>CANONICAL FRAMEWORK</w:t>
            </w:r>
          </w:p>
        </w:tc>
        <w:tc>
          <w:tcPr>
            <w:tcW w:type="dxa" w:w="5227"/>
            <w:vAlign w:val="top"/>
          </w:tcPr>
          <w:p>
            <w:r>
              <w:rPr>
                <w:sz w:val="14"/>
              </w:rPr>
              <w:t>Institutional/technical architecture is fixed; some lower-level dates, names, quantities or records remain to be reconstructed.</w:t>
            </w:r>
          </w:p>
        </w:tc>
      </w:tr>
      <w:tr>
        <w:tc>
          <w:tcPr>
            <w:tcW w:type="dxa" w:w="5227"/>
            <w:vAlign w:val="top"/>
          </w:tcPr>
          <w:p>
            <w:r>
              <w:rPr>
                <w:sz w:val="14"/>
              </w:rPr>
              <w:t>VERIFIED PRECEDENT CONSTRAINT</w:t>
            </w:r>
          </w:p>
        </w:tc>
        <w:tc>
          <w:tcPr>
            <w:tcW w:type="dxa" w:w="5227"/>
            <w:vAlign w:val="top"/>
          </w:tcPr>
          <w:p>
            <w:r>
              <w:rPr>
                <w:sz w:val="14"/>
              </w:rPr>
              <w:t>Real-world analogue constrains plausibility; it is not itself an OFG event.</w:t>
            </w:r>
          </w:p>
        </w:tc>
      </w:tr>
      <w:tr>
        <w:tc>
          <w:tcPr>
            <w:tcW w:type="dxa" w:w="5227"/>
            <w:vAlign w:val="top"/>
          </w:tcPr>
          <w:p>
            <w:r>
              <w:rPr>
                <w:sz w:val="14"/>
              </w:rPr>
              <w:t>OPEN / CONTROLLED</w:t>
            </w:r>
          </w:p>
        </w:tc>
        <w:tc>
          <w:tcPr>
            <w:tcW w:type="dxa" w:w="5227"/>
            <w:vAlign w:val="top"/>
          </w:tcPr>
          <w:p>
            <w:r>
              <w:rPr>
                <w:sz w:val="14"/>
              </w:rPr>
              <w:t>The backlog identifies the subject, but the source set does not yet support a unique historical answer. Do not invent one.</w:t>
            </w:r>
          </w:p>
        </w:tc>
      </w:tr>
      <w:tr>
        <w:tc>
          <w:tcPr>
            <w:tcW w:type="dxa" w:w="5227"/>
            <w:vAlign w:val="top"/>
          </w:tcPr>
          <w:p>
            <w:r>
              <w:rPr>
                <w:sz w:val="14"/>
              </w:rPr>
              <w:t>WORKING DATASET</w:t>
            </w:r>
          </w:p>
        </w:tc>
        <w:tc>
          <w:tcPr>
            <w:tcW w:type="dxa" w:w="5227"/>
            <w:vAlign w:val="top"/>
          </w:tcPr>
          <w:p>
            <w:r>
              <w:rPr>
                <w:sz w:val="14"/>
              </w:rPr>
              <w:t>Rev A asset/event data support chronology and forensic work, but known semantic/date anomalies mean the rows are not self-authenticating canon.</w:t>
            </w:r>
          </w:p>
        </w:tc>
      </w:tr>
    </w:tbl>
    <w:p>
      <w:pPr>
        <w:pStyle w:val="ReferenceNote"/>
      </w:pPr>
      <w:r>
        <w:t>The encyclopedia favors explicit uncertainty over false precision. It records what is known at the story cut, what is structurally required by the project, and what remains unresolved.</w:t>
      </w:r>
    </w:p>
    <w:p>
      <w:pPr>
        <w:pStyle w:val="Heading1"/>
      </w:pPr>
      <w:r>
        <w:t>Project identity / charter</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Item</w:t>
            </w:r>
          </w:p>
        </w:tc>
        <w:tc>
          <w:tcPr>
            <w:tcW w:type="dxa" w:w="5227"/>
            <w:vAlign w:val="center"/>
          </w:tcPr>
          <w:p>
            <w:r>
              <w:rPr>
                <w:b/>
                <w:sz w:val="14"/>
              </w:rPr>
              <w:t>Controlled baseline</w:t>
            </w:r>
          </w:p>
        </w:tc>
      </w:tr>
      <w:tr>
        <w:tc>
          <w:tcPr>
            <w:tcW w:type="dxa" w:w="5227"/>
            <w:vAlign w:val="top"/>
          </w:tcPr>
          <w:p>
            <w:r>
              <w:rPr>
                <w:sz w:val="14"/>
              </w:rPr>
              <w:t>Project</w:t>
            </w:r>
          </w:p>
        </w:tc>
        <w:tc>
          <w:tcPr>
            <w:tcW w:type="dxa" w:w="5227"/>
            <w:vAlign w:val="top"/>
          </w:tcPr>
          <w:p>
            <w:r>
              <w:rPr>
                <w:sz w:val="14"/>
              </w:rPr>
              <w:t>Ontario Fusion Generation Project (OFG), Clarington Energy Site, Ontario.</w:t>
            </w:r>
          </w:p>
        </w:tc>
      </w:tr>
      <w:tr>
        <w:tc>
          <w:tcPr>
            <w:tcW w:type="dxa" w:w="5227"/>
            <w:vAlign w:val="top"/>
          </w:tcPr>
          <w:p>
            <w:r>
              <w:rPr>
                <w:sz w:val="14"/>
              </w:rPr>
              <w:t>Canon cut</w:t>
            </w:r>
          </w:p>
        </w:tc>
        <w:tc>
          <w:tcPr>
            <w:tcW w:type="dxa" w:w="5227"/>
            <w:vAlign w:val="top"/>
          </w:tcPr>
          <w:p>
            <w:r>
              <w:rPr>
                <w:sz w:val="14"/>
              </w:rPr>
              <w:t>Saturday, 19 April 2031.</w:t>
            </w:r>
          </w:p>
        </w:tc>
      </w:tr>
      <w:tr>
        <w:tc>
          <w:tcPr>
            <w:tcW w:type="dxa" w:w="5227"/>
            <w:vAlign w:val="top"/>
          </w:tcPr>
          <w:p>
            <w:r>
              <w:rPr>
                <w:sz w:val="14"/>
              </w:rPr>
              <w:t>Commercial project start</w:t>
            </w:r>
          </w:p>
        </w:tc>
        <w:tc>
          <w:tcPr>
            <w:tcW w:type="dxa" w:w="5227"/>
            <w:vAlign w:val="top"/>
          </w:tcPr>
          <w:p>
            <w:r>
              <w:rPr>
                <w:sz w:val="14"/>
              </w:rPr>
              <w:t>2023 origination; formal project authorization April 2024.</w:t>
            </w:r>
          </w:p>
        </w:tc>
      </w:tr>
      <w:tr>
        <w:tc>
          <w:tcPr>
            <w:tcW w:type="dxa" w:w="5227"/>
            <w:vAlign w:val="top"/>
          </w:tcPr>
          <w:p>
            <w:r>
              <w:rPr>
                <w:sz w:val="14"/>
              </w:rPr>
              <w:t>FID</w:t>
            </w:r>
          </w:p>
        </w:tc>
        <w:tc>
          <w:tcPr>
            <w:tcW w:type="dxa" w:w="5227"/>
            <w:vAlign w:val="top"/>
          </w:tcPr>
          <w:p>
            <w:r>
              <w:rPr>
                <w:sz w:val="14"/>
              </w:rPr>
              <w:t>September 2025.</w:t>
            </w:r>
          </w:p>
        </w:tc>
      </w:tr>
      <w:tr>
        <w:tc>
          <w:tcPr>
            <w:tcW w:type="dxa" w:w="5227"/>
            <w:vAlign w:val="top"/>
          </w:tcPr>
          <w:p>
            <w:r>
              <w:rPr>
                <w:sz w:val="14"/>
              </w:rPr>
              <w:t>Current First Plasma baseline</w:t>
            </w:r>
          </w:p>
        </w:tc>
        <w:tc>
          <w:tcPr>
            <w:tcW w:type="dxa" w:w="5227"/>
            <w:vAlign w:val="top"/>
          </w:tcPr>
          <w:p>
            <w:r>
              <w:rPr>
                <w:sz w:val="14"/>
              </w:rPr>
              <w:t>30 June 2031.</w:t>
            </w:r>
          </w:p>
        </w:tc>
      </w:tr>
      <w:tr>
        <w:tc>
          <w:tcPr>
            <w:tcW w:type="dxa" w:w="5227"/>
            <w:vAlign w:val="top"/>
          </w:tcPr>
          <w:p>
            <w:r>
              <w:rPr>
                <w:sz w:val="14"/>
              </w:rPr>
              <w:t>Plant role</w:t>
            </w:r>
          </w:p>
        </w:tc>
        <w:tc>
          <w:tcPr>
            <w:tcW w:type="dxa" w:w="5227"/>
            <w:vAlign w:val="top"/>
          </w:tcPr>
          <w:p>
            <w:r>
              <w:rPr>
                <w:sz w:val="14"/>
              </w:rPr>
              <w:t>Commercial deployment of qualified HMS HFRP reference architecture; not a fusion-science experiment.</w:t>
            </w:r>
          </w:p>
        </w:tc>
      </w:tr>
      <w:tr>
        <w:tc>
          <w:tcPr>
            <w:tcW w:type="dxa" w:w="5227"/>
            <w:vAlign w:val="top"/>
          </w:tcPr>
          <w:p>
            <w:r>
              <w:rPr>
                <w:sz w:val="14"/>
              </w:rPr>
              <w:t>Owner / licensee / future operator</w:t>
            </w:r>
          </w:p>
        </w:tc>
        <w:tc>
          <w:tcPr>
            <w:tcW w:type="dxa" w:w="5227"/>
            <w:vAlign w:val="top"/>
          </w:tcPr>
          <w:p>
            <w:r>
              <w:rPr>
                <w:sz w:val="14"/>
              </w:rPr>
              <w:t>Ontario Power Generation (OPG).</w:t>
            </w:r>
          </w:p>
        </w:tc>
      </w:tr>
      <w:tr>
        <w:tc>
          <w:tcPr>
            <w:tcW w:type="dxa" w:w="5227"/>
            <w:vAlign w:val="top"/>
          </w:tcPr>
          <w:p>
            <w:r>
              <w:rPr>
                <w:sz w:val="14"/>
              </w:rPr>
              <w:t>Plant integrator / EPC</w:t>
            </w:r>
          </w:p>
        </w:tc>
        <w:tc>
          <w:tcPr>
            <w:tcW w:type="dxa" w:w="5227"/>
            <w:vAlign w:val="top"/>
          </w:tcPr>
          <w:p>
            <w:r>
              <w:rPr>
                <w:sz w:val="14"/>
              </w:rPr>
              <w:t>E&amp;C Canada.</w:t>
            </w:r>
          </w:p>
        </w:tc>
      </w:tr>
      <w:tr>
        <w:tc>
          <w:tcPr>
            <w:tcW w:type="dxa" w:w="5227"/>
            <w:vAlign w:val="top"/>
          </w:tcPr>
          <w:p>
            <w:r>
              <w:rPr>
                <w:sz w:val="14"/>
              </w:rPr>
              <w:t>Fusion technology owner</w:t>
            </w:r>
          </w:p>
        </w:tc>
        <w:tc>
          <w:tcPr>
            <w:tcW w:type="dxa" w:w="5227"/>
            <w:vAlign w:val="top"/>
          </w:tcPr>
          <w:p>
            <w:r>
              <w:rPr>
                <w:sz w:val="14"/>
              </w:rPr>
              <w:t>HMS.</w:t>
            </w:r>
          </w:p>
        </w:tc>
      </w:tr>
      <w:tr>
        <w:tc>
          <w:tcPr>
            <w:tcW w:type="dxa" w:w="5227"/>
            <w:vAlign w:val="top"/>
          </w:tcPr>
          <w:p>
            <w:r>
              <w:rPr>
                <w:sz w:val="14"/>
              </w:rPr>
              <w:t>Principal construction contractor / constructor</w:t>
            </w:r>
          </w:p>
        </w:tc>
        <w:tc>
          <w:tcPr>
            <w:tcW w:type="dxa" w:w="5227"/>
            <w:vAlign w:val="top"/>
          </w:tcPr>
          <w:p>
            <w:r>
              <w:rPr>
                <w:sz w:val="14"/>
              </w:rPr>
              <w:t>Bechtel, under E&amp;C construction agreement plus direct constructor/site-control interface.</w:t>
            </w:r>
          </w:p>
        </w:tc>
      </w:tr>
      <w:tr>
        <w:tc>
          <w:tcPr>
            <w:tcW w:type="dxa" w:w="5227"/>
            <w:vAlign w:val="top"/>
          </w:tcPr>
          <w:p>
            <w:r>
              <w:rPr>
                <w:sz w:val="14"/>
              </w:rPr>
              <w:t>Configuration principle</w:t>
            </w:r>
          </w:p>
        </w:tc>
        <w:tc>
          <w:tcPr>
            <w:tcW w:type="dxa" w:w="5227"/>
            <w:vAlign w:val="top"/>
          </w:tcPr>
          <w:p>
            <w:r>
              <w:rPr>
                <w:sz w:val="14"/>
              </w:rPr>
              <w:t>Design Plant = Physical Plant = Evidence Plant; deviations require controlled engineering and evidentiary closure.</w:t>
            </w:r>
          </w:p>
        </w:tc>
      </w:tr>
      <w:tr>
        <w:tc>
          <w:tcPr>
            <w:tcW w:type="dxa" w:w="5227"/>
            <w:vAlign w:val="top"/>
          </w:tcPr>
          <w:p>
            <w:r>
              <w:rPr>
                <w:sz w:val="14"/>
              </w:rPr>
              <w:t>Core tension</w:t>
            </w:r>
          </w:p>
        </w:tc>
        <w:tc>
          <w:tcPr>
            <w:tcW w:type="dxa" w:w="5227"/>
            <w:vAlign w:val="top"/>
          </w:tcPr>
          <w:p>
            <w:r>
              <w:rPr>
                <w:sz w:val="14"/>
              </w:rPr>
              <w:t>A technically mature plant can still diverge from the socio-technical system’s authoritative model of reality.</w:t>
            </w:r>
          </w:p>
        </w:tc>
      </w:tr>
    </w:tbl>
    <w:p>
      <w:pPr>
        <w:pStyle w:val="Heading1"/>
      </w:pPr>
      <w:r>
        <w:t>Technology lineage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Domain</w:t>
            </w:r>
          </w:p>
        </w:tc>
        <w:tc>
          <w:tcPr>
            <w:tcW w:type="dxa" w:w="5227"/>
            <w:vAlign w:val="center"/>
          </w:tcPr>
          <w:p>
            <w:r>
              <w:rPr>
                <w:b/>
                <w:sz w:val="14"/>
              </w:rPr>
              <w:t>Lineage</w:t>
            </w:r>
          </w:p>
        </w:tc>
      </w:tr>
      <w:tr>
        <w:tc>
          <w:tcPr>
            <w:tcW w:type="dxa" w:w="5227"/>
            <w:vAlign w:val="top"/>
          </w:tcPr>
          <w:p>
            <w:r>
              <w:rPr>
                <w:sz w:val="14"/>
              </w:rPr>
              <w:t>Plasma physics/control</w:t>
            </w:r>
          </w:p>
        </w:tc>
        <w:tc>
          <w:tcPr>
            <w:tcW w:type="dxa" w:w="5227"/>
            <w:vAlign w:val="top"/>
          </w:tcPr>
          <w:p>
            <w:r>
              <w:rPr>
                <w:sz w:val="14"/>
              </w:rPr>
              <w:t>JT-60 / JET → JT-60SA → ITER → Q-DEMO → HFRP.</w:t>
            </w:r>
          </w:p>
        </w:tc>
      </w:tr>
      <w:tr>
        <w:tc>
          <w:tcPr>
            <w:tcW w:type="dxa" w:w="5227"/>
            <w:vAlign w:val="top"/>
          </w:tcPr>
          <w:p>
            <w:r>
              <w:rPr>
                <w:sz w:val="14"/>
              </w:rPr>
              <w:t>Superconducting magnets</w:t>
            </w:r>
          </w:p>
        </w:tc>
        <w:tc>
          <w:tcPr>
            <w:tcW w:type="dxa" w:w="5227"/>
            <w:vAlign w:val="top"/>
          </w:tcPr>
          <w:p>
            <w:r>
              <w:rPr>
                <w:sz w:val="14"/>
              </w:rPr>
              <w:t>ITER industrial production → Q-DEMO repeat production → HFRP commercial series.</w:t>
            </w:r>
          </w:p>
        </w:tc>
      </w:tr>
      <w:tr>
        <w:tc>
          <w:tcPr>
            <w:tcW w:type="dxa" w:w="5227"/>
            <w:vAlign w:val="top"/>
          </w:tcPr>
          <w:p>
            <w:r>
              <w:rPr>
                <w:sz w:val="14"/>
              </w:rPr>
              <w:t>Vacuum vessel / metrology</w:t>
            </w:r>
          </w:p>
        </w:tc>
        <w:tc>
          <w:tcPr>
            <w:tcW w:type="dxa" w:w="5227"/>
            <w:vAlign w:val="top"/>
          </w:tcPr>
          <w:p>
            <w:r>
              <w:rPr>
                <w:sz w:val="14"/>
              </w:rPr>
              <w:t>ITER large-component fabrication and assembly → Q-DEMO design-for-assembly → standardized HFRP sectors.</w:t>
            </w:r>
          </w:p>
        </w:tc>
      </w:tr>
      <w:tr>
        <w:tc>
          <w:tcPr>
            <w:tcW w:type="dxa" w:w="5227"/>
            <w:vAlign w:val="top"/>
          </w:tcPr>
          <w:p>
            <w:r>
              <w:rPr>
                <w:sz w:val="14"/>
              </w:rPr>
              <w:t>Blanket</w:t>
            </w:r>
          </w:p>
        </w:tc>
        <w:tc>
          <w:tcPr>
            <w:tcW w:type="dxa" w:w="5227"/>
            <w:vAlign w:val="top"/>
          </w:tcPr>
          <w:p>
            <w:r>
              <w:rPr>
                <w:sz w:val="14"/>
              </w:rPr>
              <w:t>Japanese WCCB research → TBM-class qualification → Q-DEMO → HFRP water-cooled solid breeder.</w:t>
            </w:r>
          </w:p>
        </w:tc>
      </w:tr>
      <w:tr>
        <w:tc>
          <w:tcPr>
            <w:tcW w:type="dxa" w:w="5227"/>
            <w:vAlign w:val="top"/>
          </w:tcPr>
          <w:p>
            <w:r>
              <w:rPr>
                <w:sz w:val="14"/>
              </w:rPr>
              <w:t>Tritium</w:t>
            </w:r>
          </w:p>
        </w:tc>
        <w:tc>
          <w:tcPr>
            <w:tcW w:type="dxa" w:w="5227"/>
            <w:vAlign w:val="top"/>
          </w:tcPr>
          <w:p>
            <w:r>
              <w:rPr>
                <w:sz w:val="14"/>
              </w:rPr>
              <w:t>JET/ITER fuel-cycle operations → integrated loops → Q-DEMO closed cycle → HFRP.</w:t>
            </w:r>
          </w:p>
        </w:tc>
      </w:tr>
      <w:tr>
        <w:tc>
          <w:tcPr>
            <w:tcW w:type="dxa" w:w="5227"/>
            <w:vAlign w:val="top"/>
          </w:tcPr>
          <w:p>
            <w:r>
              <w:rPr>
                <w:sz w:val="14"/>
              </w:rPr>
              <w:t>Divertor</w:t>
            </w:r>
          </w:p>
        </w:tc>
        <w:tc>
          <w:tcPr>
            <w:tcW w:type="dxa" w:w="5227"/>
            <w:vAlign w:val="top"/>
          </w:tcPr>
          <w:p>
            <w:r>
              <w:rPr>
                <w:sz w:val="14"/>
              </w:rPr>
              <w:t>High-heat-flux rigs / ITER experience → Q-DEMO maintenance architecture → HFRP.</w:t>
            </w:r>
          </w:p>
        </w:tc>
      </w:tr>
      <w:tr>
        <w:tc>
          <w:tcPr>
            <w:tcW w:type="dxa" w:w="5227"/>
            <w:vAlign w:val="top"/>
          </w:tcPr>
          <w:p>
            <w:r>
              <w:rPr>
                <w:sz w:val="14"/>
              </w:rPr>
              <w:t>Remote maintenance</w:t>
            </w:r>
          </w:p>
        </w:tc>
        <w:tc>
          <w:tcPr>
            <w:tcW w:type="dxa" w:w="5227"/>
            <w:vAlign w:val="top"/>
          </w:tcPr>
          <w:p>
            <w:r>
              <w:rPr>
                <w:sz w:val="14"/>
              </w:rPr>
              <w:t>ITER tooling + full-scale mockups → Q-DEMO outage campaigns → HFRP maintainability basis.</w:t>
            </w:r>
          </w:p>
        </w:tc>
      </w:tr>
      <w:tr>
        <w:tc>
          <w:tcPr>
            <w:tcW w:type="dxa" w:w="5227"/>
            <w:vAlign w:val="top"/>
          </w:tcPr>
          <w:p>
            <w:r>
              <w:rPr>
                <w:sz w:val="14"/>
              </w:rPr>
              <w:t>Heat transport / steam cycle</w:t>
            </w:r>
          </w:p>
        </w:tc>
        <w:tc>
          <w:tcPr>
            <w:tcW w:type="dxa" w:w="5227"/>
            <w:vAlign w:val="top"/>
          </w:tcPr>
          <w:p>
            <w:r>
              <w:rPr>
                <w:sz w:val="14"/>
              </w:rPr>
              <w:t>Nuclear/industrial water systems + DEMO development → conservative commercial Rankine cycle.</w:t>
            </w:r>
          </w:p>
        </w:tc>
      </w:tr>
      <w:tr>
        <w:tc>
          <w:tcPr>
            <w:tcW w:type="dxa" w:w="5227"/>
            <w:vAlign w:val="top"/>
          </w:tcPr>
          <w:p>
            <w:r>
              <w:rPr>
                <w:sz w:val="14"/>
              </w:rPr>
              <w:t>Construction methodology</w:t>
            </w:r>
          </w:p>
        </w:tc>
        <w:tc>
          <w:tcPr>
            <w:tcW w:type="dxa" w:w="5227"/>
            <w:vAlign w:val="top"/>
          </w:tcPr>
          <w:p>
            <w:r>
              <w:rPr>
                <w:sz w:val="14"/>
              </w:rPr>
              <w:t>JT-60SA / W7-X / ITER → Q-DEMO → HMS commercial assembly standard.</w:t>
            </w:r>
          </w:p>
        </w:tc>
      </w:tr>
      <w:tr>
        <w:tc>
          <w:tcPr>
            <w:tcW w:type="dxa" w:w="5227"/>
            <w:vAlign w:val="top"/>
          </w:tcPr>
          <w:p>
            <w:r>
              <w:rPr>
                <w:sz w:val="14"/>
              </w:rPr>
              <w:t>Commissioning</w:t>
            </w:r>
          </w:p>
        </w:tc>
        <w:tc>
          <w:tcPr>
            <w:tcW w:type="dxa" w:w="5227"/>
            <w:vAlign w:val="top"/>
          </w:tcPr>
          <w:p>
            <w:r>
              <w:rPr>
                <w:sz w:val="14"/>
              </w:rPr>
              <w:t>Research-machine systems + nuclear commissioning practice → Q-DEMO → OFG.</w:t>
            </w:r>
          </w:p>
        </w:tc>
      </w:tr>
    </w:tbl>
    <w:p>
      <w:pPr>
        <w:pStyle w:val="Heading1"/>
      </w:pPr>
      <w:r>
        <w:t>Locked HFRP design choices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Item</w:t>
            </w:r>
          </w:p>
        </w:tc>
        <w:tc>
          <w:tcPr>
            <w:tcW w:type="dxa" w:w="5227"/>
            <w:vAlign w:val="center"/>
          </w:tcPr>
          <w:p>
            <w:r>
              <w:rPr>
                <w:b/>
                <w:sz w:val="14"/>
              </w:rPr>
              <w:t>Working canon</w:t>
            </w:r>
          </w:p>
        </w:tc>
      </w:tr>
      <w:tr>
        <w:tc>
          <w:tcPr>
            <w:tcW w:type="dxa" w:w="5227"/>
            <w:vAlign w:val="top"/>
          </w:tcPr>
          <w:p>
            <w:r>
              <w:rPr>
                <w:sz w:val="14"/>
              </w:rPr>
              <w:t>Operating mode</w:t>
            </w:r>
          </w:p>
        </w:tc>
        <w:tc>
          <w:tcPr>
            <w:tcW w:type="dxa" w:w="5227"/>
            <w:vAlign w:val="top"/>
          </w:tcPr>
          <w:p>
            <w:r>
              <w:rPr>
                <w:sz w:val="14"/>
              </w:rPr>
              <w:t>Steady-state / non-inductive normal commercial operation.</w:t>
            </w:r>
          </w:p>
        </w:tc>
      </w:tr>
      <w:tr>
        <w:tc>
          <w:tcPr>
            <w:tcW w:type="dxa" w:w="5227"/>
            <w:vAlign w:val="top"/>
          </w:tcPr>
          <w:p>
            <w:r>
              <w:rPr>
                <w:sz w:val="14"/>
              </w:rPr>
              <w:t>Toroidal installation sectors</w:t>
            </w:r>
          </w:p>
        </w:tc>
        <w:tc>
          <w:tcPr>
            <w:tcW w:type="dxa" w:w="5227"/>
            <w:vAlign w:val="top"/>
          </w:tcPr>
          <w:p>
            <w:r>
              <w:rPr>
                <w:sz w:val="14"/>
              </w:rPr>
              <w:t>16, 22.5° each.</w:t>
            </w:r>
          </w:p>
        </w:tc>
      </w:tr>
      <w:tr>
        <w:tc>
          <w:tcPr>
            <w:tcW w:type="dxa" w:w="5227"/>
            <w:vAlign w:val="top"/>
          </w:tcPr>
          <w:p>
            <w:r>
              <w:rPr>
                <w:sz w:val="14"/>
              </w:rPr>
              <w:t>TF coils</w:t>
            </w:r>
          </w:p>
        </w:tc>
        <w:tc>
          <w:tcPr>
            <w:tcW w:type="dxa" w:w="5227"/>
            <w:vAlign w:val="top"/>
          </w:tcPr>
          <w:p>
            <w:r>
              <w:rPr>
                <w:sz w:val="14"/>
              </w:rPr>
              <w:t>16.</w:t>
            </w:r>
          </w:p>
        </w:tc>
      </w:tr>
      <w:tr>
        <w:tc>
          <w:tcPr>
            <w:tcW w:type="dxa" w:w="5227"/>
            <w:vAlign w:val="top"/>
          </w:tcPr>
          <w:p>
            <w:r>
              <w:rPr>
                <w:sz w:val="14"/>
              </w:rPr>
              <w:t>PF coils</w:t>
            </w:r>
          </w:p>
        </w:tc>
        <w:tc>
          <w:tcPr>
            <w:tcW w:type="dxa" w:w="5227"/>
            <w:vAlign w:val="top"/>
          </w:tcPr>
          <w:p>
            <w:r>
              <w:rPr>
                <w:sz w:val="14"/>
              </w:rPr>
              <w:t>6.</w:t>
            </w:r>
          </w:p>
        </w:tc>
      </w:tr>
      <w:tr>
        <w:tc>
          <w:tcPr>
            <w:tcW w:type="dxa" w:w="5227"/>
            <w:vAlign w:val="top"/>
          </w:tcPr>
          <w:p>
            <w:r>
              <w:rPr>
                <w:sz w:val="14"/>
              </w:rPr>
              <w:t>Central-solenoid stack</w:t>
            </w:r>
          </w:p>
        </w:tc>
        <w:tc>
          <w:tcPr>
            <w:tcW w:type="dxa" w:w="5227"/>
            <w:vAlign w:val="top"/>
          </w:tcPr>
          <w:p>
            <w:r>
              <w:rPr>
                <w:sz w:val="14"/>
              </w:rPr>
              <w:t>6 modules.</w:t>
            </w:r>
          </w:p>
        </w:tc>
      </w:tr>
      <w:tr>
        <w:tc>
          <w:tcPr>
            <w:tcW w:type="dxa" w:w="5227"/>
            <w:vAlign w:val="top"/>
          </w:tcPr>
          <w:p>
            <w:r>
              <w:rPr>
                <w:sz w:val="14"/>
              </w:rPr>
              <w:t>Blanket</w:t>
            </w:r>
          </w:p>
        </w:tc>
        <w:tc>
          <w:tcPr>
            <w:tcW w:type="dxa" w:w="5227"/>
            <w:vAlign w:val="top"/>
          </w:tcPr>
          <w:p>
            <w:r>
              <w:rPr>
                <w:sz w:val="14"/>
              </w:rPr>
              <w:t>16 maintenance sectors × five large segment groups = 80 replaceable segment assemblies.</w:t>
            </w:r>
          </w:p>
        </w:tc>
      </w:tr>
      <w:tr>
        <w:tc>
          <w:tcPr>
            <w:tcW w:type="dxa" w:w="5227"/>
            <w:vAlign w:val="top"/>
          </w:tcPr>
          <w:p>
            <w:r>
              <w:rPr>
                <w:sz w:val="14"/>
              </w:rPr>
              <w:t>Divertor</w:t>
            </w:r>
          </w:p>
        </w:tc>
        <w:tc>
          <w:tcPr>
            <w:tcW w:type="dxa" w:w="5227"/>
            <w:vAlign w:val="top"/>
          </w:tcPr>
          <w:p>
            <w:r>
              <w:rPr>
                <w:sz w:val="14"/>
              </w:rPr>
              <w:t>48 cassettes, three per each of 16 lower maintenance sectors.</w:t>
            </w:r>
          </w:p>
        </w:tc>
      </w:tr>
      <w:tr>
        <w:tc>
          <w:tcPr>
            <w:tcW w:type="dxa" w:w="5227"/>
            <w:vAlign w:val="top"/>
          </w:tcPr>
          <w:p>
            <w:r>
              <w:rPr>
                <w:sz w:val="14"/>
              </w:rPr>
              <w:t>Blanket coolant</w:t>
            </w:r>
          </w:p>
        </w:tc>
        <w:tc>
          <w:tcPr>
            <w:tcW w:type="dxa" w:w="5227"/>
            <w:vAlign w:val="top"/>
          </w:tcPr>
          <w:p>
            <w:r>
              <w:rPr>
                <w:sz w:val="14"/>
              </w:rPr>
              <w:t>High-pressure water; conservative PWR-adjacent materials/process philosophy.</w:t>
            </w:r>
          </w:p>
        </w:tc>
      </w:tr>
      <w:tr>
        <w:tc>
          <w:tcPr>
            <w:tcW w:type="dxa" w:w="5227"/>
            <w:vAlign w:val="top"/>
          </w:tcPr>
          <w:p>
            <w:r>
              <w:rPr>
                <w:sz w:val="14"/>
              </w:rPr>
              <w:t>Power conversion</w:t>
            </w:r>
          </w:p>
        </w:tc>
        <w:tc>
          <w:tcPr>
            <w:tcW w:type="dxa" w:w="5227"/>
            <w:vAlign w:val="top"/>
          </w:tcPr>
          <w:p>
            <w:r>
              <w:rPr>
                <w:sz w:val="14"/>
              </w:rPr>
              <w:t>Conventional steam Rankine cycle to avoid simultaneous novelty in reactor and turbine technology.</w:t>
            </w:r>
          </w:p>
        </w:tc>
      </w:tr>
    </w:tbl>
    <w:p>
      <w:pPr>
        <w:pStyle w:val="Heading1"/>
      </w:pPr>
      <w:r>
        <w:t>Institutional ecosystem and authority</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Entity</w:t>
            </w:r>
          </w:p>
        </w:tc>
        <w:tc>
          <w:tcPr>
            <w:tcW w:type="dxa" w:w="3485"/>
            <w:vAlign w:val="center"/>
          </w:tcPr>
          <w:p>
            <w:r>
              <w:rPr>
                <w:b/>
                <w:sz w:val="13"/>
              </w:rPr>
              <w:t>OFG role</w:t>
            </w:r>
          </w:p>
        </w:tc>
        <w:tc>
          <w:tcPr>
            <w:tcW w:type="dxa" w:w="3485"/>
            <w:vAlign w:val="center"/>
          </w:tcPr>
          <w:p>
            <w:r>
              <w:rPr>
                <w:b/>
                <w:sz w:val="13"/>
              </w:rPr>
              <w:t>Authority boundary</w:t>
            </w:r>
          </w:p>
        </w:tc>
      </w:tr>
      <w:tr>
        <w:tc>
          <w:tcPr>
            <w:tcW w:type="dxa" w:w="3485"/>
            <w:vAlign w:val="top"/>
          </w:tcPr>
          <w:p>
            <w:r>
              <w:rPr>
                <w:sz w:val="13"/>
              </w:rPr>
              <w:t>OPG</w:t>
            </w:r>
          </w:p>
        </w:tc>
        <w:tc>
          <w:tcPr>
            <w:tcW w:type="dxa" w:w="3485"/>
            <w:vAlign w:val="top"/>
          </w:tcPr>
          <w:p>
            <w:r>
              <w:rPr>
                <w:sz w:val="13"/>
              </w:rPr>
              <w:t>Owner, CNSC licensee, project manager, commissioning authority, future operator, majority equity sponsor.</w:t>
            </w:r>
          </w:p>
        </w:tc>
        <w:tc>
          <w:tcPr>
            <w:tcW w:type="dxa" w:w="3485"/>
            <w:vAlign w:val="top"/>
          </w:tcPr>
          <w:p>
            <w:r>
              <w:rPr>
                <w:sz w:val="13"/>
              </w:rPr>
              <w:t>Cannot transfer licensed-facility responsibility to EPC contractors.</w:t>
            </w:r>
          </w:p>
        </w:tc>
      </w:tr>
      <w:tr>
        <w:tc>
          <w:tcPr>
            <w:tcW w:type="dxa" w:w="3485"/>
            <w:vAlign w:val="top"/>
          </w:tcPr>
          <w:p>
            <w:r>
              <w:rPr>
                <w:sz w:val="13"/>
              </w:rPr>
              <w:t>CNSC</w:t>
            </w:r>
          </w:p>
        </w:tc>
        <w:tc>
          <w:tcPr>
            <w:tcW w:type="dxa" w:w="3485"/>
            <w:vAlign w:val="top"/>
          </w:tcPr>
          <w:p>
            <w:r>
              <w:rPr>
                <w:sz w:val="13"/>
              </w:rPr>
              <w:t>Independent nuclear regulator.</w:t>
            </w:r>
          </w:p>
        </w:tc>
        <w:tc>
          <w:tcPr>
            <w:tcW w:type="dxa" w:w="3485"/>
            <w:vAlign w:val="top"/>
          </w:tcPr>
          <w:p>
            <w:r>
              <w:rPr>
                <w:sz w:val="13"/>
              </w:rPr>
              <w:t>Outside project hierarchy; licensing and regulatory hold points.</w:t>
            </w:r>
          </w:p>
        </w:tc>
      </w:tr>
      <w:tr>
        <w:tc>
          <w:tcPr>
            <w:tcW w:type="dxa" w:w="3485"/>
            <w:vAlign w:val="top"/>
          </w:tcPr>
          <w:p>
            <w:r>
              <w:rPr>
                <w:sz w:val="13"/>
              </w:rPr>
              <w:t>Ontario</w:t>
            </w:r>
          </w:p>
        </w:tc>
        <w:tc>
          <w:tcPr>
            <w:tcW w:type="dxa" w:w="3485"/>
            <w:vAlign w:val="top"/>
          </w:tcPr>
          <w:p>
            <w:r>
              <w:rPr>
                <w:sz w:val="13"/>
              </w:rPr>
              <w:t>OPG shareholder context, electricity policy, public completion support.</w:t>
            </w:r>
          </w:p>
        </w:tc>
        <w:tc>
          <w:tcPr>
            <w:tcW w:type="dxa" w:w="3485"/>
            <w:vAlign w:val="top"/>
          </w:tcPr>
          <w:p>
            <w:r>
              <w:rPr>
                <w:sz w:val="13"/>
              </w:rPr>
              <w:t>Political/economic influence without field technical authority.</w:t>
            </w:r>
          </w:p>
        </w:tc>
      </w:tr>
      <w:tr>
        <w:tc>
          <w:tcPr>
            <w:tcW w:type="dxa" w:w="3485"/>
            <w:vAlign w:val="top"/>
          </w:tcPr>
          <w:p>
            <w:r>
              <w:rPr>
                <w:sz w:val="13"/>
              </w:rPr>
              <w:t>IESO</w:t>
            </w:r>
          </w:p>
        </w:tc>
        <w:tc>
          <w:tcPr>
            <w:tcW w:type="dxa" w:w="3485"/>
            <w:vAlign w:val="top"/>
          </w:tcPr>
          <w:p>
            <w:r>
              <w:rPr>
                <w:sz w:val="13"/>
              </w:rPr>
              <w:t>Bulk-system planning and market/system integration.</w:t>
            </w:r>
          </w:p>
        </w:tc>
        <w:tc>
          <w:tcPr>
            <w:tcW w:type="dxa" w:w="3485"/>
            <w:vAlign w:val="top"/>
          </w:tcPr>
          <w:p>
            <w:r>
              <w:rPr>
                <w:sz w:val="13"/>
              </w:rPr>
              <w:t>External system-planning interface.</w:t>
            </w:r>
          </w:p>
        </w:tc>
      </w:tr>
      <w:tr>
        <w:tc>
          <w:tcPr>
            <w:tcW w:type="dxa" w:w="3485"/>
            <w:vAlign w:val="top"/>
          </w:tcPr>
          <w:p>
            <w:r>
              <w:rPr>
                <w:sz w:val="13"/>
              </w:rPr>
              <w:t>Hydro One</w:t>
            </w:r>
          </w:p>
        </w:tc>
        <w:tc>
          <w:tcPr>
            <w:tcW w:type="dxa" w:w="3485"/>
            <w:vAlign w:val="top"/>
          </w:tcPr>
          <w:p>
            <w:r>
              <w:rPr>
                <w:sz w:val="13"/>
              </w:rPr>
              <w:t>Transmission owner/operator and connection counterparty.</w:t>
            </w:r>
          </w:p>
        </w:tc>
        <w:tc>
          <w:tcPr>
            <w:tcW w:type="dxa" w:w="3485"/>
            <w:vAlign w:val="top"/>
          </w:tcPr>
          <w:p>
            <w:r>
              <w:rPr>
                <w:sz w:val="13"/>
              </w:rPr>
              <w:t>External transmission facilities and Point of Connection.</w:t>
            </w:r>
          </w:p>
        </w:tc>
      </w:tr>
      <w:tr>
        <w:tc>
          <w:tcPr>
            <w:tcW w:type="dxa" w:w="3485"/>
            <w:vAlign w:val="top"/>
          </w:tcPr>
          <w:p>
            <w:r>
              <w:rPr>
                <w:sz w:val="13"/>
              </w:rPr>
              <w:t>OEB</w:t>
            </w:r>
          </w:p>
        </w:tc>
        <w:tc>
          <w:tcPr>
            <w:tcW w:type="dxa" w:w="3485"/>
            <w:vAlign w:val="top"/>
          </w:tcPr>
          <w:p>
            <w:r>
              <w:rPr>
                <w:sz w:val="13"/>
              </w:rPr>
              <w:t>Economic/rate regulatory treatment where applicable.</w:t>
            </w:r>
          </w:p>
        </w:tc>
        <w:tc>
          <w:tcPr>
            <w:tcW w:type="dxa" w:w="3485"/>
            <w:vAlign w:val="top"/>
          </w:tcPr>
          <w:p>
            <w:r>
              <w:rPr>
                <w:sz w:val="13"/>
              </w:rPr>
              <w:t>Recovery/economic mechanism, not construction cash.</w:t>
            </w:r>
          </w:p>
        </w:tc>
      </w:tr>
      <w:tr>
        <w:tc>
          <w:tcPr>
            <w:tcW w:type="dxa" w:w="3485"/>
            <w:vAlign w:val="top"/>
          </w:tcPr>
          <w:p>
            <w:r>
              <w:rPr>
                <w:sz w:val="13"/>
              </w:rPr>
              <w:t>Infrastructure Ontario</w:t>
            </w:r>
          </w:p>
        </w:tc>
        <w:tc>
          <w:tcPr>
            <w:tcW w:type="dxa" w:w="3485"/>
            <w:vAlign w:val="top"/>
          </w:tcPr>
          <w:p>
            <w:r>
              <w:rPr>
                <w:sz w:val="13"/>
              </w:rPr>
              <w:t>Commercial/procurement advisory role when assigned.</w:t>
            </w:r>
          </w:p>
        </w:tc>
        <w:tc>
          <w:tcPr>
            <w:tcW w:type="dxa" w:w="3485"/>
            <w:vAlign w:val="top"/>
          </w:tcPr>
          <w:p>
            <w:r>
              <w:rPr>
                <w:sz w:val="13"/>
              </w:rPr>
              <w:t>Delivery-model and government commercial interface; no engineering authority.</w:t>
            </w:r>
          </w:p>
        </w:tc>
      </w:tr>
      <w:tr>
        <w:tc>
          <w:tcPr>
            <w:tcW w:type="dxa" w:w="3485"/>
            <w:vAlign w:val="top"/>
          </w:tcPr>
          <w:p>
            <w:r>
              <w:rPr>
                <w:sz w:val="13"/>
              </w:rPr>
              <w:t>Clarington</w:t>
            </w:r>
          </w:p>
        </w:tc>
        <w:tc>
          <w:tcPr>
            <w:tcW w:type="dxa" w:w="3485"/>
            <w:vAlign w:val="top"/>
          </w:tcPr>
          <w:p>
            <w:r>
              <w:rPr>
                <w:sz w:val="13"/>
              </w:rPr>
              <w:t>Municipal roads/services/planning interface.</w:t>
            </w:r>
          </w:p>
        </w:tc>
        <w:tc>
          <w:tcPr>
            <w:tcW w:type="dxa" w:w="3485"/>
            <w:vAlign w:val="top"/>
          </w:tcPr>
          <w:p>
            <w:r>
              <w:rPr>
                <w:sz w:val="13"/>
              </w:rPr>
              <w:t>Local government; no nuclear-design authority.</w:t>
            </w:r>
          </w:p>
        </w:tc>
      </w:tr>
      <w:tr>
        <w:tc>
          <w:tcPr>
            <w:tcW w:type="dxa" w:w="3485"/>
            <w:vAlign w:val="top"/>
          </w:tcPr>
          <w:p>
            <w:r>
              <w:rPr>
                <w:sz w:val="13"/>
              </w:rPr>
              <w:t>Williams Treaties First Nations</w:t>
            </w:r>
          </w:p>
        </w:tc>
        <w:tc>
          <w:tcPr>
            <w:tcW w:type="dxa" w:w="3485"/>
            <w:vAlign w:val="top"/>
          </w:tcPr>
          <w:p>
            <w:r>
              <w:rPr>
                <w:sz w:val="13"/>
              </w:rPr>
              <w:t>Rights-holder/consultation interface and separately an economic investor vehicle.</w:t>
            </w:r>
          </w:p>
        </w:tc>
        <w:tc>
          <w:tcPr>
            <w:tcW w:type="dxa" w:w="3485"/>
            <w:vAlign w:val="top"/>
          </w:tcPr>
          <w:p>
            <w:r>
              <w:rPr>
                <w:sz w:val="13"/>
              </w:rPr>
              <w:t>Equity participation does not extinguish consultation rights.</w:t>
            </w:r>
          </w:p>
        </w:tc>
      </w:tr>
      <w:tr>
        <w:tc>
          <w:tcPr>
            <w:tcW w:type="dxa" w:w="3485"/>
            <w:vAlign w:val="top"/>
          </w:tcPr>
          <w:p>
            <w:r>
              <w:rPr>
                <w:sz w:val="13"/>
              </w:rPr>
              <w:t>HMS Group / HMS</w:t>
            </w:r>
          </w:p>
        </w:tc>
        <w:tc>
          <w:tcPr>
            <w:tcW w:type="dxa" w:w="3485"/>
            <w:vAlign w:val="top"/>
          </w:tcPr>
          <w:p>
            <w:r>
              <w:rPr>
                <w:sz w:val="13"/>
              </w:rPr>
              <w:t>Technology parent and proprietary HFRP technology owner.</w:t>
            </w:r>
          </w:p>
        </w:tc>
        <w:tc>
          <w:tcPr>
            <w:tcW w:type="dxa" w:w="3485"/>
            <w:vAlign w:val="top"/>
          </w:tcPr>
          <w:p>
            <w:r>
              <w:rPr>
                <w:sz w:val="13"/>
              </w:rPr>
              <w:t>Controls qualified technology basis; not EPC constructor.</w:t>
            </w:r>
          </w:p>
        </w:tc>
      </w:tr>
      <w:tr>
        <w:tc>
          <w:tcPr>
            <w:tcW w:type="dxa" w:w="3485"/>
            <w:vAlign w:val="top"/>
          </w:tcPr>
          <w:p>
            <w:r>
              <w:rPr>
                <w:sz w:val="13"/>
              </w:rPr>
              <w:t>E&amp;C Holdings / E&amp;C Canada</w:t>
            </w:r>
          </w:p>
        </w:tc>
        <w:tc>
          <w:tcPr>
            <w:tcW w:type="dxa" w:w="3485"/>
            <w:vAlign w:val="top"/>
          </w:tcPr>
          <w:p>
            <w:r>
              <w:rPr>
                <w:sz w:val="13"/>
              </w:rPr>
              <w:t>Global engineering parent / Canadian EPC entity.</w:t>
            </w:r>
          </w:p>
        </w:tc>
        <w:tc>
          <w:tcPr>
            <w:tcW w:type="dxa" w:w="3485"/>
            <w:vAlign w:val="top"/>
          </w:tcPr>
          <w:p>
            <w:r>
              <w:rPr>
                <w:sz w:val="13"/>
              </w:rPr>
              <w:t>E&amp;C Canada integrates detailed design/procurement/execution.</w:t>
            </w:r>
          </w:p>
        </w:tc>
      </w:tr>
      <w:tr>
        <w:tc>
          <w:tcPr>
            <w:tcW w:type="dxa" w:w="3485"/>
            <w:vAlign w:val="top"/>
          </w:tcPr>
          <w:p>
            <w:r>
              <w:rPr>
                <w:sz w:val="13"/>
              </w:rPr>
              <w:t>Bechtel</w:t>
            </w:r>
          </w:p>
        </w:tc>
        <w:tc>
          <w:tcPr>
            <w:tcW w:type="dxa" w:w="3485"/>
            <w:vAlign w:val="top"/>
          </w:tcPr>
          <w:p>
            <w:r>
              <w:rPr>
                <w:sz w:val="13"/>
              </w:rPr>
              <w:t>Principal construction contractor and designated constructor.</w:t>
            </w:r>
          </w:p>
        </w:tc>
        <w:tc>
          <w:tcPr>
            <w:tcW w:type="dxa" w:w="3485"/>
            <w:vAlign w:val="top"/>
          </w:tcPr>
          <w:p>
            <w:r>
              <w:rPr>
                <w:sz w:val="13"/>
              </w:rPr>
              <w:t>Construction sequencing, logistics, site H&amp;S/constructor control; not HFRP design authority.</w:t>
            </w:r>
          </w:p>
        </w:tc>
      </w:tr>
      <w:tr>
        <w:tc>
          <w:tcPr>
            <w:tcW w:type="dxa" w:w="3485"/>
            <w:vAlign w:val="top"/>
          </w:tcPr>
          <w:p>
            <w:r>
              <w:rPr>
                <w:sz w:val="13"/>
              </w:rPr>
              <w:t>Aecon / Kiewit / E.S. Fox / Bird</w:t>
            </w:r>
          </w:p>
        </w:tc>
        <w:tc>
          <w:tcPr>
            <w:tcW w:type="dxa" w:w="3485"/>
            <w:vAlign w:val="top"/>
          </w:tcPr>
          <w:p>
            <w:r>
              <w:rPr>
                <w:sz w:val="13"/>
              </w:rPr>
              <w:t>Major field package contractors.</w:t>
            </w:r>
          </w:p>
        </w:tc>
        <w:tc>
          <w:tcPr>
            <w:tcW w:type="dxa" w:w="3485"/>
            <w:vAlign w:val="top"/>
          </w:tcPr>
          <w:p>
            <w:r>
              <w:rPr>
                <w:sz w:val="13"/>
              </w:rPr>
              <w:t>Execute defined packages beneath Bechtel.</w:t>
            </w:r>
          </w:p>
        </w:tc>
      </w:tr>
      <w:tr>
        <w:tc>
          <w:tcPr>
            <w:tcW w:type="dxa" w:w="3485"/>
            <w:vAlign w:val="top"/>
          </w:tcPr>
          <w:p>
            <w:r>
              <w:rPr>
                <w:sz w:val="13"/>
              </w:rPr>
              <w:t>MHI / IHI / JGC / BWXT / Arabelle / GE Vernova / Emerson / Westinghouse</w:t>
            </w:r>
          </w:p>
        </w:tc>
        <w:tc>
          <w:tcPr>
            <w:tcW w:type="dxa" w:w="3485"/>
            <w:vAlign w:val="top"/>
          </w:tcPr>
          <w:p>
            <w:r>
              <w:rPr>
                <w:sz w:val="13"/>
              </w:rPr>
              <w:t>Major OEM and specialist package suppliers.</w:t>
            </w:r>
          </w:p>
        </w:tc>
        <w:tc>
          <w:tcPr>
            <w:tcW w:type="dxa" w:w="3485"/>
            <w:vAlign w:val="top"/>
          </w:tcPr>
          <w:p>
            <w:r>
              <w:rPr>
                <w:sz w:val="13"/>
              </w:rPr>
              <w:t>Package scope only; not parallel EPCs.</w:t>
            </w:r>
          </w:p>
        </w:tc>
      </w:tr>
      <w:tr>
        <w:tc>
          <w:tcPr>
            <w:tcW w:type="dxa" w:w="3485"/>
            <w:vAlign w:val="top"/>
          </w:tcPr>
          <w:p>
            <w:r>
              <w:rPr>
                <w:sz w:val="13"/>
              </w:rPr>
              <w:t>AtkinsRéalis</w:t>
            </w:r>
          </w:p>
        </w:tc>
        <w:tc>
          <w:tcPr>
            <w:tcW w:type="dxa" w:w="3485"/>
            <w:vAlign w:val="top"/>
          </w:tcPr>
          <w:p>
            <w:r>
              <w:rPr>
                <w:sz w:val="13"/>
              </w:rPr>
              <w:t>Narrow Canadian nuclear/licensing/safety-analysis specialist.</w:t>
            </w:r>
          </w:p>
        </w:tc>
        <w:tc>
          <w:tcPr>
            <w:tcW w:type="dxa" w:w="3485"/>
            <w:vAlign w:val="top"/>
          </w:tcPr>
          <w:p>
            <w:r>
              <w:rPr>
                <w:sz w:val="13"/>
              </w:rPr>
              <w:t>Advisory/specialist support.</w:t>
            </w:r>
          </w:p>
        </w:tc>
      </w:tr>
      <w:tr>
        <w:tc>
          <w:tcPr>
            <w:tcW w:type="dxa" w:w="3485"/>
            <w:vAlign w:val="top"/>
          </w:tcPr>
          <w:p>
            <w:r>
              <w:rPr>
                <w:sz w:val="13"/>
              </w:rPr>
              <w:t>Fluor</w:t>
            </w:r>
          </w:p>
        </w:tc>
        <w:tc>
          <w:tcPr>
            <w:tcW w:type="dxa" w:w="3485"/>
            <w:vAlign w:val="top"/>
          </w:tcPr>
          <w:p>
            <w:r>
              <w:rPr>
                <w:sz w:val="13"/>
              </w:rPr>
              <w:t>Completion/turnover/commissioning surge support.</w:t>
            </w:r>
          </w:p>
        </w:tc>
        <w:tc>
          <w:tcPr>
            <w:tcW w:type="dxa" w:w="3485"/>
            <w:vAlign w:val="top"/>
          </w:tcPr>
          <w:p>
            <w:r>
              <w:rPr>
                <w:sz w:val="13"/>
              </w:rPr>
              <w:t>No parallel EPC/design authority.</w:t>
            </w:r>
          </w:p>
        </w:tc>
      </w:tr>
      <w:tr>
        <w:tc>
          <w:tcPr>
            <w:tcW w:type="dxa" w:w="3485"/>
            <w:vAlign w:val="top"/>
          </w:tcPr>
          <w:p>
            <w:r>
              <w:rPr>
                <w:sz w:val="13"/>
              </w:rPr>
              <w:t>Sargent &amp; Lundy</w:t>
            </w:r>
          </w:p>
        </w:tc>
        <w:tc>
          <w:tcPr>
            <w:tcW w:type="dxa" w:w="3485"/>
            <w:vAlign w:val="top"/>
          </w:tcPr>
          <w:p>
            <w:r>
              <w:rPr>
                <w:sz w:val="13"/>
              </w:rPr>
              <w:t>Lenders Technical Adviser / Independent Engineer.</w:t>
            </w:r>
          </w:p>
        </w:tc>
        <w:tc>
          <w:tcPr>
            <w:tcW w:type="dxa" w:w="3485"/>
            <w:vAlign w:val="top"/>
          </w:tcPr>
          <w:p>
            <w:r>
              <w:rPr>
                <w:sz w:val="13"/>
              </w:rPr>
              <w:t>Translates physical progress and risk into finance-grade monitoring.</w:t>
            </w:r>
          </w:p>
        </w:tc>
      </w:tr>
      <w:tr>
        <w:tc>
          <w:tcPr>
            <w:tcW w:type="dxa" w:w="3485"/>
            <w:vAlign w:val="top"/>
          </w:tcPr>
          <w:p>
            <w:r>
              <w:rPr>
                <w:sz w:val="13"/>
              </w:rPr>
              <w:t>JPMorgan / MUFG / SMBC / bank syndicate</w:t>
            </w:r>
          </w:p>
        </w:tc>
        <w:tc>
          <w:tcPr>
            <w:tcW w:type="dxa" w:w="3485"/>
            <w:vAlign w:val="top"/>
          </w:tcPr>
          <w:p>
            <w:r>
              <w:rPr>
                <w:sz w:val="13"/>
              </w:rPr>
              <w:t>Banking/structuring/financing counterparties.</w:t>
            </w:r>
          </w:p>
        </w:tc>
        <w:tc>
          <w:tcPr>
            <w:tcW w:type="dxa" w:w="3485"/>
            <w:vAlign w:val="top"/>
          </w:tcPr>
          <w:p>
            <w:r>
              <w:rPr>
                <w:sz w:val="13"/>
              </w:rPr>
              <w:t>Economic/information rights; no nuclear decision authority.</w:t>
            </w:r>
          </w:p>
        </w:tc>
      </w:tr>
      <w:tr>
        <w:tc>
          <w:tcPr>
            <w:tcW w:type="dxa" w:w="3485"/>
            <w:vAlign w:val="top"/>
          </w:tcPr>
          <w:p>
            <w:r>
              <w:rPr>
                <w:sz w:val="13"/>
              </w:rPr>
              <w:t>METI/ANRE, MOFA, MOF, Cabinet Secretariat</w:t>
            </w:r>
          </w:p>
        </w:tc>
        <w:tc>
          <w:tcPr>
            <w:tcW w:type="dxa" w:w="3485"/>
            <w:vAlign w:val="top"/>
          </w:tcPr>
          <w:p>
            <w:r>
              <w:rPr>
                <w:sz w:val="13"/>
              </w:rPr>
              <w:t>Japanese industrial-policy, diplomacy, fiscal scrutiny and later central coordination.</w:t>
            </w:r>
          </w:p>
        </w:tc>
        <w:tc>
          <w:tcPr>
            <w:tcW w:type="dxa" w:w="3485"/>
            <w:vAlign w:val="top"/>
          </w:tcPr>
          <w:p>
            <w:r>
              <w:rPr>
                <w:sz w:val="13"/>
              </w:rPr>
              <w:t>External programme/political influence; no site chain of command.</w:t>
            </w:r>
          </w:p>
        </w:tc>
      </w:tr>
    </w:tbl>
    <w:p>
      <w:pPr>
        <w:pStyle w:val="Heading1"/>
      </w:pPr>
      <w:r>
        <w:t>Base financial architecture</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4"/>
              </w:rPr>
              <w:t>Capital source</w:t>
            </w:r>
          </w:p>
        </w:tc>
        <w:tc>
          <w:tcPr>
            <w:tcW w:type="dxa" w:w="3485"/>
            <w:vAlign w:val="center"/>
          </w:tcPr>
          <w:p>
            <w:r>
              <w:rPr>
                <w:b/>
                <w:sz w:val="14"/>
              </w:rPr>
              <w:t>Amount</w:t>
            </w:r>
          </w:p>
        </w:tc>
        <w:tc>
          <w:tcPr>
            <w:tcW w:type="dxa" w:w="3485"/>
            <w:vAlign w:val="center"/>
          </w:tcPr>
          <w:p>
            <w:r>
              <w:rPr>
                <w:b/>
                <w:sz w:val="14"/>
              </w:rPr>
              <w:t>Role</w:t>
            </w:r>
          </w:p>
        </w:tc>
      </w:tr>
      <w:tr>
        <w:tc>
          <w:tcPr>
            <w:tcW w:type="dxa" w:w="3485"/>
            <w:vAlign w:val="top"/>
          </w:tcPr>
          <w:p>
            <w:r>
              <w:rPr>
                <w:sz w:val="14"/>
              </w:rPr>
              <w:t>OPG common sponsor equity</w:t>
            </w:r>
          </w:p>
        </w:tc>
        <w:tc>
          <w:tcPr>
            <w:tcW w:type="dxa" w:w="3485"/>
            <w:vAlign w:val="top"/>
          </w:tcPr>
          <w:p>
            <w:r>
              <w:rPr>
                <w:sz w:val="14"/>
              </w:rPr>
              <w:t>C$15.0B</w:t>
            </w:r>
          </w:p>
        </w:tc>
        <w:tc>
          <w:tcPr>
            <w:tcW w:type="dxa" w:w="3485"/>
            <w:vAlign w:val="top"/>
          </w:tcPr>
          <w:p>
            <w:r>
              <w:rPr>
                <w:sz w:val="14"/>
              </w:rPr>
              <w:t>Majority sponsor / first-order capital.</w:t>
            </w:r>
          </w:p>
        </w:tc>
      </w:tr>
      <w:tr>
        <w:tc>
          <w:tcPr>
            <w:tcW w:type="dxa" w:w="3485"/>
            <w:vAlign w:val="top"/>
          </w:tcPr>
          <w:p>
            <w:r>
              <w:rPr>
                <w:sz w:val="14"/>
              </w:rPr>
              <w:t>Canada Growth Fund</w:t>
            </w:r>
          </w:p>
        </w:tc>
        <w:tc>
          <w:tcPr>
            <w:tcW w:type="dxa" w:w="3485"/>
            <w:vAlign w:val="top"/>
          </w:tcPr>
          <w:p>
            <w:r>
              <w:rPr>
                <w:sz w:val="14"/>
              </w:rPr>
              <w:t>C$3.0B</w:t>
            </w:r>
          </w:p>
        </w:tc>
        <w:tc>
          <w:tcPr>
            <w:tcW w:type="dxa" w:w="3485"/>
            <w:vAlign w:val="top"/>
          </w:tcPr>
          <w:p>
            <w:r>
              <w:rPr>
                <w:sz w:val="14"/>
              </w:rPr>
              <w:t>Preferred/minority federal public-risk equity.</w:t>
            </w:r>
          </w:p>
        </w:tc>
      </w:tr>
      <w:tr>
        <w:tc>
          <w:tcPr>
            <w:tcW w:type="dxa" w:w="3485"/>
            <w:vAlign w:val="top"/>
          </w:tcPr>
          <w:p>
            <w:r>
              <w:rPr>
                <w:sz w:val="14"/>
              </w:rPr>
              <w:t>Building Ontario Fund</w:t>
            </w:r>
          </w:p>
        </w:tc>
        <w:tc>
          <w:tcPr>
            <w:tcW w:type="dxa" w:w="3485"/>
            <w:vAlign w:val="top"/>
          </w:tcPr>
          <w:p>
            <w:r>
              <w:rPr>
                <w:sz w:val="14"/>
              </w:rPr>
              <w:t>C$1.5B</w:t>
            </w:r>
          </w:p>
        </w:tc>
        <w:tc>
          <w:tcPr>
            <w:tcW w:type="dxa" w:w="3485"/>
            <w:vAlign w:val="top"/>
          </w:tcPr>
          <w:p>
            <w:r>
              <w:rPr>
                <w:sz w:val="14"/>
              </w:rPr>
              <w:t>Preferred/minority provincial public-risk equity.</w:t>
            </w:r>
          </w:p>
        </w:tc>
      </w:tr>
      <w:tr>
        <w:tc>
          <w:tcPr>
            <w:tcW w:type="dxa" w:w="3485"/>
            <w:vAlign w:val="top"/>
          </w:tcPr>
          <w:p>
            <w:r>
              <w:rPr>
                <w:sz w:val="14"/>
              </w:rPr>
              <w:t>Indigenous investment vehicle</w:t>
            </w:r>
          </w:p>
        </w:tc>
        <w:tc>
          <w:tcPr>
            <w:tcW w:type="dxa" w:w="3485"/>
            <w:vAlign w:val="top"/>
          </w:tcPr>
          <w:p>
            <w:r>
              <w:rPr>
                <w:sz w:val="14"/>
              </w:rPr>
              <w:t>C$0.8B</w:t>
            </w:r>
          </w:p>
        </w:tc>
        <w:tc>
          <w:tcPr>
            <w:tcW w:type="dxa" w:w="3485"/>
            <w:vAlign w:val="top"/>
          </w:tcPr>
          <w:p>
            <w:r>
              <w:rPr>
                <w:sz w:val="14"/>
              </w:rPr>
              <w:t>Minority equity supported by guarantee structures.</w:t>
            </w:r>
          </w:p>
        </w:tc>
      </w:tr>
      <w:tr>
        <w:tc>
          <w:tcPr>
            <w:tcW w:type="dxa" w:w="3485"/>
            <w:vAlign w:val="top"/>
          </w:tcPr>
          <w:p>
            <w:r>
              <w:rPr>
                <w:sz w:val="14"/>
              </w:rPr>
              <w:t>Canada Infrastructure Bank</w:t>
            </w:r>
          </w:p>
        </w:tc>
        <w:tc>
          <w:tcPr>
            <w:tcW w:type="dxa" w:w="3485"/>
            <w:vAlign w:val="top"/>
          </w:tcPr>
          <w:p>
            <w:r>
              <w:rPr>
                <w:sz w:val="14"/>
              </w:rPr>
              <w:t>C$5.0B</w:t>
            </w:r>
          </w:p>
        </w:tc>
        <w:tc>
          <w:tcPr>
            <w:tcW w:type="dxa" w:w="3485"/>
            <w:vAlign w:val="top"/>
          </w:tcPr>
          <w:p>
            <w:r>
              <w:rPr>
                <w:sz w:val="14"/>
              </w:rPr>
              <w:t>Long-tenor senior project facility / patient debt.</w:t>
            </w:r>
          </w:p>
        </w:tc>
      </w:tr>
      <w:tr>
        <w:tc>
          <w:tcPr>
            <w:tcW w:type="dxa" w:w="3485"/>
            <w:vAlign w:val="top"/>
          </w:tcPr>
          <w:p>
            <w:r>
              <w:rPr>
                <w:sz w:val="14"/>
              </w:rPr>
              <w:t>Commercial banks</w:t>
            </w:r>
          </w:p>
        </w:tc>
        <w:tc>
          <w:tcPr>
            <w:tcW w:type="dxa" w:w="3485"/>
            <w:vAlign w:val="top"/>
          </w:tcPr>
          <w:p>
            <w:r>
              <w:rPr>
                <w:sz w:val="14"/>
              </w:rPr>
              <w:t>C$4.0B</w:t>
            </w:r>
          </w:p>
        </w:tc>
        <w:tc>
          <w:tcPr>
            <w:tcW w:type="dxa" w:w="3485"/>
            <w:vAlign w:val="top"/>
          </w:tcPr>
          <w:p>
            <w:r>
              <w:rPr>
                <w:sz w:val="14"/>
              </w:rPr>
              <w:t>Senior committed facilities for construction/completion liquidity.</w:t>
            </w:r>
          </w:p>
        </w:tc>
      </w:tr>
      <w:tr>
        <w:tc>
          <w:tcPr>
            <w:tcW w:type="dxa" w:w="3485"/>
            <w:vAlign w:val="top"/>
          </w:tcPr>
          <w:p>
            <w:r>
              <w:rPr>
                <w:sz w:val="14"/>
              </w:rPr>
              <w:t>Institutional investors</w:t>
            </w:r>
          </w:p>
        </w:tc>
        <w:tc>
          <w:tcPr>
            <w:tcW w:type="dxa" w:w="3485"/>
            <w:vAlign w:val="top"/>
          </w:tcPr>
          <w:p>
            <w:r>
              <w:rPr>
                <w:sz w:val="14"/>
              </w:rPr>
              <w:t>C$10.0B</w:t>
            </w:r>
          </w:p>
        </w:tc>
        <w:tc>
          <w:tcPr>
            <w:tcW w:type="dxa" w:w="3485"/>
            <w:vAlign w:val="top"/>
          </w:tcPr>
          <w:p>
            <w:r>
              <w:rPr>
                <w:sz w:val="14"/>
              </w:rPr>
              <w:t>Long-dated senior/private debt.</w:t>
            </w:r>
          </w:p>
        </w:tc>
      </w:tr>
      <w:tr>
        <w:tc>
          <w:tcPr>
            <w:tcW w:type="dxa" w:w="3485"/>
            <w:vAlign w:val="top"/>
          </w:tcPr>
          <w:p>
            <w:r>
              <w:rPr>
                <w:sz w:val="14"/>
              </w:rPr>
              <w:t>Apollo / KKR / Brookfield</w:t>
            </w:r>
          </w:p>
        </w:tc>
        <w:tc>
          <w:tcPr>
            <w:tcW w:type="dxa" w:w="3485"/>
            <w:vAlign w:val="top"/>
          </w:tcPr>
          <w:p>
            <w:r>
              <w:rPr>
                <w:sz w:val="14"/>
              </w:rPr>
              <w:t>C$3.5B</w:t>
            </w:r>
          </w:p>
        </w:tc>
        <w:tc>
          <w:tcPr>
            <w:tcW w:type="dxa" w:w="3485"/>
            <w:vAlign w:val="top"/>
          </w:tcPr>
          <w:p>
            <w:r>
              <w:rPr>
                <w:sz w:val="14"/>
              </w:rPr>
              <w:t>Junior/hybrid loss-absorbing capital.</w:t>
            </w:r>
          </w:p>
        </w:tc>
      </w:tr>
      <w:tr>
        <w:tc>
          <w:tcPr>
            <w:tcW w:type="dxa" w:w="3485"/>
            <w:vAlign w:val="top"/>
          </w:tcPr>
          <w:p>
            <w:r>
              <w:rPr>
                <w:sz w:val="14"/>
              </w:rPr>
              <w:t>Ontario</w:t>
            </w:r>
          </w:p>
        </w:tc>
        <w:tc>
          <w:tcPr>
            <w:tcW w:type="dxa" w:w="3485"/>
            <w:vAlign w:val="top"/>
          </w:tcPr>
          <w:p>
            <w:r>
              <w:rPr>
                <w:sz w:val="14"/>
              </w:rPr>
              <w:t>C$3.0B</w:t>
            </w:r>
          </w:p>
        </w:tc>
        <w:tc>
          <w:tcPr>
            <w:tcW w:type="dxa" w:w="3485"/>
            <w:vAlign w:val="top"/>
          </w:tcPr>
          <w:p>
            <w:r>
              <w:rPr>
                <w:sz w:val="14"/>
              </w:rPr>
              <w:t>Capped shareholder Completion Facility / contingent backstop.</w:t>
            </w:r>
          </w:p>
        </w:tc>
      </w:tr>
    </w:tbl>
    <w:p>
      <w:pPr>
        <w:pStyle w:val="Heading1"/>
      </w:pPr>
      <w:r>
        <w:t>Project Aurora</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4"/>
              </w:rPr>
              <w:t>Instrument</w:t>
            </w:r>
          </w:p>
        </w:tc>
        <w:tc>
          <w:tcPr>
            <w:tcW w:type="dxa" w:w="3485"/>
            <w:vAlign w:val="center"/>
          </w:tcPr>
          <w:p>
            <w:r>
              <w:rPr>
                <w:b/>
                <w:sz w:val="14"/>
              </w:rPr>
              <w:t>Amount</w:t>
            </w:r>
          </w:p>
        </w:tc>
        <w:tc>
          <w:tcPr>
            <w:tcW w:type="dxa" w:w="3485"/>
            <w:vAlign w:val="center"/>
          </w:tcPr>
          <w:p>
            <w:r>
              <w:rPr>
                <w:b/>
                <w:sz w:val="14"/>
              </w:rPr>
              <w:t>Status / role</w:t>
            </w:r>
          </w:p>
        </w:tc>
      </w:tr>
      <w:tr>
        <w:tc>
          <w:tcPr>
            <w:tcW w:type="dxa" w:w="3485"/>
            <w:vAlign w:val="top"/>
          </w:tcPr>
          <w:p>
            <w:r>
              <w:rPr>
                <w:sz w:val="14"/>
              </w:rPr>
              <w:t>AUR-SCF-001 Senior Supplemental Completion Facility</w:t>
            </w:r>
          </w:p>
        </w:tc>
        <w:tc>
          <w:tcPr>
            <w:tcW w:type="dxa" w:w="3485"/>
            <w:vAlign w:val="top"/>
          </w:tcPr>
          <w:p>
            <w:r>
              <w:rPr>
                <w:sz w:val="14"/>
              </w:rPr>
              <w:t>C$1.40B</w:t>
            </w:r>
          </w:p>
        </w:tc>
        <w:tc>
          <w:tcPr>
            <w:tcW w:type="dxa" w:w="3485"/>
            <w:vAlign w:val="top"/>
          </w:tcPr>
          <w:p>
            <w:r>
              <w:rPr>
                <w:sz w:val="14"/>
              </w:rPr>
              <w:t>Committed subject to closing/conditions precedent; bank liquidity.</w:t>
            </w:r>
          </w:p>
        </w:tc>
      </w:tr>
      <w:tr>
        <w:tc>
          <w:tcPr>
            <w:tcW w:type="dxa" w:w="3485"/>
            <w:vAlign w:val="top"/>
          </w:tcPr>
          <w:p>
            <w:r>
              <w:rPr>
                <w:sz w:val="14"/>
              </w:rPr>
              <w:t>AUR-PP-001 Institutional Private Placement</w:t>
            </w:r>
          </w:p>
        </w:tc>
        <w:tc>
          <w:tcPr>
            <w:tcW w:type="dxa" w:w="3485"/>
            <w:vAlign w:val="top"/>
          </w:tcPr>
          <w:p>
            <w:r>
              <w:rPr>
                <w:sz w:val="14"/>
              </w:rPr>
              <w:t>C$0.75B</w:t>
            </w:r>
          </w:p>
        </w:tc>
        <w:tc>
          <w:tcPr>
            <w:tcW w:type="dxa" w:w="3485"/>
            <w:vAlign w:val="top"/>
          </w:tcPr>
          <w:p>
            <w:r>
              <w:rPr>
                <w:sz w:val="14"/>
              </w:rPr>
              <w:t>Committed/staged placement; final allocations/syndication still active.</w:t>
            </w:r>
          </w:p>
        </w:tc>
      </w:tr>
      <w:tr>
        <w:tc>
          <w:tcPr>
            <w:tcW w:type="dxa" w:w="3485"/>
            <w:vAlign w:val="top"/>
          </w:tcPr>
          <w:p>
            <w:r>
              <w:rPr>
                <w:sz w:val="14"/>
              </w:rPr>
              <w:t>AUR-EQ-001 OPG completion equity</w:t>
            </w:r>
          </w:p>
        </w:tc>
        <w:tc>
          <w:tcPr>
            <w:tcW w:type="dxa" w:w="3485"/>
            <w:vAlign w:val="top"/>
          </w:tcPr>
          <w:p>
            <w:r>
              <w:rPr>
                <w:sz w:val="14"/>
              </w:rPr>
              <w:t>C$0.60B</w:t>
            </w:r>
          </w:p>
        </w:tc>
        <w:tc>
          <w:tcPr>
            <w:tcW w:type="dxa" w:w="3485"/>
            <w:vAlign w:val="top"/>
          </w:tcPr>
          <w:p>
            <w:r>
              <w:rPr>
                <w:sz w:val="14"/>
              </w:rPr>
              <w:t>Binding conditional sponsor commitment.</w:t>
            </w:r>
          </w:p>
        </w:tc>
      </w:tr>
      <w:tr>
        <w:tc>
          <w:tcPr>
            <w:tcW w:type="dxa" w:w="3485"/>
            <w:vAlign w:val="top"/>
          </w:tcPr>
          <w:p>
            <w:r>
              <w:rPr>
                <w:sz w:val="14"/>
              </w:rPr>
              <w:t>Accordion</w:t>
            </w:r>
          </w:p>
        </w:tc>
        <w:tc>
          <w:tcPr>
            <w:tcW w:type="dxa" w:w="3485"/>
            <w:vAlign w:val="top"/>
          </w:tcPr>
          <w:p>
            <w:r>
              <w:rPr>
                <w:sz w:val="14"/>
              </w:rPr>
              <w:t>C$0.50B</w:t>
            </w:r>
          </w:p>
        </w:tc>
        <w:tc>
          <w:tcPr>
            <w:tcW w:type="dxa" w:w="3485"/>
            <w:vAlign w:val="top"/>
          </w:tcPr>
          <w:p>
            <w:r>
              <w:rPr>
                <w:sz w:val="14"/>
              </w:rPr>
              <w:t>Uncommitted option; no committed counterparty on 19 Apr 2031.</w:t>
            </w:r>
          </w:p>
        </w:tc>
      </w:tr>
    </w:tbl>
    <w:p>
      <w:pPr>
        <w:pStyle w:val="Heading1"/>
      </w:pPr>
      <w:r>
        <w:t>Contract genealogy</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vAlign w:val="center"/>
          </w:tcPr>
          <w:p>
            <w:r>
              <w:rPr>
                <w:b/>
                <w:sz w:val="12"/>
              </w:rPr>
              <w:t>Date</w:t>
            </w:r>
          </w:p>
        </w:tc>
        <w:tc>
          <w:tcPr>
            <w:tcW w:type="dxa" w:w="2613"/>
            <w:vAlign w:val="center"/>
          </w:tcPr>
          <w:p>
            <w:r>
              <w:rPr>
                <w:b/>
                <w:sz w:val="12"/>
              </w:rPr>
              <w:t>ID</w:t>
            </w:r>
          </w:p>
        </w:tc>
        <w:tc>
          <w:tcPr>
            <w:tcW w:type="dxa" w:w="2613"/>
            <w:vAlign w:val="center"/>
          </w:tcPr>
          <w:p>
            <w:r>
              <w:rPr>
                <w:b/>
                <w:sz w:val="12"/>
              </w:rPr>
              <w:t>Instrument / action</w:t>
            </w:r>
          </w:p>
        </w:tc>
        <w:tc>
          <w:tcPr>
            <w:tcW w:type="dxa" w:w="2613"/>
            <w:vAlign w:val="center"/>
          </w:tcPr>
          <w:p>
            <w:r>
              <w:rPr>
                <w:b/>
                <w:sz w:val="12"/>
              </w:rPr>
              <w:t>Effect</w:t>
            </w:r>
          </w:p>
        </w:tc>
      </w:tr>
      <w:tr>
        <w:tc>
          <w:tcPr>
            <w:tcW w:type="dxa" w:w="2613"/>
            <w:vAlign w:val="top"/>
          </w:tcPr>
          <w:p>
            <w:r>
              <w:rPr>
                <w:sz w:val="12"/>
              </w:rPr>
              <w:t>May 2023</w:t>
            </w:r>
          </w:p>
        </w:tc>
        <w:tc>
          <w:tcPr>
            <w:tcW w:type="dxa" w:w="2613"/>
            <w:vAlign w:val="top"/>
          </w:tcPr>
          <w:p>
            <w:r>
              <w:rPr>
                <w:sz w:val="12"/>
              </w:rPr>
              <w:t>OFG-AGR-TECH-001</w:t>
            </w:r>
          </w:p>
        </w:tc>
        <w:tc>
          <w:tcPr>
            <w:tcW w:type="dxa" w:w="2613"/>
            <w:vAlign w:val="top"/>
          </w:tcPr>
          <w:p>
            <w:r>
              <w:rPr>
                <w:sz w:val="12"/>
              </w:rPr>
              <w:t>OPG-HMS Confidentiality &amp; Controlled Data Access</w:t>
            </w:r>
          </w:p>
        </w:tc>
        <w:tc>
          <w:tcPr>
            <w:tcW w:type="dxa" w:w="2613"/>
            <w:vAlign w:val="top"/>
          </w:tcPr>
          <w:p>
            <w:r>
              <w:rPr>
                <w:sz w:val="12"/>
              </w:rPr>
              <w:t>Due-diligence access; no construction licence to use HMS IP.</w:t>
            </w:r>
          </w:p>
        </w:tc>
      </w:tr>
      <w:tr>
        <w:tc>
          <w:tcPr>
            <w:tcW w:type="dxa" w:w="2613"/>
            <w:vAlign w:val="top"/>
          </w:tcPr>
          <w:p>
            <w:r>
              <w:rPr>
                <w:sz w:val="12"/>
              </w:rPr>
              <w:t>Jul 2023</w:t>
            </w:r>
          </w:p>
        </w:tc>
        <w:tc>
          <w:tcPr>
            <w:tcW w:type="dxa" w:w="2613"/>
            <w:vAlign w:val="top"/>
          </w:tcPr>
          <w:p>
            <w:r>
              <w:rPr>
                <w:sz w:val="12"/>
              </w:rPr>
              <w:t>OFG-AGR-TECH-002</w:t>
            </w:r>
          </w:p>
        </w:tc>
        <w:tc>
          <w:tcPr>
            <w:tcW w:type="dxa" w:w="2613"/>
            <w:vAlign w:val="top"/>
          </w:tcPr>
          <w:p>
            <w:r>
              <w:rPr>
                <w:sz w:val="12"/>
              </w:rPr>
              <w:t>HFRP Technical Evaluation &amp; Deployment Option</w:t>
            </w:r>
          </w:p>
        </w:tc>
        <w:tc>
          <w:tcPr>
            <w:tcW w:type="dxa" w:w="2613"/>
            <w:vAlign w:val="top"/>
          </w:tcPr>
          <w:p>
            <w:r>
              <w:rPr>
                <w:sz w:val="12"/>
              </w:rPr>
              <w:t>Limited feasibility/licensing-use rights; Ontario negotiation option.</w:t>
            </w:r>
          </w:p>
        </w:tc>
      </w:tr>
      <w:tr>
        <w:tc>
          <w:tcPr>
            <w:tcW w:type="dxa" w:w="2613"/>
            <w:vAlign w:val="top"/>
          </w:tcPr>
          <w:p>
            <w:r>
              <w:rPr>
                <w:sz w:val="12"/>
              </w:rPr>
              <w:t>Aug 2023</w:t>
            </w:r>
          </w:p>
        </w:tc>
        <w:tc>
          <w:tcPr>
            <w:tcW w:type="dxa" w:w="2613"/>
            <w:vAlign w:val="top"/>
          </w:tcPr>
          <w:p>
            <w:r>
              <w:rPr>
                <w:sz w:val="12"/>
              </w:rPr>
              <w:t>OFG-AGR-DEV-001</w:t>
            </w:r>
          </w:p>
        </w:tc>
        <w:tc>
          <w:tcPr>
            <w:tcW w:type="dxa" w:w="2613"/>
            <w:vAlign w:val="top"/>
          </w:tcPr>
          <w:p>
            <w:r>
              <w:rPr>
                <w:sz w:val="12"/>
              </w:rPr>
              <w:t>OPG-E&amp;C Preliminary Development Services</w:t>
            </w:r>
          </w:p>
        </w:tc>
        <w:tc>
          <w:tcPr>
            <w:tcW w:type="dxa" w:w="2613"/>
            <w:vAlign w:val="top"/>
          </w:tcPr>
          <w:p>
            <w:r>
              <w:rPr>
                <w:sz w:val="12"/>
              </w:rPr>
              <w:t>Canadian integration/plot/code-gap/cost/schedule; no EPC commitment.</w:t>
            </w:r>
          </w:p>
        </w:tc>
      </w:tr>
      <w:tr>
        <w:tc>
          <w:tcPr>
            <w:tcW w:type="dxa" w:w="2613"/>
            <w:vAlign w:val="top"/>
          </w:tcPr>
          <w:p>
            <w:r>
              <w:rPr>
                <w:sz w:val="12"/>
              </w:rPr>
              <w:t>Sep 2023</w:t>
            </w:r>
          </w:p>
        </w:tc>
        <w:tc>
          <w:tcPr>
            <w:tcW w:type="dxa" w:w="2613"/>
            <w:vAlign w:val="top"/>
          </w:tcPr>
          <w:p>
            <w:r>
              <w:rPr>
                <w:sz w:val="12"/>
              </w:rPr>
              <w:t>OFG-AGR-HMS-001</w:t>
            </w:r>
          </w:p>
        </w:tc>
        <w:tc>
          <w:tcPr>
            <w:tcW w:type="dxa" w:w="2613"/>
            <w:vAlign w:val="top"/>
          </w:tcPr>
          <w:p>
            <w:r>
              <w:rPr>
                <w:sz w:val="12"/>
              </w:rPr>
              <w:t>HMS-E&amp;C Technical Information Interface</w:t>
            </w:r>
          </w:p>
        </w:tc>
        <w:tc>
          <w:tcPr>
            <w:tcW w:type="dxa" w:w="2613"/>
            <w:vAlign w:val="top"/>
          </w:tcPr>
          <w:p>
            <w:r>
              <w:rPr>
                <w:sz w:val="12"/>
              </w:rPr>
              <w:t>Controlled project access and reference-design query process.</w:t>
            </w:r>
          </w:p>
        </w:tc>
      </w:tr>
      <w:tr>
        <w:tc>
          <w:tcPr>
            <w:tcW w:type="dxa" w:w="2613"/>
            <w:vAlign w:val="top"/>
          </w:tcPr>
          <w:p>
            <w:r>
              <w:rPr>
                <w:sz w:val="12"/>
              </w:rPr>
              <w:t>Oct 2023</w:t>
            </w:r>
          </w:p>
        </w:tc>
        <w:tc>
          <w:tcPr>
            <w:tcW w:type="dxa" w:w="2613"/>
            <w:vAlign w:val="top"/>
          </w:tcPr>
          <w:p>
            <w:r>
              <w:rPr>
                <w:sz w:val="12"/>
              </w:rPr>
              <w:t>OFG-SVC-NUC-001</w:t>
            </w:r>
          </w:p>
        </w:tc>
        <w:tc>
          <w:tcPr>
            <w:tcW w:type="dxa" w:w="2613"/>
            <w:vAlign w:val="top"/>
          </w:tcPr>
          <w:p>
            <w:r>
              <w:rPr>
                <w:sz w:val="12"/>
              </w:rPr>
              <w:t>E&amp;C-AtkinsRéalis Nuclear Advisory</w:t>
            </w:r>
          </w:p>
        </w:tc>
        <w:tc>
          <w:tcPr>
            <w:tcW w:type="dxa" w:w="2613"/>
            <w:vAlign w:val="top"/>
          </w:tcPr>
          <w:p>
            <w:r>
              <w:rPr>
                <w:sz w:val="12"/>
              </w:rPr>
              <w:t>Canadian code/licensing/safety methodology support.</w:t>
            </w:r>
          </w:p>
        </w:tc>
      </w:tr>
      <w:tr>
        <w:tc>
          <w:tcPr>
            <w:tcW w:type="dxa" w:w="2613"/>
            <w:vAlign w:val="top"/>
          </w:tcPr>
          <w:p>
            <w:r>
              <w:rPr>
                <w:sz w:val="12"/>
              </w:rPr>
              <w:t>Dec 2023</w:t>
            </w:r>
          </w:p>
        </w:tc>
        <w:tc>
          <w:tcPr>
            <w:tcW w:type="dxa" w:w="2613"/>
            <w:vAlign w:val="top"/>
          </w:tcPr>
          <w:p>
            <w:r>
              <w:rPr>
                <w:sz w:val="12"/>
              </w:rPr>
              <w:t>OFG-AGR-TECH-003</w:t>
            </w:r>
          </w:p>
        </w:tc>
        <w:tc>
          <w:tcPr>
            <w:tcW w:type="dxa" w:w="2613"/>
            <w:vAlign w:val="top"/>
          </w:tcPr>
          <w:p>
            <w:r>
              <w:rPr>
                <w:sz w:val="12"/>
              </w:rPr>
              <w:t>Preferred Technology / Exclusivity Framework</w:t>
            </w:r>
          </w:p>
        </w:tc>
        <w:tc>
          <w:tcPr>
            <w:tcW w:type="dxa" w:w="2613"/>
            <w:vAlign w:val="top"/>
          </w:tcPr>
          <w:p>
            <w:r>
              <w:rPr>
                <w:sz w:val="12"/>
              </w:rPr>
              <w:t>HFRP preferred platform through FID window.</w:t>
            </w:r>
          </w:p>
        </w:tc>
      </w:tr>
      <w:tr>
        <w:tc>
          <w:tcPr>
            <w:tcW w:type="dxa" w:w="2613"/>
            <w:vAlign w:val="top"/>
          </w:tcPr>
          <w:p>
            <w:r>
              <w:rPr>
                <w:sz w:val="12"/>
              </w:rPr>
              <w:t>Apr 2024</w:t>
            </w:r>
          </w:p>
        </w:tc>
        <w:tc>
          <w:tcPr>
            <w:tcW w:type="dxa" w:w="2613"/>
            <w:vAlign w:val="top"/>
          </w:tcPr>
          <w:p>
            <w:r>
              <w:rPr>
                <w:sz w:val="12"/>
              </w:rPr>
              <w:t>OFG-DPA-001</w:t>
            </w:r>
          </w:p>
        </w:tc>
        <w:tc>
          <w:tcPr>
            <w:tcW w:type="dxa" w:w="2613"/>
            <w:vAlign w:val="top"/>
          </w:tcPr>
          <w:p>
            <w:r>
              <w:rPr>
                <w:sz w:val="12"/>
              </w:rPr>
              <w:t>OPG-E&amp;C Development Phase Agreement</w:t>
            </w:r>
          </w:p>
        </w:tc>
        <w:tc>
          <w:tcPr>
            <w:tcW w:type="dxa" w:w="2613"/>
            <w:vAlign w:val="top"/>
          </w:tcPr>
          <w:p>
            <w:r>
              <w:rPr>
                <w:sz w:val="12"/>
              </w:rPr>
              <w:t>Open-book FEED, target-cost formation, AWP/systemization strategy.</w:t>
            </w:r>
          </w:p>
        </w:tc>
      </w:tr>
      <w:tr>
        <w:tc>
          <w:tcPr>
            <w:tcW w:type="dxa" w:w="2613"/>
            <w:vAlign w:val="top"/>
          </w:tcPr>
          <w:p>
            <w:r>
              <w:rPr>
                <w:sz w:val="12"/>
              </w:rPr>
              <w:t>Apr 2024</w:t>
            </w:r>
          </w:p>
        </w:tc>
        <w:tc>
          <w:tcPr>
            <w:tcW w:type="dxa" w:w="2613"/>
            <w:vAlign w:val="top"/>
          </w:tcPr>
          <w:p>
            <w:r>
              <w:rPr>
                <w:sz w:val="12"/>
              </w:rPr>
              <w:t>OFG-AGR-TECH-004</w:t>
            </w:r>
          </w:p>
        </w:tc>
        <w:tc>
          <w:tcPr>
            <w:tcW w:type="dxa" w:w="2613"/>
            <w:vAlign w:val="top"/>
          </w:tcPr>
          <w:p>
            <w:r>
              <w:rPr>
                <w:sz w:val="12"/>
              </w:rPr>
              <w:t>HMS Project Development Licence</w:t>
            </w:r>
          </w:p>
        </w:tc>
        <w:tc>
          <w:tcPr>
            <w:tcW w:type="dxa" w:w="2613"/>
            <w:vAlign w:val="top"/>
          </w:tcPr>
          <w:p>
            <w:r>
              <w:rPr>
                <w:sz w:val="12"/>
              </w:rPr>
              <w:t>Canadian adaptation/licensing/limited early procurement.</w:t>
            </w:r>
          </w:p>
        </w:tc>
      </w:tr>
      <w:tr>
        <w:tc>
          <w:tcPr>
            <w:tcW w:type="dxa" w:w="2613"/>
            <w:vAlign w:val="top"/>
          </w:tcPr>
          <w:p>
            <w:r>
              <w:rPr>
                <w:sz w:val="12"/>
              </w:rPr>
              <w:t>May 2024</w:t>
            </w:r>
          </w:p>
        </w:tc>
        <w:tc>
          <w:tcPr>
            <w:tcW w:type="dxa" w:w="2613"/>
            <w:vAlign w:val="top"/>
          </w:tcPr>
          <w:p>
            <w:r>
              <w:rPr>
                <w:sz w:val="12"/>
              </w:rPr>
              <w:t>OFG-AGR-TIP-001</w:t>
            </w:r>
          </w:p>
        </w:tc>
        <w:tc>
          <w:tcPr>
            <w:tcW w:type="dxa" w:w="2613"/>
            <w:vAlign w:val="top"/>
          </w:tcPr>
          <w:p>
            <w:r>
              <w:rPr>
                <w:sz w:val="12"/>
              </w:rPr>
              <w:t>OPG-E&amp;C-HMS Technical Governance Protocol</w:t>
            </w:r>
          </w:p>
        </w:tc>
        <w:tc>
          <w:tcPr>
            <w:tcW w:type="dxa" w:w="2613"/>
            <w:vAlign w:val="top"/>
          </w:tcPr>
          <w:p>
            <w:r>
              <w:rPr>
                <w:sz w:val="12"/>
              </w:rPr>
              <w:t>Defines owner, integrated-design and technology-authority boundaries.</w:t>
            </w:r>
          </w:p>
        </w:tc>
      </w:tr>
      <w:tr>
        <w:tc>
          <w:tcPr>
            <w:tcW w:type="dxa" w:w="2613"/>
            <w:vAlign w:val="top"/>
          </w:tcPr>
          <w:p>
            <w:r>
              <w:rPr>
                <w:sz w:val="12"/>
              </w:rPr>
              <w:t>Sep 2024</w:t>
            </w:r>
          </w:p>
        </w:tc>
        <w:tc>
          <w:tcPr>
            <w:tcW w:type="dxa" w:w="2613"/>
            <w:vAlign w:val="top"/>
          </w:tcPr>
          <w:p>
            <w:r>
              <w:rPr>
                <w:sz w:val="12"/>
              </w:rPr>
              <w:t>OFG-CON-PCS-001</w:t>
            </w:r>
          </w:p>
        </w:tc>
        <w:tc>
          <w:tcPr>
            <w:tcW w:type="dxa" w:w="2613"/>
            <w:vAlign w:val="top"/>
          </w:tcPr>
          <w:p>
            <w:r>
              <w:rPr>
                <w:sz w:val="12"/>
              </w:rPr>
              <w:t>E&amp;C-Bechtel Preconstruction Services</w:t>
            </w:r>
          </w:p>
        </w:tc>
        <w:tc>
          <w:tcPr>
            <w:tcW w:type="dxa" w:w="2613"/>
            <w:vAlign w:val="top"/>
          </w:tcPr>
          <w:p>
            <w:r>
              <w:rPr>
                <w:sz w:val="12"/>
              </w:rPr>
              <w:t>Constructability/logistics/modularization/estimate/schedule validation.</w:t>
            </w:r>
          </w:p>
        </w:tc>
      </w:tr>
      <w:tr>
        <w:tc>
          <w:tcPr>
            <w:tcW w:type="dxa" w:w="2613"/>
            <w:vAlign w:val="top"/>
          </w:tcPr>
          <w:p>
            <w:r>
              <w:rPr>
                <w:sz w:val="12"/>
              </w:rPr>
              <w:t>Late 2024-25</w:t>
            </w:r>
          </w:p>
        </w:tc>
        <w:tc>
          <w:tcPr>
            <w:tcW w:type="dxa" w:w="2613"/>
            <w:vAlign w:val="top"/>
          </w:tcPr>
          <w:p>
            <w:r>
              <w:rPr>
                <w:sz w:val="12"/>
              </w:rPr>
              <w:t>Various</w:t>
            </w:r>
          </w:p>
        </w:tc>
        <w:tc>
          <w:tcPr>
            <w:tcW w:type="dxa" w:w="2613"/>
            <w:vAlign w:val="top"/>
          </w:tcPr>
          <w:p>
            <w:r>
              <w:rPr>
                <w:sz w:val="12"/>
              </w:rPr>
              <w:t>Long-lead reservation agreements</w:t>
            </w:r>
          </w:p>
        </w:tc>
        <w:tc>
          <w:tcPr>
            <w:tcW w:type="dxa" w:w="2613"/>
            <w:vAlign w:val="top"/>
          </w:tcPr>
          <w:p>
            <w:r>
              <w:rPr>
                <w:sz w:val="12"/>
              </w:rPr>
              <w:t>Protect manufacturing slots before FID with staged/cancellable commitments.</w:t>
            </w:r>
          </w:p>
        </w:tc>
      </w:tr>
      <w:tr>
        <w:tc>
          <w:tcPr>
            <w:tcW w:type="dxa" w:w="2613"/>
            <w:vAlign w:val="top"/>
          </w:tcPr>
          <w:p>
            <w:r>
              <w:rPr>
                <w:sz w:val="12"/>
              </w:rPr>
              <w:t>May 2025</w:t>
            </w:r>
          </w:p>
        </w:tc>
        <w:tc>
          <w:tcPr>
            <w:tcW w:type="dxa" w:w="2613"/>
            <w:vAlign w:val="top"/>
          </w:tcPr>
          <w:p>
            <w:r>
              <w:rPr>
                <w:sz w:val="12"/>
              </w:rPr>
              <w:t>OFG-DPA-AMD-02</w:t>
            </w:r>
          </w:p>
        </w:tc>
        <w:tc>
          <w:tcPr>
            <w:tcW w:type="dxa" w:w="2613"/>
            <w:vAlign w:val="top"/>
          </w:tcPr>
          <w:p>
            <w:r>
              <w:rPr>
                <w:sz w:val="12"/>
              </w:rPr>
              <w:t>Early Works Amendment</w:t>
            </w:r>
          </w:p>
        </w:tc>
        <w:tc>
          <w:tcPr>
            <w:tcW w:type="dxa" w:w="2613"/>
            <w:vAlign w:val="top"/>
          </w:tcPr>
          <w:p>
            <w:r>
              <w:rPr>
                <w:sz w:val="12"/>
              </w:rPr>
              <w:t>Capped pre-FID enabling works.</w:t>
            </w:r>
          </w:p>
        </w:tc>
      </w:tr>
      <w:tr>
        <w:tc>
          <w:tcPr>
            <w:tcW w:type="dxa" w:w="2613"/>
            <w:vAlign w:val="top"/>
          </w:tcPr>
          <w:p>
            <w:r>
              <w:rPr>
                <w:sz w:val="12"/>
              </w:rPr>
              <w:t>May 2025</w:t>
            </w:r>
          </w:p>
        </w:tc>
        <w:tc>
          <w:tcPr>
            <w:tcW w:type="dxa" w:w="2613"/>
            <w:vAlign w:val="top"/>
          </w:tcPr>
          <w:p>
            <w:r>
              <w:rPr>
                <w:sz w:val="12"/>
              </w:rPr>
              <w:t>OFG-CON-DIR-001</w:t>
            </w:r>
          </w:p>
        </w:tc>
        <w:tc>
          <w:tcPr>
            <w:tcW w:type="dxa" w:w="2613"/>
            <w:vAlign w:val="top"/>
          </w:tcPr>
          <w:p>
            <w:r>
              <w:rPr>
                <w:sz w:val="12"/>
              </w:rPr>
              <w:t>Early Site Constructor Appointment</w:t>
            </w:r>
          </w:p>
        </w:tc>
        <w:tc>
          <w:tcPr>
            <w:tcW w:type="dxa" w:w="2613"/>
            <w:vAlign w:val="top"/>
          </w:tcPr>
          <w:p>
            <w:r>
              <w:rPr>
                <w:sz w:val="12"/>
              </w:rPr>
              <w:t>Bechtel explicitly appointed constructor for early works.</w:t>
            </w:r>
          </w:p>
        </w:tc>
      </w:tr>
      <w:tr>
        <w:tc>
          <w:tcPr>
            <w:tcW w:type="dxa" w:w="2613"/>
            <w:vAlign w:val="top"/>
          </w:tcPr>
          <w:p>
            <w:r>
              <w:rPr>
                <w:sz w:val="12"/>
              </w:rPr>
              <w:t>Sep 2025</w:t>
            </w:r>
          </w:p>
        </w:tc>
        <w:tc>
          <w:tcPr>
            <w:tcW w:type="dxa" w:w="2613"/>
            <w:vAlign w:val="top"/>
          </w:tcPr>
          <w:p>
            <w:r>
              <w:rPr>
                <w:sz w:val="12"/>
              </w:rPr>
              <w:t>OFG-EPC-001</w:t>
            </w:r>
          </w:p>
        </w:tc>
        <w:tc>
          <w:tcPr>
            <w:tcW w:type="dxa" w:w="2613"/>
            <w:vAlign w:val="top"/>
          </w:tcPr>
          <w:p>
            <w:r>
              <w:rPr>
                <w:sz w:val="12"/>
              </w:rPr>
              <w:t>OPG-E&amp;C Execution Agreement</w:t>
            </w:r>
          </w:p>
        </w:tc>
        <w:tc>
          <w:tcPr>
            <w:tcW w:type="dxa" w:w="2613"/>
            <w:vAlign w:val="top"/>
          </w:tcPr>
          <w:p>
            <w:r>
              <w:rPr>
                <w:sz w:val="12"/>
              </w:rPr>
              <w:t>Progressive target-cost EPC execution becomes effective.</w:t>
            </w:r>
          </w:p>
        </w:tc>
      </w:tr>
      <w:tr>
        <w:tc>
          <w:tcPr>
            <w:tcW w:type="dxa" w:w="2613"/>
            <w:vAlign w:val="top"/>
          </w:tcPr>
          <w:p>
            <w:r>
              <w:rPr>
                <w:sz w:val="12"/>
              </w:rPr>
              <w:t>Sep 2025</w:t>
            </w:r>
          </w:p>
        </w:tc>
        <w:tc>
          <w:tcPr>
            <w:tcW w:type="dxa" w:w="2613"/>
            <w:vAlign w:val="top"/>
          </w:tcPr>
          <w:p>
            <w:r>
              <w:rPr>
                <w:sz w:val="12"/>
              </w:rPr>
              <w:t>—</w:t>
            </w:r>
          </w:p>
        </w:tc>
        <w:tc>
          <w:tcPr>
            <w:tcW w:type="dxa" w:w="2613"/>
            <w:vAlign w:val="top"/>
          </w:tcPr>
          <w:p>
            <w:r>
              <w:rPr>
                <w:sz w:val="12"/>
              </w:rPr>
              <w:t>E&amp;C Holdings Parent Guarantee</w:t>
            </w:r>
          </w:p>
        </w:tc>
        <w:tc>
          <w:tcPr>
            <w:tcW w:type="dxa" w:w="2613"/>
            <w:vAlign w:val="top"/>
          </w:tcPr>
          <w:p>
            <w:r>
              <w:rPr>
                <w:sz w:val="12"/>
              </w:rPr>
              <w:t>Parent support for defined E&amp;C Canada obligations.</w:t>
            </w:r>
          </w:p>
        </w:tc>
      </w:tr>
      <w:tr>
        <w:tc>
          <w:tcPr>
            <w:tcW w:type="dxa" w:w="2613"/>
            <w:vAlign w:val="top"/>
          </w:tcPr>
          <w:p>
            <w:r>
              <w:rPr>
                <w:sz w:val="12"/>
              </w:rPr>
              <w:t>Sep 2025</w:t>
            </w:r>
          </w:p>
        </w:tc>
        <w:tc>
          <w:tcPr>
            <w:tcW w:type="dxa" w:w="2613"/>
            <w:vAlign w:val="top"/>
          </w:tcPr>
          <w:p>
            <w:r>
              <w:rPr>
                <w:sz w:val="12"/>
              </w:rPr>
              <w:t>OFG-TLA-001</w:t>
            </w:r>
          </w:p>
        </w:tc>
        <w:tc>
          <w:tcPr>
            <w:tcW w:type="dxa" w:w="2613"/>
            <w:vAlign w:val="top"/>
          </w:tcPr>
          <w:p>
            <w:r>
              <w:rPr>
                <w:sz w:val="12"/>
              </w:rPr>
              <w:t>Definitive HFRP Technology Licence</w:t>
            </w:r>
          </w:p>
        </w:tc>
        <w:tc>
          <w:tcPr>
            <w:tcW w:type="dxa" w:w="2613"/>
            <w:vAlign w:val="top"/>
          </w:tcPr>
          <w:p>
            <w:r>
              <w:rPr>
                <w:sz w:val="12"/>
              </w:rPr>
              <w:t>One-unit deployment/lifecycle-use rights; protected HMS IP.</w:t>
            </w:r>
          </w:p>
        </w:tc>
      </w:tr>
      <w:tr>
        <w:tc>
          <w:tcPr>
            <w:tcW w:type="dxa" w:w="2613"/>
            <w:vAlign w:val="top"/>
          </w:tcPr>
          <w:p>
            <w:r>
              <w:rPr>
                <w:sz w:val="12"/>
              </w:rPr>
              <w:t>Sep 2025</w:t>
            </w:r>
          </w:p>
        </w:tc>
        <w:tc>
          <w:tcPr>
            <w:tcW w:type="dxa" w:w="2613"/>
            <w:vAlign w:val="top"/>
          </w:tcPr>
          <w:p>
            <w:r>
              <w:rPr>
                <w:sz w:val="12"/>
              </w:rPr>
              <w:t>OFG-TASA-001</w:t>
            </w:r>
          </w:p>
        </w:tc>
        <w:tc>
          <w:tcPr>
            <w:tcW w:type="dxa" w:w="2613"/>
            <w:vAlign w:val="top"/>
          </w:tcPr>
          <w:p>
            <w:r>
              <w:rPr>
                <w:sz w:val="12"/>
              </w:rPr>
              <w:t>HMS Technical Assurance &amp; Lifecycle Support</w:t>
            </w:r>
          </w:p>
        </w:tc>
        <w:tc>
          <w:tcPr>
            <w:tcW w:type="dxa" w:w="2613"/>
            <w:vAlign w:val="top"/>
          </w:tcPr>
          <w:p>
            <w:r>
              <w:rPr>
                <w:sz w:val="12"/>
              </w:rPr>
              <w:t>Long-term technical-authority support.</w:t>
            </w:r>
          </w:p>
        </w:tc>
      </w:tr>
      <w:tr>
        <w:tc>
          <w:tcPr>
            <w:tcW w:type="dxa" w:w="2613"/>
            <w:vAlign w:val="top"/>
          </w:tcPr>
          <w:p>
            <w:r>
              <w:rPr>
                <w:sz w:val="12"/>
              </w:rPr>
              <w:t>Sep 2025</w:t>
            </w:r>
          </w:p>
        </w:tc>
        <w:tc>
          <w:tcPr>
            <w:tcW w:type="dxa" w:w="2613"/>
            <w:vAlign w:val="top"/>
          </w:tcPr>
          <w:p>
            <w:r>
              <w:rPr>
                <w:sz w:val="12"/>
              </w:rPr>
              <w:t>OFG-HMS-TESA-001</w:t>
            </w:r>
          </w:p>
        </w:tc>
        <w:tc>
          <w:tcPr>
            <w:tcW w:type="dxa" w:w="2613"/>
            <w:vAlign w:val="top"/>
          </w:tcPr>
          <w:p>
            <w:r>
              <w:rPr>
                <w:sz w:val="12"/>
              </w:rPr>
              <w:t>E&amp;C-HMS Technology Engineering Services</w:t>
            </w:r>
          </w:p>
        </w:tc>
        <w:tc>
          <w:tcPr>
            <w:tcW w:type="dxa" w:w="2613"/>
            <w:vAlign w:val="top"/>
          </w:tcPr>
          <w:p>
            <w:r>
              <w:rPr>
                <w:sz w:val="12"/>
              </w:rPr>
              <w:t>HMS project engineering services inside EPC execution.</w:t>
            </w:r>
          </w:p>
        </w:tc>
      </w:tr>
      <w:tr>
        <w:tc>
          <w:tcPr>
            <w:tcW w:type="dxa" w:w="2613"/>
            <w:vAlign w:val="top"/>
          </w:tcPr>
          <w:p>
            <w:r>
              <w:rPr>
                <w:sz w:val="12"/>
              </w:rPr>
              <w:t>Sep 2025</w:t>
            </w:r>
          </w:p>
        </w:tc>
        <w:tc>
          <w:tcPr>
            <w:tcW w:type="dxa" w:w="2613"/>
            <w:vAlign w:val="top"/>
          </w:tcPr>
          <w:p>
            <w:r>
              <w:rPr>
                <w:sz w:val="12"/>
              </w:rPr>
              <w:t>OFG-CON-BECH-001</w:t>
            </w:r>
          </w:p>
        </w:tc>
        <w:tc>
          <w:tcPr>
            <w:tcW w:type="dxa" w:w="2613"/>
            <w:vAlign w:val="top"/>
          </w:tcPr>
          <w:p>
            <w:r>
              <w:rPr>
                <w:sz w:val="12"/>
              </w:rPr>
              <w:t>E&amp;C-Bechtel Principal Construction Services</w:t>
            </w:r>
          </w:p>
        </w:tc>
        <w:tc>
          <w:tcPr>
            <w:tcW w:type="dxa" w:w="2613"/>
            <w:vAlign w:val="top"/>
          </w:tcPr>
          <w:p>
            <w:r>
              <w:rPr>
                <w:sz w:val="12"/>
              </w:rPr>
              <w:t>Field construction management and subcontract administration.</w:t>
            </w:r>
          </w:p>
        </w:tc>
      </w:tr>
      <w:tr>
        <w:tc>
          <w:tcPr>
            <w:tcW w:type="dxa" w:w="2613"/>
            <w:vAlign w:val="top"/>
          </w:tcPr>
          <w:p>
            <w:r>
              <w:rPr>
                <w:sz w:val="12"/>
              </w:rPr>
              <w:t>Sep 2025</w:t>
            </w:r>
          </w:p>
        </w:tc>
        <w:tc>
          <w:tcPr>
            <w:tcW w:type="dxa" w:w="2613"/>
            <w:vAlign w:val="top"/>
          </w:tcPr>
          <w:p>
            <w:r>
              <w:rPr>
                <w:sz w:val="12"/>
              </w:rPr>
              <w:t>OFG-CON-DIR-002</w:t>
            </w:r>
          </w:p>
        </w:tc>
        <w:tc>
          <w:tcPr>
            <w:tcW w:type="dxa" w:w="2613"/>
            <w:vAlign w:val="top"/>
          </w:tcPr>
          <w:p>
            <w:r>
              <w:rPr>
                <w:sz w:val="12"/>
              </w:rPr>
              <w:t>OFG Constructor &amp; Site Control Direct Agreement</w:t>
            </w:r>
          </w:p>
        </w:tc>
        <w:tc>
          <w:tcPr>
            <w:tcW w:type="dxa" w:w="2613"/>
            <w:vAlign w:val="top"/>
          </w:tcPr>
          <w:p>
            <w:r>
              <w:rPr>
                <w:sz w:val="12"/>
              </w:rPr>
              <w:t>Clarifies constructor/site authority and owner/E&amp;C interfaces.</w:t>
            </w:r>
          </w:p>
        </w:tc>
      </w:tr>
      <w:tr>
        <w:tc>
          <w:tcPr>
            <w:tcW w:type="dxa" w:w="2613"/>
            <w:vAlign w:val="top"/>
          </w:tcPr>
          <w:p>
            <w:r>
              <w:rPr>
                <w:sz w:val="12"/>
              </w:rPr>
              <w:t>2025-26</w:t>
            </w:r>
          </w:p>
        </w:tc>
        <w:tc>
          <w:tcPr>
            <w:tcW w:type="dxa" w:w="2613"/>
            <w:vAlign w:val="top"/>
          </w:tcPr>
          <w:p>
            <w:r>
              <w:rPr>
                <w:sz w:val="12"/>
              </w:rPr>
              <w:t>Various</w:t>
            </w:r>
          </w:p>
        </w:tc>
        <w:tc>
          <w:tcPr>
            <w:tcW w:type="dxa" w:w="2613"/>
            <w:vAlign w:val="top"/>
          </w:tcPr>
          <w:p>
            <w:r>
              <w:rPr>
                <w:sz w:val="12"/>
              </w:rPr>
              <w:t>Major Bechtel subcontracts</w:t>
            </w:r>
          </w:p>
        </w:tc>
        <w:tc>
          <w:tcPr>
            <w:tcW w:type="dxa" w:w="2613"/>
            <w:vAlign w:val="top"/>
          </w:tcPr>
          <w:p>
            <w:r>
              <w:rPr>
                <w:sz w:val="12"/>
              </w:rPr>
              <w:t>Aecon, Kiewit, E.S. Fox, Bird and specialty packages.</w:t>
            </w:r>
          </w:p>
        </w:tc>
      </w:tr>
      <w:tr>
        <w:tc>
          <w:tcPr>
            <w:tcW w:type="dxa" w:w="2613"/>
            <w:vAlign w:val="top"/>
          </w:tcPr>
          <w:p>
            <w:r>
              <w:rPr>
                <w:sz w:val="12"/>
              </w:rPr>
              <w:t>2025-26</w:t>
            </w:r>
          </w:p>
        </w:tc>
        <w:tc>
          <w:tcPr>
            <w:tcW w:type="dxa" w:w="2613"/>
            <w:vAlign w:val="top"/>
          </w:tcPr>
          <w:p>
            <w:r>
              <w:rPr>
                <w:sz w:val="12"/>
              </w:rPr>
              <w:t>Various</w:t>
            </w:r>
          </w:p>
        </w:tc>
        <w:tc>
          <w:tcPr>
            <w:tcW w:type="dxa" w:w="2613"/>
            <w:vAlign w:val="top"/>
          </w:tcPr>
          <w:p>
            <w:r>
              <w:rPr>
                <w:sz w:val="12"/>
              </w:rPr>
              <w:t>Major E&amp;C OEM contracts</w:t>
            </w:r>
          </w:p>
        </w:tc>
        <w:tc>
          <w:tcPr>
            <w:tcW w:type="dxa" w:w="2613"/>
            <w:vAlign w:val="top"/>
          </w:tcPr>
          <w:p>
            <w:r>
              <w:rPr>
                <w:sz w:val="12"/>
              </w:rPr>
              <w:t>MHI, IHI, JGC, BWXT, Arabelle, GE, Emerson, Westinghouse and others.</w:t>
            </w:r>
          </w:p>
        </w:tc>
      </w:tr>
      <w:tr>
        <w:tc>
          <w:tcPr>
            <w:tcW w:type="dxa" w:w="2613"/>
            <w:vAlign w:val="top"/>
          </w:tcPr>
          <w:p>
            <w:r>
              <w:rPr>
                <w:sz w:val="12"/>
              </w:rPr>
              <w:t>Oct 2025 onward</w:t>
            </w:r>
          </w:p>
        </w:tc>
        <w:tc>
          <w:tcPr>
            <w:tcW w:type="dxa" w:w="2613"/>
            <w:vAlign w:val="top"/>
          </w:tcPr>
          <w:p>
            <w:r>
              <w:rPr>
                <w:sz w:val="12"/>
              </w:rPr>
              <w:t>—</w:t>
            </w:r>
          </w:p>
        </w:tc>
        <w:tc>
          <w:tcPr>
            <w:tcW w:type="dxa" w:w="2613"/>
            <w:vAlign w:val="top"/>
          </w:tcPr>
          <w:p>
            <w:r>
              <w:rPr>
                <w:sz w:val="12"/>
              </w:rPr>
              <w:t>OFG Project LP / LPA / project-management arrangement</w:t>
            </w:r>
          </w:p>
        </w:tc>
        <w:tc>
          <w:tcPr>
            <w:tcW w:type="dxa" w:w="2613"/>
            <w:vAlign w:val="top"/>
          </w:tcPr>
          <w:p>
            <w:r>
              <w:rPr>
                <w:sz w:val="12"/>
              </w:rPr>
              <w:t>Economic vehicle; OPG remains project manager/operator/licensee.</w:t>
            </w:r>
          </w:p>
        </w:tc>
      </w:tr>
      <w:tr>
        <w:tc>
          <w:tcPr>
            <w:tcW w:type="dxa" w:w="2613"/>
            <w:vAlign w:val="top"/>
          </w:tcPr>
          <w:p>
            <w:r>
              <w:rPr>
                <w:sz w:val="12"/>
              </w:rPr>
              <w:t>2025-27</w:t>
            </w:r>
          </w:p>
        </w:tc>
        <w:tc>
          <w:tcPr>
            <w:tcW w:type="dxa" w:w="2613"/>
            <w:vAlign w:val="top"/>
          </w:tcPr>
          <w:p>
            <w:r>
              <w:rPr>
                <w:sz w:val="12"/>
              </w:rPr>
              <w:t>Various</w:t>
            </w:r>
          </w:p>
        </w:tc>
        <w:tc>
          <w:tcPr>
            <w:tcW w:type="dxa" w:w="2613"/>
            <w:vAlign w:val="top"/>
          </w:tcPr>
          <w:p>
            <w:r>
              <w:rPr>
                <w:sz w:val="12"/>
              </w:rPr>
              <w:t>Equity/debt/credit agreements</w:t>
            </w:r>
          </w:p>
        </w:tc>
        <w:tc>
          <w:tcPr>
            <w:tcW w:type="dxa" w:w="2613"/>
            <w:vAlign w:val="top"/>
          </w:tcPr>
          <w:p>
            <w:r>
              <w:rPr>
                <w:sz w:val="12"/>
              </w:rPr>
              <w:t>OPG, CGF, BOF, CIB, bank syndicate, institutional debt, hybrid capital.</w:t>
            </w:r>
          </w:p>
        </w:tc>
      </w:tr>
      <w:tr>
        <w:tc>
          <w:tcPr>
            <w:tcW w:type="dxa" w:w="2613"/>
            <w:vAlign w:val="top"/>
          </w:tcPr>
          <w:p>
            <w:r>
              <w:rPr>
                <w:sz w:val="12"/>
              </w:rPr>
              <w:t>2026</w:t>
            </w:r>
          </w:p>
        </w:tc>
        <w:tc>
          <w:tcPr>
            <w:tcW w:type="dxa" w:w="2613"/>
            <w:vAlign w:val="top"/>
          </w:tcPr>
          <w:p>
            <w:r>
              <w:rPr>
                <w:sz w:val="12"/>
              </w:rPr>
              <w:t>Various</w:t>
            </w:r>
          </w:p>
        </w:tc>
        <w:tc>
          <w:tcPr>
            <w:tcW w:type="dxa" w:w="2613"/>
            <w:vAlign w:val="top"/>
          </w:tcPr>
          <w:p>
            <w:r>
              <w:rPr>
                <w:sz w:val="12"/>
              </w:rPr>
              <w:t>Indigenous equity + financing support</w:t>
            </w:r>
          </w:p>
        </w:tc>
        <w:tc>
          <w:tcPr>
            <w:tcW w:type="dxa" w:w="2613"/>
            <w:vAlign w:val="top"/>
          </w:tcPr>
          <w:p>
            <w:r>
              <w:rPr>
                <w:sz w:val="12"/>
              </w:rPr>
              <w:t>Investment financing distinct from rights-holder consultation.</w:t>
            </w:r>
          </w:p>
        </w:tc>
      </w:tr>
      <w:tr>
        <w:tc>
          <w:tcPr>
            <w:tcW w:type="dxa" w:w="2613"/>
            <w:vAlign w:val="top"/>
          </w:tcPr>
          <w:p>
            <w:r>
              <w:rPr>
                <w:sz w:val="12"/>
              </w:rPr>
              <w:t>2029</w:t>
            </w:r>
          </w:p>
        </w:tc>
        <w:tc>
          <w:tcPr>
            <w:tcW w:type="dxa" w:w="2613"/>
            <w:vAlign w:val="top"/>
          </w:tcPr>
          <w:p>
            <w:r>
              <w:rPr>
                <w:sz w:val="12"/>
              </w:rPr>
              <w:t>OFG-CTC-001</w:t>
            </w:r>
          </w:p>
        </w:tc>
        <w:tc>
          <w:tcPr>
            <w:tcW w:type="dxa" w:w="2613"/>
            <w:vAlign w:val="top"/>
          </w:tcPr>
          <w:p>
            <w:r>
              <w:rPr>
                <w:sz w:val="12"/>
              </w:rPr>
              <w:t>Construction-to-Commissioning Interface Agreement</w:t>
            </w:r>
          </w:p>
        </w:tc>
        <w:tc>
          <w:tcPr>
            <w:tcW w:type="dxa" w:w="2613"/>
            <w:vAlign w:val="top"/>
          </w:tcPr>
          <w:p>
            <w:r>
              <w:rPr>
                <w:sz w:val="12"/>
              </w:rPr>
              <w:t>Progressive custody transfer, post-turnover access and work authorization.</w:t>
            </w:r>
          </w:p>
        </w:tc>
      </w:tr>
      <w:tr>
        <w:tc>
          <w:tcPr>
            <w:tcW w:type="dxa" w:w="2613"/>
            <w:vAlign w:val="top"/>
          </w:tcPr>
          <w:p>
            <w:r>
              <w:rPr>
                <w:sz w:val="12"/>
              </w:rPr>
              <w:t>2029</w:t>
            </w:r>
          </w:p>
        </w:tc>
        <w:tc>
          <w:tcPr>
            <w:tcW w:type="dxa" w:w="2613"/>
            <w:vAlign w:val="top"/>
          </w:tcPr>
          <w:p>
            <w:r>
              <w:rPr>
                <w:sz w:val="12"/>
              </w:rPr>
              <w:t>OFG-SVC-FLU-001</w:t>
            </w:r>
          </w:p>
        </w:tc>
        <w:tc>
          <w:tcPr>
            <w:tcW w:type="dxa" w:w="2613"/>
            <w:vAlign w:val="top"/>
          </w:tcPr>
          <w:p>
            <w:r>
              <w:rPr>
                <w:sz w:val="12"/>
              </w:rPr>
              <w:t>Fluor completion-support agreement</w:t>
            </w:r>
          </w:p>
        </w:tc>
        <w:tc>
          <w:tcPr>
            <w:tcW w:type="dxa" w:w="2613"/>
            <w:vAlign w:val="top"/>
          </w:tcPr>
          <w:p>
            <w:r>
              <w:rPr>
                <w:sz w:val="12"/>
              </w:rPr>
              <w:t>Completion/turnover surge support only.</w:t>
            </w:r>
          </w:p>
        </w:tc>
      </w:tr>
      <w:tr>
        <w:tc>
          <w:tcPr>
            <w:tcW w:type="dxa" w:w="2613"/>
            <w:vAlign w:val="top"/>
          </w:tcPr>
          <w:p>
            <w:r>
              <w:rPr>
                <w:sz w:val="12"/>
              </w:rPr>
              <w:t>Late 2029</w:t>
            </w:r>
          </w:p>
        </w:tc>
        <w:tc>
          <w:tcPr>
            <w:tcW w:type="dxa" w:w="2613"/>
            <w:vAlign w:val="top"/>
          </w:tcPr>
          <w:p>
            <w:r>
              <w:rPr>
                <w:sz w:val="12"/>
              </w:rPr>
              <w:t>OFG-EPC-AMD-02</w:t>
            </w:r>
          </w:p>
        </w:tc>
        <w:tc>
          <w:tcPr>
            <w:tcW w:type="dxa" w:w="2613"/>
            <w:vAlign w:val="top"/>
          </w:tcPr>
          <w:p>
            <w:r>
              <w:rPr>
                <w:sz w:val="12"/>
              </w:rPr>
              <w:t>EPC schedule amendment No.2</w:t>
            </w:r>
          </w:p>
        </w:tc>
        <w:tc>
          <w:tcPr>
            <w:tcW w:type="dxa" w:w="2613"/>
            <w:vAlign w:val="top"/>
          </w:tcPr>
          <w:p>
            <w:r>
              <w:rPr>
                <w:sz w:val="12"/>
              </w:rPr>
              <w:t>First Plasma moved 31 Mar → 31 May 2031; staffing/vendor windows extended.</w:t>
            </w:r>
          </w:p>
        </w:tc>
      </w:tr>
      <w:tr>
        <w:tc>
          <w:tcPr>
            <w:tcW w:type="dxa" w:w="2613"/>
            <w:vAlign w:val="top"/>
          </w:tcPr>
          <w:p>
            <w:r>
              <w:rPr>
                <w:sz w:val="12"/>
              </w:rPr>
              <w:t>Nov 2030</w:t>
            </w:r>
          </w:p>
        </w:tc>
        <w:tc>
          <w:tcPr>
            <w:tcW w:type="dxa" w:w="2613"/>
            <w:vAlign w:val="top"/>
          </w:tcPr>
          <w:p>
            <w:r>
              <w:rPr>
                <w:sz w:val="12"/>
              </w:rPr>
              <w:t>OFG-EPC-AMD-03</w:t>
            </w:r>
          </w:p>
        </w:tc>
        <w:tc>
          <w:tcPr>
            <w:tcW w:type="dxa" w:w="2613"/>
            <w:vAlign w:val="top"/>
          </w:tcPr>
          <w:p>
            <w:r>
              <w:rPr>
                <w:sz w:val="12"/>
              </w:rPr>
              <w:t>EPC schedule amendment No.3</w:t>
            </w:r>
          </w:p>
        </w:tc>
        <w:tc>
          <w:tcPr>
            <w:tcW w:type="dxa" w:w="2613"/>
            <w:vAlign w:val="top"/>
          </w:tcPr>
          <w:p>
            <w:r>
              <w:rPr>
                <w:sz w:val="12"/>
              </w:rPr>
              <w:t>First Plasma moved 31 May → 30 Jun 2031; date changed, readiness criteria did not.</w:t>
            </w:r>
          </w:p>
        </w:tc>
      </w:tr>
      <w:tr>
        <w:tc>
          <w:tcPr>
            <w:tcW w:type="dxa" w:w="2613"/>
            <w:vAlign w:val="top"/>
          </w:tcPr>
          <w:p>
            <w:r>
              <w:rPr>
                <w:sz w:val="12"/>
              </w:rPr>
              <w:t>Dec 2030-Apr 2031</w:t>
            </w:r>
          </w:p>
        </w:tc>
        <w:tc>
          <w:tcPr>
            <w:tcW w:type="dxa" w:w="2613"/>
            <w:vAlign w:val="top"/>
          </w:tcPr>
          <w:p>
            <w:r>
              <w:rPr>
                <w:sz w:val="12"/>
              </w:rPr>
              <w:t>AUR-MAND-001 + facilities</w:t>
            </w:r>
          </w:p>
        </w:tc>
        <w:tc>
          <w:tcPr>
            <w:tcW w:type="dxa" w:w="2613"/>
            <w:vAlign w:val="top"/>
          </w:tcPr>
          <w:p>
            <w:r>
              <w:rPr>
                <w:sz w:val="12"/>
              </w:rPr>
              <w:t>Project Aurora</w:t>
            </w:r>
          </w:p>
        </w:tc>
        <w:tc>
          <w:tcPr>
            <w:tcW w:type="dxa" w:w="2613"/>
            <w:vAlign w:val="top"/>
          </w:tcPr>
          <w:p>
            <w:r>
              <w:rPr>
                <w:sz w:val="12"/>
              </w:rPr>
              <w:t>JPMorgan-led supplemental financing/placement layered on existing capital stack.</w:t>
            </w:r>
          </w:p>
        </w:tc>
      </w:tr>
    </w:tbl>
    <w:p>
      <w:pPr>
        <w:pStyle w:val="Heading1"/>
      </w:pPr>
      <w:r>
        <w:t>Privity / instruction principles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Situation</w:t>
            </w:r>
          </w:p>
        </w:tc>
        <w:tc>
          <w:tcPr>
            <w:tcW w:type="dxa" w:w="5227"/>
            <w:vAlign w:val="center"/>
          </w:tcPr>
          <w:p>
            <w:r>
              <w:rPr>
                <w:b/>
                <w:sz w:val="14"/>
              </w:rPr>
              <w:t>Required route</w:t>
            </w:r>
          </w:p>
        </w:tc>
      </w:tr>
      <w:tr>
        <w:tc>
          <w:tcPr>
            <w:tcW w:type="dxa" w:w="5227"/>
            <w:vAlign w:val="top"/>
          </w:tcPr>
          <w:p>
            <w:r>
              <w:rPr>
                <w:sz w:val="14"/>
              </w:rPr>
              <w:t>HMS specialist sees field installation outside technology basis</w:t>
            </w:r>
          </w:p>
        </w:tc>
        <w:tc>
          <w:tcPr>
            <w:tcW w:type="dxa" w:w="5227"/>
            <w:vAlign w:val="top"/>
          </w:tcPr>
          <w:p>
            <w:r>
              <w:rPr>
                <w:sz w:val="14"/>
              </w:rPr>
              <w:t>HMS specialist → E&amp;C technical organization/Design Authority → Bechtel → performing subcontractor; OPG enters where licensing/safety basis is implicated.</w:t>
            </w:r>
          </w:p>
        </w:tc>
      </w:tr>
      <w:tr>
        <w:tc>
          <w:tcPr>
            <w:tcW w:type="dxa" w:w="5227"/>
            <w:vAlign w:val="top"/>
          </w:tcPr>
          <w:p>
            <w:r>
              <w:rPr>
                <w:sz w:val="14"/>
              </w:rPr>
              <w:t>Bechtel finds design conflict</w:t>
            </w:r>
          </w:p>
        </w:tc>
        <w:tc>
          <w:tcPr>
            <w:tcW w:type="dxa" w:w="5227"/>
            <w:vAlign w:val="top"/>
          </w:tcPr>
          <w:p>
            <w:r>
              <w:rPr>
                <w:sz w:val="14"/>
              </w:rPr>
              <w:t>Bechtel RFI/TQ → E&amp;C; E&amp;C resolves or escalates to HMS; OPG consulted if safety/licensing basis changes; approved disposition returns through E&amp;C → Bechtel → subcontractor.</w:t>
            </w:r>
          </w:p>
        </w:tc>
      </w:tr>
      <w:tr>
        <w:tc>
          <w:tcPr>
            <w:tcW w:type="dxa" w:w="5227"/>
            <w:vAlign w:val="top"/>
          </w:tcPr>
          <w:p>
            <w:r>
              <w:rPr>
                <w:sz w:val="14"/>
              </w:rPr>
              <w:t>OPG wants acceleration</w:t>
            </w:r>
          </w:p>
        </w:tc>
        <w:tc>
          <w:tcPr>
            <w:tcW w:type="dxa" w:w="5227"/>
            <w:vAlign w:val="top"/>
          </w:tcPr>
          <w:p>
            <w:r>
              <w:rPr>
                <w:sz w:val="14"/>
              </w:rPr>
              <w:t>OPG Project Manager → E&amp;C → Bechtel → package contractor. Cost/schedule change is documented; OPG does not directly command lower-tier field crews.</w:t>
            </w:r>
          </w:p>
        </w:tc>
      </w:tr>
      <w:tr>
        <w:tc>
          <w:tcPr>
            <w:tcW w:type="dxa" w:w="5227"/>
            <w:vAlign w:val="top"/>
          </w:tcPr>
          <w:p>
            <w:r>
              <w:rPr>
                <w:sz w:val="14"/>
              </w:rPr>
              <w:t>OEM needs field adjustment</w:t>
            </w:r>
          </w:p>
        </w:tc>
        <w:tc>
          <w:tcPr>
            <w:tcW w:type="dxa" w:w="5227"/>
            <w:vAlign w:val="top"/>
          </w:tcPr>
          <w:p>
            <w:r>
              <w:rPr>
                <w:sz w:val="14"/>
              </w:rPr>
              <w:t>OEM recommendation → E&amp;C review → approved field direction → Bechtel → installer; OEM may witness/supervise specialist steps.</w:t>
            </w:r>
          </w:p>
        </w:tc>
      </w:tr>
      <w:tr>
        <w:tc>
          <w:tcPr>
            <w:tcW w:type="dxa" w:w="5227"/>
            <w:vAlign w:val="top"/>
          </w:tcPr>
          <w:p>
            <w:r>
              <w:rPr>
                <w:sz w:val="14"/>
              </w:rPr>
              <w:t>Post-turnover construction re-entry</w:t>
            </w:r>
          </w:p>
        </w:tc>
        <w:tc>
          <w:tcPr>
            <w:tcW w:type="dxa" w:w="5227"/>
            <w:vAlign w:val="top"/>
          </w:tcPr>
          <w:p>
            <w:r>
              <w:rPr>
                <w:sz w:val="14"/>
              </w:rPr>
              <w:t>OPG Commissioning/work control → E&amp;C/Bechtel → performing party; installation history does not preserve construction custody after turnover.</w:t>
            </w:r>
          </w:p>
        </w:tc>
      </w:tr>
    </w:tbl>
    <w:p>
      <w:pPr>
        <w:pStyle w:val="Heading1"/>
      </w:pPr>
      <w:r>
        <w:t>Site/logistics geography</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4"/>
              </w:rPr>
              <w:t>Route</w:t>
            </w:r>
          </w:p>
        </w:tc>
        <w:tc>
          <w:tcPr>
            <w:tcW w:type="dxa" w:w="3485"/>
            <w:vAlign w:val="center"/>
          </w:tcPr>
          <w:p>
            <w:r>
              <w:rPr>
                <w:b/>
                <w:sz w:val="14"/>
              </w:rPr>
              <w:t>Cargo / role</w:t>
            </w:r>
          </w:p>
        </w:tc>
        <w:tc>
          <w:tcPr>
            <w:tcW w:type="dxa" w:w="3485"/>
            <w:vAlign w:val="center"/>
          </w:tcPr>
          <w:p>
            <w:r>
              <w:rPr>
                <w:b/>
                <w:sz w:val="14"/>
              </w:rPr>
              <w:t>Control logic</w:t>
            </w:r>
          </w:p>
        </w:tc>
      </w:tr>
      <w:tr>
        <w:tc>
          <w:tcPr>
            <w:tcW w:type="dxa" w:w="3485"/>
            <w:vAlign w:val="top"/>
          </w:tcPr>
          <w:p>
            <w:r>
              <w:rPr>
                <w:sz w:val="14"/>
              </w:rPr>
              <w:t>A — Seaway / OFG heavy-lift berth</w:t>
            </w:r>
          </w:p>
        </w:tc>
        <w:tc>
          <w:tcPr>
            <w:tcW w:type="dxa" w:w="3485"/>
            <w:vAlign w:val="top"/>
          </w:tcPr>
          <w:p>
            <w:r>
              <w:rPr>
                <w:sz w:val="14"/>
              </w:rPr>
              <w:t>Super-heavy fusion machine, cryogenic and selected conventional-island cargo.</w:t>
            </w:r>
          </w:p>
        </w:tc>
        <w:tc>
          <w:tcPr>
            <w:tcW w:type="dxa" w:w="3485"/>
            <w:vAlign w:val="top"/>
          </w:tcPr>
          <w:p>
            <w:r>
              <w:rPr>
                <w:sz w:val="14"/>
              </w:rPr>
              <w:t>Ocean/project cargo → St. Lawrence Seaway → Lake Ontario → OFG berth → SPMT heavy-haul corridor; seasonal navigation is a procurement constraint.</w:t>
            </w:r>
          </w:p>
        </w:tc>
      </w:tr>
      <w:tr>
        <w:tc>
          <w:tcPr>
            <w:tcW w:type="dxa" w:w="3485"/>
            <w:vAlign w:val="top"/>
          </w:tcPr>
          <w:p>
            <w:r>
              <w:rPr>
                <w:sz w:val="14"/>
              </w:rPr>
              <w:t>B — Port of Oshawa / road</w:t>
            </w:r>
          </w:p>
        </w:tc>
        <w:tc>
          <w:tcPr>
            <w:tcW w:type="dxa" w:w="3485"/>
            <w:vAlign w:val="top"/>
          </w:tcPr>
          <w:p>
            <w:r>
              <w:rPr>
                <w:sz w:val="14"/>
              </w:rPr>
              <w:t>Secondary breakbulk/project cargo.</w:t>
            </w:r>
          </w:p>
        </w:tc>
        <w:tc>
          <w:tcPr>
            <w:tcW w:type="dxa" w:w="3485"/>
            <w:vAlign w:val="top"/>
          </w:tcPr>
          <w:p>
            <w:r>
              <w:rPr>
                <w:sz w:val="14"/>
              </w:rPr>
              <w:t>Structural steel, modules, skids, cable drums and manageable large equipment.</w:t>
            </w:r>
          </w:p>
        </w:tc>
      </w:tr>
      <w:tr>
        <w:tc>
          <w:tcPr>
            <w:tcW w:type="dxa" w:w="3485"/>
            <w:vAlign w:val="top"/>
          </w:tcPr>
          <w:p>
            <w:r>
              <w:rPr>
                <w:sz w:val="14"/>
              </w:rPr>
              <w:t>C — CN rail spur</w:t>
            </w:r>
          </w:p>
        </w:tc>
        <w:tc>
          <w:tcPr>
            <w:tcW w:type="dxa" w:w="3485"/>
            <w:vAlign w:val="top"/>
          </w:tcPr>
          <w:p>
            <w:r>
              <w:rPr>
                <w:sz w:val="14"/>
              </w:rPr>
              <w:t>Bulk steel, machinery, containers and long/heavy rail-efficient cargo.</w:t>
            </w:r>
          </w:p>
        </w:tc>
        <w:tc>
          <w:tcPr>
            <w:tcW w:type="dxa" w:w="3485"/>
            <w:vAlign w:val="top"/>
          </w:tcPr>
          <w:p>
            <w:r>
              <w:rPr>
                <w:sz w:val="14"/>
              </w:rPr>
              <w:t>Dedicated transload reduces public-road movements.</w:t>
            </w:r>
          </w:p>
        </w:tc>
      </w:tr>
      <w:tr>
        <w:tc>
          <w:tcPr>
            <w:tcW w:type="dxa" w:w="3485"/>
            <w:vAlign w:val="top"/>
          </w:tcPr>
          <w:p>
            <w:r>
              <w:rPr>
                <w:sz w:val="14"/>
              </w:rPr>
              <w:t>D — Highway 401</w:t>
            </w:r>
          </w:p>
        </w:tc>
        <w:tc>
          <w:tcPr>
            <w:tcW w:type="dxa" w:w="3485"/>
            <w:vAlign w:val="top"/>
          </w:tcPr>
          <w:p>
            <w:r>
              <w:rPr>
                <w:sz w:val="14"/>
              </w:rPr>
              <w:t>Routine trucks, personnel and general freight.</w:t>
            </w:r>
          </w:p>
        </w:tc>
        <w:tc>
          <w:tcPr>
            <w:tcW w:type="dxa" w:w="3485"/>
            <w:vAlign w:val="top"/>
          </w:tcPr>
          <w:p>
            <w:r>
              <w:rPr>
                <w:sz w:val="14"/>
              </w:rPr>
              <w:t>Dedicated industrial connector/gates avoid residential circulation.</w:t>
            </w:r>
          </w:p>
        </w:tc>
      </w:tr>
      <w:tr>
        <w:tc>
          <w:tcPr>
            <w:tcW w:type="dxa" w:w="3485"/>
            <w:vAlign w:val="top"/>
          </w:tcPr>
          <w:p>
            <w:r>
              <w:rPr>
                <w:sz w:val="14"/>
              </w:rPr>
              <w:t>E — Local bulk materials</w:t>
            </w:r>
          </w:p>
        </w:tc>
        <w:tc>
          <w:tcPr>
            <w:tcW w:type="dxa" w:w="3485"/>
            <w:vAlign w:val="top"/>
          </w:tcPr>
          <w:p>
            <w:r>
              <w:rPr>
                <w:sz w:val="14"/>
              </w:rPr>
              <w:t>Cement, SCMs, aggregate and consumables.</w:t>
            </w:r>
          </w:p>
        </w:tc>
        <w:tc>
          <w:tcPr>
            <w:tcW w:type="dxa" w:w="3485"/>
            <w:vAlign w:val="top"/>
          </w:tcPr>
          <w:p>
            <w:r>
              <w:rPr>
                <w:sz w:val="14"/>
              </w:rPr>
              <w:t>Onsite nuclear-grade batch plants support peak civil work.</w:t>
            </w:r>
          </w:p>
        </w:tc>
      </w:tr>
      <w:tr>
        <w:tc>
          <w:tcPr>
            <w:tcW w:type="dxa" w:w="3485"/>
            <w:vAlign w:val="top"/>
          </w:tcPr>
          <w:p>
            <w:r>
              <w:rPr>
                <w:sz w:val="14"/>
              </w:rPr>
              <w:t>F — Startup tritium</w:t>
            </w:r>
          </w:p>
        </w:tc>
        <w:tc>
          <w:tcPr>
            <w:tcW w:type="dxa" w:w="3485"/>
            <w:vAlign w:val="top"/>
          </w:tcPr>
          <w:p>
            <w:r>
              <w:rPr>
                <w:sz w:val="14"/>
              </w:rPr>
              <w:t>Secure certified Canadian source.</w:t>
            </w:r>
          </w:p>
        </w:tc>
        <w:tc>
          <w:tcPr>
            <w:tcW w:type="dxa" w:w="3485"/>
            <w:vAlign w:val="top"/>
          </w:tcPr>
          <w:p>
            <w:r>
              <w:rPr>
                <w:sz w:val="14"/>
              </w:rPr>
              <w:t>Startup/makeup inventory only; later operation relies on qualified breeding cycle.</w:t>
            </w:r>
          </w:p>
        </w:tc>
      </w:tr>
    </w:tbl>
    <w:p>
      <w:pPr>
        <w:pStyle w:val="Heading1"/>
      </w:pPr>
      <w:r>
        <w:t>Buildings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3"/>
              </w:rPr>
              <w:t>Building ID</w:t>
            </w:r>
          </w:p>
        </w:tc>
        <w:tc>
          <w:tcPr>
            <w:tcW w:type="dxa" w:w="5227"/>
            <w:vAlign w:val="center"/>
          </w:tcPr>
          <w:p>
            <w:r>
              <w:rPr>
                <w:b/>
                <w:sz w:val="13"/>
              </w:rPr>
              <w:t>Function</w:t>
            </w:r>
          </w:p>
        </w:tc>
      </w:tr>
      <w:tr>
        <w:tc>
          <w:tcPr>
            <w:tcW w:type="dxa" w:w="5227"/>
            <w:vAlign w:val="top"/>
          </w:tcPr>
          <w:p>
            <w:r>
              <w:rPr>
                <w:sz w:val="13"/>
              </w:rPr>
              <w:t>F-101</w:t>
            </w:r>
          </w:p>
        </w:tc>
        <w:tc>
          <w:tcPr>
            <w:tcW w:type="dxa" w:w="5227"/>
            <w:vAlign w:val="top"/>
          </w:tcPr>
          <w:p>
            <w:r>
              <w:rPr>
                <w:sz w:val="13"/>
              </w:rPr>
              <w:t>Tokamak Building</w:t>
            </w:r>
          </w:p>
        </w:tc>
      </w:tr>
      <w:tr>
        <w:tc>
          <w:tcPr>
            <w:tcW w:type="dxa" w:w="5227"/>
            <w:vAlign w:val="top"/>
          </w:tcPr>
          <w:p>
            <w:r>
              <w:rPr>
                <w:sz w:val="13"/>
              </w:rPr>
              <w:t>F-102</w:t>
            </w:r>
          </w:p>
        </w:tc>
        <w:tc>
          <w:tcPr>
            <w:tcW w:type="dxa" w:w="5227"/>
            <w:vAlign w:val="top"/>
          </w:tcPr>
          <w:p>
            <w:r>
              <w:rPr>
                <w:sz w:val="13"/>
              </w:rPr>
              <w:t>Diagnostics Building</w:t>
            </w:r>
          </w:p>
        </w:tc>
      </w:tr>
      <w:tr>
        <w:tc>
          <w:tcPr>
            <w:tcW w:type="dxa" w:w="5227"/>
            <w:vAlign w:val="top"/>
          </w:tcPr>
          <w:p>
            <w:r>
              <w:rPr>
                <w:sz w:val="13"/>
              </w:rPr>
              <w:t>F-103</w:t>
            </w:r>
          </w:p>
        </w:tc>
        <w:tc>
          <w:tcPr>
            <w:tcW w:type="dxa" w:w="5227"/>
            <w:vAlign w:val="top"/>
          </w:tcPr>
          <w:p>
            <w:r>
              <w:rPr>
                <w:sz w:val="13"/>
              </w:rPr>
              <w:t>Tritium/Fuel Cycle Building</w:t>
            </w:r>
          </w:p>
        </w:tc>
      </w:tr>
      <w:tr>
        <w:tc>
          <w:tcPr>
            <w:tcW w:type="dxa" w:w="5227"/>
            <w:vAlign w:val="top"/>
          </w:tcPr>
          <w:p>
            <w:r>
              <w:rPr>
                <w:sz w:val="13"/>
              </w:rPr>
              <w:t>F-104</w:t>
            </w:r>
          </w:p>
        </w:tc>
        <w:tc>
          <w:tcPr>
            <w:tcW w:type="dxa" w:w="5227"/>
            <w:vAlign w:val="top"/>
          </w:tcPr>
          <w:p>
            <w:r>
              <w:rPr>
                <w:sz w:val="13"/>
              </w:rPr>
              <w:t>Neutral Beam Building</w:t>
            </w:r>
          </w:p>
        </w:tc>
      </w:tr>
      <w:tr>
        <w:tc>
          <w:tcPr>
            <w:tcW w:type="dxa" w:w="5227"/>
            <w:vAlign w:val="top"/>
          </w:tcPr>
          <w:p>
            <w:r>
              <w:rPr>
                <w:sz w:val="13"/>
              </w:rPr>
              <w:t>F-105</w:t>
            </w:r>
          </w:p>
        </w:tc>
        <w:tc>
          <w:tcPr>
            <w:tcW w:type="dxa" w:w="5227"/>
            <w:vAlign w:val="top"/>
          </w:tcPr>
          <w:p>
            <w:r>
              <w:rPr>
                <w:sz w:val="13"/>
              </w:rPr>
              <w:t>RF Heating Building</w:t>
            </w:r>
          </w:p>
        </w:tc>
      </w:tr>
      <w:tr>
        <w:tc>
          <w:tcPr>
            <w:tcW w:type="dxa" w:w="5227"/>
            <w:vAlign w:val="top"/>
          </w:tcPr>
          <w:p>
            <w:r>
              <w:rPr>
                <w:sz w:val="13"/>
              </w:rPr>
              <w:t>F-106</w:t>
            </w:r>
          </w:p>
        </w:tc>
        <w:tc>
          <w:tcPr>
            <w:tcW w:type="dxa" w:w="5227"/>
            <w:vAlign w:val="top"/>
          </w:tcPr>
          <w:p>
            <w:r>
              <w:rPr>
                <w:sz w:val="13"/>
              </w:rPr>
              <w:t>Machine Assembly &amp; Outage Hall</w:t>
            </w:r>
          </w:p>
        </w:tc>
      </w:tr>
      <w:tr>
        <w:tc>
          <w:tcPr>
            <w:tcW w:type="dxa" w:w="5227"/>
            <w:vAlign w:val="top"/>
          </w:tcPr>
          <w:p>
            <w:r>
              <w:rPr>
                <w:sz w:val="13"/>
              </w:rPr>
              <w:t>F-107</w:t>
            </w:r>
          </w:p>
        </w:tc>
        <w:tc>
          <w:tcPr>
            <w:tcW w:type="dxa" w:w="5227"/>
            <w:vAlign w:val="top"/>
          </w:tcPr>
          <w:p>
            <w:r>
              <w:rPr>
                <w:sz w:val="13"/>
              </w:rPr>
              <w:t>Cask Transfer Galleries</w:t>
            </w:r>
          </w:p>
        </w:tc>
      </w:tr>
      <w:tr>
        <w:tc>
          <w:tcPr>
            <w:tcW w:type="dxa" w:w="5227"/>
            <w:vAlign w:val="top"/>
          </w:tcPr>
          <w:p>
            <w:r>
              <w:rPr>
                <w:sz w:val="13"/>
              </w:rPr>
              <w:t>H-101</w:t>
            </w:r>
          </w:p>
        </w:tc>
        <w:tc>
          <w:tcPr>
            <w:tcW w:type="dxa" w:w="5227"/>
            <w:vAlign w:val="top"/>
          </w:tcPr>
          <w:p>
            <w:r>
              <w:rPr>
                <w:sz w:val="13"/>
              </w:rPr>
              <w:t>Primary Heat Transport / Steam Generator Annex</w:t>
            </w:r>
          </w:p>
        </w:tc>
      </w:tr>
      <w:tr>
        <w:tc>
          <w:tcPr>
            <w:tcW w:type="dxa" w:w="5227"/>
            <w:vAlign w:val="top"/>
          </w:tcPr>
          <w:p>
            <w:r>
              <w:rPr>
                <w:sz w:val="13"/>
              </w:rPr>
              <w:t>C-101</w:t>
            </w:r>
          </w:p>
        </w:tc>
        <w:tc>
          <w:tcPr>
            <w:tcW w:type="dxa" w:w="5227"/>
            <w:vAlign w:val="top"/>
          </w:tcPr>
          <w:p>
            <w:r>
              <w:rPr>
                <w:sz w:val="13"/>
              </w:rPr>
              <w:t>Cryogenic Compressor Building</w:t>
            </w:r>
          </w:p>
        </w:tc>
      </w:tr>
      <w:tr>
        <w:tc>
          <w:tcPr>
            <w:tcW w:type="dxa" w:w="5227"/>
            <w:vAlign w:val="top"/>
          </w:tcPr>
          <w:p>
            <w:r>
              <w:rPr>
                <w:sz w:val="13"/>
              </w:rPr>
              <w:t>C-102</w:t>
            </w:r>
          </w:p>
        </w:tc>
        <w:tc>
          <w:tcPr>
            <w:tcW w:type="dxa" w:w="5227"/>
            <w:vAlign w:val="top"/>
          </w:tcPr>
          <w:p>
            <w:r>
              <w:rPr>
                <w:sz w:val="13"/>
              </w:rPr>
              <w:t>Cryogenic Cold Box Building</w:t>
            </w:r>
          </w:p>
        </w:tc>
      </w:tr>
      <w:tr>
        <w:tc>
          <w:tcPr>
            <w:tcW w:type="dxa" w:w="5227"/>
            <w:vAlign w:val="top"/>
          </w:tcPr>
          <w:p>
            <w:r>
              <w:rPr>
                <w:sz w:val="13"/>
              </w:rPr>
              <w:t>P-101/P-102</w:t>
            </w:r>
          </w:p>
        </w:tc>
        <w:tc>
          <w:tcPr>
            <w:tcW w:type="dxa" w:w="5227"/>
            <w:vAlign w:val="top"/>
          </w:tcPr>
          <w:p>
            <w:r>
              <w:rPr>
                <w:sz w:val="13"/>
              </w:rPr>
              <w:t>Coil Power Conversion Buildings A/B</w:t>
            </w:r>
          </w:p>
        </w:tc>
      </w:tr>
      <w:tr>
        <w:tc>
          <w:tcPr>
            <w:tcW w:type="dxa" w:w="5227"/>
            <w:vAlign w:val="top"/>
          </w:tcPr>
          <w:p>
            <w:r>
              <w:rPr>
                <w:sz w:val="13"/>
              </w:rPr>
              <w:t>P-103</w:t>
            </w:r>
          </w:p>
        </w:tc>
        <w:tc>
          <w:tcPr>
            <w:tcW w:type="dxa" w:w="5227"/>
            <w:vAlign w:val="top"/>
          </w:tcPr>
          <w:p>
            <w:r>
              <w:rPr>
                <w:sz w:val="13"/>
              </w:rPr>
              <w:t>Fast Discharge &amp; Switching</w:t>
            </w:r>
          </w:p>
        </w:tc>
      </w:tr>
      <w:tr>
        <w:tc>
          <w:tcPr>
            <w:tcW w:type="dxa" w:w="5227"/>
            <w:vAlign w:val="top"/>
          </w:tcPr>
          <w:p>
            <w:r>
              <w:rPr>
                <w:sz w:val="13"/>
              </w:rPr>
              <w:t>R-101</w:t>
            </w:r>
          </w:p>
        </w:tc>
        <w:tc>
          <w:tcPr>
            <w:tcW w:type="dxa" w:w="5227"/>
            <w:vAlign w:val="top"/>
          </w:tcPr>
          <w:p>
            <w:r>
              <w:rPr>
                <w:sz w:val="13"/>
              </w:rPr>
              <w:t>Hot Cell</w:t>
            </w:r>
          </w:p>
        </w:tc>
      </w:tr>
      <w:tr>
        <w:tc>
          <w:tcPr>
            <w:tcW w:type="dxa" w:w="5227"/>
            <w:vAlign w:val="top"/>
          </w:tcPr>
          <w:p>
            <w:r>
              <w:rPr>
                <w:sz w:val="13"/>
              </w:rPr>
              <w:t>R-102</w:t>
            </w:r>
          </w:p>
        </w:tc>
        <w:tc>
          <w:tcPr>
            <w:tcW w:type="dxa" w:w="5227"/>
            <w:vAlign w:val="top"/>
          </w:tcPr>
          <w:p>
            <w:r>
              <w:rPr>
                <w:sz w:val="13"/>
              </w:rPr>
              <w:t>Decontamination</w:t>
            </w:r>
          </w:p>
        </w:tc>
      </w:tr>
      <w:tr>
        <w:tc>
          <w:tcPr>
            <w:tcW w:type="dxa" w:w="5227"/>
            <w:vAlign w:val="top"/>
          </w:tcPr>
          <w:p>
            <w:r>
              <w:rPr>
                <w:sz w:val="13"/>
              </w:rPr>
              <w:t>R-103</w:t>
            </w:r>
          </w:p>
        </w:tc>
        <w:tc>
          <w:tcPr>
            <w:tcW w:type="dxa" w:w="5227"/>
            <w:vAlign w:val="top"/>
          </w:tcPr>
          <w:p>
            <w:r>
              <w:rPr>
                <w:sz w:val="13"/>
              </w:rPr>
              <w:t>Activated Component Store</w:t>
            </w:r>
          </w:p>
        </w:tc>
      </w:tr>
      <w:tr>
        <w:tc>
          <w:tcPr>
            <w:tcW w:type="dxa" w:w="5227"/>
            <w:vAlign w:val="top"/>
          </w:tcPr>
          <w:p>
            <w:r>
              <w:rPr>
                <w:sz w:val="13"/>
              </w:rPr>
              <w:t>R-104</w:t>
            </w:r>
          </w:p>
        </w:tc>
        <w:tc>
          <w:tcPr>
            <w:tcW w:type="dxa" w:w="5227"/>
            <w:vAlign w:val="top"/>
          </w:tcPr>
          <w:p>
            <w:r>
              <w:rPr>
                <w:sz w:val="13"/>
              </w:rPr>
              <w:t>Radwaste Processing</w:t>
            </w:r>
          </w:p>
        </w:tc>
      </w:tr>
      <w:tr>
        <w:tc>
          <w:tcPr>
            <w:tcW w:type="dxa" w:w="5227"/>
            <w:vAlign w:val="top"/>
          </w:tcPr>
          <w:p>
            <w:r>
              <w:rPr>
                <w:sz w:val="13"/>
              </w:rPr>
              <w:t>R-105</w:t>
            </w:r>
          </w:p>
        </w:tc>
        <w:tc>
          <w:tcPr>
            <w:tcW w:type="dxa" w:w="5227"/>
            <w:vAlign w:val="top"/>
          </w:tcPr>
          <w:p>
            <w:r>
              <w:rPr>
                <w:sz w:val="13"/>
              </w:rPr>
              <w:t>Tritiated Waste Store</w:t>
            </w:r>
          </w:p>
        </w:tc>
      </w:tr>
      <w:tr>
        <w:tc>
          <w:tcPr>
            <w:tcW w:type="dxa" w:w="5227"/>
            <w:vAlign w:val="top"/>
          </w:tcPr>
          <w:p>
            <w:r>
              <w:rPr>
                <w:sz w:val="13"/>
              </w:rPr>
              <w:t>T-101</w:t>
            </w:r>
          </w:p>
        </w:tc>
        <w:tc>
          <w:tcPr>
            <w:tcW w:type="dxa" w:w="5227"/>
            <w:vAlign w:val="top"/>
          </w:tcPr>
          <w:p>
            <w:r>
              <w:rPr>
                <w:sz w:val="13"/>
              </w:rPr>
              <w:t>Turbine Generator Building</w:t>
            </w:r>
          </w:p>
        </w:tc>
      </w:tr>
      <w:tr>
        <w:tc>
          <w:tcPr>
            <w:tcW w:type="dxa" w:w="5227"/>
            <w:vAlign w:val="top"/>
          </w:tcPr>
          <w:p>
            <w:r>
              <w:rPr>
                <w:sz w:val="13"/>
              </w:rPr>
              <w:t>T-102</w:t>
            </w:r>
          </w:p>
        </w:tc>
        <w:tc>
          <w:tcPr>
            <w:tcW w:type="dxa" w:w="5227"/>
            <w:vAlign w:val="top"/>
          </w:tcPr>
          <w:p>
            <w:r>
              <w:rPr>
                <w:sz w:val="13"/>
              </w:rPr>
              <w:t>Feedwater / Water Chemistry Annex</w:t>
            </w:r>
          </w:p>
        </w:tc>
      </w:tr>
      <w:tr>
        <w:tc>
          <w:tcPr>
            <w:tcW w:type="dxa" w:w="5227"/>
            <w:vAlign w:val="top"/>
          </w:tcPr>
          <w:p>
            <w:r>
              <w:rPr>
                <w:sz w:val="13"/>
              </w:rPr>
              <w:t>E-101</w:t>
            </w:r>
          </w:p>
        </w:tc>
        <w:tc>
          <w:tcPr>
            <w:tcW w:type="dxa" w:w="5227"/>
            <w:vAlign w:val="top"/>
          </w:tcPr>
          <w:p>
            <w:r>
              <w:rPr>
                <w:sz w:val="13"/>
              </w:rPr>
              <w:t>Main Transformer Yard</w:t>
            </w:r>
          </w:p>
        </w:tc>
      </w:tr>
      <w:tr>
        <w:tc>
          <w:tcPr>
            <w:tcW w:type="dxa" w:w="5227"/>
            <w:vAlign w:val="top"/>
          </w:tcPr>
          <w:p>
            <w:r>
              <w:rPr>
                <w:sz w:val="13"/>
              </w:rPr>
              <w:t>E-102</w:t>
            </w:r>
          </w:p>
        </w:tc>
        <w:tc>
          <w:tcPr>
            <w:tcW w:type="dxa" w:w="5227"/>
            <w:vAlign w:val="top"/>
          </w:tcPr>
          <w:p>
            <w:r>
              <w:rPr>
                <w:sz w:val="13"/>
              </w:rPr>
              <w:t>500-kV Switchyard</w:t>
            </w:r>
          </w:p>
        </w:tc>
      </w:tr>
      <w:tr>
        <w:tc>
          <w:tcPr>
            <w:tcW w:type="dxa" w:w="5227"/>
            <w:vAlign w:val="top"/>
          </w:tcPr>
          <w:p>
            <w:r>
              <w:rPr>
                <w:sz w:val="13"/>
              </w:rPr>
              <w:t>E-103</w:t>
            </w:r>
          </w:p>
        </w:tc>
        <w:tc>
          <w:tcPr>
            <w:tcW w:type="dxa" w:w="5227"/>
            <w:vAlign w:val="top"/>
          </w:tcPr>
          <w:p>
            <w:r>
              <w:rPr>
                <w:sz w:val="13"/>
              </w:rPr>
              <w:t>Station Electrical Building</w:t>
            </w:r>
          </w:p>
        </w:tc>
      </w:tr>
      <w:tr>
        <w:tc>
          <w:tcPr>
            <w:tcW w:type="dxa" w:w="5227"/>
            <w:vAlign w:val="top"/>
          </w:tcPr>
          <w:p>
            <w:r>
              <w:rPr>
                <w:sz w:val="13"/>
              </w:rPr>
              <w:t>E-104</w:t>
            </w:r>
          </w:p>
        </w:tc>
        <w:tc>
          <w:tcPr>
            <w:tcW w:type="dxa" w:w="5227"/>
            <w:vAlign w:val="top"/>
          </w:tcPr>
          <w:p>
            <w:r>
              <w:rPr>
                <w:sz w:val="13"/>
              </w:rPr>
              <w:t>Emergency Power Building</w:t>
            </w:r>
          </w:p>
        </w:tc>
      </w:tr>
      <w:tr>
        <w:tc>
          <w:tcPr>
            <w:tcW w:type="dxa" w:w="5227"/>
            <w:vAlign w:val="top"/>
          </w:tcPr>
          <w:p>
            <w:r>
              <w:rPr>
                <w:sz w:val="13"/>
              </w:rPr>
              <w:t>E-105</w:t>
            </w:r>
          </w:p>
        </w:tc>
        <w:tc>
          <w:tcPr>
            <w:tcW w:type="dxa" w:w="5227"/>
            <w:vAlign w:val="top"/>
          </w:tcPr>
          <w:p>
            <w:r>
              <w:rPr>
                <w:sz w:val="13"/>
              </w:rPr>
              <w:t>Battery / UPS Building</w:t>
            </w:r>
          </w:p>
        </w:tc>
      </w:tr>
      <w:tr>
        <w:tc>
          <w:tcPr>
            <w:tcW w:type="dxa" w:w="5227"/>
            <w:vAlign w:val="top"/>
          </w:tcPr>
          <w:p>
            <w:r>
              <w:rPr>
                <w:sz w:val="13"/>
              </w:rPr>
              <w:t>O-101</w:t>
            </w:r>
          </w:p>
        </w:tc>
        <w:tc>
          <w:tcPr>
            <w:tcW w:type="dxa" w:w="5227"/>
            <w:vAlign w:val="top"/>
          </w:tcPr>
          <w:p>
            <w:r>
              <w:rPr>
                <w:sz w:val="13"/>
              </w:rPr>
              <w:t>Main Control Building</w:t>
            </w:r>
          </w:p>
        </w:tc>
      </w:tr>
      <w:tr>
        <w:tc>
          <w:tcPr>
            <w:tcW w:type="dxa" w:w="5227"/>
            <w:vAlign w:val="top"/>
          </w:tcPr>
          <w:p>
            <w:r>
              <w:rPr>
                <w:sz w:val="13"/>
              </w:rPr>
              <w:t>O-102</w:t>
            </w:r>
          </w:p>
        </w:tc>
        <w:tc>
          <w:tcPr>
            <w:tcW w:type="dxa" w:w="5227"/>
            <w:vAlign w:val="top"/>
          </w:tcPr>
          <w:p>
            <w:r>
              <w:rPr>
                <w:sz w:val="13"/>
              </w:rPr>
              <w:t>Technical Support / Emergency Centre</w:t>
            </w:r>
          </w:p>
        </w:tc>
      </w:tr>
      <w:tr>
        <w:tc>
          <w:tcPr>
            <w:tcW w:type="dxa" w:w="5227"/>
            <w:vAlign w:val="top"/>
          </w:tcPr>
          <w:p>
            <w:r>
              <w:rPr>
                <w:sz w:val="13"/>
              </w:rPr>
              <w:t>O-103</w:t>
            </w:r>
          </w:p>
        </w:tc>
        <w:tc>
          <w:tcPr>
            <w:tcW w:type="dxa" w:w="5227"/>
            <w:vAlign w:val="top"/>
          </w:tcPr>
          <w:p>
            <w:r>
              <w:rPr>
                <w:sz w:val="13"/>
              </w:rPr>
              <w:t>Training &amp; Simulator</w:t>
            </w:r>
          </w:p>
        </w:tc>
      </w:tr>
      <w:tr>
        <w:tc>
          <w:tcPr>
            <w:tcW w:type="dxa" w:w="5227"/>
            <w:vAlign w:val="top"/>
          </w:tcPr>
          <w:p>
            <w:r>
              <w:rPr>
                <w:sz w:val="13"/>
              </w:rPr>
              <w:t>U-101</w:t>
            </w:r>
          </w:p>
        </w:tc>
        <w:tc>
          <w:tcPr>
            <w:tcW w:type="dxa" w:w="5227"/>
            <w:vAlign w:val="top"/>
          </w:tcPr>
          <w:p>
            <w:r>
              <w:rPr>
                <w:sz w:val="13"/>
              </w:rPr>
              <w:t>Site Services</w:t>
            </w:r>
          </w:p>
        </w:tc>
      </w:tr>
      <w:tr>
        <w:tc>
          <w:tcPr>
            <w:tcW w:type="dxa" w:w="5227"/>
            <w:vAlign w:val="top"/>
          </w:tcPr>
          <w:p>
            <w:r>
              <w:rPr>
                <w:sz w:val="13"/>
              </w:rPr>
              <w:t>U-102</w:t>
            </w:r>
          </w:p>
        </w:tc>
        <w:tc>
          <w:tcPr>
            <w:tcW w:type="dxa" w:w="5227"/>
            <w:vAlign w:val="top"/>
          </w:tcPr>
          <w:p>
            <w:r>
              <w:rPr>
                <w:sz w:val="13"/>
              </w:rPr>
              <w:t>Water Treatment</w:t>
            </w:r>
          </w:p>
        </w:tc>
      </w:tr>
      <w:tr>
        <w:tc>
          <w:tcPr>
            <w:tcW w:type="dxa" w:w="5227"/>
            <w:vAlign w:val="top"/>
          </w:tcPr>
          <w:p>
            <w:r>
              <w:rPr>
                <w:sz w:val="13"/>
              </w:rPr>
              <w:t>U-103</w:t>
            </w:r>
          </w:p>
        </w:tc>
        <w:tc>
          <w:tcPr>
            <w:tcW w:type="dxa" w:w="5227"/>
            <w:vAlign w:val="top"/>
          </w:tcPr>
          <w:p>
            <w:r>
              <w:rPr>
                <w:sz w:val="13"/>
              </w:rPr>
              <w:t>Auxiliary Steam / Boiler House</w:t>
            </w:r>
          </w:p>
        </w:tc>
      </w:tr>
      <w:tr>
        <w:tc>
          <w:tcPr>
            <w:tcW w:type="dxa" w:w="5227"/>
            <w:vAlign w:val="top"/>
          </w:tcPr>
          <w:p>
            <w:r>
              <w:rPr>
                <w:sz w:val="13"/>
              </w:rPr>
              <w:t>U-104</w:t>
            </w:r>
          </w:p>
        </w:tc>
        <w:tc>
          <w:tcPr>
            <w:tcW w:type="dxa" w:w="5227"/>
            <w:vAlign w:val="top"/>
          </w:tcPr>
          <w:p>
            <w:r>
              <w:rPr>
                <w:sz w:val="13"/>
              </w:rPr>
              <w:t>Industrial Gas Facility</w:t>
            </w:r>
          </w:p>
        </w:tc>
      </w:tr>
      <w:tr>
        <w:tc>
          <w:tcPr>
            <w:tcW w:type="dxa" w:w="5227"/>
            <w:vAlign w:val="top"/>
          </w:tcPr>
          <w:p>
            <w:r>
              <w:rPr>
                <w:sz w:val="13"/>
              </w:rPr>
              <w:t>U-105</w:t>
            </w:r>
          </w:p>
        </w:tc>
        <w:tc>
          <w:tcPr>
            <w:tcW w:type="dxa" w:w="5227"/>
            <w:vAlign w:val="top"/>
          </w:tcPr>
          <w:p>
            <w:r>
              <w:rPr>
                <w:sz w:val="13"/>
              </w:rPr>
              <w:t>Fire Water Pump House</w:t>
            </w:r>
          </w:p>
        </w:tc>
      </w:tr>
      <w:tr>
        <w:tc>
          <w:tcPr>
            <w:tcW w:type="dxa" w:w="5227"/>
            <w:vAlign w:val="top"/>
          </w:tcPr>
          <w:p>
            <w:r>
              <w:rPr>
                <w:sz w:val="13"/>
              </w:rPr>
              <w:t>W-101/W-102</w:t>
            </w:r>
          </w:p>
        </w:tc>
        <w:tc>
          <w:tcPr>
            <w:tcW w:type="dxa" w:w="5227"/>
            <w:vAlign w:val="top"/>
          </w:tcPr>
          <w:p>
            <w:r>
              <w:rPr>
                <w:sz w:val="13"/>
              </w:rPr>
              <w:t>Lake Intake / Intake Tunnel</w:t>
            </w:r>
          </w:p>
        </w:tc>
      </w:tr>
      <w:tr>
        <w:tc>
          <w:tcPr>
            <w:tcW w:type="dxa" w:w="5227"/>
            <w:vAlign w:val="top"/>
          </w:tcPr>
          <w:p>
            <w:r>
              <w:rPr>
                <w:sz w:val="13"/>
              </w:rPr>
              <w:t>W-103/W-104</w:t>
            </w:r>
          </w:p>
        </w:tc>
        <w:tc>
          <w:tcPr>
            <w:tcW w:type="dxa" w:w="5227"/>
            <w:vAlign w:val="top"/>
          </w:tcPr>
          <w:p>
            <w:r>
              <w:rPr>
                <w:sz w:val="13"/>
              </w:rPr>
              <w:t>Forebay, Circulating-Water Pumphouse / Outfall</w:t>
            </w:r>
          </w:p>
        </w:tc>
      </w:tr>
      <w:tr>
        <w:tc>
          <w:tcPr>
            <w:tcW w:type="dxa" w:w="5227"/>
            <w:vAlign w:val="top"/>
          </w:tcPr>
          <w:p>
            <w:r>
              <w:rPr>
                <w:sz w:val="13"/>
              </w:rPr>
              <w:t>M-101/M-102/M-103</w:t>
            </w:r>
          </w:p>
        </w:tc>
        <w:tc>
          <w:tcPr>
            <w:tcW w:type="dxa" w:w="5227"/>
            <w:vAlign w:val="top"/>
          </w:tcPr>
          <w:p>
            <w:r>
              <w:rPr>
                <w:sz w:val="13"/>
              </w:rPr>
              <w:t>Maintenance / Warehouse / Receiving-Quarantine</w:t>
            </w:r>
          </w:p>
        </w:tc>
      </w:tr>
      <w:tr>
        <w:tc>
          <w:tcPr>
            <w:tcW w:type="dxa" w:w="5227"/>
            <w:vAlign w:val="top"/>
          </w:tcPr>
          <w:p>
            <w:r>
              <w:rPr>
                <w:sz w:val="13"/>
              </w:rPr>
              <w:t>S-101/S-102/S-103</w:t>
            </w:r>
          </w:p>
        </w:tc>
        <w:tc>
          <w:tcPr>
            <w:tcW w:type="dxa" w:w="5227"/>
            <w:vAlign w:val="top"/>
          </w:tcPr>
          <w:p>
            <w:r>
              <w:rPr>
                <w:sz w:val="13"/>
              </w:rPr>
              <w:t>Security / Vehicle Screening / Security Control</w:t>
            </w:r>
          </w:p>
        </w:tc>
      </w:tr>
      <w:tr>
        <w:tc>
          <w:tcPr>
            <w:tcW w:type="dxa" w:w="5227"/>
            <w:vAlign w:val="top"/>
          </w:tcPr>
          <w:p>
            <w:r>
              <w:rPr>
                <w:sz w:val="13"/>
              </w:rPr>
              <w:t>A-101/A-102/A-103</w:t>
            </w:r>
          </w:p>
        </w:tc>
        <w:tc>
          <w:tcPr>
            <w:tcW w:type="dxa" w:w="5227"/>
            <w:vAlign w:val="top"/>
          </w:tcPr>
          <w:p>
            <w:r>
              <w:rPr>
                <w:sz w:val="13"/>
              </w:rPr>
              <w:t>Administration / Health Physics-Medical / Laboratories</w:t>
            </w:r>
          </w:p>
        </w:tc>
      </w:tr>
      <w:tr>
        <w:tc>
          <w:tcPr>
            <w:tcW w:type="dxa" w:w="5227"/>
            <w:vAlign w:val="top"/>
          </w:tcPr>
          <w:p>
            <w:r>
              <w:rPr>
                <w:sz w:val="13"/>
              </w:rPr>
              <w:t>L-101/L-102/L-103/L-104</w:t>
            </w:r>
          </w:p>
        </w:tc>
        <w:tc>
          <w:tcPr>
            <w:tcW w:type="dxa" w:w="5227"/>
            <w:vAlign w:val="top"/>
          </w:tcPr>
          <w:p>
            <w:r>
              <w:rPr>
                <w:sz w:val="13"/>
              </w:rPr>
              <w:t>Marine Terminal / Rail Transload / Heavy-Haul Staging / Laydown</w:t>
            </w:r>
          </w:p>
        </w:tc>
      </w:tr>
      <w:tr>
        <w:tc>
          <w:tcPr>
            <w:tcW w:type="dxa" w:w="5227"/>
            <w:vAlign w:val="top"/>
          </w:tcPr>
          <w:p>
            <w:r>
              <w:rPr>
                <w:sz w:val="13"/>
              </w:rPr>
              <w:t>N-101/N-102/N-103</w:t>
            </w:r>
          </w:p>
        </w:tc>
        <w:tc>
          <w:tcPr>
            <w:tcW w:type="dxa" w:w="5227"/>
            <w:vAlign w:val="top"/>
          </w:tcPr>
          <w:p>
            <w:r>
              <w:rPr>
                <w:sz w:val="13"/>
              </w:rPr>
              <w:t>Stormwater / Sanitary / Environmental Monitoring</w:t>
            </w:r>
          </w:p>
        </w:tc>
      </w:tr>
    </w:tbl>
    <w:p>
      <w:pPr>
        <w:pStyle w:val="Heading1"/>
      </w:pPr>
      <w:r>
        <w:t>Principal system families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3"/>
              </w:rPr>
              <w:t>Code family</w:t>
            </w:r>
          </w:p>
        </w:tc>
        <w:tc>
          <w:tcPr>
            <w:tcW w:type="dxa" w:w="5227"/>
            <w:vAlign w:val="center"/>
          </w:tcPr>
          <w:p>
            <w:r>
              <w:rPr>
                <w:b/>
                <w:sz w:val="13"/>
              </w:rPr>
              <w:t>Function</w:t>
            </w:r>
          </w:p>
        </w:tc>
      </w:tr>
      <w:tr>
        <w:tc>
          <w:tcPr>
            <w:tcW w:type="dxa" w:w="5227"/>
            <w:vAlign w:val="top"/>
          </w:tcPr>
          <w:p>
            <w:r>
              <w:rPr>
                <w:sz w:val="13"/>
              </w:rPr>
              <w:t>MAG</w:t>
            </w:r>
          </w:p>
        </w:tc>
        <w:tc>
          <w:tcPr>
            <w:tcW w:type="dxa" w:w="5227"/>
            <w:vAlign w:val="top"/>
          </w:tcPr>
          <w:p>
            <w:r>
              <w:rPr>
                <w:sz w:val="13"/>
              </w:rPr>
              <w:t>TF/PF/central-solenoid/correction-coil systems</w:t>
            </w:r>
          </w:p>
        </w:tc>
      </w:tr>
      <w:tr>
        <w:tc>
          <w:tcPr>
            <w:tcW w:type="dxa" w:w="5227"/>
            <w:vAlign w:val="top"/>
          </w:tcPr>
          <w:p>
            <w:r>
              <w:rPr>
                <w:sz w:val="13"/>
              </w:rPr>
              <w:t>VVS/CRS/TSH</w:t>
            </w:r>
          </w:p>
        </w:tc>
        <w:tc>
          <w:tcPr>
            <w:tcW w:type="dxa" w:w="5227"/>
            <w:vAlign w:val="top"/>
          </w:tcPr>
          <w:p>
            <w:r>
              <w:rPr>
                <w:sz w:val="13"/>
              </w:rPr>
              <w:t>Vacuum vessel, cryostat and thermal shields</w:t>
            </w:r>
          </w:p>
        </w:tc>
      </w:tr>
      <w:tr>
        <w:tc>
          <w:tcPr>
            <w:tcW w:type="dxa" w:w="5227"/>
            <w:vAlign w:val="top"/>
          </w:tcPr>
          <w:p>
            <w:r>
              <w:rPr>
                <w:sz w:val="13"/>
              </w:rPr>
              <w:t>BLK/DIV</w:t>
            </w:r>
          </w:p>
        </w:tc>
        <w:tc>
          <w:tcPr>
            <w:tcW w:type="dxa" w:w="5227"/>
            <w:vAlign w:val="top"/>
          </w:tcPr>
          <w:p>
            <w:r>
              <w:rPr>
                <w:sz w:val="13"/>
              </w:rPr>
              <w:t>Breeding blanket and divertor</w:t>
            </w:r>
          </w:p>
        </w:tc>
      </w:tr>
      <w:tr>
        <w:tc>
          <w:tcPr>
            <w:tcW w:type="dxa" w:w="5227"/>
            <w:vAlign w:val="top"/>
          </w:tcPr>
          <w:p>
            <w:r>
              <w:rPr>
                <w:sz w:val="13"/>
              </w:rPr>
              <w:t>VAC</w:t>
            </w:r>
          </w:p>
        </w:tc>
        <w:tc>
          <w:tcPr>
            <w:tcW w:type="dxa" w:w="5227"/>
            <w:vAlign w:val="top"/>
          </w:tcPr>
          <w:p>
            <w:r>
              <w:rPr>
                <w:sz w:val="13"/>
              </w:rPr>
              <w:t>Torus/cryostat/NBI vacuum systems</w:t>
            </w:r>
          </w:p>
        </w:tc>
      </w:tr>
      <w:tr>
        <w:tc>
          <w:tcPr>
            <w:tcW w:type="dxa" w:w="5227"/>
            <w:vAlign w:val="top"/>
          </w:tcPr>
          <w:p>
            <w:r>
              <w:rPr>
                <w:sz w:val="13"/>
              </w:rPr>
              <w:t>FUE/DMS</w:t>
            </w:r>
          </w:p>
        </w:tc>
        <w:tc>
          <w:tcPr>
            <w:tcW w:type="dxa" w:w="5227"/>
            <w:vAlign w:val="top"/>
          </w:tcPr>
          <w:p>
            <w:r>
              <w:rPr>
                <w:sz w:val="13"/>
              </w:rPr>
              <w:t>Fuelling and disruption mitigation</w:t>
            </w:r>
          </w:p>
        </w:tc>
      </w:tr>
      <w:tr>
        <w:tc>
          <w:tcPr>
            <w:tcW w:type="dxa" w:w="5227"/>
            <w:vAlign w:val="top"/>
          </w:tcPr>
          <w:p>
            <w:r>
              <w:rPr>
                <w:sz w:val="13"/>
              </w:rPr>
              <w:t>NBI/ECH/ICH</w:t>
            </w:r>
          </w:p>
        </w:tc>
        <w:tc>
          <w:tcPr>
            <w:tcW w:type="dxa" w:w="5227"/>
            <w:vAlign w:val="top"/>
          </w:tcPr>
          <w:p>
            <w:r>
              <w:rPr>
                <w:sz w:val="13"/>
              </w:rPr>
              <w:t>Heating and current-drive systems</w:t>
            </w:r>
          </w:p>
        </w:tc>
      </w:tr>
      <w:tr>
        <w:tc>
          <w:tcPr>
            <w:tcW w:type="dxa" w:w="5227"/>
            <w:vAlign w:val="top"/>
          </w:tcPr>
          <w:p>
            <w:r>
              <w:rPr>
                <w:sz w:val="13"/>
              </w:rPr>
              <w:t>DIA</w:t>
            </w:r>
          </w:p>
        </w:tc>
        <w:tc>
          <w:tcPr>
            <w:tcW w:type="dxa" w:w="5227"/>
            <w:vAlign w:val="top"/>
          </w:tcPr>
          <w:p>
            <w:r>
              <w:rPr>
                <w:sz w:val="13"/>
              </w:rPr>
              <w:t>Plasma and machine diagnostics</w:t>
            </w:r>
          </w:p>
        </w:tc>
      </w:tr>
      <w:tr>
        <w:tc>
          <w:tcPr>
            <w:tcW w:type="dxa" w:w="5227"/>
            <w:vAlign w:val="top"/>
          </w:tcPr>
          <w:p>
            <w:r>
              <w:rPr>
                <w:sz w:val="13"/>
              </w:rPr>
              <w:t>BHT/DHT/VHT</w:t>
            </w:r>
          </w:p>
        </w:tc>
        <w:tc>
          <w:tcPr>
            <w:tcW w:type="dxa" w:w="5227"/>
            <w:vAlign w:val="top"/>
          </w:tcPr>
          <w:p>
            <w:r>
              <w:rPr>
                <w:sz w:val="13"/>
              </w:rPr>
              <w:t>Blanket, divertor and vessel heat-transport systems</w:t>
            </w:r>
          </w:p>
        </w:tc>
      </w:tr>
      <w:tr>
        <w:tc>
          <w:tcPr>
            <w:tcW w:type="dxa" w:w="5227"/>
            <w:vAlign w:val="top"/>
          </w:tcPr>
          <w:p>
            <w:r>
              <w:rPr>
                <w:sz w:val="13"/>
              </w:rPr>
              <w:t>VVP</w:t>
            </w:r>
          </w:p>
        </w:tc>
        <w:tc>
          <w:tcPr>
            <w:tcW w:type="dxa" w:w="5227"/>
            <w:vAlign w:val="top"/>
          </w:tcPr>
          <w:p>
            <w:r>
              <w:rPr>
                <w:sz w:val="13"/>
              </w:rPr>
              <w:t>Vacuum-vessel pressure suppression</w:t>
            </w:r>
          </w:p>
        </w:tc>
      </w:tr>
      <w:tr>
        <w:tc>
          <w:tcPr>
            <w:tcW w:type="dxa" w:w="5227"/>
            <w:vAlign w:val="top"/>
          </w:tcPr>
          <w:p>
            <w:r>
              <w:rPr>
                <w:sz w:val="13"/>
              </w:rPr>
              <w:t>CCW/CHW/CWS</w:t>
            </w:r>
          </w:p>
        </w:tc>
        <w:tc>
          <w:tcPr>
            <w:tcW w:type="dxa" w:w="5227"/>
            <w:vAlign w:val="top"/>
          </w:tcPr>
          <w:p>
            <w:r>
              <w:rPr>
                <w:sz w:val="13"/>
              </w:rPr>
              <w:t>Component cooling, chilled water and Lake Ontario heat rejection</w:t>
            </w:r>
          </w:p>
        </w:tc>
      </w:tr>
      <w:tr>
        <w:tc>
          <w:tcPr>
            <w:tcW w:type="dxa" w:w="5227"/>
            <w:vAlign w:val="top"/>
          </w:tcPr>
          <w:p>
            <w:r>
              <w:rPr>
                <w:sz w:val="13"/>
              </w:rPr>
              <w:t>TEX/ISS/TSD/BTX/WDS/ADS/TMA</w:t>
            </w:r>
          </w:p>
        </w:tc>
        <w:tc>
          <w:tcPr>
            <w:tcW w:type="dxa" w:w="5227"/>
            <w:vAlign w:val="top"/>
          </w:tcPr>
          <w:p>
            <w:r>
              <w:rPr>
                <w:sz w:val="13"/>
              </w:rPr>
              <w:t>Exhaust processing, isotope separation, tritium storage/delivery, breeding extraction, detritiation and accountancy</w:t>
            </w:r>
          </w:p>
        </w:tc>
      </w:tr>
      <w:tr>
        <w:tc>
          <w:tcPr>
            <w:tcW w:type="dxa" w:w="5227"/>
            <w:vAlign w:val="top"/>
          </w:tcPr>
          <w:p>
            <w:r>
              <w:rPr>
                <w:sz w:val="13"/>
              </w:rPr>
              <w:t>CRY</w:t>
            </w:r>
          </w:p>
        </w:tc>
        <w:tc>
          <w:tcPr>
            <w:tcW w:type="dxa" w:w="5227"/>
            <w:vAlign w:val="top"/>
          </w:tcPr>
          <w:p>
            <w:r>
              <w:rPr>
                <w:sz w:val="13"/>
              </w:rPr>
              <w:t>Warm compression, cold boxes and cryodistribution</w:t>
            </w:r>
          </w:p>
        </w:tc>
      </w:tr>
      <w:tr>
        <w:tc>
          <w:tcPr>
            <w:tcW w:type="dxa" w:w="5227"/>
            <w:vAlign w:val="top"/>
          </w:tcPr>
          <w:p>
            <w:r>
              <w:rPr>
                <w:sz w:val="13"/>
              </w:rPr>
              <w:t>CPO/QPS</w:t>
            </w:r>
          </w:p>
        </w:tc>
        <w:tc>
          <w:tcPr>
            <w:tcW w:type="dxa" w:w="5227"/>
            <w:vAlign w:val="top"/>
          </w:tcPr>
          <w:p>
            <w:r>
              <w:rPr>
                <w:sz w:val="13"/>
              </w:rPr>
              <w:t>Magnet power conversion and quench/fast discharge</w:t>
            </w:r>
          </w:p>
        </w:tc>
      </w:tr>
      <w:tr>
        <w:tc>
          <w:tcPr>
            <w:tcW w:type="dxa" w:w="5227"/>
            <w:vAlign w:val="top"/>
          </w:tcPr>
          <w:p>
            <w:r>
              <w:rPr>
                <w:sz w:val="13"/>
              </w:rPr>
              <w:t>TUR/GEN/CND/CFW/MSP</w:t>
            </w:r>
          </w:p>
        </w:tc>
        <w:tc>
          <w:tcPr>
            <w:tcW w:type="dxa" w:w="5227"/>
            <w:vAlign w:val="top"/>
          </w:tcPr>
          <w:p>
            <w:r>
              <w:rPr>
                <w:sz w:val="13"/>
              </w:rPr>
              <w:t>Turbine, generator, condenser, condensate/feedwater and steam/bypass</w:t>
            </w:r>
          </w:p>
        </w:tc>
      </w:tr>
      <w:tr>
        <w:tc>
          <w:tcPr>
            <w:tcW w:type="dxa" w:w="5227"/>
            <w:vAlign w:val="top"/>
          </w:tcPr>
          <w:p>
            <w:r>
              <w:rPr>
                <w:sz w:val="13"/>
              </w:rPr>
              <w:t>GSU/SWY/APS/EPS/DCP</w:t>
            </w:r>
          </w:p>
        </w:tc>
        <w:tc>
          <w:tcPr>
            <w:tcW w:type="dxa" w:w="5227"/>
            <w:vAlign w:val="top"/>
          </w:tcPr>
          <w:p>
            <w:r>
              <w:rPr>
                <w:sz w:val="13"/>
              </w:rPr>
              <w:t>Grid, station service, emergency AC and DC/UPS</w:t>
            </w:r>
          </w:p>
        </w:tc>
      </w:tr>
      <w:tr>
        <w:tc>
          <w:tcPr>
            <w:tcW w:type="dxa" w:w="5227"/>
            <w:vAlign w:val="top"/>
          </w:tcPr>
          <w:p>
            <w:r>
              <w:rPr>
                <w:sz w:val="13"/>
              </w:rPr>
              <w:t>DCS/PPC/MPS/SIS/NET</w:t>
            </w:r>
          </w:p>
        </w:tc>
        <w:tc>
          <w:tcPr>
            <w:tcW w:type="dxa" w:w="5227"/>
            <w:vAlign w:val="top"/>
          </w:tcPr>
          <w:p>
            <w:r>
              <w:rPr>
                <w:sz w:val="13"/>
              </w:rPr>
              <w:t>Plant DCS, plasma control, machine protection, safety I&amp;C and networks</w:t>
            </w:r>
          </w:p>
        </w:tc>
      </w:tr>
      <w:tr>
        <w:tc>
          <w:tcPr>
            <w:tcW w:type="dxa" w:w="5227"/>
            <w:vAlign w:val="top"/>
          </w:tcPr>
          <w:p>
            <w:r>
              <w:rPr>
                <w:sz w:val="13"/>
              </w:rPr>
              <w:t>RHM/CKS/HCL/DEC/RAW</w:t>
            </w:r>
          </w:p>
        </w:tc>
        <w:tc>
          <w:tcPr>
            <w:tcW w:type="dxa" w:w="5227"/>
            <w:vAlign w:val="top"/>
          </w:tcPr>
          <w:p>
            <w:r>
              <w:rPr>
                <w:sz w:val="13"/>
              </w:rPr>
              <w:t>Remote handling, casks, hot cell, decontamination and waste</w:t>
            </w:r>
          </w:p>
        </w:tc>
      </w:tr>
      <w:tr>
        <w:tc>
          <w:tcPr>
            <w:tcW w:type="dxa" w:w="5227"/>
            <w:vAlign w:val="top"/>
          </w:tcPr>
          <w:p>
            <w:r>
              <w:rPr>
                <w:sz w:val="13"/>
              </w:rPr>
              <w:t>FPR/RPS/SEC/UTL/DRN</w:t>
            </w:r>
          </w:p>
        </w:tc>
        <w:tc>
          <w:tcPr>
            <w:tcW w:type="dxa" w:w="5227"/>
            <w:vAlign w:val="top"/>
          </w:tcPr>
          <w:p>
            <w:r>
              <w:rPr>
                <w:sz w:val="13"/>
              </w:rPr>
              <w:t>Fire, radiation protection, security, utilities and drains/effluent</w:t>
            </w:r>
          </w:p>
        </w:tc>
      </w:tr>
    </w:tbl>
    <w:p>
      <w:pPr>
        <w:pStyle w:val="Heading1"/>
      </w:pPr>
      <w:r>
        <w:t>April 19 system-state codes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Code</w:t>
            </w:r>
          </w:p>
        </w:tc>
        <w:tc>
          <w:tcPr>
            <w:tcW w:type="dxa" w:w="5227"/>
            <w:vAlign w:val="center"/>
          </w:tcPr>
          <w:p>
            <w:r>
              <w:rPr>
                <w:b/>
                <w:sz w:val="14"/>
              </w:rPr>
              <w:t>Meaning</w:t>
            </w:r>
          </w:p>
        </w:tc>
      </w:tr>
      <w:tr>
        <w:tc>
          <w:tcPr>
            <w:tcW w:type="dxa" w:w="5227"/>
            <w:vAlign w:val="top"/>
          </w:tcPr>
          <w:p>
            <w:r>
              <w:rPr>
                <w:sz w:val="14"/>
              </w:rPr>
              <w:t>CON</w:t>
            </w:r>
          </w:p>
        </w:tc>
        <w:tc>
          <w:tcPr>
            <w:tcW w:type="dxa" w:w="5227"/>
            <w:vAlign w:val="top"/>
          </w:tcPr>
          <w:p>
            <w:r>
              <w:rPr>
                <w:sz w:val="14"/>
              </w:rPr>
              <w:t>Construction-controlled</w:t>
            </w:r>
          </w:p>
        </w:tc>
      </w:tr>
      <w:tr>
        <w:tc>
          <w:tcPr>
            <w:tcW w:type="dxa" w:w="5227"/>
            <w:vAlign w:val="top"/>
          </w:tcPr>
          <w:p>
            <w:r>
              <w:rPr>
                <w:sz w:val="14"/>
              </w:rPr>
              <w:t>MC</w:t>
            </w:r>
          </w:p>
        </w:tc>
        <w:tc>
          <w:tcPr>
            <w:tcW w:type="dxa" w:w="5227"/>
            <w:vAlign w:val="top"/>
          </w:tcPr>
          <w:p>
            <w:r>
              <w:rPr>
                <w:sz w:val="14"/>
              </w:rPr>
              <w:t>Mechanical Completion achieved</w:t>
            </w:r>
          </w:p>
        </w:tc>
      </w:tr>
      <w:tr>
        <w:tc>
          <w:tcPr>
            <w:tcW w:type="dxa" w:w="5227"/>
            <w:vAlign w:val="top"/>
          </w:tcPr>
          <w:p>
            <w:r>
              <w:rPr>
                <w:sz w:val="14"/>
              </w:rPr>
              <w:t>TO</w:t>
            </w:r>
          </w:p>
        </w:tc>
        <w:tc>
          <w:tcPr>
            <w:tcW w:type="dxa" w:w="5227"/>
            <w:vAlign w:val="top"/>
          </w:tcPr>
          <w:p>
            <w:r>
              <w:rPr>
                <w:sz w:val="14"/>
              </w:rPr>
              <w:t>Formally turned over to commissioning</w:t>
            </w:r>
          </w:p>
        </w:tc>
      </w:tr>
      <w:tr>
        <w:tc>
          <w:tcPr>
            <w:tcW w:type="dxa" w:w="5227"/>
            <w:vAlign w:val="top"/>
          </w:tcPr>
          <w:p>
            <w:r>
              <w:rPr>
                <w:sz w:val="14"/>
              </w:rPr>
              <w:t>PC</w:t>
            </w:r>
          </w:p>
        </w:tc>
        <w:tc>
          <w:tcPr>
            <w:tcW w:type="dxa" w:w="5227"/>
            <w:vAlign w:val="top"/>
          </w:tcPr>
          <w:p>
            <w:r>
              <w:rPr>
                <w:sz w:val="14"/>
              </w:rPr>
              <w:t>Pre-commissioning</w:t>
            </w:r>
          </w:p>
        </w:tc>
      </w:tr>
      <w:tr>
        <w:tc>
          <w:tcPr>
            <w:tcW w:type="dxa" w:w="5227"/>
            <w:vAlign w:val="top"/>
          </w:tcPr>
          <w:p>
            <w:r>
              <w:rPr>
                <w:sz w:val="14"/>
              </w:rPr>
              <w:t>FC</w:t>
            </w:r>
          </w:p>
        </w:tc>
        <w:tc>
          <w:tcPr>
            <w:tcW w:type="dxa" w:w="5227"/>
            <w:vAlign w:val="top"/>
          </w:tcPr>
          <w:p>
            <w:r>
              <w:rPr>
                <w:sz w:val="14"/>
              </w:rPr>
              <w:t>Functional commissioning</w:t>
            </w:r>
          </w:p>
        </w:tc>
      </w:tr>
      <w:tr>
        <w:tc>
          <w:tcPr>
            <w:tcW w:type="dxa" w:w="5227"/>
            <w:vAlign w:val="top"/>
          </w:tcPr>
          <w:p>
            <w:r>
              <w:rPr>
                <w:sz w:val="14"/>
              </w:rPr>
              <w:t>IC</w:t>
            </w:r>
          </w:p>
        </w:tc>
        <w:tc>
          <w:tcPr>
            <w:tcW w:type="dxa" w:w="5227"/>
            <w:vAlign w:val="top"/>
          </w:tcPr>
          <w:p>
            <w:r>
              <w:rPr>
                <w:sz w:val="14"/>
              </w:rPr>
              <w:t>Integrated commissioning</w:t>
            </w:r>
          </w:p>
        </w:tc>
      </w:tr>
      <w:tr>
        <w:tc>
          <w:tcPr>
            <w:tcW w:type="dxa" w:w="5227"/>
            <w:vAlign w:val="top"/>
          </w:tcPr>
          <w:p>
            <w:r>
              <w:rPr>
                <w:sz w:val="14"/>
              </w:rPr>
              <w:t>OA</w:t>
            </w:r>
          </w:p>
        </w:tc>
        <w:tc>
          <w:tcPr>
            <w:tcW w:type="dxa" w:w="5227"/>
            <w:vAlign w:val="top"/>
          </w:tcPr>
          <w:p>
            <w:r>
              <w:rPr>
                <w:sz w:val="14"/>
              </w:rPr>
              <w:t>Accepted/available for operating support</w:t>
            </w:r>
          </w:p>
        </w:tc>
      </w:tr>
      <w:tr>
        <w:tc>
          <w:tcPr>
            <w:tcW w:type="dxa" w:w="5227"/>
            <w:vAlign w:val="top"/>
          </w:tcPr>
          <w:p>
            <w:r>
              <w:rPr>
                <w:sz w:val="14"/>
              </w:rPr>
              <w:t>HOLD</w:t>
            </w:r>
          </w:p>
        </w:tc>
        <w:tc>
          <w:tcPr>
            <w:tcW w:type="dxa" w:w="5227"/>
            <w:vAlign w:val="top"/>
          </w:tcPr>
          <w:p>
            <w:r>
              <w:rPr>
                <w:sz w:val="14"/>
              </w:rPr>
              <w:t>Progression prohibited pending disposition</w:t>
            </w:r>
          </w:p>
        </w:tc>
      </w:tr>
    </w:tbl>
    <w:p>
      <w:pPr>
        <w:pStyle w:val="Heading1"/>
      </w:pPr>
      <w:r>
        <w:t>April 19 plant state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System group</w:t>
            </w:r>
          </w:p>
        </w:tc>
        <w:tc>
          <w:tcPr>
            <w:tcW w:type="dxa" w:w="5227"/>
            <w:vAlign w:val="center"/>
          </w:tcPr>
          <w:p>
            <w:r>
              <w:rPr>
                <w:b/>
                <w:sz w:val="14"/>
              </w:rPr>
              <w:t>State</w:t>
            </w:r>
          </w:p>
        </w:tc>
      </w:tr>
      <w:tr>
        <w:tc>
          <w:tcPr>
            <w:tcW w:type="dxa" w:w="5227"/>
            <w:vAlign w:val="top"/>
          </w:tcPr>
          <w:p>
            <w:r>
              <w:rPr>
                <w:sz w:val="14"/>
              </w:rPr>
              <w:t>Permanent electrical / DC / UPS</w:t>
            </w:r>
          </w:p>
        </w:tc>
        <w:tc>
          <w:tcPr>
            <w:tcW w:type="dxa" w:w="5227"/>
            <w:vAlign w:val="top"/>
          </w:tcPr>
          <w:p>
            <w:r>
              <w:rPr>
                <w:sz w:val="14"/>
              </w:rPr>
              <w:t>OA / IC</w:t>
            </w:r>
          </w:p>
        </w:tc>
      </w:tr>
      <w:tr>
        <w:tc>
          <w:tcPr>
            <w:tcW w:type="dxa" w:w="5227"/>
            <w:vAlign w:val="top"/>
          </w:tcPr>
          <w:p>
            <w:r>
              <w:rPr>
                <w:sz w:val="14"/>
              </w:rPr>
              <w:t>Cooling water / chilled water / fire / HVAC</w:t>
            </w:r>
          </w:p>
        </w:tc>
        <w:tc>
          <w:tcPr>
            <w:tcW w:type="dxa" w:w="5227"/>
            <w:vAlign w:val="top"/>
          </w:tcPr>
          <w:p>
            <w:r>
              <w:rPr>
                <w:sz w:val="14"/>
              </w:rPr>
              <w:t>OA / IC</w:t>
            </w:r>
          </w:p>
        </w:tc>
      </w:tr>
      <w:tr>
        <w:tc>
          <w:tcPr>
            <w:tcW w:type="dxa" w:w="5227"/>
            <w:vAlign w:val="top"/>
          </w:tcPr>
          <w:p>
            <w:r>
              <w:rPr>
                <w:sz w:val="14"/>
              </w:rPr>
              <w:t>Plant DCS / MPS / safety I&amp;C</w:t>
            </w:r>
          </w:p>
        </w:tc>
        <w:tc>
          <w:tcPr>
            <w:tcW w:type="dxa" w:w="5227"/>
            <w:vAlign w:val="top"/>
          </w:tcPr>
          <w:p>
            <w:r>
              <w:rPr>
                <w:sz w:val="14"/>
              </w:rPr>
              <w:t>IC</w:t>
            </w:r>
          </w:p>
        </w:tc>
      </w:tr>
      <w:tr>
        <w:tc>
          <w:tcPr>
            <w:tcW w:type="dxa" w:w="5227"/>
            <w:vAlign w:val="top"/>
          </w:tcPr>
          <w:p>
            <w:r>
              <w:rPr>
                <w:sz w:val="14"/>
              </w:rPr>
              <w:t>Cryoplant / cryodistribution</w:t>
            </w:r>
          </w:p>
        </w:tc>
        <w:tc>
          <w:tcPr>
            <w:tcW w:type="dxa" w:w="5227"/>
            <w:vAlign w:val="top"/>
          </w:tcPr>
          <w:p>
            <w:r>
              <w:rPr>
                <w:sz w:val="14"/>
              </w:rPr>
              <w:t>IC; operating support</w:t>
            </w:r>
          </w:p>
        </w:tc>
      </w:tr>
      <w:tr>
        <w:tc>
          <w:tcPr>
            <w:tcW w:type="dxa" w:w="5227"/>
            <w:vAlign w:val="top"/>
          </w:tcPr>
          <w:p>
            <w:r>
              <w:rPr>
                <w:sz w:val="14"/>
              </w:rPr>
              <w:t>TF/PF/CS magnet circuits</w:t>
            </w:r>
          </w:p>
        </w:tc>
        <w:tc>
          <w:tcPr>
            <w:tcW w:type="dxa" w:w="5227"/>
            <w:vAlign w:val="top"/>
          </w:tcPr>
          <w:p>
            <w:r>
              <w:rPr>
                <w:sz w:val="14"/>
              </w:rPr>
              <w:t>IC; staged energization</w:t>
            </w:r>
          </w:p>
        </w:tc>
      </w:tr>
      <w:tr>
        <w:tc>
          <w:tcPr>
            <w:tcW w:type="dxa" w:w="5227"/>
            <w:vAlign w:val="top"/>
          </w:tcPr>
          <w:p>
            <w:r>
              <w:rPr>
                <w:sz w:val="14"/>
              </w:rPr>
              <w:t>Vacuum</w:t>
            </w:r>
          </w:p>
        </w:tc>
        <w:tc>
          <w:tcPr>
            <w:tcW w:type="dxa" w:w="5227"/>
            <w:vAlign w:val="top"/>
          </w:tcPr>
          <w:p>
            <w:r>
              <w:rPr>
                <w:sz w:val="14"/>
              </w:rPr>
              <w:t>IC; pump-down/leak campaigns</w:t>
            </w:r>
          </w:p>
        </w:tc>
      </w:tr>
      <w:tr>
        <w:tc>
          <w:tcPr>
            <w:tcW w:type="dxa" w:w="5227"/>
            <w:vAlign w:val="top"/>
          </w:tcPr>
          <w:p>
            <w:r>
              <w:rPr>
                <w:sz w:val="14"/>
              </w:rPr>
              <w:t>Blanket/divertor/vessel cooling</w:t>
            </w:r>
          </w:p>
        </w:tc>
        <w:tc>
          <w:tcPr>
            <w:tcW w:type="dxa" w:w="5227"/>
            <w:vAlign w:val="top"/>
          </w:tcPr>
          <w:p>
            <w:r>
              <w:rPr>
                <w:sz w:val="14"/>
              </w:rPr>
              <w:t>FC / IC</w:t>
            </w:r>
          </w:p>
        </w:tc>
      </w:tr>
      <w:tr>
        <w:tc>
          <w:tcPr>
            <w:tcW w:type="dxa" w:w="5227"/>
            <w:vAlign w:val="top"/>
          </w:tcPr>
          <w:p>
            <w:r>
              <w:rPr>
                <w:sz w:val="14"/>
              </w:rPr>
              <w:t>Fuelling / disruption mitigation</w:t>
            </w:r>
          </w:p>
        </w:tc>
        <w:tc>
          <w:tcPr>
            <w:tcW w:type="dxa" w:w="5227"/>
            <w:vAlign w:val="top"/>
          </w:tcPr>
          <w:p>
            <w:r>
              <w:rPr>
                <w:sz w:val="14"/>
              </w:rPr>
              <w:t>FC / IC</w:t>
            </w:r>
          </w:p>
        </w:tc>
      </w:tr>
      <w:tr>
        <w:tc>
          <w:tcPr>
            <w:tcW w:type="dxa" w:w="5227"/>
            <w:vAlign w:val="top"/>
          </w:tcPr>
          <w:p>
            <w:r>
              <w:rPr>
                <w:sz w:val="14"/>
              </w:rPr>
              <w:t>ECH</w:t>
            </w:r>
          </w:p>
        </w:tc>
        <w:tc>
          <w:tcPr>
            <w:tcW w:type="dxa" w:w="5227"/>
            <w:vAlign w:val="top"/>
          </w:tcPr>
          <w:p>
            <w:r>
              <w:rPr>
                <w:sz w:val="14"/>
              </w:rPr>
              <w:t>FC / IC</w:t>
            </w:r>
          </w:p>
        </w:tc>
      </w:tr>
      <w:tr>
        <w:tc>
          <w:tcPr>
            <w:tcW w:type="dxa" w:w="5227"/>
            <w:vAlign w:val="top"/>
          </w:tcPr>
          <w:p>
            <w:r>
              <w:rPr>
                <w:sz w:val="14"/>
              </w:rPr>
              <w:t>NBI / ICH</w:t>
            </w:r>
          </w:p>
        </w:tc>
        <w:tc>
          <w:tcPr>
            <w:tcW w:type="dxa" w:w="5227"/>
            <w:vAlign w:val="top"/>
          </w:tcPr>
          <w:p>
            <w:r>
              <w:rPr>
                <w:sz w:val="14"/>
              </w:rPr>
              <w:t>PC / FC; portions post-FP</w:t>
            </w:r>
          </w:p>
        </w:tc>
      </w:tr>
      <w:tr>
        <w:tc>
          <w:tcPr>
            <w:tcW w:type="dxa" w:w="5227"/>
            <w:vAlign w:val="top"/>
          </w:tcPr>
          <w:p>
            <w:r>
              <w:rPr>
                <w:sz w:val="14"/>
              </w:rPr>
              <w:t>Tritium/fuel cycle</w:t>
            </w:r>
          </w:p>
        </w:tc>
        <w:tc>
          <w:tcPr>
            <w:tcW w:type="dxa" w:w="5227"/>
            <w:vAlign w:val="top"/>
          </w:tcPr>
          <w:p>
            <w:r>
              <w:rPr>
                <w:sz w:val="14"/>
              </w:rPr>
              <w:t>PC / FC; no full D-T service</w:t>
            </w:r>
          </w:p>
        </w:tc>
      </w:tr>
      <w:tr>
        <w:tc>
          <w:tcPr>
            <w:tcW w:type="dxa" w:w="5227"/>
            <w:vAlign w:val="top"/>
          </w:tcPr>
          <w:p>
            <w:r>
              <w:rPr>
                <w:sz w:val="14"/>
              </w:rPr>
              <w:t>Hot cell / remote handling</w:t>
            </w:r>
          </w:p>
        </w:tc>
        <w:tc>
          <w:tcPr>
            <w:tcW w:type="dxa" w:w="5227"/>
            <w:vAlign w:val="top"/>
          </w:tcPr>
          <w:p>
            <w:r>
              <w:rPr>
                <w:sz w:val="14"/>
              </w:rPr>
              <w:t>FC; cold acceptance/training</w:t>
            </w:r>
          </w:p>
        </w:tc>
      </w:tr>
      <w:tr>
        <w:tc>
          <w:tcPr>
            <w:tcW w:type="dxa" w:w="5227"/>
            <w:vAlign w:val="top"/>
          </w:tcPr>
          <w:p>
            <w:r>
              <w:rPr>
                <w:sz w:val="14"/>
              </w:rPr>
              <w:t>Main steam / turbine / feedwater</w:t>
            </w:r>
          </w:p>
        </w:tc>
        <w:tc>
          <w:tcPr>
            <w:tcW w:type="dxa" w:w="5227"/>
            <w:vAlign w:val="top"/>
          </w:tcPr>
          <w:p>
            <w:r>
              <w:rPr>
                <w:sz w:val="14"/>
              </w:rPr>
              <w:t>PC / FC</w:t>
            </w:r>
          </w:p>
        </w:tc>
      </w:tr>
      <w:tr>
        <w:tc>
          <w:tcPr>
            <w:tcW w:type="dxa" w:w="5227"/>
            <w:vAlign w:val="top"/>
          </w:tcPr>
          <w:p>
            <w:r>
              <w:rPr>
                <w:sz w:val="14"/>
              </w:rPr>
              <w:t>Grid synchronization</w:t>
            </w:r>
          </w:p>
        </w:tc>
        <w:tc>
          <w:tcPr>
            <w:tcW w:type="dxa" w:w="5227"/>
            <w:vAlign w:val="top"/>
          </w:tcPr>
          <w:p>
            <w:r>
              <w:rPr>
                <w:sz w:val="14"/>
              </w:rPr>
              <w:t>Not yet performed</w:t>
            </w:r>
          </w:p>
        </w:tc>
      </w:tr>
      <w:tr>
        <w:tc>
          <w:tcPr>
            <w:tcW w:type="dxa" w:w="5227"/>
            <w:vAlign w:val="top"/>
          </w:tcPr>
          <w:p>
            <w:r>
              <w:rPr>
                <w:sz w:val="14"/>
              </w:rPr>
              <w:t>Residual construction pockets</w:t>
            </w:r>
          </w:p>
        </w:tc>
        <w:tc>
          <w:tcPr>
            <w:tcW w:type="dxa" w:w="5227"/>
            <w:vAlign w:val="top"/>
          </w:tcPr>
          <w:p>
            <w:r>
              <w:rPr>
                <w:sz w:val="14"/>
              </w:rPr>
              <w:t>CON under post-turnover authorization where inside commissioned boundaries</w:t>
            </w:r>
          </w:p>
        </w:tc>
      </w:tr>
    </w:tbl>
    <w:p>
      <w:pPr>
        <w:pStyle w:val="Heading1"/>
      </w:pPr>
      <w:r>
        <w:t>Information hierarchy</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vAlign w:val="center"/>
          </w:tcPr>
          <w:p>
            <w:r>
              <w:rPr>
                <w:b/>
                <w:sz w:val="13"/>
              </w:rPr>
              <w:t>Level</w:t>
            </w:r>
          </w:p>
        </w:tc>
        <w:tc>
          <w:tcPr>
            <w:tcW w:type="dxa" w:w="2613"/>
            <w:vAlign w:val="center"/>
          </w:tcPr>
          <w:p>
            <w:r>
              <w:rPr>
                <w:b/>
                <w:sz w:val="13"/>
              </w:rPr>
              <w:t>Content</w:t>
            </w:r>
          </w:p>
        </w:tc>
        <w:tc>
          <w:tcPr>
            <w:tcW w:type="dxa" w:w="2613"/>
            <w:vAlign w:val="center"/>
          </w:tcPr>
          <w:p>
            <w:r>
              <w:rPr>
                <w:b/>
                <w:sz w:val="13"/>
              </w:rPr>
              <w:t>Latency</w:t>
            </w:r>
          </w:p>
        </w:tc>
        <w:tc>
          <w:tcPr>
            <w:tcW w:type="dxa" w:w="2613"/>
            <w:vAlign w:val="center"/>
          </w:tcPr>
          <w:p>
            <w:r>
              <w:rPr>
                <w:b/>
                <w:sz w:val="13"/>
              </w:rPr>
              <w:t>Primary creator / recipient</w:t>
            </w:r>
          </w:p>
        </w:tc>
      </w:tr>
      <w:tr>
        <w:tc>
          <w:tcPr>
            <w:tcW w:type="dxa" w:w="2613"/>
            <w:vAlign w:val="top"/>
          </w:tcPr>
          <w:p>
            <w:r>
              <w:rPr>
                <w:sz w:val="13"/>
              </w:rPr>
              <w:t>I0 - physical state</w:t>
            </w:r>
          </w:p>
        </w:tc>
        <w:tc>
          <w:tcPr>
            <w:tcW w:type="dxa" w:w="2613"/>
            <w:vAlign w:val="top"/>
          </w:tcPr>
          <w:p>
            <w:r>
              <w:rPr>
                <w:sz w:val="13"/>
              </w:rPr>
              <w:t>Actual valve position, restraint geometry, vibration, temperature, pressure, operator observation, witness marks.</w:t>
            </w:r>
          </w:p>
        </w:tc>
        <w:tc>
          <w:tcPr>
            <w:tcW w:type="dxa" w:w="2613"/>
            <w:vAlign w:val="top"/>
          </w:tcPr>
          <w:p>
            <w:r>
              <w:rPr>
                <w:sz w:val="13"/>
              </w:rPr>
              <w:t>Seconds to shift</w:t>
            </w:r>
          </w:p>
        </w:tc>
        <w:tc>
          <w:tcPr>
            <w:tcW w:type="dxa" w:w="2613"/>
            <w:vAlign w:val="top"/>
          </w:tcPr>
          <w:p>
            <w:r>
              <w:rPr>
                <w:sz w:val="13"/>
              </w:rPr>
              <w:t>Operator/technician/local instrument/test engineer.</w:t>
            </w:r>
          </w:p>
        </w:tc>
      </w:tr>
      <w:tr>
        <w:tc>
          <w:tcPr>
            <w:tcW w:type="dxa" w:w="2613"/>
            <w:vAlign w:val="top"/>
          </w:tcPr>
          <w:p>
            <w:r>
              <w:rPr>
                <w:sz w:val="13"/>
              </w:rPr>
              <w:t>I1 - raw evidence</w:t>
            </w:r>
          </w:p>
        </w:tc>
        <w:tc>
          <w:tcPr>
            <w:tcW w:type="dxa" w:w="2613"/>
            <w:vAlign w:val="top"/>
          </w:tcPr>
          <w:p>
            <w:r>
              <w:rPr>
                <w:sz w:val="13"/>
              </w:rPr>
              <w:t>Photos, sensor traces, operator logs, calibration data, test data sheets.</w:t>
            </w:r>
          </w:p>
        </w:tc>
        <w:tc>
          <w:tcPr>
            <w:tcW w:type="dxa" w:w="2613"/>
            <w:vAlign w:val="top"/>
          </w:tcPr>
          <w:p>
            <w:r>
              <w:rPr>
                <w:sz w:val="13"/>
              </w:rPr>
              <w:t>Immediate to same shift</w:t>
            </w:r>
          </w:p>
        </w:tc>
        <w:tc>
          <w:tcPr>
            <w:tcW w:type="dxa" w:w="2613"/>
            <w:vAlign w:val="top"/>
          </w:tcPr>
          <w:p>
            <w:r>
              <w:rPr>
                <w:sz w:val="13"/>
              </w:rPr>
              <w:t>Technician/test team; OPG/E&amp;C/contractor systems.</w:t>
            </w:r>
          </w:p>
        </w:tc>
      </w:tr>
      <w:tr>
        <w:tc>
          <w:tcPr>
            <w:tcW w:type="dxa" w:w="2613"/>
            <w:vAlign w:val="top"/>
          </w:tcPr>
          <w:p>
            <w:r>
              <w:rPr>
                <w:sz w:val="13"/>
              </w:rPr>
              <w:t>I2 - work / quality evidence</w:t>
            </w:r>
          </w:p>
        </w:tc>
        <w:tc>
          <w:tcPr>
            <w:tcW w:type="dxa" w:w="2613"/>
            <w:vAlign w:val="top"/>
          </w:tcPr>
          <w:p>
            <w:r>
              <w:rPr>
                <w:sz w:val="13"/>
              </w:rPr>
              <w:t>Work order, IWP, ITP, QC inspection, torque/alignment record, NCR, temporary-mod record.</w:t>
            </w:r>
          </w:p>
        </w:tc>
        <w:tc>
          <w:tcPr>
            <w:tcW w:type="dxa" w:w="2613"/>
            <w:vAlign w:val="top"/>
          </w:tcPr>
          <w:p>
            <w:r>
              <w:rPr>
                <w:sz w:val="13"/>
              </w:rPr>
              <w:t>Same shift to days</w:t>
            </w:r>
          </w:p>
        </w:tc>
        <w:tc>
          <w:tcPr>
            <w:tcW w:type="dxa" w:w="2613"/>
            <w:vAlign w:val="top"/>
          </w:tcPr>
          <w:p>
            <w:r>
              <w:rPr>
                <w:sz w:val="13"/>
              </w:rPr>
              <w:t>Performing organization; Bechtel/E&amp;C/OPG/QA by scope.</w:t>
            </w:r>
          </w:p>
        </w:tc>
      </w:tr>
      <w:tr>
        <w:tc>
          <w:tcPr>
            <w:tcW w:type="dxa" w:w="2613"/>
            <w:vAlign w:val="top"/>
          </w:tcPr>
          <w:p>
            <w:r>
              <w:rPr>
                <w:sz w:val="13"/>
              </w:rPr>
              <w:t>I3 - system status</w:t>
            </w:r>
          </w:p>
        </w:tc>
        <w:tc>
          <w:tcPr>
            <w:tcW w:type="dxa" w:w="2613"/>
            <w:vAlign w:val="top"/>
          </w:tcPr>
          <w:p>
            <w:r>
              <w:rPr>
                <w:sz w:val="13"/>
              </w:rPr>
              <w:t>Deficiency, availability, completion state, open item, readiness consequence, extent-of-condition flag.</w:t>
            </w:r>
          </w:p>
        </w:tc>
        <w:tc>
          <w:tcPr>
            <w:tcW w:type="dxa" w:w="2613"/>
            <w:vAlign w:val="top"/>
          </w:tcPr>
          <w:p>
            <w:r>
              <w:rPr>
                <w:sz w:val="13"/>
              </w:rPr>
              <w:t>Daily</w:t>
            </w:r>
          </w:p>
        </w:tc>
        <w:tc>
          <w:tcPr>
            <w:tcW w:type="dxa" w:w="2613"/>
            <w:vAlign w:val="top"/>
          </w:tcPr>
          <w:p>
            <w:r>
              <w:rPr>
                <w:sz w:val="13"/>
              </w:rPr>
              <w:t>System engineer / commissioning lead.</w:t>
            </w:r>
          </w:p>
        </w:tc>
      </w:tr>
      <w:tr>
        <w:tc>
          <w:tcPr>
            <w:tcW w:type="dxa" w:w="2613"/>
            <w:vAlign w:val="top"/>
          </w:tcPr>
          <w:p>
            <w:r>
              <w:rPr>
                <w:sz w:val="13"/>
              </w:rPr>
              <w:t>I4 - project controls</w:t>
            </w:r>
          </w:p>
        </w:tc>
        <w:tc>
          <w:tcPr>
            <w:tcW w:type="dxa" w:w="2613"/>
            <w:vAlign w:val="top"/>
          </w:tcPr>
          <w:p>
            <w:r>
              <w:rPr>
                <w:sz w:val="13"/>
              </w:rPr>
              <w:t>IMS status, cost-to-complete, milestone risk, contingency, top-risk register, management action.</w:t>
            </w:r>
          </w:p>
        </w:tc>
        <w:tc>
          <w:tcPr>
            <w:tcW w:type="dxa" w:w="2613"/>
            <w:vAlign w:val="top"/>
          </w:tcPr>
          <w:p>
            <w:r>
              <w:rPr>
                <w:sz w:val="13"/>
              </w:rPr>
              <w:t>Daily/weekly/monthly</w:t>
            </w:r>
          </w:p>
        </w:tc>
        <w:tc>
          <w:tcPr>
            <w:tcW w:type="dxa" w:w="2613"/>
            <w:vAlign w:val="top"/>
          </w:tcPr>
          <w:p>
            <w:r>
              <w:rPr>
                <w:sz w:val="13"/>
              </w:rPr>
              <w:t>E&amp;C/OPG project controls.</w:t>
            </w:r>
          </w:p>
        </w:tc>
      </w:tr>
      <w:tr>
        <w:tc>
          <w:tcPr>
            <w:tcW w:type="dxa" w:w="2613"/>
            <w:vAlign w:val="top"/>
          </w:tcPr>
          <w:p>
            <w:r>
              <w:rPr>
                <w:sz w:val="13"/>
              </w:rPr>
              <w:t>I5 - owner / regulator</w:t>
            </w:r>
          </w:p>
        </w:tc>
        <w:tc>
          <w:tcPr>
            <w:tcW w:type="dxa" w:w="2613"/>
            <w:vAlign w:val="top"/>
          </w:tcPr>
          <w:p>
            <w:r>
              <w:rPr>
                <w:sz w:val="13"/>
              </w:rPr>
              <w:t>Safety significance, licensing basis, reportability, hold-point status, commitments.</w:t>
            </w:r>
          </w:p>
        </w:tc>
        <w:tc>
          <w:tcPr>
            <w:tcW w:type="dxa" w:w="2613"/>
            <w:vAlign w:val="top"/>
          </w:tcPr>
          <w:p>
            <w:r>
              <w:rPr>
                <w:sz w:val="13"/>
              </w:rPr>
              <w:t>Event-driven / periodic</w:t>
            </w:r>
          </w:p>
        </w:tc>
        <w:tc>
          <w:tcPr>
            <w:tcW w:type="dxa" w:w="2613"/>
            <w:vAlign w:val="top"/>
          </w:tcPr>
          <w:p>
            <w:r>
              <w:rPr>
                <w:sz w:val="13"/>
              </w:rPr>
              <w:t>OPG Nuclear Safety/Regulatory Affairs; CNSC.</w:t>
            </w:r>
          </w:p>
        </w:tc>
      </w:tr>
      <w:tr>
        <w:tc>
          <w:tcPr>
            <w:tcW w:type="dxa" w:w="2613"/>
            <w:vAlign w:val="top"/>
          </w:tcPr>
          <w:p>
            <w:r>
              <w:rPr>
                <w:sz w:val="13"/>
              </w:rPr>
              <w:t>I6 - financing</w:t>
            </w:r>
          </w:p>
        </w:tc>
        <w:tc>
          <w:tcPr>
            <w:tcW w:type="dxa" w:w="2613"/>
            <w:vAlign w:val="top"/>
          </w:tcPr>
          <w:p>
            <w:r>
              <w:rPr>
                <w:sz w:val="13"/>
              </w:rPr>
              <w:t>LTA assessment, completion percentage, schedule/cost exception, liquidity effect, covenant/CP implication.</w:t>
            </w:r>
          </w:p>
        </w:tc>
        <w:tc>
          <w:tcPr>
            <w:tcW w:type="dxa" w:w="2613"/>
            <w:vAlign w:val="top"/>
          </w:tcPr>
          <w:p>
            <w:r>
              <w:rPr>
                <w:sz w:val="13"/>
              </w:rPr>
              <w:t>Monthly / transaction updates</w:t>
            </w:r>
          </w:p>
        </w:tc>
        <w:tc>
          <w:tcPr>
            <w:tcW w:type="dxa" w:w="2613"/>
            <w:vAlign w:val="top"/>
          </w:tcPr>
          <w:p>
            <w:r>
              <w:rPr>
                <w:sz w:val="13"/>
              </w:rPr>
              <w:t>S&amp;L and finance team.</w:t>
            </w:r>
          </w:p>
        </w:tc>
      </w:tr>
      <w:tr>
        <w:tc>
          <w:tcPr>
            <w:tcW w:type="dxa" w:w="2613"/>
            <w:vAlign w:val="top"/>
          </w:tcPr>
          <w:p>
            <w:r>
              <w:rPr>
                <w:sz w:val="13"/>
              </w:rPr>
              <w:t>I7 - government / investor executive</w:t>
            </w:r>
          </w:p>
        </w:tc>
        <w:tc>
          <w:tcPr>
            <w:tcW w:type="dxa" w:w="2613"/>
            <w:vAlign w:val="top"/>
          </w:tcPr>
          <w:p>
            <w:r>
              <w:rPr>
                <w:sz w:val="13"/>
              </w:rPr>
              <w:t>Milestone risk, fiscal exposure, high-level safety/regulatory status, decision requests.</w:t>
            </w:r>
          </w:p>
        </w:tc>
        <w:tc>
          <w:tcPr>
            <w:tcW w:type="dxa" w:w="2613"/>
            <w:vAlign w:val="top"/>
          </w:tcPr>
          <w:p>
            <w:r>
              <w:rPr>
                <w:sz w:val="13"/>
              </w:rPr>
              <w:t>Weekly/monthly/event-driven</w:t>
            </w:r>
          </w:p>
        </w:tc>
        <w:tc>
          <w:tcPr>
            <w:tcW w:type="dxa" w:w="2613"/>
            <w:vAlign w:val="top"/>
          </w:tcPr>
          <w:p>
            <w:r>
              <w:rPr>
                <w:sz w:val="13"/>
              </w:rPr>
              <w:t>Corporate/government liaison channels.</w:t>
            </w:r>
          </w:p>
        </w:tc>
      </w:tr>
      <w:tr>
        <w:tc>
          <w:tcPr>
            <w:tcW w:type="dxa" w:w="2613"/>
            <w:vAlign w:val="top"/>
          </w:tcPr>
          <w:p>
            <w:r>
              <w:rPr>
                <w:sz w:val="13"/>
              </w:rPr>
              <w:t>I8 - public</w:t>
            </w:r>
          </w:p>
        </w:tc>
        <w:tc>
          <w:tcPr>
            <w:tcW w:type="dxa" w:w="2613"/>
            <w:vAlign w:val="top"/>
          </w:tcPr>
          <w:p>
            <w:r>
              <w:rPr>
                <w:sz w:val="13"/>
              </w:rPr>
              <w:t>Authorized high-level facts and confirmed reportable-event information.</w:t>
            </w:r>
          </w:p>
        </w:tc>
        <w:tc>
          <w:tcPr>
            <w:tcW w:type="dxa" w:w="2613"/>
            <w:vAlign w:val="top"/>
          </w:tcPr>
          <w:p>
            <w:r>
              <w:rPr>
                <w:sz w:val="13"/>
              </w:rPr>
              <w:t>As required</w:t>
            </w:r>
          </w:p>
        </w:tc>
        <w:tc>
          <w:tcPr>
            <w:tcW w:type="dxa" w:w="2613"/>
            <w:vAlign w:val="top"/>
          </w:tcPr>
          <w:p>
            <w:r>
              <w:rPr>
                <w:sz w:val="13"/>
              </w:rPr>
              <w:t>Owner/regulator/government communications.</w:t>
            </w:r>
          </w:p>
        </w:tc>
      </w:tr>
    </w:tbl>
    <w:p>
      <w:pPr>
        <w:pStyle w:val="Heading1"/>
      </w:pPr>
      <w:r>
        <w:t>Nested document architecture</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Level</w:t>
            </w:r>
          </w:p>
        </w:tc>
        <w:tc>
          <w:tcPr>
            <w:tcW w:type="dxa" w:w="3485"/>
            <w:vAlign w:val="center"/>
          </w:tcPr>
          <w:p>
            <w:r>
              <w:rPr>
                <w:b/>
                <w:sz w:val="13"/>
              </w:rPr>
              <w:t>Representative instruments</w:t>
            </w:r>
          </w:p>
        </w:tc>
        <w:tc>
          <w:tcPr>
            <w:tcW w:type="dxa" w:w="3485"/>
            <w:vAlign w:val="center"/>
          </w:tcPr>
          <w:p>
            <w:r>
              <w:rPr>
                <w:b/>
                <w:sz w:val="13"/>
              </w:rPr>
              <w:t>Purpose</w:t>
            </w:r>
          </w:p>
        </w:tc>
      </w:tr>
      <w:tr>
        <w:tc>
          <w:tcPr>
            <w:tcW w:type="dxa" w:w="3485"/>
            <w:vAlign w:val="top"/>
          </w:tcPr>
          <w:p>
            <w:r>
              <w:rPr>
                <w:sz w:val="13"/>
              </w:rPr>
              <w:t>Governance</w:t>
            </w:r>
          </w:p>
        </w:tc>
        <w:tc>
          <w:tcPr>
            <w:tcW w:type="dxa" w:w="3485"/>
            <w:vAlign w:val="top"/>
          </w:tcPr>
          <w:p>
            <w:r>
              <w:rPr>
                <w:sz w:val="13"/>
              </w:rPr>
              <w:t>Project Charter; Project Execution Plan; delegated authority; risk/change/document-control procedures.</w:t>
            </w:r>
          </w:p>
        </w:tc>
        <w:tc>
          <w:tcPr>
            <w:tcW w:type="dxa" w:w="3485"/>
            <w:vAlign w:val="top"/>
          </w:tcPr>
          <w:p>
            <w:r>
              <w:rPr>
                <w:sz w:val="13"/>
              </w:rPr>
              <w:t>Defines governance and decision authority.</w:t>
            </w:r>
          </w:p>
        </w:tc>
      </w:tr>
      <w:tr>
        <w:tc>
          <w:tcPr>
            <w:tcW w:type="dxa" w:w="3485"/>
            <w:vAlign w:val="top"/>
          </w:tcPr>
          <w:p>
            <w:r>
              <w:rPr>
                <w:sz w:val="13"/>
              </w:rPr>
              <w:t>Construction strategy</w:t>
            </w:r>
          </w:p>
        </w:tc>
        <w:tc>
          <w:tcPr>
            <w:tcW w:type="dxa" w:w="3485"/>
            <w:vAlign w:val="top"/>
          </w:tcPr>
          <w:p>
            <w:r>
              <w:rPr>
                <w:sz w:val="13"/>
              </w:rPr>
              <w:t>Construction Management &amp; Execution Plan; Path of Construction; Site Logistics; AWP; modularization; temporary works; heavy lift; survey/metrology.</w:t>
            </w:r>
          </w:p>
        </w:tc>
        <w:tc>
          <w:tcPr>
            <w:tcW w:type="dxa" w:w="3485"/>
            <w:vAlign w:val="top"/>
          </w:tcPr>
          <w:p>
            <w:r>
              <w:rPr>
                <w:sz w:val="13"/>
              </w:rPr>
              <w:t>Defines how the site is physically built and controlled.</w:t>
            </w:r>
          </w:p>
        </w:tc>
      </w:tr>
      <w:tr>
        <w:tc>
          <w:tcPr>
            <w:tcW w:type="dxa" w:w="3485"/>
            <w:vAlign w:val="top"/>
          </w:tcPr>
          <w:p>
            <w:r>
              <w:rPr>
                <w:sz w:val="13"/>
              </w:rPr>
              <w:t>Discipline implementation</w:t>
            </w:r>
          </w:p>
        </w:tc>
        <w:tc>
          <w:tcPr>
            <w:tcW w:type="dxa" w:w="3485"/>
            <w:vAlign w:val="top"/>
          </w:tcPr>
          <w:p>
            <w:r>
              <w:rPr>
                <w:sz w:val="13"/>
              </w:rPr>
              <w:t>Concrete; embeds; structural; mechanical; piping; welding/NDE; electrical/cable/I&amp;C; HVAC/fire; cleanliness/FME procedures.</w:t>
            </w:r>
          </w:p>
        </w:tc>
        <w:tc>
          <w:tcPr>
            <w:tcW w:type="dxa" w:w="3485"/>
            <w:vAlign w:val="top"/>
          </w:tcPr>
          <w:p>
            <w:r>
              <w:rPr>
                <w:sz w:val="13"/>
              </w:rPr>
              <w:t>Defines discipline-specific execution.</w:t>
            </w:r>
          </w:p>
        </w:tc>
      </w:tr>
      <w:tr>
        <w:tc>
          <w:tcPr>
            <w:tcW w:type="dxa" w:w="3485"/>
            <w:vAlign w:val="top"/>
          </w:tcPr>
          <w:p>
            <w:r>
              <w:rPr>
                <w:sz w:val="13"/>
              </w:rPr>
              <w:t>Technical design</w:t>
            </w:r>
          </w:p>
        </w:tc>
        <w:tc>
          <w:tcPr>
            <w:tcW w:type="dxa" w:w="3485"/>
            <w:vAlign w:val="top"/>
          </w:tcPr>
          <w:p>
            <w:r>
              <w:rPr>
                <w:sz w:val="13"/>
              </w:rPr>
              <w:t>Owner/plant requirements; ConOps; SDD; PFD/P&amp;ID; one-lines; calculations; specs; datasheets/drawings.</w:t>
            </w:r>
          </w:p>
        </w:tc>
        <w:tc>
          <w:tcPr>
            <w:tcW w:type="dxa" w:w="3485"/>
            <w:vAlign w:val="top"/>
          </w:tcPr>
          <w:p>
            <w:r>
              <w:rPr>
                <w:sz w:val="13"/>
              </w:rPr>
              <w:t>Defines what the plant must be and how it performs.</w:t>
            </w:r>
          </w:p>
        </w:tc>
      </w:tr>
      <w:tr>
        <w:tc>
          <w:tcPr>
            <w:tcW w:type="dxa" w:w="3485"/>
            <w:vAlign w:val="top"/>
          </w:tcPr>
          <w:p>
            <w:r>
              <w:rPr>
                <w:sz w:val="13"/>
              </w:rPr>
              <w:t>Procurement/vendor</w:t>
            </w:r>
          </w:p>
        </w:tc>
        <w:tc>
          <w:tcPr>
            <w:tcW w:type="dxa" w:w="3485"/>
            <w:vAlign w:val="top"/>
          </w:tcPr>
          <w:p>
            <w:r>
              <w:rPr>
                <w:sz w:val="13"/>
              </w:rPr>
              <w:t>Requisition/RFQ; bid evaluation; PO; VDRL; supplier quality plan; manufacturing/inspection plan; FAT; MRB.</w:t>
            </w:r>
          </w:p>
        </w:tc>
        <w:tc>
          <w:tcPr>
            <w:tcW w:type="dxa" w:w="3485"/>
            <w:vAlign w:val="top"/>
          </w:tcPr>
          <w:p>
            <w:r>
              <w:rPr>
                <w:sz w:val="13"/>
              </w:rPr>
              <w:t>Controls purchased equipment.</w:t>
            </w:r>
          </w:p>
        </w:tc>
      </w:tr>
      <w:tr>
        <w:tc>
          <w:tcPr>
            <w:tcW w:type="dxa" w:w="3485"/>
            <w:vAlign w:val="top"/>
          </w:tcPr>
          <w:p>
            <w:r>
              <w:rPr>
                <w:sz w:val="13"/>
              </w:rPr>
              <w:t>AWP/workface</w:t>
            </w:r>
          </w:p>
        </w:tc>
        <w:tc>
          <w:tcPr>
            <w:tcW w:type="dxa" w:w="3485"/>
            <w:vAlign w:val="top"/>
          </w:tcPr>
          <w:p>
            <w:r>
              <w:rPr>
                <w:sz w:val="13"/>
              </w:rPr>
              <w:t>EWP → PWP → CWP → IWP; method statement; ITP; JHA; constraint checks.</w:t>
            </w:r>
          </w:p>
        </w:tc>
        <w:tc>
          <w:tcPr>
            <w:tcW w:type="dxa" w:w="3485"/>
            <w:vAlign w:val="top"/>
          </w:tcPr>
          <w:p>
            <w:r>
              <w:rPr>
                <w:sz w:val="13"/>
              </w:rPr>
              <w:t>Turns design into executable scope.</w:t>
            </w:r>
          </w:p>
        </w:tc>
      </w:tr>
      <w:tr>
        <w:tc>
          <w:tcPr>
            <w:tcW w:type="dxa" w:w="3485"/>
            <w:vAlign w:val="top"/>
          </w:tcPr>
          <w:p>
            <w:r>
              <w:rPr>
                <w:sz w:val="13"/>
              </w:rPr>
              <w:t>Evidence</w:t>
            </w:r>
          </w:p>
        </w:tc>
        <w:tc>
          <w:tcPr>
            <w:tcW w:type="dxa" w:w="3485"/>
            <w:vAlign w:val="top"/>
          </w:tcPr>
          <w:p>
            <w:r>
              <w:rPr>
                <w:sz w:val="13"/>
              </w:rPr>
              <w:t>Inspection requests; hold releases; weld maps/NDE; torque/alignment/grout; calibration/loop checks; photos; NCRs.</w:t>
            </w:r>
          </w:p>
        </w:tc>
        <w:tc>
          <w:tcPr>
            <w:tcW w:type="dxa" w:w="3485"/>
            <w:vAlign w:val="top"/>
          </w:tcPr>
          <w:p>
            <w:r>
              <w:rPr>
                <w:sz w:val="13"/>
              </w:rPr>
              <w:t>Proves the installed condition.</w:t>
            </w:r>
          </w:p>
        </w:tc>
      </w:tr>
      <w:tr>
        <w:tc>
          <w:tcPr>
            <w:tcW w:type="dxa" w:w="3485"/>
            <w:vAlign w:val="top"/>
          </w:tcPr>
          <w:p>
            <w:r>
              <w:rPr>
                <w:sz w:val="13"/>
              </w:rPr>
              <w:t>Turnover/commissioning</w:t>
            </w:r>
          </w:p>
        </w:tc>
        <w:tc>
          <w:tcPr>
            <w:tcW w:type="dxa" w:w="3485"/>
            <w:vAlign w:val="top"/>
          </w:tcPr>
          <w:p>
            <w:r>
              <w:rPr>
                <w:sz w:val="13"/>
              </w:rPr>
              <w:t>MC certificate; turnover dossier; boundary drawings; punch/open items; commissioning plans/tests; temporary-mod register.</w:t>
            </w:r>
          </w:p>
        </w:tc>
        <w:tc>
          <w:tcPr>
            <w:tcW w:type="dxa" w:w="3485"/>
            <w:vAlign w:val="top"/>
          </w:tcPr>
          <w:p>
            <w:r>
              <w:rPr>
                <w:sz w:val="13"/>
              </w:rPr>
              <w:t>Transfers custody and proves function.</w:t>
            </w:r>
          </w:p>
        </w:tc>
      </w:tr>
      <w:tr>
        <w:tc>
          <w:tcPr>
            <w:tcW w:type="dxa" w:w="3485"/>
            <w:vAlign w:val="top"/>
          </w:tcPr>
          <w:p>
            <w:r>
              <w:rPr>
                <w:sz w:val="13"/>
              </w:rPr>
              <w:t>Operations/maintenance</w:t>
            </w:r>
          </w:p>
        </w:tc>
        <w:tc>
          <w:tcPr>
            <w:tcW w:type="dxa" w:w="3485"/>
            <w:vAlign w:val="top"/>
          </w:tcPr>
          <w:p>
            <w:r>
              <w:rPr>
                <w:sz w:val="13"/>
              </w:rPr>
              <w:t>Operating/alarm/abnormal/emergency procedures; PM programme; work orders; calibration/surveillance; configuration history.</w:t>
            </w:r>
          </w:p>
        </w:tc>
        <w:tc>
          <w:tcPr>
            <w:tcW w:type="dxa" w:w="3485"/>
            <w:vAlign w:val="top"/>
          </w:tcPr>
          <w:p>
            <w:r>
              <w:rPr>
                <w:sz w:val="13"/>
              </w:rPr>
              <w:t>Maintains the as-operated plant.</w:t>
            </w:r>
          </w:p>
        </w:tc>
      </w:tr>
    </w:tbl>
    <w:p>
      <w:pPr>
        <w:pStyle w:val="Heading1"/>
      </w:pPr>
      <w:r>
        <w:t>Representative equipment genealogy — one BHT pump</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3"/>
              </w:rPr>
              <w:t>Lifecycle step</w:t>
            </w:r>
          </w:p>
        </w:tc>
        <w:tc>
          <w:tcPr>
            <w:tcW w:type="dxa" w:w="5227"/>
            <w:vAlign w:val="center"/>
          </w:tcPr>
          <w:p>
            <w:r>
              <w:rPr>
                <w:b/>
                <w:sz w:val="13"/>
              </w:rPr>
              <w:t>Representative record</w:t>
            </w:r>
          </w:p>
        </w:tc>
      </w:tr>
      <w:tr>
        <w:tc>
          <w:tcPr>
            <w:tcW w:type="dxa" w:w="5227"/>
            <w:vAlign w:val="top"/>
          </w:tcPr>
          <w:p>
            <w:r>
              <w:rPr>
                <w:sz w:val="13"/>
              </w:rPr>
              <w:t>Requirement</w:t>
            </w:r>
          </w:p>
        </w:tc>
        <w:tc>
          <w:tcPr>
            <w:tcW w:type="dxa" w:w="5227"/>
            <w:vAlign w:val="top"/>
          </w:tcPr>
          <w:p>
            <w:r>
              <w:rPr>
                <w:sz w:val="13"/>
              </w:rPr>
              <w:t>Owner Requirement → Plant Requirement → BHT system requirement.</w:t>
            </w:r>
          </w:p>
        </w:tc>
      </w:tr>
      <w:tr>
        <w:tc>
          <w:tcPr>
            <w:tcW w:type="dxa" w:w="5227"/>
            <w:vAlign w:val="top"/>
          </w:tcPr>
          <w:p>
            <w:r>
              <w:rPr>
                <w:sz w:val="13"/>
              </w:rPr>
              <w:t>System design</w:t>
            </w:r>
          </w:p>
        </w:tc>
        <w:tc>
          <w:tcPr>
            <w:tcW w:type="dxa" w:w="5227"/>
            <w:vAlign w:val="top"/>
          </w:tcPr>
          <w:p>
            <w:r>
              <w:rPr>
                <w:sz w:val="13"/>
              </w:rPr>
              <w:t>SDD-BHT-400, P&amp;ID, heat/mass balance, safety/classification inputs.</w:t>
            </w:r>
          </w:p>
        </w:tc>
      </w:tr>
      <w:tr>
        <w:tc>
          <w:tcPr>
            <w:tcW w:type="dxa" w:w="5227"/>
            <w:vAlign w:val="top"/>
          </w:tcPr>
          <w:p>
            <w:r>
              <w:rPr>
                <w:sz w:val="13"/>
              </w:rPr>
              <w:t>Equipment definition</w:t>
            </w:r>
          </w:p>
        </w:tc>
        <w:tc>
          <w:tcPr>
            <w:tcW w:type="dxa" w:w="5227"/>
            <w:vAlign w:val="top"/>
          </w:tcPr>
          <w:p>
            <w:r>
              <w:rPr>
                <w:sz w:val="13"/>
              </w:rPr>
              <w:t>Pump datasheet, technical specification, hydraulic/seismic/anchorage calculations.</w:t>
            </w:r>
          </w:p>
        </w:tc>
      </w:tr>
      <w:tr>
        <w:tc>
          <w:tcPr>
            <w:tcW w:type="dxa" w:w="5227"/>
            <w:vAlign w:val="top"/>
          </w:tcPr>
          <w:p>
            <w:r>
              <w:rPr>
                <w:sz w:val="13"/>
              </w:rPr>
              <w:t>Procurement</w:t>
            </w:r>
          </w:p>
        </w:tc>
        <w:tc>
          <w:tcPr>
            <w:tcW w:type="dxa" w:w="5227"/>
            <w:vAlign w:val="top"/>
          </w:tcPr>
          <w:p>
            <w:r>
              <w:rPr>
                <w:sz w:val="13"/>
              </w:rPr>
              <w:t>Material requisition, RFQ, technical/commercial bid evaluation, PO.</w:t>
            </w:r>
          </w:p>
        </w:tc>
      </w:tr>
      <w:tr>
        <w:tc>
          <w:tcPr>
            <w:tcW w:type="dxa" w:w="5227"/>
            <w:vAlign w:val="top"/>
          </w:tcPr>
          <w:p>
            <w:r>
              <w:rPr>
                <w:sz w:val="13"/>
              </w:rPr>
              <w:t>Supplier engineering</w:t>
            </w:r>
          </w:p>
        </w:tc>
        <w:tc>
          <w:tcPr>
            <w:tcW w:type="dxa" w:w="5227"/>
            <w:vAlign w:val="top"/>
          </w:tcPr>
          <w:p>
            <w:r>
              <w:rPr>
                <w:sz w:val="13"/>
              </w:rPr>
              <w:t>GA, interface loads, foundation drawing, supplier quality plan, MIP/ITP.</w:t>
            </w:r>
          </w:p>
        </w:tc>
      </w:tr>
      <w:tr>
        <w:tc>
          <w:tcPr>
            <w:tcW w:type="dxa" w:w="5227"/>
            <w:vAlign w:val="top"/>
          </w:tcPr>
          <w:p>
            <w:r>
              <w:rPr>
                <w:sz w:val="13"/>
              </w:rPr>
              <w:t>Manufacturing</w:t>
            </w:r>
          </w:p>
        </w:tc>
        <w:tc>
          <w:tcPr>
            <w:tcW w:type="dxa" w:w="5227"/>
            <w:vAlign w:val="top"/>
          </w:tcPr>
          <w:p>
            <w:r>
              <w:rPr>
                <w:sz w:val="13"/>
              </w:rPr>
              <w:t>Material certs, weld/NDE, dynamic balance, pressure/performance tests, FAT, MRB, CoC.</w:t>
            </w:r>
          </w:p>
        </w:tc>
      </w:tr>
      <w:tr>
        <w:tc>
          <w:tcPr>
            <w:tcW w:type="dxa" w:w="5227"/>
            <w:vAlign w:val="top"/>
          </w:tcPr>
          <w:p>
            <w:r>
              <w:rPr>
                <w:sz w:val="13"/>
              </w:rPr>
              <w:t>Logistics</w:t>
            </w:r>
          </w:p>
        </w:tc>
        <w:tc>
          <w:tcPr>
            <w:tcW w:type="dxa" w:w="5227"/>
            <w:vAlign w:val="top"/>
          </w:tcPr>
          <w:p>
            <w:r>
              <w:rPr>
                <w:sz w:val="13"/>
              </w:rPr>
              <w:t>Shipping release, preservation, shock/vibration record, receiving inspection, QA release.</w:t>
            </w:r>
          </w:p>
        </w:tc>
      </w:tr>
      <w:tr>
        <w:tc>
          <w:tcPr>
            <w:tcW w:type="dxa" w:w="5227"/>
            <w:vAlign w:val="top"/>
          </w:tcPr>
          <w:p>
            <w:r>
              <w:rPr>
                <w:sz w:val="13"/>
              </w:rPr>
              <w:t>Construction</w:t>
            </w:r>
          </w:p>
        </w:tc>
        <w:tc>
          <w:tcPr>
            <w:tcW w:type="dxa" w:w="5227"/>
            <w:vAlign w:val="top"/>
          </w:tcPr>
          <w:p>
            <w:r>
              <w:rPr>
                <w:sz w:val="13"/>
              </w:rPr>
              <w:t>CWP/IWP, method statement, foundation release, setting, anchorage, grout, alignment, piping free-state, electrical/I&amp;C checks.</w:t>
            </w:r>
          </w:p>
        </w:tc>
      </w:tr>
      <w:tr>
        <w:tc>
          <w:tcPr>
            <w:tcW w:type="dxa" w:w="5227"/>
            <w:vAlign w:val="top"/>
          </w:tcPr>
          <w:p>
            <w:r>
              <w:rPr>
                <w:sz w:val="13"/>
              </w:rPr>
              <w:t>Mechanical completion</w:t>
            </w:r>
          </w:p>
        </w:tc>
        <w:tc>
          <w:tcPr>
            <w:tcW w:type="dxa" w:w="5227"/>
            <w:vAlign w:val="top"/>
          </w:tcPr>
          <w:p>
            <w:r>
              <w:rPr>
                <w:sz w:val="13"/>
              </w:rPr>
              <w:t>ITP closure, punch/NCR closure, MC certificate.</w:t>
            </w:r>
          </w:p>
        </w:tc>
      </w:tr>
      <w:tr>
        <w:tc>
          <w:tcPr>
            <w:tcW w:type="dxa" w:w="5227"/>
            <w:vAlign w:val="top"/>
          </w:tcPr>
          <w:p>
            <w:r>
              <w:rPr>
                <w:sz w:val="13"/>
              </w:rPr>
              <w:t>Turnover</w:t>
            </w:r>
          </w:p>
        </w:tc>
        <w:tc>
          <w:tcPr>
            <w:tcW w:type="dxa" w:w="5227"/>
            <w:vAlign w:val="top"/>
          </w:tcPr>
          <w:p>
            <w:r>
              <w:rPr>
                <w:sz w:val="13"/>
              </w:rPr>
              <w:t>System dossier, as-builts, open-item list, custody transfer.</w:t>
            </w:r>
          </w:p>
        </w:tc>
      </w:tr>
      <w:tr>
        <w:tc>
          <w:tcPr>
            <w:tcW w:type="dxa" w:w="5227"/>
            <w:vAlign w:val="top"/>
          </w:tcPr>
          <w:p>
            <w:r>
              <w:rPr>
                <w:sz w:val="13"/>
              </w:rPr>
              <w:t>Commissioning</w:t>
            </w:r>
          </w:p>
        </w:tc>
        <w:tc>
          <w:tcPr>
            <w:tcW w:type="dxa" w:w="5227"/>
            <w:vAlign w:val="top"/>
          </w:tcPr>
          <w:p>
            <w:r>
              <w:rPr>
                <w:sz w:val="13"/>
              </w:rPr>
              <w:t>System commissioning plan, performance test, deviation/retest, report.</w:t>
            </w:r>
          </w:p>
        </w:tc>
      </w:tr>
      <w:tr>
        <w:tc>
          <w:tcPr>
            <w:tcW w:type="dxa" w:w="5227"/>
            <w:vAlign w:val="top"/>
          </w:tcPr>
          <w:p>
            <w:r>
              <w:rPr>
                <w:sz w:val="13"/>
              </w:rPr>
              <w:t>Operation/maintenance</w:t>
            </w:r>
          </w:p>
        </w:tc>
        <w:tc>
          <w:tcPr>
            <w:tcW w:type="dxa" w:w="5227"/>
            <w:vAlign w:val="top"/>
          </w:tcPr>
          <w:p>
            <w:r>
              <w:rPr>
                <w:sz w:val="13"/>
              </w:rPr>
              <w:t>Operating procedure, PM basis, work-order history, temporary-modification history.</w:t>
            </w:r>
          </w:p>
        </w:tc>
      </w:tr>
    </w:tbl>
    <w:p>
      <w:pPr>
        <w:pStyle w:val="Heading1"/>
      </w:pPr>
      <w:r>
        <w:t>Asset-register baseline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Register class</w:t>
            </w:r>
          </w:p>
        </w:tc>
        <w:tc>
          <w:tcPr>
            <w:tcW w:type="dxa" w:w="5227"/>
            <w:vAlign w:val="center"/>
          </w:tcPr>
          <w:p>
            <w:r>
              <w:rPr>
                <w:b/>
                <w:sz w:val="14"/>
              </w:rPr>
              <w:t>Count</w:t>
            </w:r>
          </w:p>
        </w:tc>
      </w:tr>
      <w:tr>
        <w:tc>
          <w:tcPr>
            <w:tcW w:type="dxa" w:w="5227"/>
            <w:vAlign w:val="top"/>
          </w:tcPr>
          <w:p>
            <w:r>
              <w:rPr>
                <w:sz w:val="14"/>
              </w:rPr>
              <w:t>Permanent</w:t>
            </w:r>
          </w:p>
        </w:tc>
        <w:tc>
          <w:tcPr>
            <w:tcW w:type="dxa" w:w="5227"/>
            <w:vAlign w:val="top"/>
          </w:tcPr>
          <w:p>
            <w:r>
              <w:rPr>
                <w:sz w:val="14"/>
              </w:rPr>
              <w:t>20436</w:t>
            </w:r>
          </w:p>
        </w:tc>
      </w:tr>
      <w:tr>
        <w:tc>
          <w:tcPr>
            <w:tcW w:type="dxa" w:w="5227"/>
            <w:vAlign w:val="top"/>
          </w:tcPr>
          <w:p>
            <w:r>
              <w:rPr>
                <w:sz w:val="14"/>
              </w:rPr>
              <w:t>Temporary</w:t>
            </w:r>
          </w:p>
        </w:tc>
        <w:tc>
          <w:tcPr>
            <w:tcW w:type="dxa" w:w="5227"/>
            <w:vAlign w:val="top"/>
          </w:tcPr>
          <w:p>
            <w:r>
              <w:rPr>
                <w:sz w:val="14"/>
              </w:rPr>
              <w:t>2065</w:t>
            </w:r>
          </w:p>
        </w:tc>
      </w:tr>
      <w:tr>
        <w:tc>
          <w:tcPr>
            <w:tcW w:type="dxa" w:w="5227"/>
            <w:vAlign w:val="top"/>
          </w:tcPr>
          <w:p>
            <w:r>
              <w:rPr>
                <w:sz w:val="14"/>
              </w:rPr>
              <w:t>Temporary/Project Support</w:t>
            </w:r>
          </w:p>
        </w:tc>
        <w:tc>
          <w:tcPr>
            <w:tcW w:type="dxa" w:w="5227"/>
            <w:vAlign w:val="top"/>
          </w:tcPr>
          <w:p>
            <w:r>
              <w:rPr>
                <w:sz w:val="14"/>
              </w:rPr>
              <w:t>130</w:t>
            </w:r>
          </w:p>
        </w:tc>
      </w:tr>
      <w:tr>
        <w:tc>
          <w:tcPr>
            <w:tcW w:type="dxa" w:w="5227"/>
            <w:vAlign w:val="top"/>
          </w:tcPr>
          <w:p>
            <w:r>
              <w:rPr>
                <w:sz w:val="14"/>
              </w:rPr>
              <w:t>Temporary Project Tooling</w:t>
            </w:r>
          </w:p>
        </w:tc>
        <w:tc>
          <w:tcPr>
            <w:tcW w:type="dxa" w:w="5227"/>
            <w:vAlign w:val="top"/>
          </w:tcPr>
          <w:p>
            <w:r>
              <w:rPr>
                <w:sz w:val="14"/>
              </w:rPr>
              <w:t>16</w:t>
            </w:r>
          </w:p>
        </w:tc>
      </w:tr>
      <w:tr>
        <w:tc>
          <w:tcPr>
            <w:tcW w:type="dxa" w:w="5227"/>
            <w:vAlign w:val="top"/>
          </w:tcPr>
          <w:p>
            <w:r>
              <w:rPr>
                <w:sz w:val="14"/>
              </w:rPr>
              <w:t>TOTAL</w:t>
            </w:r>
          </w:p>
        </w:tc>
        <w:tc>
          <w:tcPr>
            <w:tcW w:type="dxa" w:w="5227"/>
            <w:vAlign w:val="top"/>
          </w:tcPr>
          <w:p>
            <w:r>
              <w:rPr>
                <w:sz w:val="14"/>
              </w:rPr>
              <w:t>22647</w:t>
            </w:r>
          </w:p>
        </w:tc>
      </w:tr>
    </w:tbl>
    <w:p>
      <w:pPr>
        <w:pStyle w:val="Heading1"/>
      </w:pPr>
      <w:r>
        <w:t>Highest-population system families in Rev A working register</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System</w:t>
            </w:r>
          </w:p>
        </w:tc>
        <w:tc>
          <w:tcPr>
            <w:tcW w:type="dxa" w:w="5227"/>
            <w:vAlign w:val="center"/>
          </w:tcPr>
          <w:p>
            <w:r>
              <w:rPr>
                <w:b/>
                <w:sz w:val="14"/>
              </w:rPr>
              <w:t>Controlled asset rows</w:t>
            </w:r>
          </w:p>
        </w:tc>
      </w:tr>
      <w:tr>
        <w:tc>
          <w:tcPr>
            <w:tcW w:type="dxa" w:w="5227"/>
            <w:vAlign w:val="top"/>
          </w:tcPr>
          <w:p>
            <w:r>
              <w:rPr>
                <w:sz w:val="14"/>
              </w:rPr>
              <w:t>CRY</w:t>
            </w:r>
          </w:p>
        </w:tc>
        <w:tc>
          <w:tcPr>
            <w:tcW w:type="dxa" w:w="5227"/>
            <w:vAlign w:val="top"/>
          </w:tcPr>
          <w:p>
            <w:r>
              <w:rPr>
                <w:sz w:val="14"/>
              </w:rPr>
              <w:t>1148</w:t>
            </w:r>
          </w:p>
        </w:tc>
      </w:tr>
      <w:tr>
        <w:tc>
          <w:tcPr>
            <w:tcW w:type="dxa" w:w="5227"/>
            <w:vAlign w:val="top"/>
          </w:tcPr>
          <w:p>
            <w:r>
              <w:rPr>
                <w:sz w:val="14"/>
              </w:rPr>
              <w:t>BHT</w:t>
            </w:r>
          </w:p>
        </w:tc>
        <w:tc>
          <w:tcPr>
            <w:tcW w:type="dxa" w:w="5227"/>
            <w:vAlign w:val="top"/>
          </w:tcPr>
          <w:p>
            <w:r>
              <w:rPr>
                <w:sz w:val="14"/>
              </w:rPr>
              <w:t>1036</w:t>
            </w:r>
          </w:p>
        </w:tc>
      </w:tr>
      <w:tr>
        <w:tc>
          <w:tcPr>
            <w:tcW w:type="dxa" w:w="5227"/>
            <w:vAlign w:val="top"/>
          </w:tcPr>
          <w:p>
            <w:r>
              <w:rPr>
                <w:sz w:val="14"/>
              </w:rPr>
              <w:t>E&amp;I-BULK</w:t>
            </w:r>
          </w:p>
        </w:tc>
        <w:tc>
          <w:tcPr>
            <w:tcW w:type="dxa" w:w="5227"/>
            <w:vAlign w:val="top"/>
          </w:tcPr>
          <w:p>
            <w:r>
              <w:rPr>
                <w:sz w:val="14"/>
              </w:rPr>
              <w:t>980</w:t>
            </w:r>
          </w:p>
        </w:tc>
      </w:tr>
      <w:tr>
        <w:tc>
          <w:tcPr>
            <w:tcW w:type="dxa" w:w="5227"/>
            <w:vAlign w:val="top"/>
          </w:tcPr>
          <w:p>
            <w:r>
              <w:rPr>
                <w:sz w:val="14"/>
              </w:rPr>
              <w:t>VAC</w:t>
            </w:r>
          </w:p>
        </w:tc>
        <w:tc>
          <w:tcPr>
            <w:tcW w:type="dxa" w:w="5227"/>
            <w:vAlign w:val="top"/>
          </w:tcPr>
          <w:p>
            <w:r>
              <w:rPr>
                <w:sz w:val="14"/>
              </w:rPr>
              <w:t>844</w:t>
            </w:r>
          </w:p>
        </w:tc>
      </w:tr>
      <w:tr>
        <w:tc>
          <w:tcPr>
            <w:tcW w:type="dxa" w:w="5227"/>
            <w:vAlign w:val="top"/>
          </w:tcPr>
          <w:p>
            <w:r>
              <w:rPr>
                <w:sz w:val="14"/>
              </w:rPr>
              <w:t>CCW</w:t>
            </w:r>
          </w:p>
        </w:tc>
        <w:tc>
          <w:tcPr>
            <w:tcW w:type="dxa" w:w="5227"/>
            <w:vAlign w:val="top"/>
          </w:tcPr>
          <w:p>
            <w:r>
              <w:rPr>
                <w:sz w:val="14"/>
              </w:rPr>
              <w:t>760</w:t>
            </w:r>
          </w:p>
        </w:tc>
      </w:tr>
      <w:tr>
        <w:tc>
          <w:tcPr>
            <w:tcW w:type="dxa" w:w="5227"/>
            <w:vAlign w:val="top"/>
          </w:tcPr>
          <w:p>
            <w:r>
              <w:rPr>
                <w:sz w:val="14"/>
              </w:rPr>
              <w:t>SECURITY</w:t>
            </w:r>
          </w:p>
        </w:tc>
        <w:tc>
          <w:tcPr>
            <w:tcW w:type="dxa" w:w="5227"/>
            <w:vAlign w:val="top"/>
          </w:tcPr>
          <w:p>
            <w:r>
              <w:rPr>
                <w:sz w:val="14"/>
              </w:rPr>
              <w:t>740</w:t>
            </w:r>
          </w:p>
        </w:tc>
      </w:tr>
      <w:tr>
        <w:tc>
          <w:tcPr>
            <w:tcW w:type="dxa" w:w="5227"/>
            <w:vAlign w:val="top"/>
          </w:tcPr>
          <w:p>
            <w:r>
              <w:rPr>
                <w:sz w:val="14"/>
              </w:rPr>
              <w:t>TUR</w:t>
            </w:r>
          </w:p>
        </w:tc>
        <w:tc>
          <w:tcPr>
            <w:tcW w:type="dxa" w:w="5227"/>
            <w:vAlign w:val="top"/>
          </w:tcPr>
          <w:p>
            <w:r>
              <w:rPr>
                <w:sz w:val="14"/>
              </w:rPr>
              <w:t>736</w:t>
            </w:r>
          </w:p>
        </w:tc>
      </w:tr>
      <w:tr>
        <w:tc>
          <w:tcPr>
            <w:tcW w:type="dxa" w:w="5227"/>
            <w:vAlign w:val="top"/>
          </w:tcPr>
          <w:p>
            <w:r>
              <w:rPr>
                <w:sz w:val="14"/>
              </w:rPr>
              <w:t>HVAC-CONFINEMENT</w:t>
            </w:r>
          </w:p>
        </w:tc>
        <w:tc>
          <w:tcPr>
            <w:tcW w:type="dxa" w:w="5227"/>
            <w:vAlign w:val="top"/>
          </w:tcPr>
          <w:p>
            <w:r>
              <w:rPr>
                <w:sz w:val="14"/>
              </w:rPr>
              <w:t>668</w:t>
            </w:r>
          </w:p>
        </w:tc>
      </w:tr>
      <w:tr>
        <w:tc>
          <w:tcPr>
            <w:tcW w:type="dxa" w:w="5227"/>
            <w:vAlign w:val="top"/>
          </w:tcPr>
          <w:p>
            <w:r>
              <w:rPr>
                <w:sz w:val="14"/>
              </w:rPr>
              <w:t>CFW</w:t>
            </w:r>
          </w:p>
        </w:tc>
        <w:tc>
          <w:tcPr>
            <w:tcW w:type="dxa" w:w="5227"/>
            <w:vAlign w:val="top"/>
          </w:tcPr>
          <w:p>
            <w:r>
              <w:rPr>
                <w:sz w:val="14"/>
              </w:rPr>
              <w:t>656</w:t>
            </w:r>
          </w:p>
        </w:tc>
      </w:tr>
      <w:tr>
        <w:tc>
          <w:tcPr>
            <w:tcW w:type="dxa" w:w="5227"/>
            <w:vAlign w:val="top"/>
          </w:tcPr>
          <w:p>
            <w:r>
              <w:rPr>
                <w:sz w:val="14"/>
              </w:rPr>
              <w:t>UTL</w:t>
            </w:r>
          </w:p>
        </w:tc>
        <w:tc>
          <w:tcPr>
            <w:tcW w:type="dxa" w:w="5227"/>
            <w:vAlign w:val="top"/>
          </w:tcPr>
          <w:p>
            <w:r>
              <w:rPr>
                <w:sz w:val="14"/>
              </w:rPr>
              <w:t>628</w:t>
            </w:r>
          </w:p>
        </w:tc>
      </w:tr>
      <w:tr>
        <w:tc>
          <w:tcPr>
            <w:tcW w:type="dxa" w:w="5227"/>
            <w:vAlign w:val="top"/>
          </w:tcPr>
          <w:p>
            <w:r>
              <w:rPr>
                <w:sz w:val="14"/>
              </w:rPr>
              <w:t>NBI</w:t>
            </w:r>
          </w:p>
        </w:tc>
        <w:tc>
          <w:tcPr>
            <w:tcW w:type="dxa" w:w="5227"/>
            <w:vAlign w:val="top"/>
          </w:tcPr>
          <w:p>
            <w:r>
              <w:rPr>
                <w:sz w:val="14"/>
              </w:rPr>
              <w:t>532</w:t>
            </w:r>
          </w:p>
        </w:tc>
      </w:tr>
      <w:tr>
        <w:tc>
          <w:tcPr>
            <w:tcW w:type="dxa" w:w="5227"/>
            <w:vAlign w:val="top"/>
          </w:tcPr>
          <w:p>
            <w:r>
              <w:rPr>
                <w:sz w:val="14"/>
              </w:rPr>
              <w:t>BTX</w:t>
            </w:r>
          </w:p>
        </w:tc>
        <w:tc>
          <w:tcPr>
            <w:tcW w:type="dxa" w:w="5227"/>
            <w:vAlign w:val="top"/>
          </w:tcPr>
          <w:p>
            <w:r>
              <w:rPr>
                <w:sz w:val="14"/>
              </w:rPr>
              <w:t>524</w:t>
            </w:r>
          </w:p>
        </w:tc>
      </w:tr>
      <w:tr>
        <w:tc>
          <w:tcPr>
            <w:tcW w:type="dxa" w:w="5227"/>
            <w:vAlign w:val="top"/>
          </w:tcPr>
          <w:p>
            <w:r>
              <w:rPr>
                <w:sz w:val="14"/>
              </w:rPr>
              <w:t>DRN</w:t>
            </w:r>
          </w:p>
        </w:tc>
        <w:tc>
          <w:tcPr>
            <w:tcW w:type="dxa" w:w="5227"/>
            <w:vAlign w:val="top"/>
          </w:tcPr>
          <w:p>
            <w:r>
              <w:rPr>
                <w:sz w:val="14"/>
              </w:rPr>
              <w:t>522</w:t>
            </w:r>
          </w:p>
        </w:tc>
      </w:tr>
      <w:tr>
        <w:tc>
          <w:tcPr>
            <w:tcW w:type="dxa" w:w="5227"/>
            <w:vAlign w:val="top"/>
          </w:tcPr>
          <w:p>
            <w:r>
              <w:rPr>
                <w:sz w:val="14"/>
              </w:rPr>
              <w:t>TEX</w:t>
            </w:r>
          </w:p>
        </w:tc>
        <w:tc>
          <w:tcPr>
            <w:tcW w:type="dxa" w:w="5227"/>
            <w:vAlign w:val="top"/>
          </w:tcPr>
          <w:p>
            <w:r>
              <w:rPr>
                <w:sz w:val="14"/>
              </w:rPr>
              <w:t>492</w:t>
            </w:r>
          </w:p>
        </w:tc>
      </w:tr>
      <w:tr>
        <w:tc>
          <w:tcPr>
            <w:tcW w:type="dxa" w:w="5227"/>
            <w:vAlign w:val="top"/>
          </w:tcPr>
          <w:p>
            <w:r>
              <w:rPr>
                <w:sz w:val="14"/>
              </w:rPr>
              <w:t>SGS</w:t>
            </w:r>
          </w:p>
        </w:tc>
        <w:tc>
          <w:tcPr>
            <w:tcW w:type="dxa" w:w="5227"/>
            <w:vAlign w:val="top"/>
          </w:tcPr>
          <w:p>
            <w:r>
              <w:rPr>
                <w:sz w:val="14"/>
              </w:rPr>
              <w:t>480</w:t>
            </w:r>
          </w:p>
        </w:tc>
      </w:tr>
      <w:tr>
        <w:tc>
          <w:tcPr>
            <w:tcW w:type="dxa" w:w="5227"/>
            <w:vAlign w:val="top"/>
          </w:tcPr>
          <w:p>
            <w:r>
              <w:rPr>
                <w:sz w:val="14"/>
              </w:rPr>
              <w:t>DHT</w:t>
            </w:r>
          </w:p>
        </w:tc>
        <w:tc>
          <w:tcPr>
            <w:tcW w:type="dxa" w:w="5227"/>
            <w:vAlign w:val="top"/>
          </w:tcPr>
          <w:p>
            <w:r>
              <w:rPr>
                <w:sz w:val="14"/>
              </w:rPr>
              <w:t>476</w:t>
            </w:r>
          </w:p>
        </w:tc>
      </w:tr>
      <w:tr>
        <w:tc>
          <w:tcPr>
            <w:tcW w:type="dxa" w:w="5227"/>
            <w:vAlign w:val="top"/>
          </w:tcPr>
          <w:p>
            <w:r>
              <w:rPr>
                <w:sz w:val="14"/>
              </w:rPr>
              <w:t>CWS</w:t>
            </w:r>
          </w:p>
        </w:tc>
        <w:tc>
          <w:tcPr>
            <w:tcW w:type="dxa" w:w="5227"/>
            <w:vAlign w:val="top"/>
          </w:tcPr>
          <w:p>
            <w:r>
              <w:rPr>
                <w:sz w:val="14"/>
              </w:rPr>
              <w:t>472</w:t>
            </w:r>
          </w:p>
        </w:tc>
      </w:tr>
      <w:tr>
        <w:tc>
          <w:tcPr>
            <w:tcW w:type="dxa" w:w="5227"/>
            <w:vAlign w:val="top"/>
          </w:tcPr>
          <w:p>
            <w:r>
              <w:rPr>
                <w:sz w:val="14"/>
              </w:rPr>
              <w:t>RAW</w:t>
            </w:r>
          </w:p>
        </w:tc>
        <w:tc>
          <w:tcPr>
            <w:tcW w:type="dxa" w:w="5227"/>
            <w:vAlign w:val="top"/>
          </w:tcPr>
          <w:p>
            <w:r>
              <w:rPr>
                <w:sz w:val="14"/>
              </w:rPr>
              <w:t>456</w:t>
            </w:r>
          </w:p>
        </w:tc>
      </w:tr>
      <w:tr>
        <w:tc>
          <w:tcPr>
            <w:tcW w:type="dxa" w:w="5227"/>
            <w:vAlign w:val="top"/>
          </w:tcPr>
          <w:p>
            <w:r>
              <w:rPr>
                <w:sz w:val="14"/>
              </w:rPr>
              <w:t>FPR</w:t>
            </w:r>
          </w:p>
        </w:tc>
        <w:tc>
          <w:tcPr>
            <w:tcW w:type="dxa" w:w="5227"/>
            <w:vAlign w:val="top"/>
          </w:tcPr>
          <w:p>
            <w:r>
              <w:rPr>
                <w:sz w:val="14"/>
              </w:rPr>
              <w:t>444</w:t>
            </w:r>
          </w:p>
        </w:tc>
      </w:tr>
      <w:tr>
        <w:tc>
          <w:tcPr>
            <w:tcW w:type="dxa" w:w="5227"/>
            <w:vAlign w:val="top"/>
          </w:tcPr>
          <w:p>
            <w:r>
              <w:rPr>
                <w:sz w:val="14"/>
              </w:rPr>
              <w:t>TSD</w:t>
            </w:r>
          </w:p>
        </w:tc>
        <w:tc>
          <w:tcPr>
            <w:tcW w:type="dxa" w:w="5227"/>
            <w:vAlign w:val="top"/>
          </w:tcPr>
          <w:p>
            <w:r>
              <w:rPr>
                <w:sz w:val="14"/>
              </w:rPr>
              <w:t>412</w:t>
            </w:r>
          </w:p>
        </w:tc>
      </w:tr>
      <w:tr>
        <w:tc>
          <w:tcPr>
            <w:tcW w:type="dxa" w:w="5227"/>
            <w:vAlign w:val="top"/>
          </w:tcPr>
          <w:p>
            <w:r>
              <w:rPr>
                <w:sz w:val="14"/>
              </w:rPr>
              <w:t>MSP</w:t>
            </w:r>
          </w:p>
        </w:tc>
        <w:tc>
          <w:tcPr>
            <w:tcW w:type="dxa" w:w="5227"/>
            <w:vAlign w:val="top"/>
          </w:tcPr>
          <w:p>
            <w:r>
              <w:rPr>
                <w:sz w:val="14"/>
              </w:rPr>
              <w:t>392</w:t>
            </w:r>
          </w:p>
        </w:tc>
      </w:tr>
      <w:tr>
        <w:tc>
          <w:tcPr>
            <w:tcW w:type="dxa" w:w="5227"/>
            <w:vAlign w:val="top"/>
          </w:tcPr>
          <w:p>
            <w:r>
              <w:rPr>
                <w:sz w:val="14"/>
              </w:rPr>
              <w:t>VHT</w:t>
            </w:r>
          </w:p>
        </w:tc>
        <w:tc>
          <w:tcPr>
            <w:tcW w:type="dxa" w:w="5227"/>
            <w:vAlign w:val="top"/>
          </w:tcPr>
          <w:p>
            <w:r>
              <w:rPr>
                <w:sz w:val="14"/>
              </w:rPr>
              <w:t>388</w:t>
            </w:r>
          </w:p>
        </w:tc>
      </w:tr>
      <w:tr>
        <w:tc>
          <w:tcPr>
            <w:tcW w:type="dxa" w:w="5227"/>
            <w:vAlign w:val="top"/>
          </w:tcPr>
          <w:p>
            <w:r>
              <w:rPr>
                <w:sz w:val="14"/>
              </w:rPr>
              <w:t>FUE</w:t>
            </w:r>
          </w:p>
        </w:tc>
        <w:tc>
          <w:tcPr>
            <w:tcW w:type="dxa" w:w="5227"/>
            <w:vAlign w:val="top"/>
          </w:tcPr>
          <w:p>
            <w:r>
              <w:rPr>
                <w:sz w:val="14"/>
              </w:rPr>
              <w:t>384</w:t>
            </w:r>
          </w:p>
        </w:tc>
      </w:tr>
      <w:tr>
        <w:tc>
          <w:tcPr>
            <w:tcW w:type="dxa" w:w="5227"/>
            <w:vAlign w:val="top"/>
          </w:tcPr>
          <w:p>
            <w:r>
              <w:rPr>
                <w:sz w:val="14"/>
              </w:rPr>
              <w:t>WDS</w:t>
            </w:r>
          </w:p>
        </w:tc>
        <w:tc>
          <w:tcPr>
            <w:tcW w:type="dxa" w:w="5227"/>
            <w:vAlign w:val="top"/>
          </w:tcPr>
          <w:p>
            <w:r>
              <w:rPr>
                <w:sz w:val="14"/>
              </w:rPr>
              <w:t>384</w:t>
            </w:r>
          </w:p>
        </w:tc>
      </w:tr>
      <w:tr>
        <w:tc>
          <w:tcPr>
            <w:tcW w:type="dxa" w:w="5227"/>
            <w:vAlign w:val="top"/>
          </w:tcPr>
          <w:p>
            <w:r>
              <w:rPr>
                <w:sz w:val="14"/>
              </w:rPr>
              <w:t>ADS</w:t>
            </w:r>
          </w:p>
        </w:tc>
        <w:tc>
          <w:tcPr>
            <w:tcW w:type="dxa" w:w="5227"/>
            <w:vAlign w:val="top"/>
          </w:tcPr>
          <w:p>
            <w:r>
              <w:rPr>
                <w:sz w:val="14"/>
              </w:rPr>
              <w:t>364</w:t>
            </w:r>
          </w:p>
        </w:tc>
      </w:tr>
    </w:tbl>
    <w:p>
      <w:pPr>
        <w:pStyle w:val="Heading1"/>
      </w:pPr>
      <w:r>
        <w:t>Knowledge horizons / information boundaries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2"/>
              </w:rPr>
              <w:t>Actor</w:t>
            </w:r>
          </w:p>
        </w:tc>
        <w:tc>
          <w:tcPr>
            <w:tcW w:type="dxa" w:w="3485"/>
            <w:vAlign w:val="center"/>
          </w:tcPr>
          <w:p>
            <w:r>
              <w:rPr>
                <w:b/>
                <w:sz w:val="12"/>
              </w:rPr>
              <w:t>Normally sees</w:t>
            </w:r>
          </w:p>
        </w:tc>
        <w:tc>
          <w:tcPr>
            <w:tcW w:type="dxa" w:w="3485"/>
            <w:vAlign w:val="center"/>
          </w:tcPr>
          <w:p>
            <w:r>
              <w:rPr>
                <w:b/>
                <w:sz w:val="12"/>
              </w:rPr>
              <w:t>Does not automatically see</w:t>
            </w:r>
          </w:p>
        </w:tc>
      </w:tr>
      <w:tr>
        <w:tc>
          <w:tcPr>
            <w:tcW w:type="dxa" w:w="3485"/>
            <w:vAlign w:val="top"/>
          </w:tcPr>
          <w:p>
            <w:r>
              <w:rPr>
                <w:sz w:val="12"/>
              </w:rPr>
              <w:t>Yuji Matsushima</w:t>
            </w:r>
          </w:p>
        </w:tc>
        <w:tc>
          <w:tcPr>
            <w:tcW w:type="dxa" w:w="3485"/>
            <w:vAlign w:val="top"/>
          </w:tcPr>
          <w:p>
            <w:r>
              <w:rPr>
                <w:sz w:val="12"/>
              </w:rPr>
              <w:t>Deep technology/configuration detail for assigned domains; installation/vendor/work/test evidence and HMS reference basis where authorized.</w:t>
            </w:r>
          </w:p>
        </w:tc>
        <w:tc>
          <w:tcPr>
            <w:tcW w:type="dxa" w:w="3485"/>
            <w:vAlign w:val="top"/>
          </w:tcPr>
          <w:p>
            <w:r>
              <w:rPr>
                <w:sz w:val="12"/>
              </w:rPr>
              <w:t>Confidential lender models, investor economics, cabinet deliberations or every owner commercial decision.</w:t>
            </w:r>
          </w:p>
        </w:tc>
      </w:tr>
      <w:tr>
        <w:tc>
          <w:tcPr>
            <w:tcW w:type="dxa" w:w="3485"/>
            <w:vAlign w:val="top"/>
          </w:tcPr>
          <w:p>
            <w:r>
              <w:rPr>
                <w:sz w:val="12"/>
              </w:rPr>
              <w:t>Monica Thloane</w:t>
            </w:r>
          </w:p>
        </w:tc>
        <w:tc>
          <w:tcPr>
            <w:tcW w:type="dxa" w:w="3485"/>
            <w:vAlign w:val="top"/>
          </w:tcPr>
          <w:p>
            <w:r>
              <w:rPr>
                <w:sz w:val="12"/>
              </w:rPr>
              <w:t>Systems-integration layer: interface registers, SDD/P&amp;IDs/one-lines, I/O/cable/equipment lists, turnover boundaries, verification/open-interface status.</w:t>
            </w:r>
          </w:p>
        </w:tc>
        <w:tc>
          <w:tcPr>
            <w:tcW w:type="dxa" w:w="3485"/>
            <w:vAlign w:val="top"/>
          </w:tcPr>
          <w:p>
            <w:r>
              <w:rPr>
                <w:sz w:val="12"/>
              </w:rPr>
              <w:t>Full HMS proprietary know-how or detailed financing/covenant structure.</w:t>
            </w:r>
          </w:p>
        </w:tc>
      </w:tr>
      <w:tr>
        <w:tc>
          <w:tcPr>
            <w:tcW w:type="dxa" w:w="3485"/>
            <w:vAlign w:val="top"/>
          </w:tcPr>
          <w:p>
            <w:r>
              <w:rPr>
                <w:sz w:val="12"/>
              </w:rPr>
              <w:t>OPG commissioning engineer / shift manager</w:t>
            </w:r>
          </w:p>
        </w:tc>
        <w:tc>
          <w:tcPr>
            <w:tcW w:type="dxa" w:w="3485"/>
            <w:vAlign w:val="top"/>
          </w:tcPr>
          <w:p>
            <w:r>
              <w:rPr>
                <w:sz w:val="12"/>
              </w:rPr>
              <w:t>Live custody, lineups, permits, isolations, temporary mods, test prerequisites/results, deficiencies and operating limits.</w:t>
            </w:r>
          </w:p>
        </w:tc>
        <w:tc>
          <w:tcPr>
            <w:tcW w:type="dxa" w:w="3485"/>
            <w:vAlign w:val="top"/>
          </w:tcPr>
          <w:p>
            <w:r>
              <w:rPr>
                <w:sz w:val="12"/>
              </w:rPr>
              <w:t>Contractor commercial liability or lender interpretation.</w:t>
            </w:r>
          </w:p>
        </w:tc>
      </w:tr>
      <w:tr>
        <w:tc>
          <w:tcPr>
            <w:tcW w:type="dxa" w:w="3485"/>
            <w:vAlign w:val="top"/>
          </w:tcPr>
          <w:p>
            <w:r>
              <w:rPr>
                <w:sz w:val="12"/>
              </w:rPr>
              <w:t>Bechtel field leadership</w:t>
            </w:r>
          </w:p>
        </w:tc>
        <w:tc>
          <w:tcPr>
            <w:tcW w:type="dxa" w:w="3485"/>
            <w:vAlign w:val="top"/>
          </w:tcPr>
          <w:p>
            <w:r>
              <w:rPr>
                <w:sz w:val="12"/>
              </w:rPr>
              <w:t>Construction means/methods, CWP/IWP status, contractor safety/logistics/quality/punch/post-turnover access.</w:t>
            </w:r>
          </w:p>
        </w:tc>
        <w:tc>
          <w:tcPr>
            <w:tcW w:type="dxa" w:w="3485"/>
            <w:vAlign w:val="top"/>
          </w:tcPr>
          <w:p>
            <w:r>
              <w:rPr>
                <w:sz w:val="12"/>
              </w:rPr>
              <w:t>Unilateral right to change HFRP technology or licensed design.</w:t>
            </w:r>
          </w:p>
        </w:tc>
      </w:tr>
      <w:tr>
        <w:tc>
          <w:tcPr>
            <w:tcW w:type="dxa" w:w="3485"/>
            <w:vAlign w:val="top"/>
          </w:tcPr>
          <w:p>
            <w:r>
              <w:rPr>
                <w:sz w:val="12"/>
              </w:rPr>
              <w:t>E&amp;C Toronto Design Authority</w:t>
            </w:r>
          </w:p>
        </w:tc>
        <w:tc>
          <w:tcPr>
            <w:tcW w:type="dxa" w:w="3485"/>
            <w:vAlign w:val="top"/>
          </w:tcPr>
          <w:p>
            <w:r>
              <w:rPr>
                <w:sz w:val="12"/>
              </w:rPr>
              <w:t>Integrated design, field changes, supplier interfaces, system readiness and configuration baseline.</w:t>
            </w:r>
          </w:p>
        </w:tc>
        <w:tc>
          <w:tcPr>
            <w:tcW w:type="dxa" w:w="3485"/>
            <w:vAlign w:val="top"/>
          </w:tcPr>
          <w:p>
            <w:r>
              <w:rPr>
                <w:sz w:val="12"/>
              </w:rPr>
              <w:t>Does not replace OPG licensee authority or Bechtel constructor authority.</w:t>
            </w:r>
          </w:p>
        </w:tc>
      </w:tr>
      <w:tr>
        <w:tc>
          <w:tcPr>
            <w:tcW w:type="dxa" w:w="3485"/>
            <w:vAlign w:val="top"/>
          </w:tcPr>
          <w:p>
            <w:r>
              <w:rPr>
                <w:sz w:val="12"/>
              </w:rPr>
              <w:t>HMS home-office assurance</w:t>
            </w:r>
          </w:p>
        </w:tc>
        <w:tc>
          <w:tcPr>
            <w:tcW w:type="dxa" w:w="3485"/>
            <w:vAlign w:val="top"/>
          </w:tcPr>
          <w:p>
            <w:r>
              <w:rPr>
                <w:sz w:val="12"/>
              </w:rPr>
              <w:t>HFRP controlled technology, qualification limits, reference changes and relevant OPEX.</w:t>
            </w:r>
          </w:p>
        </w:tc>
        <w:tc>
          <w:tcPr>
            <w:tcW w:type="dxa" w:w="3485"/>
            <w:vAlign w:val="top"/>
          </w:tcPr>
          <w:p>
            <w:r>
              <w:rPr>
                <w:sz w:val="12"/>
              </w:rPr>
              <w:t>Routine site punch items unless technology basis implicated.</w:t>
            </w:r>
          </w:p>
        </w:tc>
      </w:tr>
      <w:tr>
        <w:tc>
          <w:tcPr>
            <w:tcW w:type="dxa" w:w="3485"/>
            <w:vAlign w:val="top"/>
          </w:tcPr>
          <w:p>
            <w:r>
              <w:rPr>
                <w:sz w:val="12"/>
              </w:rPr>
              <w:t>Daniel Mercer / JPMorgan</w:t>
            </w:r>
          </w:p>
        </w:tc>
        <w:tc>
          <w:tcPr>
            <w:tcW w:type="dxa" w:w="3485"/>
            <w:vAlign w:val="top"/>
          </w:tcPr>
          <w:p>
            <w:r>
              <w:rPr>
                <w:sz w:val="12"/>
              </w:rPr>
              <w:t>Cost/schedule, S&amp;L assessment, completion/liquidity, financing commitments, covenants, investor concentration.</w:t>
            </w:r>
          </w:p>
        </w:tc>
        <w:tc>
          <w:tcPr>
            <w:tcW w:type="dxa" w:w="3485"/>
            <w:vAlign w:val="top"/>
          </w:tcPr>
          <w:p>
            <w:r>
              <w:rPr>
                <w:sz w:val="12"/>
              </w:rPr>
              <w:t>Raw field work orders, photographs or unresolved technician-level evidence unless materiality drives deeper diligence.</w:t>
            </w:r>
          </w:p>
        </w:tc>
      </w:tr>
      <w:tr>
        <w:tc>
          <w:tcPr>
            <w:tcW w:type="dxa" w:w="3485"/>
            <w:vAlign w:val="top"/>
          </w:tcPr>
          <w:p>
            <w:r>
              <w:rPr>
                <w:sz w:val="12"/>
              </w:rPr>
              <w:t>Vanessa Ester</w:t>
            </w:r>
          </w:p>
        </w:tc>
        <w:tc>
          <w:tcPr>
            <w:tcW w:type="dxa" w:w="3485"/>
            <w:vAlign w:val="top"/>
          </w:tcPr>
          <w:p>
            <w:r>
              <w:rPr>
                <w:sz w:val="12"/>
              </w:rPr>
              <w:t>No routine project access; later legal work may expose selected evidence/contracts/notices/interviews.</w:t>
            </w:r>
          </w:p>
        </w:tc>
        <w:tc>
          <w:tcPr>
            <w:tcW w:type="dxa" w:w="3485"/>
            <w:vAlign w:val="top"/>
          </w:tcPr>
          <w:p>
            <w:r>
              <w:rPr>
                <w:sz w:val="12"/>
              </w:rPr>
              <w:t>No informal right to controlled data through personal relationship.</w:t>
            </w:r>
          </w:p>
        </w:tc>
      </w:tr>
      <w:tr>
        <w:tc>
          <w:tcPr>
            <w:tcW w:type="dxa" w:w="3485"/>
            <w:vAlign w:val="top"/>
          </w:tcPr>
          <w:p>
            <w:r>
              <w:rPr>
                <w:sz w:val="12"/>
              </w:rPr>
              <w:t>METI/ANRE / MOFA / MOF</w:t>
            </w:r>
          </w:p>
        </w:tc>
        <w:tc>
          <w:tcPr>
            <w:tcW w:type="dxa" w:w="3485"/>
            <w:vAlign w:val="top"/>
          </w:tcPr>
          <w:p>
            <w:r>
              <w:rPr>
                <w:sz w:val="12"/>
              </w:rPr>
              <w:t>Strategic programme status, Japanese industrial exposure, bilateral/fiscal commitments and material milestone/regulatory issues.</w:t>
            </w:r>
          </w:p>
        </w:tc>
        <w:tc>
          <w:tcPr>
            <w:tcW w:type="dxa" w:w="3485"/>
            <w:vAlign w:val="top"/>
          </w:tcPr>
          <w:p>
            <w:r>
              <w:rPr>
                <w:sz w:val="12"/>
              </w:rPr>
              <w:t>Direct field instruction or routine raw commissioning database access.</w:t>
            </w:r>
          </w:p>
        </w:tc>
      </w:tr>
      <w:tr>
        <w:tc>
          <w:tcPr>
            <w:tcW w:type="dxa" w:w="3485"/>
            <w:vAlign w:val="top"/>
          </w:tcPr>
          <w:p>
            <w:r>
              <w:rPr>
                <w:sz w:val="12"/>
              </w:rPr>
              <w:t>CNSC</w:t>
            </w:r>
          </w:p>
        </w:tc>
        <w:tc>
          <w:tcPr>
            <w:tcW w:type="dxa" w:w="3485"/>
            <w:vAlign w:val="top"/>
          </w:tcPr>
          <w:p>
            <w:r>
              <w:rPr>
                <w:sz w:val="12"/>
              </w:rPr>
              <w:t>Information necessary to regulate the licensee, including inspection access and required reports/submissions.</w:t>
            </w:r>
          </w:p>
        </w:tc>
        <w:tc>
          <w:tcPr>
            <w:tcW w:type="dxa" w:w="3485"/>
            <w:vAlign w:val="top"/>
          </w:tcPr>
          <w:p>
            <w:r>
              <w:rPr>
                <w:sz w:val="12"/>
              </w:rPr>
              <w:t>No role in EPC management, financing or milestone advocacy.</w:t>
            </w:r>
          </w:p>
        </w:tc>
      </w:tr>
    </w:tbl>
    <w:p>
      <w:pPr>
        <w:pStyle w:val="Heading1"/>
      </w:pPr>
      <w:r>
        <w:t>Canonical corrections / realism controls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3"/>
              </w:rPr>
              <w:t>Issue</w:t>
            </w:r>
          </w:p>
        </w:tc>
        <w:tc>
          <w:tcPr>
            <w:tcW w:type="dxa" w:w="5227"/>
            <w:vAlign w:val="center"/>
          </w:tcPr>
          <w:p>
            <w:r>
              <w:rPr>
                <w:b/>
                <w:sz w:val="13"/>
              </w:rPr>
              <w:t>Controlled resolution</w:t>
            </w:r>
          </w:p>
        </w:tc>
      </w:tr>
      <w:tr>
        <w:tc>
          <w:tcPr>
            <w:tcW w:type="dxa" w:w="5227"/>
            <w:vAlign w:val="top"/>
          </w:tcPr>
          <w:p>
            <w:r>
              <w:rPr>
                <w:sz w:val="13"/>
              </w:rPr>
              <w:t>Rev B</w:t>
            </w:r>
          </w:p>
        </w:tc>
        <w:tc>
          <w:tcPr>
            <w:tcW w:type="dxa" w:w="5227"/>
            <w:vAlign w:val="top"/>
          </w:tcPr>
          <w:p>
            <w:r>
              <w:rPr>
                <w:sz w:val="13"/>
              </w:rPr>
              <w:t>Do not treat CNSC vendor design review as certification/project approval; distinguish real Q-DEMO starting point from fictional maturation.</w:t>
            </w:r>
          </w:p>
        </w:tc>
      </w:tr>
      <w:tr>
        <w:tc>
          <w:tcPr>
            <w:tcW w:type="dxa" w:w="5227"/>
            <w:vAlign w:val="top"/>
          </w:tcPr>
          <w:p>
            <w:r>
              <w:rPr>
                <w:sz w:val="13"/>
              </w:rPr>
              <w:t>Rev C</w:t>
            </w:r>
          </w:p>
        </w:tc>
        <w:tc>
          <w:tcPr>
            <w:tcW w:type="dxa" w:w="5227"/>
            <w:vAlign w:val="top"/>
          </w:tcPr>
          <w:p>
            <w:r>
              <w:rPr>
                <w:sz w:val="13"/>
              </w:rPr>
              <w:t>Site geography is lifecycle evidence; exact OFG coordinates remain provisional until deliberately fixed through land/survey/master-planning chain.</w:t>
            </w:r>
          </w:p>
        </w:tc>
      </w:tr>
      <w:tr>
        <w:tc>
          <w:tcPr>
            <w:tcW w:type="dxa" w:w="5227"/>
            <w:vAlign w:val="top"/>
          </w:tcPr>
          <w:p>
            <w:r>
              <w:rPr>
                <w:sz w:val="13"/>
              </w:rPr>
              <w:t>Rev D</w:t>
            </w:r>
          </w:p>
        </w:tc>
        <w:tc>
          <w:tcPr>
            <w:tcW w:type="dxa" w:w="5227"/>
            <w:vAlign w:val="top"/>
          </w:tcPr>
          <w:p>
            <w:r>
              <w:rPr>
                <w:sz w:val="13"/>
              </w:rPr>
              <w:t>HFRP commercial qualification is not Canadian regulatory approval; Canadian safety-case translation is required.</w:t>
            </w:r>
          </w:p>
        </w:tc>
      </w:tr>
      <w:tr>
        <w:tc>
          <w:tcPr>
            <w:tcW w:type="dxa" w:w="5227"/>
            <w:vAlign w:val="top"/>
          </w:tcPr>
          <w:p>
            <w:r>
              <w:rPr>
                <w:sz w:val="13"/>
              </w:rPr>
              <w:t>Rev E</w:t>
            </w:r>
          </w:p>
        </w:tc>
        <w:tc>
          <w:tcPr>
            <w:tcW w:type="dxa" w:w="5227"/>
            <w:vAlign w:val="top"/>
          </w:tcPr>
          <w:p>
            <w:r>
              <w:rPr>
                <w:sz w:val="13"/>
              </w:rPr>
              <w:t>Physical-documentary equipment identity controls; requirement→supplier→serial→manufacture→shipment→installation→turnover genealogy must be auditable.</w:t>
            </w:r>
          </w:p>
        </w:tc>
      </w:tr>
      <w:tr>
        <w:tc>
          <w:tcPr>
            <w:tcW w:type="dxa" w:w="5227"/>
            <w:vAlign w:val="top"/>
          </w:tcPr>
          <w:p>
            <w:r>
              <w:rPr>
                <w:sz w:val="13"/>
              </w:rPr>
              <w:t>Rev F</w:t>
            </w:r>
          </w:p>
        </w:tc>
        <w:tc>
          <w:tcPr>
            <w:tcW w:type="dxa" w:w="5227"/>
            <w:vAlign w:val="top"/>
          </w:tcPr>
          <w:p>
            <w:r>
              <w:rPr>
                <w:sz w:val="13"/>
              </w:rPr>
              <w:t>Scheduled ≠ released ≠ authorized ≠ performed ≠ inspected ≠ mechanically complete ≠ turned over ≠ commissioned ≠ accepted.</w:t>
            </w:r>
          </w:p>
        </w:tc>
      </w:tr>
      <w:tr>
        <w:tc>
          <w:tcPr>
            <w:tcW w:type="dxa" w:w="5227"/>
            <w:vAlign w:val="top"/>
          </w:tcPr>
          <w:p>
            <w:r>
              <w:rPr>
                <w:sz w:val="13"/>
              </w:rPr>
              <w:t>Rev G</w:t>
            </w:r>
          </w:p>
        </w:tc>
        <w:tc>
          <w:tcPr>
            <w:tcW w:type="dxa" w:w="5227"/>
            <w:vAlign w:val="top"/>
          </w:tcPr>
          <w:p>
            <w:r>
              <w:rPr>
                <w:sz w:val="13"/>
              </w:rPr>
              <w:t>First Plasma is a bounded commissioning milestone; date commitment cannot redefine technical state/readiness.</w:t>
            </w:r>
          </w:p>
        </w:tc>
      </w:tr>
      <w:tr>
        <w:tc>
          <w:tcPr>
            <w:tcW w:type="dxa" w:w="5227"/>
            <w:vAlign w:val="top"/>
          </w:tcPr>
          <w:p>
            <w:r>
              <w:rPr>
                <w:sz w:val="13"/>
              </w:rPr>
              <w:t>Rev H</w:t>
            </w:r>
          </w:p>
        </w:tc>
        <w:tc>
          <w:tcPr>
            <w:tcW w:type="dxa" w:w="5227"/>
            <w:vAlign w:val="top"/>
          </w:tcPr>
          <w:p>
            <w:r>
              <w:rPr>
                <w:sz w:val="13"/>
              </w:rPr>
              <w:t>Heinrich is a modern precursor-ecology theme, not a literal fixed ratio; knowledge states are time-indexed; no single-root-cause storytelling.</w:t>
            </w:r>
          </w:p>
        </w:tc>
      </w:tr>
      <w:tr>
        <w:tc>
          <w:tcPr>
            <w:tcW w:type="dxa" w:w="5227"/>
            <w:vAlign w:val="top"/>
          </w:tcPr>
          <w:p>
            <w:r>
              <w:rPr>
                <w:sz w:val="13"/>
              </w:rPr>
              <w:t>Rev I</w:t>
            </w:r>
          </w:p>
        </w:tc>
        <w:tc>
          <w:tcPr>
            <w:tcW w:type="dxa" w:w="5227"/>
            <w:vAlign w:val="top"/>
          </w:tcPr>
          <w:p>
            <w:r>
              <w:rPr>
                <w:sz w:val="13"/>
              </w:rPr>
              <w:t>CMMS CLOSED/APPROVED cannot alone prove physical maintenance; as-found/as-left evidence and maintenance basis matter.</w:t>
            </w:r>
          </w:p>
        </w:tc>
      </w:tr>
      <w:tr>
        <w:tc>
          <w:tcPr>
            <w:tcW w:type="dxa" w:w="5227"/>
            <w:vAlign w:val="top"/>
          </w:tcPr>
          <w:p>
            <w:r>
              <w:rPr>
                <w:sz w:val="13"/>
              </w:rPr>
              <w:t>Rev J</w:t>
            </w:r>
          </w:p>
        </w:tc>
        <w:tc>
          <w:tcPr>
            <w:tcW w:type="dxa" w:w="5227"/>
            <w:vAlign w:val="top"/>
          </w:tcPr>
          <w:p>
            <w:r>
              <w:rPr>
                <w:sz w:val="13"/>
              </w:rPr>
              <w:t>Emergency readiness is staged and hazard-based; severe conventional industrial events at a licensed site are not automatically nuclear emergencies.</w:t>
            </w:r>
          </w:p>
        </w:tc>
      </w:tr>
    </w:tbl>
    <w:p>
      <w:pPr>
        <w:pStyle w:val="Heading1"/>
      </w:pPr>
      <w:r>
        <w:t>Chronological-use rule</w:t>
      </w:r>
    </w:p>
    <w:p>
      <w:r>
        <w:t>This atlas is not a substitute for the period volumes. Entity roles, capital instruments, buildings, system codes and information levels are the 19 April 2031 reference state unless a table itself gives an earlier date. When writing an earlier scene, first consult the relevant chronological volume to confirm that the entity, contract, capability or information channel already existed.</w:t>
      </w:r>
    </w:p>
    <w:p>
      <w:pPr>
        <w:pStyle w:val="Heading1"/>
      </w:pPr>
      <w:r>
        <w:t>Research coverage control</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2"/>
              </w:rPr>
              <w:t>Encyclopedia domain</w:t>
            </w:r>
          </w:p>
        </w:tc>
        <w:tc>
          <w:tcPr>
            <w:tcW w:type="dxa" w:w="5227"/>
            <w:vAlign w:val="center"/>
          </w:tcPr>
          <w:p>
            <w:r>
              <w:rPr>
                <w:b/>
                <w:sz w:val="12"/>
              </w:rPr>
              <w:t>Historical subjects controlled by the research programme</w:t>
            </w:r>
          </w:p>
        </w:tc>
      </w:tr>
      <w:tr>
        <w:tc>
          <w:tcPr>
            <w:tcW w:type="dxa" w:w="5227"/>
            <w:vAlign w:val="top"/>
          </w:tcPr>
          <w:p>
            <w:r>
              <w:rPr>
                <w:sz w:val="12"/>
              </w:rPr>
              <w:t>Technology Genealogy, Demonstration, Commercial Qualification &amp; OFG Adaptation</w:t>
            </w:r>
          </w:p>
        </w:tc>
        <w:tc>
          <w:tcPr>
            <w:tcW w:type="dxa" w:w="5227"/>
            <w:vAlign w:val="top"/>
          </w:tcPr>
          <w:p>
            <w:r>
              <w:rPr>
                <w:sz w:val="12"/>
              </w:rPr>
              <w:t>Pre-ITER scientific/engineering inheritance; ITER design-basis inheritance; ITER manufacturing and assembly learning; Japanese DEMO programme formation; DEMO conceptual design maturation; Q-DEMO authorization; Q-DEMO basic design; Q-DEMO detailed engineering and procurement; Q-DEMO construction; Q-DEMO commissioning; Q-DEMO first plasma and early campaigns; Q-DEMO D-T / power campaigns; Q-DEMO reliability-growth programme; Commercial-readiness review; HFRP concept launch; HFRP-0 architecture trade studies; HFRP reference-design freeze; HFRP supplier industrialization; HFRP commercial qualification; HFRP export productization; Canadian market entry; OFG technology due diligence; Clarington reference adaptation; OFG design verification and validation; OFG commissioning feedback to HFRP fleet</w:t>
            </w:r>
          </w:p>
        </w:tc>
      </w:tr>
      <w:tr>
        <w:tc>
          <w:tcPr>
            <w:tcW w:type="dxa" w:w="5227"/>
            <w:vAlign w:val="top"/>
          </w:tcPr>
          <w:p>
            <w:r>
              <w:rPr>
                <w:sz w:val="12"/>
              </w:rPr>
              <w:t>Project Origination, Institutional Formation, Site Selection &amp; Implementation History</w:t>
            </w:r>
          </w:p>
        </w:tc>
        <w:tc>
          <w:tcPr>
            <w:tcW w:type="dxa" w:w="5227"/>
            <w:vAlign w:val="top"/>
          </w:tcPr>
          <w:p>
            <w:r>
              <w:rPr>
                <w:sz w:val="12"/>
              </w:rPr>
              <w:t>Strategic prehistory; Opportunity recognition; First contact; Internal sponsor formation; Technology screening; Japanese export-policy screening; Confidential information framework; Pre-feasibility; Site candidate formation; Clarington site due diligence; Regulatory strategy formation; Provincial policy decision; Federal interface formation; Bilateral political framework; Owner's requirements formation; Commercial model options; Development-phase procurement; Development agreement; Project company / ownership structure; FEED governance; Reference-design adaptation; Environmental / Indigenous process; Grid and transmission integration; Cooling-water / lake interface; FID business case; Financing formation; EPC execution contract; Construction contracting strategy; OEM contracting; Detailed engineering mobilization; Site mobilization / enabling works; Long-lead manufacturing; Permanent construction; Machine assembly; Progressive turnover; Commissioning mobilization; Integrated commissioning; First Plasma readiness programme; Project Aurora; April 12-19 precursor window</w:t>
            </w:r>
          </w:p>
        </w:tc>
      </w:tr>
      <w:tr>
        <w:tc>
          <w:tcPr>
            <w:tcW w:type="dxa" w:w="5227"/>
            <w:vAlign w:val="top"/>
          </w:tcPr>
          <w:p>
            <w:r>
              <w:rPr>
                <w:sz w:val="12"/>
              </w:rPr>
              <w:t>Site Geography, Spatial Development, Environmental Basis &amp; Physical Configuration</w:t>
            </w:r>
          </w:p>
        </w:tc>
        <w:tc>
          <w:tcPr>
            <w:tcW w:type="dxa" w:w="5227"/>
            <w:vAlign w:val="top"/>
          </w:tcPr>
          <w:p>
            <w:r>
              <w:rPr>
                <w:sz w:val="12"/>
              </w:rPr>
              <w:t>Regional screening baseline; Ontario candidate-site survey; Candidate-site comparison; Clarington nomination; Property and land-control history; Survey control / geodesy; Topography / grading basis; Geology / geotechnical; Seismic / geodynamic hazards; Groundwater / hydrogeology; Lake Ontario hydrology; Meteorology / climate; External human hazards; Population / emergency geography; Environmental baseline; Indigenous / cultural landscape; Existing Darlington interfaces; Transmission / switchyard siting; Cooling-water concept siting; Permanent plant master planning; Tokamak Complex siting; Assembly Hall / heavy-lift axis; Hot Cell / remote-maintenance logistics; Tritium / fuel-cycle siting; Cryoplant / magnet-power siting; Turbine island / conventional plant; Heat rejection / water systems; Security / protected-area layout; Road / rail / heavy-haul network; Marine / Seaway logistics interface; Construction master plan; Temporary utilities / services; Workface geography; Commissioning geography; Emergency / fire response geography; Radiological zoning evolution; Waste / activated-material routes; As-built spatial configuration; April 2031 exact site state; Accident-investigation spatial evidence</w:t>
            </w:r>
          </w:p>
        </w:tc>
      </w:tr>
      <w:tr>
        <w:tc>
          <w:tcPr>
            <w:tcW w:type="dxa" w:w="5227"/>
            <w:vAlign w:val="top"/>
          </w:tcPr>
          <w:p>
            <w:r>
              <w:rPr>
                <w:sz w:val="12"/>
              </w:rPr>
              <w:t>Regulatory Evolution, Licensing, Safety Case &amp; Compliance History</w:t>
            </w:r>
          </w:p>
        </w:tc>
        <w:tc>
          <w:tcPr>
            <w:tcW w:type="dxa" w:w="5227"/>
            <w:vAlign w:val="top"/>
          </w:tcPr>
          <w:p>
            <w:r>
              <w:rPr>
                <w:sz w:val="12"/>
              </w:rPr>
              <w:t>Fusion regulatory prehistory; 2024 CNSC fusion position; 2025 regulatory-readiness consultation; 2031-era framework maturation; HFRP pre-application engagement; Vendor design review / technology assessment; Site-evaluation regulatory basis; Licence to prepare site; Construction-licence application formation; Construction-licence technical review; Construction-licence hearing / decision; Licence conditions handbook / compliance map; Safety classification / defence in depth; Hazard identification; Deterministic safety analysis; Probabilistic / risk assessment; External-hazard safety case; Tritium / confinement safety case; Activation / radioactive-material case; Magnet / stored-energy safety case; Vacuum / pressure-boundary safety case; Fire / explosion safety case; Human factors / control-room licensing; Security / safeguards / cyber; Environmental protection programme; Construction compliance programme; Design-change regulatory control; Commissioning programme approval; Turnover / configuration regulatory evidence; Operating-licence application formation; Operating-licence technical review; Operating-licence hearing / decision; First Plasma authorization boundary; D-T / tritium authorization boundary; Power ascension / grid authorization; Compliance reporting / event reporting; April 12 near-miss regulatory screening; April 18 information cut / First Plasma impact; Pre-accident regulatory weak signals; Post-accident inquiry architecture</w:t>
            </w:r>
          </w:p>
        </w:tc>
      </w:tr>
      <w:tr>
        <w:tc>
          <w:tcPr>
            <w:tcW w:type="dxa" w:w="5227"/>
            <w:vAlign w:val="top"/>
          </w:tcPr>
          <w:p>
            <w:r>
              <w:rPr>
                <w:sz w:val="12"/>
              </w:rPr>
              <w:t>Commercial Formation, Financing, Contracting, Project Controls &amp; Risk Allocation</w:t>
            </w:r>
          </w:p>
        </w:tc>
        <w:tc>
          <w:tcPr>
            <w:tcW w:type="dxa" w:w="5227"/>
            <w:vAlign w:val="top"/>
          </w:tcPr>
          <w:p>
            <w:r>
              <w:rPr>
                <w:sz w:val="12"/>
              </w:rPr>
              <w:t>Pre-project economic need; Early cost / value proposition; Commercial sponsor formation; Market / revenue model study; Pre-feasibility estimate; Development funding; Commercial confidentiality / data room; Delivery-model options; Preferred commercial architecture; Development agreement negotiation; FEED estimate maturation; Risk allocation workshops; Government support analysis; Export finance / Japanese institutions; Base financing structure; Revenue / cost-recovery structure; FID investment case; Execution contract formation; Constructor / Bechtel contract; Major subcontract formation; OEM / technology procurement; Insurance programme; FX / inflation / commodity strategy; Contingency governance; Cost-control system; Schedule-to-finance integration; Change-order economy; Claims / disputes; Lender technical diligence; Lender model / covenant architecture; Late-2029 rebaseline finance effect; November-2030 OEB-3 effect; Project Aurora launch; Aurora senior completion facility; Aurora institutional placement; OPG completion equity; Accordion / residual liquidity; April 18 finance data cut; Daniel Mercer work package; Accident financial evidence</w:t>
            </w:r>
          </w:p>
        </w:tc>
      </w:tr>
      <w:tr>
        <w:tc>
          <w:tcPr>
            <w:tcW w:type="dxa" w:w="5227"/>
            <w:vAlign w:val="top"/>
          </w:tcPr>
          <w:p>
            <w:r>
              <w:rPr>
                <w:sz w:val="12"/>
              </w:rPr>
              <w:t>Engineering, Procurement, Manufacturing, Supply Chain &amp; Equipment Genealogy</w:t>
            </w:r>
          </w:p>
        </w:tc>
        <w:tc>
          <w:tcPr>
            <w:tcW w:type="dxa" w:w="5227"/>
            <w:vAlign w:val="top"/>
          </w:tcPr>
          <w:p>
            <w:r>
              <w:rPr>
                <w:sz w:val="12"/>
              </w:rPr>
              <w:t>Reference-design engineering baseline; Owner requirements decomposition; Canadian codes / standards mapping; Design authority formation; Systems architecture / breakdown; Requirements management system; Interface management; Design review programme; Engineering data environment; Equipment qualification strategy; Procurement planning; Supplier qualification; RFQ / technical bid process; Purchase-order formation; Vendor design / submittals; Material traceability; Special processes; Manufacturing readiness; Factory production; Factory acceptance testing; Concession / NCR governance; Counterfeit/fraud prevention; Release for shipment; International export / customs; Marine / Seaway transport; Final-mile heavy haul; Site receipt / inspection; Warehousing / preservation; Construction release; Installation configuration control; Supplier field services; Mechanical completion dossier; Commissioning vendor support; Spare parts / special tools; Obsolescence / lifecycle support; Supplier performance history; Late engineering / field change; BHT/CRS procurement genealogy; M-88217 record genealogy; Post-accident supply-chain evidence</w:t>
            </w:r>
          </w:p>
        </w:tc>
      </w:tr>
      <w:tr>
        <w:tc>
          <w:tcPr>
            <w:tcW w:type="dxa" w:w="5227"/>
            <w:vAlign w:val="top"/>
          </w:tcPr>
          <w:p>
            <w:r>
              <w:rPr>
                <w:sz w:val="12"/>
              </w:rPr>
              <w:t>Construction, Installation, Turnover, Completions &amp; Field Execution</w:t>
            </w:r>
          </w:p>
        </w:tc>
        <w:tc>
          <w:tcPr>
            <w:tcW w:type="dxa" w:w="5227"/>
            <w:vAlign w:val="top"/>
          </w:tcPr>
          <w:p>
            <w:r>
              <w:rPr>
                <w:sz w:val="12"/>
              </w:rPr>
              <w:t>Construction execution model formation; Constructor mobilization; Site organization mobilization; Construction management system; Work breakdown / area breakdown; Advanced work packaging; IFC release to field; Material readiness; Temporary works; Civil / earthworks; Concrete / structural works; Buildings / architectural completion; Heavy mechanical installation; Piping installation; Electrical installation; I&amp;C installation; Tokamak-sector assembly; Magnet / cryostat assembly; Vacuum / in-vessel assembly; Remote handling / Hot Cell installation; Balance-of-plant installation; Construction quality control; Field engineering / RFI-TQ; Field change control; Construction progress measurement; Systemization; Mechanical completion; Turnover package assembly; Joint walkdowns; Custody transfer; Outstanding work after turnover; Preservation after completion; Temporary commissioning modifications; Energization boundary control; Completion database; Late field backlog / punch burn-down; BHT installation / turnover genealogy; April 12 event field response; April 12-19 corrective-work control; Post-accident construction evidence</w:t>
            </w:r>
          </w:p>
        </w:tc>
      </w:tr>
      <w:tr>
        <w:tc>
          <w:tcPr>
            <w:tcW w:type="dxa" w:w="5227"/>
            <w:vAlign w:val="top"/>
          </w:tcPr>
          <w:p>
            <w:r>
              <w:rPr>
                <w:sz w:val="12"/>
              </w:rPr>
              <w:t>Commissioning, Operations Readiness, First Plasma &amp; Transition to Operation</w:t>
            </w:r>
          </w:p>
        </w:tc>
        <w:tc>
          <w:tcPr>
            <w:tcW w:type="dxa" w:w="5227"/>
            <w:vAlign w:val="top"/>
          </w:tcPr>
          <w:p>
            <w:r>
              <w:rPr>
                <w:sz w:val="12"/>
              </w:rPr>
              <w:t>Commissioning philosophy formation; Commissioning organization mobilization; Operating organization build-up; Commissioning management system; Systemization / test boundaries; Commissioning master programme; Test procedure development; Test equipment / calibration; Pre-commissioning / static testing; Electrical energization; I&amp;C / software commissioning; Utility / support-system commissioning; Cryogenic-system commissioning; Magnet-system commissioning; Vacuum-system commissioning; Fuel-cycle / tritium non-active commissioning; Plasma-control commissioning; Integrated machine testing; First Plasma readiness criteria; First Plasma readiness review; First Plasma execution; Post-First-Plasma test programme; Tritium introduction readiness; D-T commissioning; Thermal / balance-of-plant commissioning; Grid synchronization; Power ascension; Performance demonstration; Operations procedures; Operator / maintainer training; Control-room staffing / shift organization; Maintenance programme readiness; Work management transition; Operations chemistry / materials programme; Radiation protection / waste readiness; Emergency preparedness readiness; Operating experience / corrective action; April 12 event commissioning response; April 12-19 readiness governance; Pre-accident normalization trajectory</w:t>
            </w:r>
          </w:p>
        </w:tc>
      </w:tr>
      <w:tr>
        <w:tc>
          <w:tcPr>
            <w:tcW w:type="dxa" w:w="5227"/>
            <w:vAlign w:val="top"/>
          </w:tcPr>
          <w:p>
            <w:r>
              <w:rPr>
                <w:sz w:val="12"/>
              </w:rPr>
              <w:t>Operating Experience, Corrective Action, Precursor Ecology &amp; Information Propagation</w:t>
            </w:r>
          </w:p>
        </w:tc>
        <w:tc>
          <w:tcPr>
            <w:tcW w:type="dxa" w:w="5227"/>
            <w:vAlign w:val="top"/>
          </w:tcPr>
          <w:p>
            <w:r>
              <w:rPr>
                <w:sz w:val="12"/>
              </w:rPr>
              <w:t>Precursor-management philosophy; Condition-reporting architecture; Safety-significance screening; Corrective-action programme; Root / apparent cause methods; Extent-of-condition / extent-of-cause; Trend / aggregate analysis; Operating-experience programme; Near-miss programme; Human-performance observations; Documentation-integrity signals; Temporary-configuration signals; Repeat-test / anomaly signals; Maintenance precursor signals; Supplier / quality precursor signals; Work-control precursor signals; Schedule-pressure indicators; Organizational-interface signals; Management-review information flow; Regulatory information flow; Finance / lender abstraction; Government / political abstraction; Public-disclosure interface; Database / taxonomy evolution; Cross-database reconciliation; Leading-indicator design; Safety-culture assessment; Independent oversight / challenge; Learning from external catastrophes; Learning from successful recoveries; 2029 precursor population; 2030 precursor population; OEB-3 / June 2031 date interaction; January-March 2031 precursor population; April 1-11 precursor state; April 12 CRS-01 classification; April 12-18 extent-of-condition; M-88217 as precursor; April 18-19 fragmented knowledge state; Catastrophe precursor bridge</w:t>
            </w:r>
          </w:p>
        </w:tc>
      </w:tr>
      <w:tr>
        <w:tc>
          <w:tcPr>
            <w:tcW w:type="dxa" w:w="5227"/>
            <w:vAlign w:val="top"/>
          </w:tcPr>
          <w:p>
            <w:r>
              <w:rPr>
                <w:sz w:val="12"/>
              </w:rPr>
              <w:t>Maintenance, Reliability, Work Management, Asset Health &amp; Remote Maintenance History</w:t>
            </w:r>
          </w:p>
        </w:tc>
        <w:tc>
          <w:tcPr>
            <w:tcW w:type="dxa" w:w="5227"/>
            <w:vAlign w:val="top"/>
          </w:tcPr>
          <w:p>
            <w:r>
              <w:rPr>
                <w:sz w:val="12"/>
              </w:rPr>
              <w:t>Maintenance philosophy formation; Maintenance organization formation; Asset hierarchy / equipment master; Maintenance-basis development; Preventive-maintenance programme; Predictive / condition-based maintenance; Surveillance / functional testing; Reliability programme; System health programme; Work identification; Work screening / prioritization; Work planning; Work scheduling; Work authorization; Maintenance execution; Post-maintenance testing; Work closeout; Maintenance history / CMMS; Deferral / backlog governance; Spare-parts management; Tools / test equipment; Vendor / contractor maintenance; Remote maintenance strategy; Hot Cell maintenance cycle; Tokamak in-vessel maintenance; Tritium-system maintenance; Cryogenic / magnet maintenance; Conventional BOP maintenance; Outage planning; Maintenance optimization; Aging / degradation management; Obsolescence / lifecycle replacement; Maintenance performance indicators; Human performance in maintenance; Maintenance records integrity; Commissioning-to-maintenance transition; CRS-01 maintenance basis; M-88217 complete work-order genealogy; April 12-19 maintenance knowledge state; Pre-catastrophe maintenance precursor ecology</w:t>
            </w:r>
          </w:p>
        </w:tc>
      </w:tr>
      <w:tr>
        <w:tc>
          <w:tcPr>
            <w:tcW w:type="dxa" w:w="5227"/>
            <w:vAlign w:val="top"/>
          </w:tcPr>
          <w:p>
            <w:r>
              <w:rPr>
                <w:sz w:val="12"/>
              </w:rPr>
              <w:t>Emergency Preparedness, Fire Protection, Accident Management &amp; Mass-Casualty Response</w:t>
            </w:r>
          </w:p>
        </w:tc>
        <w:tc>
          <w:tcPr>
            <w:tcW w:type="dxa" w:w="5227"/>
            <w:vAlign w:val="top"/>
          </w:tcPr>
          <w:p>
            <w:r>
              <w:rPr>
                <w:sz w:val="12"/>
              </w:rPr>
              <w:t>Emergency-management philosophy; Emergency planning basis; Emergency organization formation; External-agency interface formation; Emergency facilities; Emergency communications; Classification / declaration scheme; Fire-protection programme; Industrial rescue programme; Medical response; Hazardous-material response; Tritium / radiological emergency response; Magnet / stored-energy emergency response; Vacuum / pressure event response; Loss of power / utilities; Cooling / heat-removal emergencies; Flood / severe-weather response; Security-event emergency interface; Emergency procedures; Accident-management strategy; Emergency equipment; Emergency staffing / callout; Training / qualification; Drill / exercise programme; Emergency exercise external participation; Emergency readiness during construction; Emergency readiness during commissioning; Emergency readiness for First Plasma; Emergency readiness for tritium / D-T; Emergency readiness for power operation; Emergency impairment management; Emergency configuration control; Emergency information / records; Post-event stabilization / recovery; Mass-casualty capability; Emergency public communications; CRS-01 emergency significance; April 12-19 emergency weak signals; Midpoint catastrophe response architecture; Post-catastrophe inquiry / recovery interface</w:t>
            </w:r>
          </w:p>
        </w:tc>
      </w:tr>
    </w:tbl>
    <w:sectPr w:rsidR="00FC693F" w:rsidRPr="0006063C"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