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TaroNote API Adapter Layer (Minimal)</w:t>
      </w:r>
    </w:p>
    <w:p>
      <w:r>
        <w:t>Purpose</w:t>
      </w:r>
    </w:p>
    <w:p>
      <w:r>
        <w:t>Provide a stable API contract that decouples domain models from external responses.</w:t>
      </w:r>
    </w:p>
    <w:p>
      <w:r>
        <w:t>Scope</w:t>
      </w:r>
    </w:p>
    <w:p>
      <w:r>
        <w:t>- Map domain objects to explicit response DTOs (NoteResponse, NoteDetailResponse, CommentResponse).</w:t>
      </w:r>
    </w:p>
    <w:p>
      <w:r>
        <w:t>- Keep response fields stable even if domain structures change.</w:t>
      </w:r>
    </w:p>
    <w:p>
      <w:r>
        <w:t>Rules</w:t>
      </w:r>
    </w:p>
    <w:p>
      <w:r>
        <w:t>- Controllers must return response DTOs, not domain entities.</w:t>
      </w:r>
    </w:p>
    <w:p>
      <w:r>
        <w:t>- Response DTOs live under com.taronote.*.web and expose only needed fields.</w:t>
      </w:r>
    </w:p>
    <w:p>
      <w:r>
        <w:t>Benefits</w:t>
      </w:r>
    </w:p>
    <w:p>
      <w:r>
        <w:t>- Backend refactors do not break frontend contracts.</w:t>
      </w:r>
    </w:p>
    <w:p>
      <w:r>
        <w:t>- Future API versioning is simpler.</w:t>
      </w:r>
    </w:p>
    <w:p>
      <w:r>
        <w:t>Current Coverage</w:t>
      </w:r>
    </w:p>
    <w:p>
      <w:r>
        <w:t>- Feed and Search already use NoteResponse.</w:t>
      </w:r>
    </w:p>
    <w:p>
      <w:r>
        <w:t>- Note detail now uses NoteDetailResponse + CommentResponse.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TaroNote API Adapter Layer</dc:title>
  <dc:creator>Codex</dc:creator>
  <cp:lastModifiedBy>Codex</cp:lastModifiedBy>
  <dcterms:created xsi:type="dcterms:W3CDTF">2026-02-04T03:27:38Z</dcterms:created>
  <dcterms:modified xsi:type="dcterms:W3CDTF">2026-02-04T03:27:38Z</dcterms:modified>
</cp:coreProperties>
</file>