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真实感绘制综合设计实验报告</w:t>
      </w:r>
    </w:p>
    <w:p>
      <w:pPr>
        <w:jc w:val="center"/>
      </w:pPr>
      <w:r>
        <w:t>——中国传统灯笼三维渲染</w:t>
      </w:r>
    </w:p>
    <w:p/>
    <w:p>
      <w:pPr>
        <w:pStyle w:val="Heading2"/>
      </w:pPr>
      <w:r>
        <w:t>1. 项目描述</w:t>
      </w:r>
    </w:p>
    <w:p>
      <w:r>
        <w:t>本项目以中国传统灯笼为三维模型主题，基于MFC框架和软件渲染管线，实现完整的真实感绘制系统。系统读取外部OBJ格式的灯笼三维模型文件，依次实现透视投影线框渲染、多边形填充、Phong光照模型着色和纹理映射四个核心功能模块，并支持旋转动画、光源参数调节等交互操作。项目综合运用了计算机图形学课程中的三维变换、投影变换、Z-Buffer消隐、Phong光照模型、双线性纹理采样等核心知识。</w:t>
      </w:r>
    </w:p>
    <w:p>
      <w:pPr>
        <w:pStyle w:val="Heading2"/>
      </w:pPr>
      <w:r>
        <w:t>2. 系统设计</w:t>
      </w:r>
    </w:p>
    <w:p>
      <w:pPr>
        <w:pStyle w:val="Heading3"/>
      </w:pPr>
      <w:r>
        <w:t>2.1 渲染管线架构</w:t>
      </w:r>
    </w:p>
    <w:p>
      <w:r>
        <w:t>系统采用经典图形渲染管线架构，主要分为以下阶段：① OBJ模型加载（读取顶点、法向量、纹理坐标、面片索引）；② 模型变换（缩放、绕X/Y轴旋转）；③ 视图变换（LookAt相机模型）；④ 透视投影变换（45°FOV）；⑤ 光栅化（扫描线+重心坐标插值）；⑥ Z-Buffer深度测试；⑦ 片元着色（Phong光照模型或纹理采样）。</w:t>
      </w:r>
    </w:p>
    <w:p>
      <w:pPr>
        <w:pStyle w:val="Heading3"/>
      </w:pPr>
      <w:r>
        <w:t>2.2 核心算法说明</w:t>
      </w:r>
    </w:p>
    <w:p>
      <w:r>
        <w:t>Phong光照模型：I = Ka×Ia + Kd×Id×(N·L) + Ks×Is×(R·V)^Ns。其中环境光分量提供基础亮度，漫反射分量模拟粗糙表面，镜面反射分量产生高光效果。法向量通过面片顶点法线加权插值获得（Phong Shading），实现平滑着色。</w:t>
      </w:r>
    </w:p>
    <w:p>
      <w:r>
        <w:t>Z-Buffer消隐算法：为每个像素维护深度值，光栅化时通过深度测试决定像素可见性。深度值通过透视校正的重心坐标插值计算。</w:t>
      </w:r>
    </w:p>
    <w:p>
      <w:r>
        <w:t>纹理映射：对纹理坐标进行透视校正插值，使用双线性采样获取纹理颜色。本项目生成了红底金条纹的程序化纹理，模拟灯笼表面的装饰效果。</w:t>
      </w:r>
    </w:p>
    <w:p>
      <w:pPr>
        <w:pStyle w:val="Heading3"/>
      </w:pPr>
      <w:r>
        <w:t>2.3 三维模型</w:t>
      </w:r>
    </w:p>
    <w:p>
      <w:r>
        <w:t>模型主题：中国传统灯笼（Chinese Lantern）。模型通过数学函数定义轮廓曲线后旋转生成曲面，包含灯笼主体椭球体、顶部和底部收口环、顶部提环、底部穗子五个部分。模型规格：995个顶点，1777个三角面片。文件格式为Wavefront OBJ，附带MTL材质定义。</w:t>
      </w:r>
    </w:p>
    <w:p>
      <w:pPr>
        <w:pStyle w:val="Heading3"/>
      </w:pPr>
      <w:r>
        <w:t>2.4 系统功能模块图</w:t>
      </w:r>
    </w:p>
    <w:p>
      <w:r>
        <w:t>系统分为以下功能模块：</w:t>
        <w:br/>
        <w:t>• 模型管理模块（OBJLoader）：OBJ文件解析、法向量自动计算</w:t>
        <w:br/>
        <w:t>• 几何变换模块（CTransform）：缩放、旋转、平移及矩阵复合</w:t>
        <w:br/>
        <w:t>• 投影模块（CProjection）：透视投影矩阵及屏幕坐标映射</w:t>
        <w:br/>
        <w:t>• 消隐模块（CZBuffer）：深度缓冲、深度测试</w:t>
        <w:br/>
        <w:t>• 光照模块（CLighting + CMaterial + CLightSource）：Phong光照计算</w:t>
        <w:br/>
        <w:t>• 纹理模块（CTexture）：BMP纹理加载、程序化纹理生成、双线性采样</w:t>
        <w:br/>
        <w:t>• 渲染管线（CRenderPipeline）：管线编排、扫描线光栅化</w:t>
        <w:br/>
        <w:t>• UI交互（CLanternView + CMainFrame）：菜单切换、鼠标旋转、光源参数设置</w:t>
      </w:r>
    </w:p>
    <w:p>
      <w:pPr>
        <w:pStyle w:val="Heading2"/>
      </w:pPr>
      <w:r>
        <w:t>3. 系统实现</w:t>
      </w:r>
    </w:p>
    <w:p>
      <w:pPr>
        <w:pStyle w:val="Heading3"/>
      </w:pPr>
      <w:r>
        <w:t>3.1 关键类设计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类名</w:t>
            </w:r>
          </w:p>
        </w:tc>
        <w:tc>
          <w:tcPr>
            <w:tcW w:type="dxa" w:w="2880"/>
          </w:tcPr>
          <w:p>
            <w:r>
              <w:t>主要职责</w:t>
            </w:r>
          </w:p>
        </w:tc>
        <w:tc>
          <w:tcPr>
            <w:tcW w:type="dxa" w:w="2880"/>
          </w:tcPr>
          <w:p>
            <w:r>
              <w:t>关键方法</w:t>
            </w:r>
          </w:p>
        </w:tc>
      </w:tr>
      <w:tr>
        <w:tc>
          <w:tcPr>
            <w:tcW w:type="dxa" w:w="2880"/>
          </w:tcPr>
          <w:p>
            <w:r>
              <w:t>OBJLoader</w:t>
            </w:r>
          </w:p>
        </w:tc>
        <w:tc>
          <w:tcPr>
            <w:tcW w:type="dxa" w:w="2880"/>
          </w:tcPr>
          <w:p>
            <w:r>
              <w:t>OBJ文件解析、模型数据管理</w:t>
            </w:r>
          </w:p>
        </w:tc>
        <w:tc>
          <w:tcPr>
            <w:tcW w:type="dxa" w:w="2880"/>
          </w:tcPr>
          <w:p>
            <w:r>
              <w:t>Load(), ComputeNormals()</w:t>
            </w:r>
          </w:p>
        </w:tc>
      </w:tr>
      <w:tr>
        <w:tc>
          <w:tcPr>
            <w:tcW w:type="dxa" w:w="2880"/>
          </w:tcPr>
          <w:p>
            <w:r>
              <w:t>CTransform</w:t>
            </w:r>
          </w:p>
        </w:tc>
        <w:tc>
          <w:tcPr>
            <w:tcW w:type="dxa" w:w="2880"/>
          </w:tcPr>
          <w:p>
            <w:r>
              <w:t>4×4齐次变换矩阵</w:t>
            </w:r>
          </w:p>
        </w:tc>
        <w:tc>
          <w:tcPr>
            <w:tcW w:type="dxa" w:w="2880"/>
          </w:tcPr>
          <w:p>
            <w:r>
              <w:t>Translate(), RotateX/Y/Z(), Scale(), Multiply()</w:t>
            </w:r>
          </w:p>
        </w:tc>
      </w:tr>
      <w:tr>
        <w:tc>
          <w:tcPr>
            <w:tcW w:type="dxa" w:w="2880"/>
          </w:tcPr>
          <w:p>
            <w:r>
              <w:t>CProjection</w:t>
            </w:r>
          </w:p>
        </w:tc>
        <w:tc>
          <w:tcPr>
            <w:tcW w:type="dxa" w:w="2880"/>
          </w:tcPr>
          <w:p>
            <w:r>
              <w:t>透视投影</w:t>
            </w:r>
          </w:p>
        </w:tc>
        <w:tc>
          <w:tcPr>
            <w:tcW w:type="dxa" w:w="2880"/>
          </w:tcPr>
          <w:p>
            <w:r>
              <w:t>SetPerspective(), Project()</w:t>
            </w:r>
          </w:p>
        </w:tc>
      </w:tr>
      <w:tr>
        <w:tc>
          <w:tcPr>
            <w:tcW w:type="dxa" w:w="2880"/>
          </w:tcPr>
          <w:p>
            <w:r>
              <w:t>CZBuffer</w:t>
            </w:r>
          </w:p>
        </w:tc>
        <w:tc>
          <w:tcPr>
            <w:tcW w:type="dxa" w:w="2880"/>
          </w:tcPr>
          <w:p>
            <w:r>
              <w:t>深度缓冲消隐</w:t>
            </w:r>
          </w:p>
        </w:tc>
        <w:tc>
          <w:tcPr>
            <w:tcW w:type="dxa" w:w="2880"/>
          </w:tcPr>
          <w:p>
            <w:r>
              <w:t>Init(), Reset(), TestAndSet()</w:t>
            </w:r>
          </w:p>
        </w:tc>
      </w:tr>
      <w:tr>
        <w:tc>
          <w:tcPr>
            <w:tcW w:type="dxa" w:w="2880"/>
          </w:tcPr>
          <w:p>
            <w:r>
              <w:t>CLighting</w:t>
            </w:r>
          </w:p>
        </w:tc>
        <w:tc>
          <w:tcPr>
            <w:tcW w:type="dxa" w:w="2880"/>
          </w:tcPr>
          <w:p>
            <w:r>
              <w:t>Phong光照计算</w:t>
            </w:r>
          </w:p>
        </w:tc>
        <w:tc>
          <w:tcPr>
            <w:tcW w:type="dxa" w:w="2880"/>
          </w:tcPr>
          <w:p>
            <w:r>
              <w:t>ComputeColor()</w:t>
            </w:r>
          </w:p>
        </w:tc>
      </w:tr>
      <w:tr>
        <w:tc>
          <w:tcPr>
            <w:tcW w:type="dxa" w:w="2880"/>
          </w:tcPr>
          <w:p>
            <w:r>
              <w:t>CTexture</w:t>
            </w:r>
          </w:p>
        </w:tc>
        <w:tc>
          <w:tcPr>
            <w:tcW w:type="dxa" w:w="2880"/>
          </w:tcPr>
          <w:p>
            <w:r>
              <w:t>纹理加载与采样</w:t>
            </w:r>
          </w:p>
        </w:tc>
        <w:tc>
          <w:tcPr>
            <w:tcW w:type="dxa" w:w="2880"/>
          </w:tcPr>
          <w:p>
            <w:r>
              <w:t>LoadBMP(), GenerateLanternTexture(), Sample()</w:t>
            </w:r>
          </w:p>
        </w:tc>
      </w:tr>
      <w:tr>
        <w:tc>
          <w:tcPr>
            <w:tcW w:type="dxa" w:w="2880"/>
          </w:tcPr>
          <w:p>
            <w:r>
              <w:t>CRenderPipeline</w:t>
            </w:r>
          </w:p>
        </w:tc>
        <w:tc>
          <w:tcPr>
            <w:tcW w:type="dxa" w:w="2880"/>
          </w:tcPr>
          <w:p>
            <w:r>
              <w:t>渲染管线编排</w:t>
            </w:r>
          </w:p>
        </w:tc>
        <w:tc>
          <w:tcPr>
            <w:tcW w:type="dxa" w:w="2880"/>
          </w:tcPr>
          <w:p>
            <w:r>
              <w:t>Render(), RasterizeTriangle(), Flush()</w:t>
            </w:r>
          </w:p>
        </w:tc>
      </w:tr>
      <w:tr>
        <w:tc>
          <w:tcPr>
            <w:tcW w:type="dxa" w:w="2880"/>
          </w:tcPr>
          <w:p>
            <w:r>
              <w:t>CLanternView</w:t>
            </w:r>
          </w:p>
        </w:tc>
        <w:tc>
          <w:tcPr>
            <w:tcW w:type="dxa" w:w="2880"/>
          </w:tcPr>
          <w:p>
            <w:r>
              <w:t>MFC视图、用户交互</w:t>
            </w:r>
          </w:p>
        </w:tc>
        <w:tc>
          <w:tcPr>
            <w:tcW w:type="dxa" w:w="2880"/>
          </w:tcPr>
          <w:p>
            <w:r>
              <w:t>OnDraw(), OnTimer(), OnMouseMove()</w:t>
            </w:r>
          </w:p>
        </w:tc>
      </w:tr>
    </w:tbl>
    <w:p>
      <w:pPr>
        <w:pStyle w:val="Heading3"/>
      </w:pPr>
      <w:r>
        <w:t>3.2 关键代码</w:t>
      </w:r>
    </w:p>
    <w:p>
      <w:r>
        <w:t>核心代码文件结构：</w:t>
        <w:br/>
        <w:t>• Transform.h — 4×4矩阵运算，支持平移/旋转/缩放/复合及点/法向量变换</w:t>
        <w:br/>
        <w:t>• Projection.h — 透视投影矩阵构造与屏幕坐标映射</w:t>
        <w:br/>
        <w:t>• ZBuffer.h — 深度缓冲区管理，支持初始化和深度测试</w:t>
        <w:br/>
        <w:t>• OBJLoader.h — OBJ文件解析，自动计算面片法向量</w:t>
        <w:br/>
        <w:t>• Lighting.h — Phong光照模型，含Vec3向量运算库</w:t>
        <w:br/>
        <w:t>• Texture.h — BMP纹理加载和程序化纹理生成</w:t>
        <w:br/>
        <w:t>• RenderPipeline.h — 完整渲染管线：变换→投影→光栅化→着色→输出</w:t>
        <w:br/>
        <w:t>• LanternView.cpp — MFC视图类，处理WM_PAINT/TIMER/MOUSEMOVE消息</w:t>
        <w:br/>
        <w:t>• Lantern3D.rc — 资源文件，包含菜单（渲染模式切换）和光源设置对话框</w:t>
      </w:r>
    </w:p>
    <w:p>
      <w:pPr>
        <w:pStyle w:val="Heading3"/>
      </w:pPr>
      <w:r>
        <w:t>3.3 实现效果</w:t>
      </w:r>
    </w:p>
    <w:p>
      <w:r>
        <w:t>系统支持五种渲染模式，可通过菜单或快捷键（Ctrl+1~5）切换：</w:t>
        <w:br/>
        <w:t>• 线框模式：金黄色线条绘制三角面片边框，展示模型几何结构</w:t>
        <w:br/>
        <w:t>• 平面着色（Flat Shading）：每个三角面使用统一法向量计算光照，可看到面片边界</w:t>
        <w:br/>
        <w:t>• Gouraud着色：顶点颜色插值，实现平滑过渡</w:t>
        <w:br/>
        <w:t>• Phong光照：法向量逐像素插值，材质为暖棕色陶瓷质感，高光细腻</w:t>
        <w:br/>
        <w:t>• 纹理映射：应用红底金条纹纹理到模型表面，增强真实感</w:t>
        <w:br/>
        <w:br/>
        <w:t>此外支持：鼠标左键拖拽旋转模型、鼠标右键停止拖拽、自动旋转动画（30fps）、光源参数设置对话框（位置X/Y/Z、光强）、Ctrl+R切换自动旋转。</w:t>
      </w:r>
    </w:p>
    <w:p>
      <w:pPr>
        <w:pStyle w:val="Heading2"/>
      </w:pPr>
      <w:r>
        <w:t>4. 项目总结</w:t>
      </w:r>
    </w:p>
    <w:p>
      <w:r>
        <w:t>本项目实现了从三维模型加载到真实感绘制的完整图形渲染管线，涵盖了计算机图形学课程的核心知识点：三维几何变换（模型/视图/投影矩阵）、Z-Buffer深度消隐、Phong光照模型、纹理映射和反走样采样。项目中所有渲染均为纯CPU软件实现（未使用OpenGL/DirectX），有助于深入理解图形渲染管线的底层原理。</w:t>
        <w:br/>
        <w:br/>
        <w:t>创新点：</w:t>
        <w:br/>
        <w:t>• 程序化生成的灯笼纹理无需依赖外部图片文件</w:t>
        <w:br/>
        <w:t>• 完整的Phong逐像素光照（非Gouraud顶点着色），高光细节更丰富</w:t>
        <w:br/>
        <w:t>• 数学函数驱动的灯笼曲面模型，非简单几何体拼接</w:t>
        <w:br/>
        <w:t>• 支持鼠标拖拽旋转（Arcball风格交互）</w:t>
      </w:r>
    </w:p>
    <w:p>
      <w:pPr>
        <w:pStyle w:val="Heading2"/>
      </w:pPr>
      <w:r>
        <w:t>5. 项目分工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成员</w:t>
            </w:r>
          </w:p>
        </w:tc>
        <w:tc>
          <w:tcPr>
            <w:tcW w:type="dxa" w:w="2880"/>
          </w:tcPr>
          <w:p>
            <w:r>
              <w:t>学号</w:t>
            </w:r>
          </w:p>
        </w:tc>
        <w:tc>
          <w:tcPr>
            <w:tcW w:type="dxa" w:w="2880"/>
          </w:tcPr>
          <w:p>
            <w:r>
              <w:t>分工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