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4"/>
          <w:szCs w:val="34"/>
        </w:rPr>
        <w:t xml:space="preserve">Tarotoo Tarot Card Meanings:</w:t>
      </w:r>
    </w:p>
    <w:p>
      <w:pPr>
        <w:spacing w:after="160"/>
        <w:jc w:val="center"/>
      </w:pPr>
      <w:r>
        <w:rPr>
          <w:rFonts w:ascii="Times New Roman" w:cs="Times New Roman" w:eastAsia="Times New Roman" w:hAnsi="Times New Roman"/>
          <w:b/>
          <w:bCs/>
          <w:sz w:val="34"/>
          <w:szCs w:val="34"/>
        </w:rPr>
        <w:t xml:space="preserve">A Complete 78-Card Structured Dataset</w:t>
      </w:r>
    </w:p>
    <w:p>
      <w:pPr>
        <w:spacing w:after="40"/>
        <w:jc w:val="center"/>
      </w:pPr>
      <w:r>
        <w:rPr>
          <w:rFonts w:ascii="Times New Roman" w:cs="Times New Roman" w:eastAsia="Times New Roman" w:hAnsi="Times New Roman"/>
          <w:sz w:val="22"/>
          <w:szCs w:val="22"/>
        </w:rPr>
        <w:t xml:space="preserve">Tarotoo • tarotoo.com</w:t>
      </w:r>
    </w:p>
    <w:p>
      <w:pPr>
        <w:spacing w:after="280"/>
        <w:jc w:val="center"/>
      </w:pPr>
      <w:r>
        <w:rPr>
          <w:rFonts w:ascii="Times New Roman" w:cs="Times New Roman" w:eastAsia="Times New Roman" w:hAnsi="Times New Roman"/>
          <w:sz w:val="22"/>
          <w:szCs w:val="22"/>
        </w:rPr>
        <w:t xml:space="preserve">2026 • Dataset DOI: 10.5281/zenodo.21268290 • License: MIT</w:t>
      </w:r>
    </w:p>
    <w:p>
      <w:pPr>
        <w:spacing w:after="140" w:line="300"/>
        <w:ind w:left="567" w:right="567"/>
        <w:jc w:val="both"/>
      </w:pPr>
      <w:r>
        <w:rPr>
          <w:rFonts w:ascii="Times New Roman" w:cs="Times New Roman" w:eastAsia="Times New Roman" w:hAnsi="Times New Roman"/>
          <w:b/>
          <w:bCs/>
          <w:i w:val="false"/>
          <w:iCs w:val="false"/>
          <w:sz w:val="21"/>
          <w:szCs w:val="21"/>
        </w:rPr>
        <w:t xml:space="preserve">Abstract. </w:t>
      </w:r>
      <w:r>
        <w:rPr>
          <w:rFonts w:ascii="Times New Roman" w:cs="Times New Roman" w:eastAsia="Times New Roman" w:hAnsi="Times New Roman"/>
          <w:b w:val="false"/>
          <w:bCs w:val="false"/>
          <w:i w:val="false"/>
          <w:iCs w:val="false"/>
          <w:sz w:val="21"/>
          <w:szCs w:val="21"/>
        </w:rPr>
        <w:t xml:space="preserve">We present a complete, machine-readable dataset of tarot card meanings covering all 78 cards of the standard tarot deck (22 Major Arcana and 56 Minor Arcana) in the Rider–Waite–Smith tradition. Each card is described by 18 structured fields: identification (name, arcana, suit, numerological number), esoteric correspondences (element, planet, zodiac), divinatory content (upright and reversed keywords and meanings, love, career, mood, and spiritual contexts), a yes/no value for binary readings, and a canonical reference URL. All interpretive text was created by Tarotoo within the Rider–Waite–Smith tradition, drawing on established public-domain sources, distributed under the MIT license, and validated by continuous integration. The dataset serves as the grounding corpus for the AI-generated readings on Tarotoo.com and is designed for retrieval-augmented generation, lookup services, and computational studies of tarot symbolism. It is distributed via GitHub, Hugging Face, Kaggle, npm, PyPI, and a Model Context Protocol server for direct use by AI assistants.</w:t>
      </w:r>
    </w:p>
    <w:p>
      <w:pPr>
        <w:spacing w:after="120" w:before="260"/>
      </w:pPr>
      <w:r>
        <w:rPr>
          <w:rFonts w:ascii="Times New Roman" w:cs="Times New Roman" w:eastAsia="Times New Roman" w:hAnsi="Times New Roman"/>
          <w:b/>
          <w:bCs/>
          <w:sz w:val="25"/>
          <w:szCs w:val="25"/>
        </w:rPr>
        <w:t xml:space="preserve">1. Introduction</w:t>
      </w:r>
    </w:p>
    <w:p>
      <w:pPr>
        <w:spacing w:after="140" w:line="300"/>
        <w:jc w:val="both"/>
      </w:pPr>
      <w:r>
        <w:rPr>
          <w:rFonts w:ascii="Times New Roman" w:cs="Times New Roman" w:eastAsia="Times New Roman" w:hAnsi="Times New Roman"/>
          <w:b w:val="false"/>
          <w:bCs w:val="false"/>
          <w:i w:val="false"/>
          <w:iCs w:val="false"/>
          <w:sz w:val="21"/>
          <w:szCs w:val="21"/>
        </w:rPr>
        <w:t xml:space="preserve">Large language models are increasingly used to generate tarot readings, yet they typically draw card interpretations from opaque training data, producing inconsistent and unverifiable meanings. Publishing the interpretive corpus itself — openly and in structured form — allows readings to be grounded in a fixed, inspectable source, and allows anyone to verify what an AI system was told a card means. This dataset was created for exactly that purpose: it is the published source of card meanings used by the reading engine at Tarotoo.com. Beyond its primary role, a complete and consistently structured tarot corpus is useful for lookup services, conversational agents, and quantitative study of divinatory symbolism.</w:t>
      </w:r>
    </w:p>
    <w:p>
      <w:pPr>
        <w:spacing w:after="120" w:before="260"/>
      </w:pPr>
      <w:r>
        <w:rPr>
          <w:rFonts w:ascii="Times New Roman" w:cs="Times New Roman" w:eastAsia="Times New Roman" w:hAnsi="Times New Roman"/>
          <w:b/>
          <w:bCs/>
          <w:sz w:val="25"/>
          <w:szCs w:val="25"/>
        </w:rPr>
        <w:t xml:space="preserve">2. Dataset Description</w:t>
      </w:r>
    </w:p>
    <w:p>
      <w:pPr>
        <w:spacing w:after="140" w:line="300"/>
        <w:jc w:val="both"/>
      </w:pPr>
      <w:r>
        <w:rPr>
          <w:rFonts w:ascii="Times New Roman" w:cs="Times New Roman" w:eastAsia="Times New Roman" w:hAnsi="Times New Roman"/>
          <w:b w:val="false"/>
          <w:bCs w:val="false"/>
          <w:i w:val="false"/>
          <w:iCs w:val="false"/>
          <w:sz w:val="21"/>
          <w:szCs w:val="21"/>
        </w:rPr>
        <w:t xml:space="preserve">The dataset contains exactly 78 records — one per card: 22 Major Arcana (The Fool through The World) and 56 Minor Arcana across four suits (Wands, Cups, Swords, Pentacles), each running Ace through Ten plus four court cards (Page, Knight, Queen, King). Records are distributed in three equivalent formats: JSON (canonical, nested arrays for keywords), JSONL (one record per line), and CSV (flat, keyword lists joined with semicolons). Table 1 lists the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4726"/>
      </w:tblGrid>
      <w:tr>
        <w:tc>
          <w:tcPr>
            <w:tcW w:type="dxa" w:w="2600"/>
            <w:tcBorders>
              <w:top w:val="single" w:color="999999" w:sz="2"/>
              <w:left w:val="single" w:color="999999" w:sz="2"/>
              <w:bottom w:val="single" w:color="999999" w:sz="2"/>
              <w:right w:val="single" w:color="999999" w:sz="2"/>
            </w:tcBorders>
            <w:shd w:fill="ECE6F5" w:val="clear"/>
            <w:tcMar>
              <w:top w:type="dxa" w:w="60"/>
              <w:left w:type="dxa" w:w="100"/>
              <w:bottom w:type="dxa" w:w="60"/>
              <w:right w:type="dxa" w:w="100"/>
            </w:tcMar>
          </w:tcPr>
          <w:p>
            <w:r>
              <w:rPr>
                <w:rFonts w:ascii="Times New Roman" w:cs="Times New Roman" w:eastAsia="Times New Roman" w:hAnsi="Times New Roman"/>
                <w:b/>
                <w:bCs/>
                <w:sz w:val="17"/>
                <w:szCs w:val="17"/>
              </w:rPr>
              <w:t xml:space="preserve">Field</w:t>
            </w:r>
          </w:p>
        </w:tc>
        <w:tc>
          <w:tcPr>
            <w:tcW w:type="dxa" w:w="1700"/>
            <w:tcBorders>
              <w:top w:val="single" w:color="999999" w:sz="2"/>
              <w:left w:val="single" w:color="999999" w:sz="2"/>
              <w:bottom w:val="single" w:color="999999" w:sz="2"/>
              <w:right w:val="single" w:color="999999" w:sz="2"/>
            </w:tcBorders>
            <w:shd w:fill="ECE6F5" w:val="clear"/>
            <w:tcMar>
              <w:top w:type="dxa" w:w="60"/>
              <w:left w:type="dxa" w:w="100"/>
              <w:bottom w:type="dxa" w:w="60"/>
              <w:right w:type="dxa" w:w="100"/>
            </w:tcMar>
          </w:tcPr>
          <w:p>
            <w:r>
              <w:rPr>
                <w:rFonts w:ascii="Times New Roman" w:cs="Times New Roman" w:eastAsia="Times New Roman" w:hAnsi="Times New Roman"/>
                <w:b/>
                <w:bCs/>
                <w:sz w:val="17"/>
                <w:szCs w:val="17"/>
              </w:rPr>
              <w:t xml:space="preserve">Type</w:t>
            </w:r>
          </w:p>
        </w:tc>
        <w:tc>
          <w:tcPr>
            <w:tcW w:type="dxa" w:w="4726"/>
            <w:tcBorders>
              <w:top w:val="single" w:color="999999" w:sz="2"/>
              <w:left w:val="single" w:color="999999" w:sz="2"/>
              <w:bottom w:val="single" w:color="999999" w:sz="2"/>
              <w:right w:val="single" w:color="999999" w:sz="2"/>
            </w:tcBorders>
            <w:shd w:fill="ECE6F5" w:val="clear"/>
            <w:tcMar>
              <w:top w:type="dxa" w:w="60"/>
              <w:left w:type="dxa" w:w="100"/>
              <w:bottom w:type="dxa" w:w="60"/>
              <w:right w:type="dxa" w:w="100"/>
            </w:tcMar>
          </w:tcPr>
          <w:p>
            <w:r>
              <w:rPr>
                <w:rFonts w:ascii="Times New Roman" w:cs="Times New Roman" w:eastAsia="Times New Roman" w:hAnsi="Times New Roman"/>
                <w:b/>
                <w:bCs/>
                <w:sz w:val="17"/>
                <w:szCs w:val="17"/>
              </w:rPr>
              <w:t xml:space="preserve">Description</w:t>
            </w:r>
          </w:p>
        </w:tc>
      </w:tr>
      <w:tr>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id</w:t>
            </w:r>
          </w:p>
        </w:tc>
        <w:tc>
          <w:tcPr>
            <w:tcW w:type="dxa" w:w="17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integer</w:t>
            </w:r>
          </w:p>
        </w:tc>
        <w:tc>
          <w:tcPr>
            <w:tcW w:type="dxa" w:w="4726"/>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Stable identifier, 0–77 (0–21 Major Arcana, then Wands, Cups, Swords, Pentacles)</w:t>
            </w:r>
          </w:p>
        </w:tc>
      </w:tr>
      <w:tr>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name</w:t>
            </w:r>
          </w:p>
        </w:tc>
        <w:tc>
          <w:tcPr>
            <w:tcW w:type="dxa" w:w="17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string</w:t>
            </w:r>
          </w:p>
        </w:tc>
        <w:tc>
          <w:tcPr>
            <w:tcW w:type="dxa" w:w="4726"/>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Card name, e.g. “The Fool”, “Ace of Cups”</w:t>
            </w:r>
          </w:p>
        </w:tc>
      </w:tr>
      <w:tr>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arcana</w:t>
            </w:r>
          </w:p>
        </w:tc>
        <w:tc>
          <w:tcPr>
            <w:tcW w:type="dxa" w:w="17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string</w:t>
            </w:r>
          </w:p>
        </w:tc>
        <w:tc>
          <w:tcPr>
            <w:tcW w:type="dxa" w:w="4726"/>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“major” or “minor”</w:t>
            </w:r>
          </w:p>
        </w:tc>
      </w:tr>
      <w:tr>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suit</w:t>
            </w:r>
          </w:p>
        </w:tc>
        <w:tc>
          <w:tcPr>
            <w:tcW w:type="dxa" w:w="17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string | null</w:t>
            </w:r>
          </w:p>
        </w:tc>
        <w:tc>
          <w:tcPr>
            <w:tcW w:type="dxa" w:w="4726"/>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null for Major Arcana; wands, cups, swords, pentacles</w:t>
            </w:r>
          </w:p>
        </w:tc>
      </w:tr>
      <w:tr>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number_numerology</w:t>
            </w:r>
          </w:p>
        </w:tc>
        <w:tc>
          <w:tcPr>
            <w:tcW w:type="dxa" w:w="17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integer</w:t>
            </w:r>
          </w:p>
        </w:tc>
        <w:tc>
          <w:tcPr>
            <w:tcW w:type="dxa" w:w="4726"/>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Card number for numerology (courts: Page=11, Knight=12, Queen=13, King=14)</w:t>
            </w:r>
          </w:p>
        </w:tc>
      </w:tr>
      <w:tr>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element</w:t>
            </w:r>
          </w:p>
        </w:tc>
        <w:tc>
          <w:tcPr>
            <w:tcW w:type="dxa" w:w="17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string</w:t>
            </w:r>
          </w:p>
        </w:tc>
        <w:tc>
          <w:tcPr>
            <w:tcW w:type="dxa" w:w="4726"/>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Classical element: Fire, Water, Air, Earth</w:t>
            </w:r>
          </w:p>
        </w:tc>
      </w:tr>
      <w:tr>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planet</w:t>
            </w:r>
          </w:p>
        </w:tc>
        <w:tc>
          <w:tcPr>
            <w:tcW w:type="dxa" w:w="17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string | null</w:t>
            </w:r>
          </w:p>
        </w:tc>
        <w:tc>
          <w:tcPr>
            <w:tcW w:type="dxa" w:w="4726"/>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Planetary association (null where not applicable, e.g. Aces)</w:t>
            </w:r>
          </w:p>
        </w:tc>
      </w:tr>
      <w:tr>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zodiac</w:t>
            </w:r>
          </w:p>
        </w:tc>
        <w:tc>
          <w:tcPr>
            <w:tcW w:type="dxa" w:w="17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string | null</w:t>
            </w:r>
          </w:p>
        </w:tc>
        <w:tc>
          <w:tcPr>
            <w:tcW w:type="dxa" w:w="4726"/>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Zodiac sign(s); the element's three signs for Aces and Pages</w:t>
            </w:r>
          </w:p>
        </w:tc>
      </w:tr>
      <w:tr>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yes_no</w:t>
            </w:r>
          </w:p>
        </w:tc>
        <w:tc>
          <w:tcPr>
            <w:tcW w:type="dxa" w:w="17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string</w:t>
            </w:r>
          </w:p>
        </w:tc>
        <w:tc>
          <w:tcPr>
            <w:tcW w:type="dxa" w:w="4726"/>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yes, no, or maybe — for yes-or-no readings</w:t>
            </w:r>
          </w:p>
        </w:tc>
      </w:tr>
      <w:tr>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keywords_upright</w:t>
            </w:r>
          </w:p>
        </w:tc>
        <w:tc>
          <w:tcPr>
            <w:tcW w:type="dxa" w:w="17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list[string]</w:t>
            </w:r>
          </w:p>
        </w:tc>
        <w:tc>
          <w:tcPr>
            <w:tcW w:type="dxa" w:w="4726"/>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Upright keywords</w:t>
            </w:r>
          </w:p>
        </w:tc>
      </w:tr>
      <w:tr>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keywords_reversed</w:t>
            </w:r>
          </w:p>
        </w:tc>
        <w:tc>
          <w:tcPr>
            <w:tcW w:type="dxa" w:w="17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list[string]</w:t>
            </w:r>
          </w:p>
        </w:tc>
        <w:tc>
          <w:tcPr>
            <w:tcW w:type="dxa" w:w="4726"/>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Reversed keywords</w:t>
            </w:r>
          </w:p>
        </w:tc>
      </w:tr>
      <w:tr>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meaning_upright</w:t>
            </w:r>
          </w:p>
        </w:tc>
        <w:tc>
          <w:tcPr>
            <w:tcW w:type="dxa" w:w="17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string</w:t>
            </w:r>
          </w:p>
        </w:tc>
        <w:tc>
          <w:tcPr>
            <w:tcW w:type="dxa" w:w="4726"/>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Upright meaning as concise keyword phrases</w:t>
            </w:r>
          </w:p>
        </w:tc>
      </w:tr>
      <w:tr>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meaning_reversed</w:t>
            </w:r>
          </w:p>
        </w:tc>
        <w:tc>
          <w:tcPr>
            <w:tcW w:type="dxa" w:w="17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string</w:t>
            </w:r>
          </w:p>
        </w:tc>
        <w:tc>
          <w:tcPr>
            <w:tcW w:type="dxa" w:w="4726"/>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Reversed meaning as concise keyword phrases</w:t>
            </w:r>
          </w:p>
        </w:tc>
      </w:tr>
      <w:tr>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love</w:t>
            </w:r>
          </w:p>
        </w:tc>
        <w:tc>
          <w:tcPr>
            <w:tcW w:type="dxa" w:w="17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string</w:t>
            </w:r>
          </w:p>
        </w:tc>
        <w:tc>
          <w:tcPr>
            <w:tcW w:type="dxa" w:w="4726"/>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Love / relationships context</w:t>
            </w:r>
          </w:p>
        </w:tc>
      </w:tr>
      <w:tr>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career</w:t>
            </w:r>
          </w:p>
        </w:tc>
        <w:tc>
          <w:tcPr>
            <w:tcW w:type="dxa" w:w="17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string</w:t>
            </w:r>
          </w:p>
        </w:tc>
        <w:tc>
          <w:tcPr>
            <w:tcW w:type="dxa" w:w="4726"/>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Career / work context</w:t>
            </w:r>
          </w:p>
        </w:tc>
      </w:tr>
      <w:tr>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mood</w:t>
            </w:r>
          </w:p>
        </w:tc>
        <w:tc>
          <w:tcPr>
            <w:tcW w:type="dxa" w:w="17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string</w:t>
            </w:r>
          </w:p>
        </w:tc>
        <w:tc>
          <w:tcPr>
            <w:tcW w:type="dxa" w:w="4726"/>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Mood / emotional tone</w:t>
            </w:r>
          </w:p>
        </w:tc>
      </w:tr>
      <w:tr>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spiritual</w:t>
            </w:r>
          </w:p>
        </w:tc>
        <w:tc>
          <w:tcPr>
            <w:tcW w:type="dxa" w:w="17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string</w:t>
            </w:r>
          </w:p>
        </w:tc>
        <w:tc>
          <w:tcPr>
            <w:tcW w:type="dxa" w:w="4726"/>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Spiritual-growth context</w:t>
            </w:r>
          </w:p>
        </w:tc>
      </w:tr>
      <w:tr>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url</w:t>
            </w:r>
          </w:p>
        </w:tc>
        <w:tc>
          <w:tcPr>
            <w:tcW w:type="dxa" w:w="17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string</w:t>
            </w:r>
          </w:p>
        </w:tc>
        <w:tc>
          <w:tcPr>
            <w:tcW w:type="dxa" w:w="4726"/>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Times New Roman" w:cs="Times New Roman" w:eastAsia="Times New Roman" w:hAnsi="Times New Roman"/>
                <w:b w:val="false"/>
                <w:bCs w:val="false"/>
                <w:sz w:val="17"/>
                <w:szCs w:val="17"/>
              </w:rPr>
              <w:t xml:space="preserve">Card meaning page on tarotoo.com</w:t>
            </w:r>
          </w:p>
        </w:tc>
      </w:tr>
    </w:tbl>
    <w:p>
      <w:pPr>
        <w:spacing w:after="140" w:before="80"/>
        <w:jc w:val="center"/>
      </w:pPr>
      <w:r>
        <w:rPr>
          <w:rFonts w:ascii="Times New Roman" w:cs="Times New Roman" w:eastAsia="Times New Roman" w:hAnsi="Times New Roman"/>
          <w:i/>
          <w:iCs/>
          <w:sz w:val="18"/>
          <w:szCs w:val="18"/>
        </w:rPr>
        <w:t xml:space="preserve">Table 1: Dataset schema (18 fields per card).</w:t>
      </w:r>
    </w:p>
    <w:p>
      <w:pPr>
        <w:spacing w:after="120" w:before="260"/>
      </w:pPr>
      <w:r>
        <w:rPr>
          <w:rFonts w:ascii="Times New Roman" w:cs="Times New Roman" w:eastAsia="Times New Roman" w:hAnsi="Times New Roman"/>
          <w:b/>
          <w:bCs/>
          <w:sz w:val="25"/>
          <w:szCs w:val="25"/>
        </w:rPr>
        <w:t xml:space="preserve">3. Methodology</w:t>
      </w:r>
    </w:p>
    <w:p>
      <w:pPr>
        <w:spacing w:after="140" w:line="300"/>
        <w:jc w:val="both"/>
      </w:pPr>
      <w:r>
        <w:rPr>
          <w:rFonts w:ascii="Times New Roman" w:cs="Times New Roman" w:eastAsia="Times New Roman" w:hAnsi="Times New Roman"/>
          <w:b w:val="false"/>
          <w:bCs w:val="false"/>
          <w:i w:val="false"/>
          <w:iCs w:val="false"/>
          <w:sz w:val="21"/>
          <w:szCs w:val="21"/>
        </w:rPr>
        <w:t xml:space="preserve">All interpretive text was created by Tarotoo within the Rider–Waite–Smith tradition and structured as concise keyword phrases suitable for both human reference and use in language-model prompts. The interpretations draw on established tarot sources, primarily A. E. Waite’s The Pictorial Key to the Tarot (1911). Planetary and zodiac correspondences follow classical rulerships and the decan system documented in the Hermetic Order of the Golden Dawn’s Book T (c. 1888–1897). Each card was reviewed for consistency in tone, terminology, structure, and level of detail across the complete deck. Published dataset files are generated from per-suit source files using a build script that checks schema completeness, including 78 unique card records, all 18 required fields, and valid field values. The build process regenerates each published format, while automated validation runs on every change made to the public repository.</w:t>
      </w:r>
    </w:p>
    <w:p>
      <w:pPr>
        <w:spacing w:after="120" w:before="260"/>
      </w:pPr>
      <w:r>
        <w:rPr>
          <w:rFonts w:ascii="Times New Roman" w:cs="Times New Roman" w:eastAsia="Times New Roman" w:hAnsi="Times New Roman"/>
          <w:b/>
          <w:bCs/>
          <w:sz w:val="25"/>
          <w:szCs w:val="25"/>
        </w:rPr>
        <w:t xml:space="preserve">4. Applications</w:t>
      </w:r>
    </w:p>
    <w:p>
      <w:pPr>
        <w:spacing w:after="140" w:line="300"/>
        <w:jc w:val="both"/>
      </w:pPr>
      <w:r>
        <w:rPr>
          <w:rFonts w:ascii="Times New Roman" w:cs="Times New Roman" w:eastAsia="Times New Roman" w:hAnsi="Times New Roman"/>
          <w:b/>
          <w:bCs/>
          <w:i w:val="false"/>
          <w:iCs w:val="false"/>
          <w:sz w:val="21"/>
          <w:szCs w:val="21"/>
        </w:rPr>
        <w:t xml:space="preserve">Retrieval-augmented generation. </w:t>
      </w:r>
      <w:r>
        <w:rPr>
          <w:rFonts w:ascii="Times New Roman" w:cs="Times New Roman" w:eastAsia="Times New Roman" w:hAnsi="Times New Roman"/>
          <w:b w:val="false"/>
          <w:bCs w:val="false"/>
          <w:i w:val="false"/>
          <w:iCs w:val="false"/>
          <w:sz w:val="21"/>
          <w:szCs w:val="21"/>
        </w:rPr>
        <w:t xml:space="preserve">The dataset's primary application is grounding AI tarot readings: when a user draws cards, the corresponding records are retrieved and included in the model prompt, anchoring the generated interpretation to published meanings. This is the production configuration on Tarotoo.com. </w:t>
      </w:r>
      <w:r>
        <w:rPr>
          <w:rFonts w:ascii="Times New Roman" w:cs="Times New Roman" w:eastAsia="Times New Roman" w:hAnsi="Times New Roman"/>
          <w:b/>
          <w:bCs/>
          <w:i w:val="false"/>
          <w:iCs w:val="false"/>
          <w:sz w:val="21"/>
          <w:szCs w:val="21"/>
        </w:rPr>
        <w:t xml:space="preserve">Live access for AI assistants. </w:t>
      </w:r>
      <w:r>
        <w:rPr>
          <w:rFonts w:ascii="Times New Roman" w:cs="Times New Roman" w:eastAsia="Times New Roman" w:hAnsi="Times New Roman"/>
          <w:b w:val="false"/>
          <w:bCs w:val="false"/>
          <w:i w:val="false"/>
          <w:iCs w:val="false"/>
          <w:sz w:val="21"/>
          <w:szCs w:val="21"/>
        </w:rPr>
        <w:t xml:space="preserve">A companion Model Context Protocol (MCP) server exposes lookup, search, yes/no, and card-drawing tools to MCP-capable AI assistants; it is listed in the official MCP registry as io.github.Tarotoo-com/tarotoo-mcp-server. </w:t>
      </w:r>
      <w:r>
        <w:rPr>
          <w:rFonts w:ascii="Times New Roman" w:cs="Times New Roman" w:eastAsia="Times New Roman" w:hAnsi="Times New Roman"/>
          <w:b/>
          <w:bCs/>
          <w:i w:val="false"/>
          <w:iCs w:val="false"/>
          <w:sz w:val="21"/>
          <w:szCs w:val="21"/>
        </w:rPr>
        <w:t xml:space="preserve">Software libraries. </w:t>
      </w:r>
      <w:r>
        <w:rPr>
          <w:rFonts w:ascii="Times New Roman" w:cs="Times New Roman" w:eastAsia="Times New Roman" w:hAnsi="Times New Roman"/>
          <w:b w:val="false"/>
          <w:bCs w:val="false"/>
          <w:i w:val="false"/>
          <w:iCs w:val="false"/>
          <w:sz w:val="21"/>
          <w:szCs w:val="21"/>
        </w:rPr>
        <w:t xml:space="preserve">The dataset ships as installable packages for JavaScript (npm: tarotoo-tarot) and Python (PyPI: tarotoo-tarot) with lookup and search helpers. </w:t>
      </w:r>
      <w:r>
        <w:rPr>
          <w:rFonts w:ascii="Times New Roman" w:cs="Times New Roman" w:eastAsia="Times New Roman" w:hAnsi="Times New Roman"/>
          <w:b/>
          <w:bCs/>
          <w:i w:val="false"/>
          <w:iCs w:val="false"/>
          <w:sz w:val="21"/>
          <w:szCs w:val="21"/>
        </w:rPr>
        <w:t xml:space="preserve">Analysis. </w:t>
      </w:r>
      <w:r>
        <w:rPr>
          <w:rFonts w:ascii="Times New Roman" w:cs="Times New Roman" w:eastAsia="Times New Roman" w:hAnsi="Times New Roman"/>
          <w:b w:val="false"/>
          <w:bCs w:val="false"/>
          <w:i w:val="false"/>
          <w:iCs w:val="false"/>
          <w:sz w:val="21"/>
          <w:szCs w:val="21"/>
        </w:rPr>
        <w:t xml:space="preserve">The consistent schema supports studies of keyword distributions, elemental and astrological correspondence patterns, and cross-suit symbolism.</w:t>
      </w:r>
    </w:p>
    <w:p>
      <w:pPr>
        <w:spacing w:after="120" w:before="260"/>
      </w:pPr>
      <w:r>
        <w:rPr>
          <w:rFonts w:ascii="Times New Roman" w:cs="Times New Roman" w:eastAsia="Times New Roman" w:hAnsi="Times New Roman"/>
          <w:b/>
          <w:bCs/>
          <w:sz w:val="25"/>
          <w:szCs w:val="25"/>
        </w:rPr>
        <w:t xml:space="preserve">5. Availability</w:t>
      </w:r>
    </w:p>
    <w:p>
      <w:pPr>
        <w:spacing w:after="140" w:line="300"/>
        <w:jc w:val="both"/>
      </w:pPr>
      <w:r>
        <w:rPr>
          <w:rFonts w:ascii="Times New Roman" w:cs="Times New Roman" w:eastAsia="Times New Roman" w:hAnsi="Times New Roman"/>
          <w:b w:val="false"/>
          <w:bCs w:val="false"/>
          <w:i w:val="false"/>
          <w:iCs w:val="false"/>
          <w:sz w:val="21"/>
          <w:szCs w:val="21"/>
        </w:rPr>
        <w:t xml:space="preserve">The dataset is published under the MIT license. The source of truth is the GitHub repository (github.com/Tarotoo-com/tarotoo-tarot-dataset); versioned archives with DOIs are deposited on Zenodo (concept DOI 10.5281/zenodo.21268290, which always resolves to the latest version). Mirrors and packages: Hugging Face (huggingface.co/datasets/Tarotoo/tarotoo-tarot-card-meanings), Kaggle (kaggle.com/datasets/tarotoo/tarotoo-tarot-card-meanings), npm and PyPI (tarotoo-tarot), and the MCP server (github.com/Tarotoo-com/tarotoo-mcp-server). A human-readable overview with all links is maintained at tarotoo.com/open-data.</w:t>
      </w:r>
    </w:p>
    <w:p>
      <w:pPr>
        <w:spacing w:after="120" w:before="260"/>
      </w:pPr>
      <w:r>
        <w:rPr>
          <w:rFonts w:ascii="Times New Roman" w:cs="Times New Roman" w:eastAsia="Times New Roman" w:hAnsi="Times New Roman"/>
          <w:b/>
          <w:bCs/>
          <w:sz w:val="25"/>
          <w:szCs w:val="25"/>
        </w:rPr>
        <w:t xml:space="preserve">6. Limitations and Responsible Use</w:t>
      </w:r>
    </w:p>
    <w:p>
      <w:pPr>
        <w:spacing w:after="140" w:line="300"/>
        <w:jc w:val="both"/>
      </w:pPr>
      <w:r>
        <w:rPr>
          <w:rFonts w:ascii="Times New Roman" w:cs="Times New Roman" w:eastAsia="Times New Roman" w:hAnsi="Times New Roman"/>
          <w:b w:val="false"/>
          <w:bCs w:val="false"/>
          <w:i w:val="false"/>
          <w:iCs w:val="false"/>
          <w:sz w:val="21"/>
          <w:szCs w:val="21"/>
        </w:rPr>
        <w:t xml:space="preserve">The dataset encodes one widely used interpretive tradition; other tarot traditions assign different meanings and correspondences, and no claim is made that these interpretations are exhaustive or authoritative beyond that tradition. Tarot readings — whether generated by humans or AI systems — are for entertainment and self-reflection only, and are not a substitute for medical, legal, financial, or mental-health advice.</w:t>
      </w:r>
    </w:p>
    <w:p>
      <w:pPr>
        <w:spacing w:after="120" w:before="260"/>
      </w:pPr>
      <w:r>
        <w:rPr>
          <w:rFonts w:ascii="Times New Roman" w:cs="Times New Roman" w:eastAsia="Times New Roman" w:hAnsi="Times New Roman"/>
          <w:b/>
          <w:bCs/>
          <w:sz w:val="25"/>
          <w:szCs w:val="25"/>
        </w:rPr>
        <w:t xml:space="preserve">References</w:t>
      </w:r>
    </w:p>
    <w:p>
      <w:pPr>
        <w:spacing w:after="60"/>
        <w:ind w:left="340" w:hanging="340"/>
      </w:pPr>
      <w:r>
        <w:rPr>
          <w:rFonts w:ascii="Times New Roman" w:cs="Times New Roman" w:eastAsia="Times New Roman" w:hAnsi="Times New Roman"/>
          <w:sz w:val="19"/>
          <w:szCs w:val="19"/>
        </w:rPr>
        <w:t xml:space="preserve">[1] Waite, A. E. (1911). The Pictorial Key to the Tarot. William Rider &amp; Son.</w:t>
      </w:r>
    </w:p>
    <w:p>
      <w:pPr>
        <w:spacing w:after="60"/>
        <w:ind w:left="340" w:hanging="340"/>
      </w:pPr>
      <w:r>
        <w:rPr>
          <w:rFonts w:ascii="Times New Roman" w:cs="Times New Roman" w:eastAsia="Times New Roman" w:hAnsi="Times New Roman"/>
          <w:sz w:val="19"/>
          <w:szCs w:val="19"/>
        </w:rPr>
        <w:t xml:space="preserve">[2] Hermetic Order of the Golden Dawn (c. 1888–1897). Book T: The Tarot.</w:t>
      </w:r>
    </w:p>
    <w:p>
      <w:pPr>
        <w:spacing w:after="60"/>
        <w:ind w:left="340" w:hanging="340"/>
      </w:pPr>
      <w:r>
        <w:rPr>
          <w:rFonts w:ascii="Times New Roman" w:cs="Times New Roman" w:eastAsia="Times New Roman" w:hAnsi="Times New Roman"/>
          <w:sz w:val="19"/>
          <w:szCs w:val="19"/>
        </w:rPr>
        <w:t xml:space="preserve">[3] Mathers, S. L. MacGregor (1888). The Tarot: Its Occult Signification, Use in Fortune-Telling, and Method of Play.</w:t>
      </w:r>
    </w:p>
    <w:p>
      <w:pPr>
        <w:spacing w:after="60"/>
        <w:ind w:left="340" w:hanging="340"/>
      </w:pPr>
      <w:r>
        <w:rPr>
          <w:rFonts w:ascii="Times New Roman" w:cs="Times New Roman" w:eastAsia="Times New Roman" w:hAnsi="Times New Roman"/>
          <w:sz w:val="19"/>
          <w:szCs w:val="19"/>
        </w:rPr>
        <w:t xml:space="preserve">[4] Papus (1889). The Tarot of the Bohemians.</w:t>
      </w:r>
    </w:p>
    <w:p>
      <w:pPr>
        <w:spacing w:after="60"/>
        <w:ind w:left="340" w:hanging="340"/>
      </w:pPr>
      <w:r>
        <w:rPr>
          <w:rFonts w:ascii="Times New Roman" w:cs="Times New Roman" w:eastAsia="Times New Roman" w:hAnsi="Times New Roman"/>
          <w:sz w:val="19"/>
          <w:szCs w:val="19"/>
        </w:rPr>
        <w:t xml:space="preserve">[5] Ouspensky, P. D. (1913). The Symbolism of the Tarot.</w:t>
      </w:r>
    </w:p>
    <w:p>
      <w:pPr>
        <w:spacing w:after="60"/>
        <w:ind w:left="340" w:hanging="340"/>
      </w:pPr>
      <w:r>
        <w:rPr>
          <w:rFonts w:ascii="Times New Roman" w:cs="Times New Roman" w:eastAsia="Times New Roman" w:hAnsi="Times New Roman"/>
          <w:sz w:val="19"/>
          <w:szCs w:val="19"/>
        </w:rPr>
        <w:t xml:space="preserve">[6] Thierens, A. E. (1930). General Book of the Tarot.</w:t>
      </w:r>
    </w:p>
    <w:sectPr>
      <w:pgSz w:w="11906" w:h="16838" w:orient="portrait"/>
      <w:pgMar w:top="1247" w:right="1361" w:bottom="1247" w:left="136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2026-07-09T23:08:32.851Z</dcterms:created>
  <dcterms:modified xsi:type="dcterms:W3CDTF">2026-07-09T23:08:32.852Z</dcterms:modified>
</cp:coreProperties>
</file>

<file path=docProps/custom.xml><?xml version="1.0" encoding="utf-8"?>
<Properties xmlns="http://schemas.openxmlformats.org/officeDocument/2006/custom-properties" xmlns:vt="http://schemas.openxmlformats.org/officeDocument/2006/docPropsVTypes"/>
</file>