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Заинтересованные стороны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спроса на программный продукт необходимо максимально учитывать потребности целевого клиента и реализовать соответствующие компоненты. В данном случае идеальным вариантом является путь, когда потребности взаимно решаются в рамках системы. Это достигается посредством анализа проблем и выделения заинтересованных лиц.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88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Было выделено такие категории  заинтересованных лиц: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Первая категория – это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прямые </w:t>
      </w:r>
      <w:r w:rsidDel="00000000" w:rsidR="00000000" w:rsidRPr="00000000">
        <w:rPr>
          <w:sz w:val="24"/>
          <w:szCs w:val="24"/>
          <w:rtl w:val="0"/>
        </w:rPr>
        <w:t xml:space="preserve">пользователи системы: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Игроки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лица, непосредственно использующие игру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удовольствия от игрового процесса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принятия решений во время игрового процесса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Покрытие жажды к исследованию за счет исследования игрового мира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Выгодополучатели #1 -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платформа релиза игры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Прибыль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Популяризация платформы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Выгодополучатели #2 -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прямые владельцы игры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Прибыль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" w:line="288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Популяризация студии-издателя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" w:line="28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Вторая </w:t>
      </w:r>
      <w:r w:rsidDel="00000000" w:rsidR="00000000" w:rsidRPr="00000000">
        <w:rPr>
          <w:sz w:val="24"/>
          <w:szCs w:val="24"/>
          <w:rtl w:val="0"/>
        </w:rPr>
        <w:t xml:space="preserve">категория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Внутренние заинтересованные лица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designer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Человек, ответственный за работоспособность системы и вносящий изменения в проект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Юрист</w:t>
      </w:r>
      <w:r w:rsidDel="00000000" w:rsidR="00000000" w:rsidRPr="00000000">
        <w:rPr>
          <w:sz w:val="24"/>
          <w:szCs w:val="24"/>
          <w:rtl w:val="0"/>
        </w:rPr>
        <w:t xml:space="preserve"> - Человек, ответственный за формирование Terms of Use, Privacy policy, драфтов и авторских прав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 разработчиков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Лица, которые выполняют разработку и поддержание работоспособности приложения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