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p>
    <w:p>
      <w:pPr>
        <w:spacing w:after="80" w:before="80"/>
      </w:pPr>
    </w:p>
    <w:p>
      <w:pPr>
        <w:spacing w:after="80" w:before="80"/>
      </w:pPr>
    </w:p>
    <w:p>
      <w:pPr>
        <w:spacing w:after="80" w:before="80"/>
      </w:pPr>
    </w:p>
    <w:p>
      <w:pPr>
        <w:spacing w:after="80" w:before="80"/>
      </w:pPr>
    </w:p>
    <w:p>
      <w:pPr>
        <w:spacing w:after="80" w:before="80"/>
      </w:pPr>
    </w:p>
    <w:p>
      <w:pPr>
        <w:spacing w:after="120"/>
        <w:jc w:val="center"/>
      </w:pPr>
      <w:r>
        <w:rPr>
          <w:rFonts w:ascii="Arial" w:cs="Arial" w:eastAsia="Arial" w:hAnsi="Arial"/>
          <w:b/>
          <w:bCs/>
          <w:color w:val="0F172A"/>
          <w:sz w:val="72"/>
          <w:szCs w:val="72"/>
        </w:rPr>
        <w:t xml:space="preserve">STRIX</w:t>
      </w:r>
    </w:p>
    <w:p>
      <w:pPr>
        <w:spacing w:after="80"/>
        <w:jc w:val="center"/>
      </w:pPr>
      <w:r>
        <w:rPr>
          <w:rFonts w:ascii="Arial" w:cs="Arial" w:eastAsia="Arial" w:hAnsi="Arial"/>
          <w:caps/>
          <w:color w:val="C9A24D"/>
          <w:sz w:val="28"/>
          <w:szCs w:val="28"/>
        </w:rPr>
        <w:t xml:space="preserve">EXECUTION CONTROL FOR THE AI ERA</w:t>
      </w:r>
    </w:p>
    <w:p>
      <w:pPr>
        <w:pBdr>
          <w:bottom w:val="single" w:color="C9A24D" w:sz="4" w:space="8"/>
        </w:pBdr>
        <w:spacing w:after="400"/>
        <w:jc w:val="center"/>
      </w:pPr>
    </w:p>
    <w:p>
      <w:pPr>
        <w:spacing w:after="80" w:before="80"/>
      </w:pPr>
    </w:p>
    <w:p>
      <w:pPr>
        <w:spacing w:after="80" w:before="80"/>
      </w:pPr>
    </w:p>
    <w:p>
      <w:pPr>
        <w:spacing w:after="160"/>
        <w:jc w:val="center"/>
      </w:pPr>
      <w:r>
        <w:rPr>
          <w:rFonts w:ascii="Arial" w:cs="Arial" w:eastAsia="Arial" w:hAnsi="Arial"/>
          <w:color w:val="334155"/>
          <w:sz w:val="26"/>
          <w:szCs w:val="26"/>
        </w:rPr>
        <w:t xml:space="preserve">Strategic Analysis &amp; Category Definition</w:t>
      </w:r>
    </w:p>
    <w:p>
      <w:pPr>
        <w:spacing w:after="80"/>
        <w:jc w:val="center"/>
      </w:pPr>
      <w:r>
        <w:rPr>
          <w:rFonts w:ascii="Arial" w:cs="Arial" w:eastAsia="Arial" w:hAnsi="Arial"/>
          <w:i/>
          <w:iCs/>
          <w:color w:val="334155"/>
          <w:sz w:val="22"/>
          <w:szCs w:val="22"/>
        </w:rPr>
        <w:t xml:space="preserve">Derived from production evidence. Not theory.</w:t>
      </w:r>
    </w:p>
    <w:p>
      <w:pPr>
        <w:spacing w:after="80" w:before="80"/>
      </w:pPr>
    </w:p>
    <w:p>
      <w:pPr>
        <w:spacing w:after="80" w:before="80"/>
      </w:pPr>
    </w:p>
    <w:p>
      <w:pPr>
        <w:spacing w:after="80" w:before="80"/>
      </w:pPr>
    </w:p>
    <w:p>
      <w:pPr>
        <w:spacing w:after="80" w:before="80"/>
      </w:pPr>
    </w:p>
    <w:p>
      <w:pPr>
        <w:spacing w:after="80"/>
        <w:jc w:val="center"/>
      </w:pPr>
      <w:r>
        <w:rPr>
          <w:rFonts w:ascii="Arial" w:cs="Arial" w:eastAsia="Arial" w:hAnsi="Arial"/>
          <w:b/>
          <w:bCs/>
          <w:color w:val="0F172A"/>
          <w:sz w:val="22"/>
          <w:szCs w:val="22"/>
        </w:rPr>
        <w:t xml:space="preserve">Velaris Group</w:t>
      </w:r>
    </w:p>
    <w:p>
      <w:pPr>
        <w:jc w:val="center"/>
      </w:pPr>
      <w:r>
        <w:rPr>
          <w:rFonts w:ascii="Arial" w:cs="Arial" w:eastAsia="Arial" w:hAnsi="Arial"/>
          <w:color w:val="334155"/>
          <w:sz w:val="20"/>
          <w:szCs w:val="20"/>
        </w:rPr>
        <w:t xml:space="preserve">March 2026  |  Confidential</w:t>
      </w:r>
    </w:p>
    <w:p>
      <w:pPr>
        <w:sectPr>
          <w:pgSz w:w="12240" w:h="15840" w:orient="portrait"/>
          <w:pgMar w:top="1440" w:right="1440" w:bottom="1440" w:left="1440" w:header="708" w:footer="708" w:gutter="0"/>
          <w:pgNumType/>
          <w:docGrid w:linePitch="360"/>
        </w:sectPr>
      </w:pPr>
    </w:p>
    <w:p>
      <w:pPr>
        <w:pStyle w:val="Heading1"/>
        <w:spacing w:after="200" w:before="360"/>
      </w:pPr>
      <w:r>
        <w:rPr>
          <w:b/>
          <w:bCs/>
        </w:rPr>
        <w:t xml:space="preserve">PHASE 1: WHAT STRIX ACTUALLY IS</w:t>
      </w:r>
    </w:p>
    <w:p>
      <w:pPr>
        <w:pBdr>
          <w:left w:val="single" w:color="C9A24D" w:sz="6" w:space="8"/>
        </w:pBdr>
        <w:spacing w:after="200" w:before="200"/>
        <w:ind w:left="720" w:right="720"/>
      </w:pPr>
      <w:r>
        <w:rPr>
          <w:rFonts w:ascii="Arial" w:cs="Arial" w:eastAsia="Arial" w:hAnsi="Arial"/>
          <w:i/>
          <w:iCs/>
          <w:color w:val="0F172A"/>
          <w:sz w:val="24"/>
          <w:szCs w:val="24"/>
        </w:rPr>
        <w:t xml:space="preserve">This section is derived entirely from production code running in a live application. No theory. No roadmap. Only what exists and is enforceable today.</w:t>
      </w:r>
    </w:p>
    <w:p>
      <w:pPr>
        <w:pStyle w:val="Heading2"/>
        <w:spacing w:after="200" w:before="360"/>
      </w:pPr>
      <w:r>
        <w:rPr>
          <w:b/>
          <w:bCs/>
        </w:rPr>
        <w:t xml:space="preserve">The System</w:t>
      </w:r>
    </w:p>
    <w:p>
      <w:pPr>
        <w:spacing w:after="160"/>
      </w:pPr>
      <w:r>
        <w:rPr>
          <w:rFonts w:ascii="Arial" w:cs="Arial" w:eastAsia="Arial" w:hAnsi="Arial"/>
          <w:color w:val="334155"/>
          <w:sz w:val="22"/>
          <w:szCs w:val="22"/>
        </w:rPr>
        <w:t xml:space="preserve">Strix is an execution control kernel that embeds directly into your application’s mutation layer. It intercepts every state-changing operation—before the operation executes—and makes a three-way decision: allow, deny, or escalate. Every decision is recorded as immutable evidence. There is no configuration that skips evaluation. There is no API endpoint that bypasses the kernel.</w:t>
      </w:r>
    </w:p>
    <w:p>
      <w:pPr>
        <w:spacing w:after="160"/>
      </w:pPr>
      <w:r>
        <w:rPr>
          <w:rFonts w:ascii="Arial" w:cs="Arial" w:eastAsia="Arial" w:hAnsi="Arial"/>
          <w:color w:val="334155"/>
          <w:sz w:val="22"/>
          <w:szCs w:val="22"/>
        </w:rPr>
        <w:t xml:space="preserve">In the production implementation running inside The Academy platform (a full-stack SaaS application with 55 database tables, a React Native mobile app, and 9 automated cron jobs), Strix governs 84 capabilities: 75 tRPC admin mutations and 9 scheduled automation functions. Every single one passes through the governance middleware. Zero exceptions.</w:t>
      </w:r>
    </w:p>
    <w:p>
      <w:pPr>
        <w:pStyle w:val="Heading2"/>
        <w:spacing w:after="200" w:before="360"/>
      </w:pPr>
      <w:r>
        <w:rPr>
          <w:b/>
          <w:bCs/>
        </w:rPr>
        <w:t xml:space="preserve">The Architecture</w:t>
      </w:r>
    </w:p>
    <w:p>
      <w:pPr>
        <w:spacing w:after="160"/>
      </w:pPr>
      <w:r>
        <w:rPr>
          <w:rFonts w:ascii="Arial" w:cs="Arial" w:eastAsia="Arial" w:hAnsi="Arial"/>
          <w:b/>
          <w:bCs/>
          <w:color w:val="0F172A"/>
          <w:sz w:val="22"/>
          <w:szCs w:val="22"/>
        </w:rPr>
        <w:t xml:space="preserve">The governed-procedure pattern. </w:t>
      </w:r>
      <w:r>
        <w:rPr>
          <w:rFonts w:ascii="Arial" w:cs="Arial" w:eastAsia="Arial" w:hAnsi="Arial"/>
          <w:color w:val="334155"/>
          <w:sz w:val="22"/>
          <w:szCs w:val="22"/>
        </w:rPr>
        <w:t xml:space="preserve">Every admin mutation in the application is defined using governedProcedure(capabilityId) instead of the raw adminProcedure builder. This is not a wrapper you opt into per-route. It is the procedure builder itself. The mutation handler is defined inside the .mutation() closure—there is no alternate code path that reaches the handler without first passing through governance evaluation.</w:t>
      </w:r>
    </w:p>
    <w:p>
      <w:pPr>
        <w:spacing w:after="160"/>
      </w:pPr>
      <w:r>
        <w:rPr>
          <w:rFonts w:ascii="Arial" w:cs="Arial" w:eastAsia="Arial" w:hAnsi="Arial"/>
          <w:color w:val="334155"/>
          <w:sz w:val="22"/>
          <w:szCs w:val="22"/>
        </w:rPr>
        <w:t xml:space="preserve">The middleware executes a deterministic evaluation pipeline:</w:t>
      </w:r>
    </w:p>
    <w:p>
      <w:pPr>
        <w:pStyle w:val="ListParagraph"/>
        <w:numPr>
          <w:ilvl w:val="0"/>
          <w:numId w:val="2"/>
        </w:numPr>
        <w:spacing w:after="120"/>
      </w:pPr>
      <w:r>
        <w:rPr>
          <w:rFonts w:ascii="Arial" w:cs="Arial" w:eastAsia="Arial" w:hAnsi="Arial"/>
          <w:b/>
          <w:bCs/>
          <w:color w:val="0F172A"/>
          <w:sz w:val="22"/>
          <w:szCs w:val="22"/>
        </w:rPr>
        <w:t xml:space="preserve">Actor identification. </w:t>
      </w:r>
      <w:r>
        <w:rPr>
          <w:rFonts w:ascii="Arial" w:cs="Arial" w:eastAsia="Arial" w:hAnsi="Arial"/>
          <w:color w:val="334155"/>
          <w:sz w:val="22"/>
          <w:szCs w:val="22"/>
        </w:rPr>
        <w:t xml:space="preserve">Extract user ID, role, and email from the authenticated tRPC context.</w:t>
      </w:r>
    </w:p>
    <w:p>
      <w:pPr>
        <w:pStyle w:val="ListParagraph"/>
        <w:numPr>
          <w:ilvl w:val="0"/>
          <w:numId w:val="2"/>
        </w:numPr>
        <w:spacing w:after="120"/>
      </w:pPr>
      <w:r>
        <w:rPr>
          <w:rFonts w:ascii="Arial" w:cs="Arial" w:eastAsia="Arial" w:hAnsi="Arial"/>
          <w:b/>
          <w:bCs/>
          <w:color w:val="0F172A"/>
          <w:sz w:val="22"/>
          <w:szCs w:val="22"/>
        </w:rPr>
        <w:t xml:space="preserve">Capability lookup. </w:t>
      </w:r>
      <w:r>
        <w:rPr>
          <w:rFonts w:ascii="Arial" w:cs="Arial" w:eastAsia="Arial" w:hAnsi="Arial"/>
          <w:color w:val="334155"/>
          <w:sz w:val="22"/>
          <w:szCs w:val="22"/>
        </w:rPr>
        <w:t xml:space="preserve">Resolve the capabilityId against the capability registry—a static, typed array of 84 entries with risk classification, domain, and approval requirements.</w:t>
      </w:r>
    </w:p>
    <w:p>
      <w:pPr>
        <w:pStyle w:val="ListParagraph"/>
        <w:numPr>
          <w:ilvl w:val="0"/>
          <w:numId w:val="2"/>
        </w:numPr>
        <w:spacing w:after="120"/>
      </w:pPr>
      <w:r>
        <w:rPr>
          <w:rFonts w:ascii="Arial" w:cs="Arial" w:eastAsia="Arial" w:hAnsi="Arial"/>
          <w:b/>
          <w:bCs/>
          <w:color w:val="0F172A"/>
          <w:sz w:val="22"/>
          <w:szCs w:val="22"/>
        </w:rPr>
        <w:t xml:space="preserve">Policy evaluation. </w:t>
      </w:r>
      <w:r>
        <w:rPr>
          <w:rFonts w:ascii="Arial" w:cs="Arial" w:eastAsia="Arial" w:hAnsi="Arial"/>
          <w:color w:val="334155"/>
          <w:sz w:val="22"/>
          <w:szCs w:val="22"/>
        </w:rPr>
        <w:t xml:space="preserve">When the Strix SDK is configured, the external policy engine is consulted. When it is not, a local deterministic policy evaluates the action based on risk level and approval requirements.</w:t>
      </w:r>
    </w:p>
    <w:p>
      <w:pPr>
        <w:pStyle w:val="ListParagraph"/>
        <w:numPr>
          <w:ilvl w:val="0"/>
          <w:numId w:val="2"/>
        </w:numPr>
        <w:spacing w:after="120"/>
      </w:pPr>
      <w:r>
        <w:rPr>
          <w:rFonts w:ascii="Arial" w:cs="Arial" w:eastAsia="Arial" w:hAnsi="Arial"/>
          <w:b/>
          <w:bCs/>
          <w:color w:val="0F172A"/>
          <w:sz w:val="22"/>
          <w:szCs w:val="22"/>
        </w:rPr>
        <w:t xml:space="preserve">Decision enforcement. </w:t>
      </w:r>
      <w:r>
        <w:rPr>
          <w:rFonts w:ascii="Arial" w:cs="Arial" w:eastAsia="Arial" w:hAnsi="Arial"/>
          <w:color w:val="334155"/>
          <w:sz w:val="22"/>
          <w:szCs w:val="22"/>
        </w:rPr>
        <w:t xml:space="preserve">DENY throws a TRPCError with code FORBIDDEN. The handler never executes. ESCALATE records the escalation and proceeds (soft escalation until approval UI exists). ALLOW proceeds.</w:t>
      </w:r>
    </w:p>
    <w:p>
      <w:pPr>
        <w:pStyle w:val="ListParagraph"/>
        <w:numPr>
          <w:ilvl w:val="0"/>
          <w:numId w:val="2"/>
        </w:numPr>
        <w:spacing w:after="120"/>
      </w:pPr>
      <w:r>
        <w:rPr>
          <w:rFonts w:ascii="Arial" w:cs="Arial" w:eastAsia="Arial" w:hAnsi="Arial"/>
          <w:b/>
          <w:bCs/>
          <w:color w:val="0F172A"/>
          <w:sz w:val="22"/>
          <w:szCs w:val="22"/>
        </w:rPr>
        <w:t xml:space="preserve">Evidence persistence. </w:t>
      </w:r>
      <w:r>
        <w:rPr>
          <w:rFonts w:ascii="Arial" w:cs="Arial" w:eastAsia="Arial" w:hAnsi="Arial"/>
          <w:color w:val="334155"/>
          <w:sz w:val="22"/>
          <w:szCs w:val="22"/>
        </w:rPr>
        <w:t xml:space="preserve">Every decision—allow, deny, or escalate—is written to the governance_evidence table in PostgreSQL. This happens for EVERY action, regardless of Strix SDK availability. Evidence is the system of record.</w:t>
      </w:r>
    </w:p>
    <w:p>
      <w:pPr>
        <w:pStyle w:val="Heading2"/>
        <w:spacing w:after="200" w:before="360"/>
      </w:pPr>
      <w:r>
        <w:rPr>
          <w:b/>
          <w:bCs/>
        </w:rPr>
        <w:t xml:space="preserve">The 84 Capabilities</w:t>
      </w:r>
    </w:p>
    <w:p>
      <w:pPr>
        <w:spacing w:after="160"/>
      </w:pPr>
      <w:r>
        <w:rPr>
          <w:rFonts w:ascii="Arial" w:cs="Arial" w:eastAsia="Arial" w:hAnsi="Arial"/>
          <w:color w:val="334155"/>
          <w:sz w:val="22"/>
          <w:szCs w:val="22"/>
        </w:rPr>
        <w:t xml:space="preserve">Every governed action is registered in a typed capability registry with four risk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23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3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Policy</w:t>
            </w:r>
          </w:p>
        </w:tc>
        <w:tc>
          <w:tcPr>
            <w:tcW w:type="dxa" w:w="234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Examples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CRITICAL</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9</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Deny unless owner</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Role changes, bulk emails, push blasts, manual cron triggers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HIGH</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26</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Escalate (recorded)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All deletions, publishing, enrollment changes, AI content approval</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MEDIUM</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42</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Allow (recorded)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Create/update operations, attendance, visibility toggles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LOW</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5</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Allow (recorded)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Reordering, non-destructive toggles</w:t>
            </w:r>
          </w:p>
        </w:tc>
      </w:tr>
    </w:tbl>
    <w:p>
      <w:pPr>
        <w:spacing w:after="80" w:before="80"/>
      </w:pPr>
    </w:p>
    <w:p>
      <w:pPr>
        <w:spacing w:after="160"/>
      </w:pPr>
      <w:r>
        <w:rPr>
          <w:rFonts w:ascii="Arial" w:cs="Arial" w:eastAsia="Arial" w:hAnsi="Arial"/>
          <w:color w:val="334155"/>
          <w:sz w:val="22"/>
          <w:szCs w:val="22"/>
        </w:rPr>
        <w:t xml:space="preserve">Plus 9 cron job capabilities (auto-approve with evidence recording): nurture campaigns, session generation, reminders, merch drops, metrics prompts, AI progress reports, reengagement, parent digests, and post-session content generation.</w:t>
      </w:r>
    </w:p>
    <w:p>
      <w:pPr>
        <w:pStyle w:val="Heading2"/>
        <w:spacing w:after="200" w:before="360"/>
      </w:pPr>
      <w:r>
        <w:rPr>
          <w:b/>
          <w:bCs/>
        </w:rPr>
        <w:t xml:space="preserve">Lifecycle of an Action</w:t>
      </w:r>
    </w:p>
    <w:p>
      <w:pPr>
        <w:spacing w:after="160"/>
      </w:pPr>
      <w:r>
        <w:rPr>
          <w:rFonts w:ascii="Arial" w:cs="Arial" w:eastAsia="Arial" w:hAnsi="Arial"/>
          <w:color w:val="334155"/>
          <w:sz w:val="22"/>
          <w:szCs w:val="22"/>
        </w:rPr>
        <w:t xml:space="preserve">Here is what happens when an admin clicks “Delete Program” in the Academy platform:</w:t>
      </w:r>
    </w:p>
    <w:p>
      <w:pPr>
        <w:pStyle w:val="ListParagraph"/>
        <w:numPr>
          <w:ilvl w:val="0"/>
          <w:numId w:val="2"/>
        </w:numPr>
        <w:spacing w:after="100"/>
      </w:pPr>
      <w:r>
        <w:rPr>
          <w:rFonts w:ascii="Arial" w:cs="Arial" w:eastAsia="Arial" w:hAnsi="Arial"/>
          <w:color w:val="334155"/>
          <w:sz w:val="22"/>
          <w:szCs w:val="22"/>
        </w:rPr>
        <w:t xml:space="preserve">The tRPC client calls admin.programs.delete with the program ID.</w:t>
      </w:r>
    </w:p>
    <w:p>
      <w:pPr>
        <w:pStyle w:val="ListParagraph"/>
        <w:numPr>
          <w:ilvl w:val="0"/>
          <w:numId w:val="2"/>
        </w:numPr>
        <w:spacing w:after="100"/>
      </w:pPr>
      <w:r>
        <w:rPr>
          <w:rFonts w:ascii="Arial" w:cs="Arial" w:eastAsia="Arial" w:hAnsi="Arial"/>
          <w:color w:val="334155"/>
          <w:sz w:val="22"/>
          <w:szCs w:val="22"/>
        </w:rPr>
        <w:t xml:space="preserve">The request hits the Express server, passes through Clerk authentication, and enters the tRPC middleware chain.</w:t>
      </w:r>
    </w:p>
    <w:p>
      <w:pPr>
        <w:pStyle w:val="ListParagraph"/>
        <w:numPr>
          <w:ilvl w:val="0"/>
          <w:numId w:val="2"/>
        </w:numPr>
        <w:spacing w:after="100"/>
      </w:pPr>
      <w:r>
        <w:rPr>
          <w:rFonts w:ascii="Arial" w:cs="Arial" w:eastAsia="Arial" w:hAnsi="Arial"/>
          <w:color w:val="334155"/>
          <w:sz w:val="22"/>
          <w:szCs w:val="22"/>
        </w:rPr>
        <w:t xml:space="preserve">The adminProcedure middleware confirms the user has admin role.</w:t>
      </w:r>
    </w:p>
    <w:p>
      <w:pPr>
        <w:pStyle w:val="ListParagraph"/>
        <w:numPr>
          <w:ilvl w:val="0"/>
          <w:numId w:val="2"/>
        </w:numPr>
        <w:spacing w:after="100"/>
      </w:pPr>
      <w:r>
        <w:rPr>
          <w:rFonts w:ascii="Arial" w:cs="Arial" w:eastAsia="Arial" w:hAnsi="Arial"/>
          <w:color w:val="334155"/>
          <w:sz w:val="22"/>
          <w:szCs w:val="22"/>
        </w:rPr>
        <w:t xml:space="preserve">The governedProcedure middleware activates. It resolves “admin.programs.delete” from the capability registry: risk=high, approvalsRequired=1.</w:t>
      </w:r>
    </w:p>
    <w:p>
      <w:pPr>
        <w:pStyle w:val="ListParagraph"/>
        <w:numPr>
          <w:ilvl w:val="0"/>
          <w:numId w:val="2"/>
        </w:numPr>
        <w:spacing w:after="100"/>
      </w:pPr>
      <w:r>
        <w:rPr>
          <w:rFonts w:ascii="Arial" w:cs="Arial" w:eastAsia="Arial" w:hAnsi="Arial"/>
          <w:color w:val="334155"/>
          <w:sz w:val="22"/>
          <w:szCs w:val="22"/>
        </w:rPr>
        <w:t xml:space="preserve">If Strix SDK is enabled: the external policy engine is consulted. If it returns DENY, a FORBIDDEN error is thrown immediately. The deletion handler never runs.</w:t>
      </w:r>
    </w:p>
    <w:p>
      <w:pPr>
        <w:pStyle w:val="ListParagraph"/>
        <w:numPr>
          <w:ilvl w:val="0"/>
          <w:numId w:val="2"/>
        </w:numPr>
        <w:spacing w:after="100"/>
      </w:pPr>
      <w:r>
        <w:rPr>
          <w:rFonts w:ascii="Arial" w:cs="Arial" w:eastAsia="Arial" w:hAnsi="Arial"/>
          <w:color w:val="334155"/>
          <w:sz w:val="22"/>
          <w:szCs w:val="22"/>
        </w:rPr>
        <w:t xml:space="preserve">If Strix SDK is not enabled: the local policy evaluates. HIGH risk with approvalsRequired ≥ 1 triggers a soft escalation—the action proceeds but the escalation is recorded.</w:t>
      </w:r>
    </w:p>
    <w:p>
      <w:pPr>
        <w:pStyle w:val="ListParagraph"/>
        <w:numPr>
          <w:ilvl w:val="0"/>
          <w:numId w:val="2"/>
        </w:numPr>
        <w:spacing w:after="100"/>
      </w:pPr>
      <w:r>
        <w:rPr>
          <w:rFonts w:ascii="Arial" w:cs="Arial" w:eastAsia="Arial" w:hAnsi="Arial"/>
          <w:color w:val="334155"/>
          <w:sz w:val="22"/>
          <w:szCs w:val="22"/>
        </w:rPr>
        <w:t xml:space="preserve">Evidence is written to PostgreSQL: capabilityId, actorId, actorRole, actorEmail, action (allow/deny/escalate), reason, source, timestamp, and any external decision ID.</w:t>
      </w:r>
    </w:p>
    <w:p>
      <w:pPr>
        <w:pStyle w:val="ListParagraph"/>
        <w:numPr>
          <w:ilvl w:val="0"/>
          <w:numId w:val="2"/>
        </w:numPr>
        <w:spacing w:after="100"/>
      </w:pPr>
      <w:r>
        <w:rPr>
          <w:rFonts w:ascii="Arial" w:cs="Arial" w:eastAsia="Arial" w:hAnsi="Arial"/>
          <w:color w:val="334155"/>
          <w:sz w:val="22"/>
          <w:szCs w:val="22"/>
        </w:rPr>
        <w:t xml:space="preserve">Only after governance clears does the actual deletion handler execute.</w:t>
      </w:r>
    </w:p>
    <w:p>
      <w:pPr>
        <w:spacing w:after="160"/>
      </w:pPr>
      <w:r>
        <w:rPr>
          <w:rFonts w:ascii="Arial" w:cs="Arial" w:eastAsia="Arial" w:hAnsi="Arial"/>
          <w:color w:val="334155"/>
          <w:sz w:val="22"/>
          <w:szCs w:val="22"/>
        </w:rPr>
        <w:t xml:space="preserve">The mobile app, the web portal, and the cron automation system all pass through the same governance layer. There is one enforcement boundary. One evidence trail. One source of truth.</w:t>
      </w:r>
    </w:p>
    <w:p>
      <w:r>
        <w:br w:type="page"/>
      </w:r>
    </w:p>
    <w:p>
      <w:pPr>
        <w:pStyle w:val="Heading1"/>
        <w:spacing w:after="200" w:before="360"/>
      </w:pPr>
      <w:r>
        <w:rPr>
          <w:b/>
          <w:bCs/>
        </w:rPr>
        <w:t xml:space="preserve">PHASE 2: THE INVARIANT</w:t>
      </w:r>
    </w:p>
    <w:p>
      <w:pPr>
        <w:pBdr>
          <w:left w:val="single" w:color="C9A24D" w:sz="6" w:space="8"/>
        </w:pBdr>
        <w:spacing w:after="200" w:before="200"/>
        <w:ind w:left="720" w:right="720"/>
      </w:pPr>
      <w:r>
        <w:rPr>
          <w:rFonts w:ascii="Arial" w:cs="Arial" w:eastAsia="Arial" w:hAnsi="Arial"/>
          <w:i/>
          <w:iCs/>
          <w:color w:val="0F172A"/>
          <w:sz w:val="24"/>
          <w:szCs w:val="24"/>
        </w:rPr>
        <w:t xml:space="preserve">Nothing executes until it is evaluated.</w:t>
      </w:r>
    </w:p>
    <w:p>
      <w:pPr>
        <w:pStyle w:val="Heading2"/>
        <w:spacing w:after="200" w:before="360"/>
      </w:pPr>
      <w:r>
        <w:rPr>
          <w:b/>
          <w:bCs/>
        </w:rPr>
        <w:t xml:space="preserve">Formal Statement</w:t>
      </w:r>
    </w:p>
    <w:p>
      <w:pPr>
        <w:shd w:fill="F1F5F9" w:val="clear"/>
        <w:spacing w:after="200" w:before="200"/>
        <w:ind w:left="480" w:right="480"/>
      </w:pPr>
      <w:r>
        <w:rPr>
          <w:rFonts w:ascii="Arial" w:cs="Arial" w:eastAsia="Arial" w:hAnsi="Arial"/>
          <w:color w:val="0F172A"/>
          <w:sz w:val="22"/>
          <w:szCs w:val="22"/>
        </w:rPr>
        <w:t xml:space="preserve">For every state-changing operation O in the governed system, there exists a governance evaluation E such that E executes before O and produces a recorded decision D ∈ {allow, deny, escalate}. If D = deny, O is never executed. D is persisted as evidence regardless of outcome.</w:t>
      </w:r>
    </w:p>
    <w:p>
      <w:pPr>
        <w:pStyle w:val="Heading2"/>
        <w:spacing w:after="200" w:before="360"/>
      </w:pPr>
      <w:r>
        <w:rPr>
          <w:b/>
          <w:bCs/>
        </w:rPr>
        <w:t xml:space="preserve">Proof</w:t>
      </w:r>
    </w:p>
    <w:p>
      <w:pPr>
        <w:spacing w:after="160"/>
      </w:pPr>
      <w:r>
        <w:rPr>
          <w:rFonts w:ascii="Arial" w:cs="Arial" w:eastAsia="Arial" w:hAnsi="Arial"/>
          <w:b/>
          <w:bCs/>
          <w:color w:val="0F172A"/>
          <w:sz w:val="22"/>
          <w:szCs w:val="22"/>
        </w:rPr>
        <w:t xml:space="preserve">Structural enforcement (not configuration). </w:t>
      </w:r>
      <w:r>
        <w:rPr>
          <w:rFonts w:ascii="Arial" w:cs="Arial" w:eastAsia="Arial" w:hAnsi="Arial"/>
          <w:color w:val="334155"/>
          <w:sz w:val="22"/>
          <w:szCs w:val="22"/>
        </w:rPr>
        <w:t xml:space="preserve">The governedProcedure function returns a tRPC procedure that chains the governance middleware via .use(). The mutation handler is defined inside .mutation()—it is a closure. There is no code path that executes the handler without first executing the middleware. This is a structural property of the tRPC middleware chain, not a runtime configuration that can be toggled.</w:t>
      </w:r>
    </w:p>
    <w:p>
      <w:pPr>
        <w:spacing w:after="160"/>
      </w:pPr>
      <w:r>
        <w:rPr>
          <w:rFonts w:ascii="Arial" w:cs="Arial" w:eastAsia="Arial" w:hAnsi="Arial"/>
          <w:b/>
          <w:bCs/>
          <w:color w:val="0F172A"/>
          <w:sz w:val="22"/>
          <w:szCs w:val="22"/>
        </w:rPr>
        <w:t xml:space="preserve">Complete coverage verified. </w:t>
      </w:r>
      <w:r>
        <w:rPr>
          <w:rFonts w:ascii="Arial" w:cs="Arial" w:eastAsia="Arial" w:hAnsi="Arial"/>
          <w:color w:val="334155"/>
          <w:sz w:val="22"/>
          <w:szCs w:val="22"/>
        </w:rPr>
        <w:t xml:space="preserve">A full audit of server/routers.ts confirms: every admin mutation uses governedProcedure(capabilityId). Zero uses of raw adminProcedure.mutation() exist. All 9 cron job functions call evaluateCronGovernance() as their first line of execution, with an early return if denied. 84 out of 84 capabilities are covered.</w:t>
      </w:r>
    </w:p>
    <w:p>
      <w:pPr>
        <w:spacing w:after="160"/>
      </w:pPr>
      <w:r>
        <w:rPr>
          <w:rFonts w:ascii="Arial" w:cs="Arial" w:eastAsia="Arial" w:hAnsi="Arial"/>
          <w:b/>
          <w:bCs/>
          <w:color w:val="0F172A"/>
          <w:sz w:val="22"/>
          <w:szCs w:val="22"/>
        </w:rPr>
        <w:t xml:space="preserve">No alternate execution paths. </w:t>
      </w:r>
      <w:r>
        <w:rPr>
          <w:rFonts w:ascii="Arial" w:cs="Arial" w:eastAsia="Arial" w:hAnsi="Arial"/>
          <w:color w:val="334155"/>
          <w:sz w:val="22"/>
          <w:szCs w:val="22"/>
        </w:rPr>
        <w:t xml:space="preserve">Admin mutations are tRPC procedures—they are not REST endpoints that could be called directly. The only REST endpoints in the system (performance-lab-apply, skills-lab-register) are public, rate-limited handlers for form submissions—they are not admin operations and do not modify protected state. All admin queries (read-only) use adminProcedure without governance, which is correct—reads are not state-changing.</w:t>
      </w:r>
    </w:p>
    <w:p>
      <w:pPr>
        <w:spacing w:after="160"/>
      </w:pPr>
      <w:r>
        <w:rPr>
          <w:rFonts w:ascii="Arial" w:cs="Arial" w:eastAsia="Arial" w:hAnsi="Arial"/>
          <w:b/>
          <w:bCs/>
          <w:color w:val="0F172A"/>
          <w:sz w:val="22"/>
          <w:szCs w:val="22"/>
        </w:rPr>
        <w:t xml:space="preserve">Evidence is unconditional. </w:t>
      </w:r>
      <w:r>
        <w:rPr>
          <w:rFonts w:ascii="Arial" w:cs="Arial" w:eastAsia="Arial" w:hAnsi="Arial"/>
          <w:color w:val="334155"/>
          <w:sz w:val="22"/>
          <w:szCs w:val="22"/>
        </w:rPr>
        <w:t xml:space="preserve">The recordEvidence() function fires for every governance decision—allow, deny, or escalate. It fires whether the Strix SDK is enabled or disabled. It fires when governance is turned off entirely (recording “governance_disabled” as the reason). Evidence persistence is fire-and-forget: it never blocks the mutation, but it never skips.</w:t>
      </w:r>
    </w:p>
    <w:p>
      <w:pPr>
        <w:pStyle w:val="Heading2"/>
        <w:spacing w:after="200" w:before="360"/>
      </w:pPr>
      <w:r>
        <w:rPr>
          <w:b/>
          <w:bCs/>
        </w:rPr>
        <w:t xml:space="preserve">Gaps and Risks</w:t>
      </w:r>
    </w:p>
    <w:p>
      <w:pPr>
        <w:pStyle w:val="ListParagraph"/>
        <w:numPr>
          <w:ilvl w:val="0"/>
          <w:numId w:val="3"/>
        </w:numPr>
        <w:spacing w:after="120"/>
      </w:pPr>
      <w:r>
        <w:rPr>
          <w:rFonts w:ascii="Arial" w:cs="Arial" w:eastAsia="Arial" w:hAnsi="Arial"/>
          <w:b/>
          <w:bCs/>
          <w:color w:val="DC2626"/>
          <w:sz w:val="22"/>
          <w:szCs w:val="22"/>
        </w:rPr>
        <w:t xml:space="preserve">Fail-open on SDK errors. </w:t>
      </w:r>
      <w:r>
        <w:rPr>
          <w:rFonts w:ascii="Arial" w:cs="Arial" w:eastAsia="Arial" w:hAnsi="Arial"/>
          <w:color w:val="334155"/>
          <w:sz w:val="22"/>
          <w:szCs w:val="22"/>
        </w:rPr>
        <w:t xml:space="preserve">When the Strix API is unreachable, the system fails open—actions proceed, evidence is recorded as allowed. This is a deliberate design choice (availability over enforcement), but it means network partition = no external policy enforcement. The local policy engine still evaluates.</w:t>
      </w:r>
    </w:p>
    <w:p>
      <w:pPr>
        <w:pStyle w:val="ListParagraph"/>
        <w:numPr>
          <w:ilvl w:val="0"/>
          <w:numId w:val="3"/>
        </w:numPr>
        <w:spacing w:after="120"/>
      </w:pPr>
      <w:r>
        <w:rPr>
          <w:rFonts w:ascii="Arial" w:cs="Arial" w:eastAsia="Arial" w:hAnsi="Arial"/>
          <w:b/>
          <w:bCs/>
          <w:color w:val="C9A24D"/>
          <w:sz w:val="22"/>
          <w:szCs w:val="22"/>
        </w:rPr>
        <w:t xml:space="preserve">Soft escalation. </w:t>
      </w:r>
      <w:r>
        <w:rPr>
          <w:rFonts w:ascii="Arial" w:cs="Arial" w:eastAsia="Arial" w:hAnsi="Arial"/>
          <w:color w:val="334155"/>
          <w:sz w:val="22"/>
          <w:szCs w:val="22"/>
        </w:rPr>
        <w:t xml:space="preserve">HIGH-risk actions trigger “escalate” but the action still proceeds. This is temporary—pending an approval workflow UI—but in current production, escalation is recorded-only, not blocking.</w:t>
      </w:r>
    </w:p>
    <w:p>
      <w:pPr>
        <w:pStyle w:val="ListParagraph"/>
        <w:numPr>
          <w:ilvl w:val="0"/>
          <w:numId w:val="3"/>
        </w:numPr>
        <w:spacing w:after="120"/>
      </w:pPr>
      <w:r>
        <w:rPr>
          <w:rFonts w:ascii="Arial" w:cs="Arial" w:eastAsia="Arial" w:hAnsi="Arial"/>
          <w:b/>
          <w:bCs/>
          <w:color w:val="C9A24D"/>
          <w:sz w:val="22"/>
          <w:szCs w:val="22"/>
        </w:rPr>
        <w:t xml:space="preserve">Cron jobs auto-approve. </w:t>
      </w:r>
      <w:r>
        <w:rPr>
          <w:rFonts w:ascii="Arial" w:cs="Arial" w:eastAsia="Arial" w:hAnsi="Arial"/>
          <w:color w:val="334155"/>
          <w:sz w:val="22"/>
          <w:szCs w:val="22"/>
        </w:rPr>
        <w:t xml:space="preserve">All 9 cron capabilities have approvalsRequired: 0. They are governed (evidence is recorded, SDK can deny) but the local policy always allows them. This is by design until a pre-authorization UI exists.</w:t>
      </w:r>
    </w:p>
    <w:p>
      <w:pPr>
        <w:pStyle w:val="ListParagraph"/>
        <w:numPr>
          <w:ilvl w:val="0"/>
          <w:numId w:val="3"/>
        </w:numPr>
        <w:spacing w:after="120"/>
      </w:pPr>
      <w:r>
        <w:rPr>
          <w:rFonts w:ascii="Arial" w:cs="Arial" w:eastAsia="Arial" w:hAnsi="Arial"/>
          <w:b/>
          <w:bCs/>
          <w:color w:val="C9A24D"/>
          <w:sz w:val="22"/>
          <w:szCs w:val="22"/>
        </w:rPr>
        <w:t xml:space="preserve">No bypass prevention at infrastructure level. </w:t>
      </w:r>
      <w:r>
        <w:rPr>
          <w:rFonts w:ascii="Arial" w:cs="Arial" w:eastAsia="Arial" w:hAnsi="Arial"/>
          <w:color w:val="334155"/>
          <w:sz w:val="22"/>
          <w:szCs w:val="22"/>
        </w:rPr>
        <w:t xml:space="preserve">A developer with database access could theoretically execute SQL directly, bypassing the application layer entirely. Strix governs the application boundary, not the database boundary. This is consistent with the threat model (insider with DB access is a separate control).</w:t>
      </w:r>
    </w:p>
    <w:p>
      <w:pPr>
        <w:pStyle w:val="Heading2"/>
        <w:spacing w:after="200" w:before="360"/>
      </w:pPr>
      <w:r>
        <w:rPr>
          <w:b/>
          <w:bCs/>
        </w:rPr>
        <w:t xml:space="preserve">Invariant Verdict</w:t>
      </w:r>
    </w:p>
    <w:p>
      <w:pPr>
        <w:pBdr>
          <w:left w:val="single" w:color="16A34A" w:sz="6" w:space="8"/>
        </w:pBdr>
        <w:shd w:fill="F0FDF4" w:val="clear"/>
        <w:spacing w:after="200" w:before="200"/>
        <w:ind w:left="480" w:right="480"/>
      </w:pPr>
      <w:r>
        <w:rPr>
          <w:rFonts w:ascii="Arial" w:cs="Arial" w:eastAsia="Arial" w:hAnsi="Arial"/>
          <w:color w:val="0F172A"/>
          <w:sz w:val="22"/>
          <w:szCs w:val="22"/>
        </w:rPr>
        <w:t xml:space="preserve">CONFIRMED. Within the application boundary, the invariant holds. Every state-changing admin operation and every automated job is evaluated before execution, and every evaluation is recorded as evidence. The system has known, documented limitations (fail-open on SDK errors, soft escalation, cron auto-approve) that represent deliberate engineering trade-offs, not architectural gaps.</w:t>
      </w:r>
    </w:p>
    <w:p>
      <w:r>
        <w:br w:type="page"/>
      </w:r>
    </w:p>
    <w:p>
      <w:pPr>
        <w:pStyle w:val="Heading1"/>
        <w:spacing w:after="200" w:before="360"/>
      </w:pPr>
      <w:r>
        <w:rPr>
          <w:b/>
          <w:bCs/>
        </w:rPr>
        <w:t xml:space="preserve">PHASE 3: THE MOAT</w:t>
      </w:r>
    </w:p>
    <w:p>
      <w:pPr>
        <w:pBdr>
          <w:left w:val="single" w:color="C9A24D" w:sz="6" w:space="8"/>
        </w:pBdr>
        <w:spacing w:after="200" w:before="200"/>
        <w:ind w:left="720" w:right="720"/>
      </w:pPr>
      <w:r>
        <w:rPr>
          <w:rFonts w:ascii="Arial" w:cs="Arial" w:eastAsia="Arial" w:hAnsi="Arial"/>
          <w:i/>
          <w:iCs/>
          <w:color w:val="0F172A"/>
          <w:sz w:val="24"/>
          <w:szCs w:val="24"/>
        </w:rPr>
        <w:t xml:space="preserve">The question is not whether someone can build logging. The question is whether they can build non-bypassable evaluation with structural enforcement and immutable evidence capture—and make it deployable in a single function call.</w:t>
      </w:r>
    </w:p>
    <w:p>
      <w:pPr>
        <w:pStyle w:val="Heading2"/>
        <w:spacing w:after="200" w:before="360"/>
      </w:pPr>
      <w:r>
        <w:rPr>
          <w:b/>
          <w:bCs/>
        </w:rPr>
        <w:t xml:space="preserve">Why This Cannot Be Replicated Easily</w:t>
      </w:r>
    </w:p>
    <w:p>
      <w:pPr>
        <w:spacing w:after="160"/>
      </w:pPr>
      <w:r>
        <w:rPr>
          <w:rFonts w:ascii="Arial" w:cs="Arial" w:eastAsia="Arial" w:hAnsi="Arial"/>
          <w:b/>
          <w:bCs/>
          <w:color w:val="0F172A"/>
          <w:sz w:val="22"/>
          <w:szCs w:val="22"/>
        </w:rPr>
        <w:t xml:space="preserve">1. Structural enforcement, not configuration. </w:t>
      </w:r>
      <w:r>
        <w:rPr>
          <w:rFonts w:ascii="Arial" w:cs="Arial" w:eastAsia="Arial" w:hAnsi="Arial"/>
          <w:color w:val="334155"/>
          <w:sz w:val="22"/>
          <w:szCs w:val="22"/>
        </w:rPr>
        <w:t xml:space="preserve">RBAC systems check permissions. Logging systems record events. Guardrails filter outputs. Strix does something none of them do: it sits inside the execution path as a non-removable middleware and makes a decision before the operation runs. The enforcement is structural—it is a property of how the code is compiled, not how it is configured. You cannot misconfigure it. You cannot forget to add it. If the mutation exists, governance exists.</w:t>
      </w:r>
    </w:p>
    <w:p>
      <w:pPr>
        <w:spacing w:after="160"/>
      </w:pPr>
      <w:r>
        <w:rPr>
          <w:rFonts w:ascii="Arial" w:cs="Arial" w:eastAsia="Arial" w:hAnsi="Arial"/>
          <w:b/>
          <w:bCs/>
          <w:color w:val="0F172A"/>
          <w:sz w:val="22"/>
          <w:szCs w:val="22"/>
        </w:rPr>
        <w:t xml:space="preserve">2. Evidence is a first-class primitive. </w:t>
      </w:r>
      <w:r>
        <w:rPr>
          <w:rFonts w:ascii="Arial" w:cs="Arial" w:eastAsia="Arial" w:hAnsi="Arial"/>
          <w:color w:val="334155"/>
          <w:sz w:val="22"/>
          <w:szCs w:val="22"/>
        </w:rPr>
        <w:t xml:space="preserve">In traditional systems, logs are a side effect. They are appended after the fact. They can be incomplete if the system crashes. They can be selectively disabled. In Strix, evidence is written as part of the governance evaluation—before the operation executes. The evidence trail is not a reporting feature. It is the system of record. Every allow, every deny, every escalation produces an immutable row in a durable store.</w:t>
      </w:r>
    </w:p>
    <w:p>
      <w:pPr>
        <w:spacing w:after="160"/>
      </w:pPr>
      <w:r>
        <w:rPr>
          <w:rFonts w:ascii="Arial" w:cs="Arial" w:eastAsia="Arial" w:hAnsi="Arial"/>
          <w:b/>
          <w:bCs/>
          <w:color w:val="0F172A"/>
          <w:sz w:val="22"/>
          <w:szCs w:val="22"/>
        </w:rPr>
        <w:t xml:space="preserve">3. Three-state decision model. </w:t>
      </w:r>
      <w:r>
        <w:rPr>
          <w:rFonts w:ascii="Arial" w:cs="Arial" w:eastAsia="Arial" w:hAnsi="Arial"/>
          <w:color w:val="334155"/>
          <w:sz w:val="22"/>
          <w:szCs w:val="22"/>
        </w:rPr>
        <w:t xml:space="preserve">Existing systems are binary: allow or deny. Strix introduces escalate as a first-class decision. This enables a middle ground that no other system provides—the action can proceed but is flagged for review, with full evidence. This maps to how organizations actually work: most actions are fine, some are blocked, and some need a human to review them after the fact.</w:t>
      </w:r>
    </w:p>
    <w:p>
      <w:pPr>
        <w:spacing w:after="160"/>
      </w:pPr>
      <w:r>
        <w:rPr>
          <w:rFonts w:ascii="Arial" w:cs="Arial" w:eastAsia="Arial" w:hAnsi="Arial"/>
          <w:b/>
          <w:bCs/>
          <w:color w:val="0F172A"/>
          <w:sz w:val="22"/>
          <w:szCs w:val="22"/>
        </w:rPr>
        <w:t xml:space="preserve">4. Dual-engine architecture. </w:t>
      </w:r>
      <w:r>
        <w:rPr>
          <w:rFonts w:ascii="Arial" w:cs="Arial" w:eastAsia="Arial" w:hAnsi="Arial"/>
          <w:color w:val="334155"/>
          <w:sz w:val="22"/>
          <w:szCs w:val="22"/>
        </w:rPr>
        <w:t xml:space="preserve">Strix runs a local policy engine (deterministic, risk-based, zero-latency) alongside an optional external SDK (cloud policy, dynamic rules, cross-tenant governance). When the external engine is unavailable, the local engine provides baseline enforcement. When it is available, it adds dynamic policy evaluation. No other system provides this dual-mode enforcement.</w:t>
      </w:r>
    </w:p>
    <w:p>
      <w:pPr>
        <w:spacing w:after="160"/>
      </w:pPr>
      <w:r>
        <w:rPr>
          <w:rFonts w:ascii="Arial" w:cs="Arial" w:eastAsia="Arial" w:hAnsi="Arial"/>
          <w:b/>
          <w:bCs/>
          <w:color w:val="0F172A"/>
          <w:sz w:val="22"/>
          <w:szCs w:val="22"/>
        </w:rPr>
        <w:t xml:space="preserve">5. One-function integration. </w:t>
      </w:r>
      <w:r>
        <w:rPr>
          <w:rFonts w:ascii="Arial" w:cs="Arial" w:eastAsia="Arial" w:hAnsi="Arial"/>
          <w:color w:val="334155"/>
          <w:sz w:val="22"/>
          <w:szCs w:val="22"/>
        </w:rPr>
        <w:t xml:space="preserve">The entire governance system is activated by replacing adminProcedure with governedProcedure(capabilityId). One function call per mutation. No separate middleware stack. No configuration files. No infrastructure. The Academy platform governs 84 capabilities with a single import and 84 one-line changes.</w:t>
      </w:r>
    </w:p>
    <w:p>
      <w:pPr>
        <w:pStyle w:val="Heading2"/>
        <w:spacing w:after="200" w:before="360"/>
      </w:pPr>
      <w:r>
        <w:rPr>
          <w:b/>
          <w:bCs/>
        </w:rPr>
        <w:t xml:space="preserve">What Existing Systems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Approach</w:t>
            </w:r>
          </w:p>
        </w:tc>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What It Cannot Do</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RBAC (Clerk, Auth0)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Checks if a user HAS permission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Cannot evaluate CONTEXT, RISK, or HISTORY of the action. Cannot escalate. Cannot record evidence.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API Gateways (Kong, Apigee)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Rate limiting, auth at the edge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Cannot evaluate business logic. Cannot classify risk. Cannot make deny/escalate decisions based on capability semantics.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AI Guardrails (Guardrails AI, NeMo)</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Filter LLM inputs/outputs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Only governs LLM interactions. Cannot govern database mutations, payment operations, or automation jobs.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Logging (Datadog, Sentry)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Records events after they happen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Cannot prevent an action. Cannot deny. Cannot escalate. Evidence is a side effect, not a prerequisite.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Policy Engines (OPA, Cedar)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Evaluates policies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Requires separate integration per endpoint. No structural enforcement. No evidence-first design. No escalation.</w:t>
            </w:r>
          </w:p>
        </w:tc>
      </w:tr>
    </w:tbl>
    <w:p>
      <w:pPr>
        <w:spacing w:after="80" w:before="80"/>
      </w:pPr>
    </w:p>
    <w:p>
      <w:pPr>
        <w:spacing w:after="160"/>
      </w:pPr>
      <w:r>
        <w:rPr>
          <w:rFonts w:ascii="Arial" w:cs="Arial" w:eastAsia="Arial" w:hAnsi="Arial"/>
          <w:color w:val="334155"/>
          <w:sz w:val="22"/>
          <w:szCs w:val="22"/>
        </w:rPr>
        <w:t xml:space="preserve">None of these systems provide what Strix provides: structural enforcement with evidence-first evaluation across every state-changing operation in an application.</w:t>
      </w:r>
    </w:p>
    <w:p>
      <w:r>
        <w:br w:type="page"/>
      </w:r>
    </w:p>
    <w:p>
      <w:pPr>
        <w:pStyle w:val="Heading1"/>
        <w:spacing w:after="200" w:before="360"/>
      </w:pPr>
      <w:r>
        <w:rPr>
          <w:b/>
          <w:bCs/>
        </w:rPr>
        <w:t xml:space="preserve">PHASE 4: CATEGORY DEFINITION</w:t>
      </w:r>
    </w:p>
    <w:p>
      <w:pPr>
        <w:pStyle w:val="Heading2"/>
        <w:spacing w:after="200" w:before="360"/>
      </w:pPr>
      <w:r>
        <w:rPr>
          <w:b/>
          <w:bCs/>
        </w:rPr>
        <w:t xml:space="preserve">The Category: Execution Control</w:t>
      </w:r>
    </w:p>
    <w:p>
      <w:pPr>
        <w:spacing w:after="160"/>
      </w:pPr>
      <w:r>
        <w:rPr>
          <w:rFonts w:ascii="Arial" w:cs="Arial" w:eastAsia="Arial" w:hAnsi="Arial"/>
          <w:color w:val="334155"/>
          <w:sz w:val="22"/>
          <w:szCs w:val="22"/>
        </w:rPr>
        <w:t xml:space="preserve">Strix does not belong to IAM. It does not belong to observability. It does not belong to AI safety. It belongs to a category that does not yet have a name because no product has occupied it.</w:t>
      </w:r>
    </w:p>
    <w:p>
      <w:pPr>
        <w:spacing w:after="160"/>
      </w:pPr>
      <w:r>
        <w:rPr>
          <w:rFonts w:ascii="Arial" w:cs="Arial" w:eastAsia="Arial" w:hAnsi="Arial"/>
          <w:color w:val="334155"/>
          <w:sz w:val="22"/>
          <w:szCs w:val="22"/>
        </w:rPr>
        <w:t xml:space="preserve">That category is Execution Control.</w:t>
      </w:r>
    </w:p>
    <w:p>
      <w:pPr>
        <w:pBdr>
          <w:left w:val="single" w:color="C9A24D" w:sz="6" w:space="8"/>
        </w:pBdr>
        <w:shd w:fill="FFFBEB" w:val="clear"/>
        <w:spacing w:after="240" w:before="240"/>
        <w:ind w:left="480" w:right="480"/>
      </w:pPr>
      <w:r>
        <w:rPr>
          <w:rFonts w:ascii="Arial" w:cs="Arial" w:eastAsia="Arial" w:hAnsi="Arial"/>
          <w:i/>
          <w:iCs/>
          <w:color w:val="0F172A"/>
          <w:sz w:val="22"/>
          <w:szCs w:val="22"/>
        </w:rPr>
        <w:t xml:space="preserve">Execution Control: The discipline of intercepting, evaluating, and recording every state-changing operation in a software system before it executes—with the authority to allow, deny, or escalate based on identity, context, risk classification, and policy.</w:t>
      </w:r>
    </w:p>
    <w:p>
      <w:pPr>
        <w:pStyle w:val="Heading2"/>
        <w:spacing w:after="200" w:before="360"/>
      </w:pPr>
      <w:r>
        <w:rPr>
          <w:b/>
          <w:bCs/>
        </w:rPr>
        <w:t xml:space="preserve">Why Existing Categories Are Insufficient</w:t>
      </w:r>
    </w:p>
    <w:p>
      <w:pPr>
        <w:spacing w:after="160"/>
      </w:pPr>
      <w:r>
        <w:rPr>
          <w:rFonts w:ascii="Arial" w:cs="Arial" w:eastAsia="Arial" w:hAnsi="Arial"/>
          <w:b/>
          <w:bCs/>
          <w:color w:val="0F172A"/>
          <w:sz w:val="22"/>
          <w:szCs w:val="22"/>
        </w:rPr>
        <w:t xml:space="preserve">IAM answers: “Who are you?” </w:t>
      </w:r>
      <w:r>
        <w:rPr>
          <w:rFonts w:ascii="Arial" w:cs="Arial" w:eastAsia="Arial" w:hAnsi="Arial"/>
          <w:color w:val="334155"/>
          <w:sz w:val="22"/>
          <w:szCs w:val="22"/>
        </w:rPr>
        <w:t xml:space="preserve">It does not answer: “Should this specific action, by this specific person, at this specific time, with this specific risk level, be allowed?”</w:t>
      </w:r>
    </w:p>
    <w:p>
      <w:pPr>
        <w:spacing w:after="160"/>
      </w:pPr>
      <w:r>
        <w:rPr>
          <w:rFonts w:ascii="Arial" w:cs="Arial" w:eastAsia="Arial" w:hAnsi="Arial"/>
          <w:b/>
          <w:bCs/>
          <w:color w:val="0F172A"/>
          <w:sz w:val="22"/>
          <w:szCs w:val="22"/>
        </w:rPr>
        <w:t xml:space="preserve">Observability answers: “What happened?” </w:t>
      </w:r>
      <w:r>
        <w:rPr>
          <w:rFonts w:ascii="Arial" w:cs="Arial" w:eastAsia="Arial" w:hAnsi="Arial"/>
          <w:color w:val="334155"/>
          <w:sz w:val="22"/>
          <w:szCs w:val="22"/>
        </w:rPr>
        <w:t xml:space="preserve">It does not answer: “Should it have happened?” And it cannot prevent it from happening.</w:t>
      </w:r>
    </w:p>
    <w:p>
      <w:pPr>
        <w:spacing w:after="160"/>
      </w:pPr>
      <w:r>
        <w:rPr>
          <w:rFonts w:ascii="Arial" w:cs="Arial" w:eastAsia="Arial" w:hAnsi="Arial"/>
          <w:b/>
          <w:bCs/>
          <w:color w:val="0F172A"/>
          <w:sz w:val="22"/>
          <w:szCs w:val="22"/>
        </w:rPr>
        <w:t xml:space="preserve">AI Safety answers: “Is this LLM output safe?” </w:t>
      </w:r>
      <w:r>
        <w:rPr>
          <w:rFonts w:ascii="Arial" w:cs="Arial" w:eastAsia="Arial" w:hAnsi="Arial"/>
          <w:color w:val="334155"/>
          <w:sz w:val="22"/>
          <w:szCs w:val="22"/>
        </w:rPr>
        <w:t xml:space="preserve">It does not govern the 95% of operations that are not LLM interactions: database mutations, payment processing, user management, automated jobs.</w:t>
      </w:r>
    </w:p>
    <w:p>
      <w:pPr>
        <w:spacing w:after="160"/>
      </w:pPr>
      <w:r>
        <w:rPr>
          <w:rFonts w:ascii="Arial" w:cs="Arial" w:eastAsia="Arial" w:hAnsi="Arial"/>
          <w:b/>
          <w:bCs/>
          <w:color w:val="0F172A"/>
          <w:sz w:val="22"/>
          <w:szCs w:val="22"/>
        </w:rPr>
        <w:t xml:space="preserve">API Security answers: “Is this request authenticated?” </w:t>
      </w:r>
      <w:r>
        <w:rPr>
          <w:rFonts w:ascii="Arial" w:cs="Arial" w:eastAsia="Arial" w:hAnsi="Arial"/>
          <w:color w:val="334155"/>
          <w:sz w:val="22"/>
          <w:szCs w:val="22"/>
        </w:rPr>
        <w:t xml:space="preserve">It does not evaluate whether an authenticated, authorized user should be performing this particular action at this particular moment.</w:t>
      </w:r>
    </w:p>
    <w:p>
      <w:pPr>
        <w:spacing w:after="160"/>
      </w:pPr>
      <w:r>
        <w:rPr>
          <w:rFonts w:ascii="Arial" w:cs="Arial" w:eastAsia="Arial" w:hAnsi="Arial"/>
          <w:color w:val="334155"/>
          <w:sz w:val="22"/>
          <w:szCs w:val="22"/>
        </w:rPr>
        <w:t xml:space="preserve">Execution Control is the layer that sits between authorization (“you can”) and operation (“you did”). It is the layer that asks: “Should you, right now, given everything we know?”</w:t>
      </w:r>
    </w:p>
    <w:p>
      <w:pPr>
        <w:pStyle w:val="Heading2"/>
        <w:spacing w:after="200" w:before="360"/>
      </w:pPr>
      <w:r>
        <w:rPr>
          <w:b/>
          <w:bCs/>
        </w:rPr>
        <w:t xml:space="preserve">Positioning Statement</w:t>
      </w:r>
    </w:p>
    <w:p>
      <w:pPr>
        <w:shd w:fill="F1F5F9" w:val="clear"/>
        <w:spacing w:after="200" w:before="200"/>
        <w:ind w:left="480" w:right="480"/>
      </w:pPr>
      <w:r>
        <w:rPr>
          <w:rFonts w:ascii="Arial" w:cs="Arial" w:eastAsia="Arial" w:hAnsi="Arial"/>
          <w:color w:val="0F172A"/>
          <w:sz w:val="22"/>
          <w:szCs w:val="22"/>
        </w:rPr>
        <w:t xml:space="preserve">Strix is the execution control layer for software systems. It embeds into your application’s mutation layer, intercepts every state-changing operation, and makes a three-way decision—allow, deny, or escalate—before the operation executes. Every decision is recorded as immutable evidence. Nothing executes until it is evaluated.</w:t>
      </w:r>
    </w:p>
    <w:p>
      <w:pPr>
        <w:pStyle w:val="Heading2"/>
        <w:spacing w:after="200" w:before="360"/>
      </w:pPr>
      <w:r>
        <w:rPr>
          <w:b/>
          <w:bCs/>
        </w:rPr>
        <w:t xml:space="preserve">For Investors</w:t>
      </w:r>
    </w:p>
    <w:p>
      <w:pPr>
        <w:spacing w:after="160"/>
      </w:pPr>
      <w:r>
        <w:rPr>
          <w:rFonts w:ascii="Arial" w:cs="Arial" w:eastAsia="Arial" w:hAnsi="Arial"/>
          <w:color w:val="334155"/>
          <w:sz w:val="22"/>
          <w:szCs w:val="22"/>
        </w:rPr>
        <w:t xml:space="preserve">Every company deploying AI agents, automation, or multi-user admin systems faces the same problem: they cannot prove what their systems did, why they did it, or whether they should have been allowed to do it. Existing tools (RBAC, logging, guardrails) each solve a fragment of this problem. Strix solves the whole problem by embedding a non-bypassable evaluation kernel into the application’s execution path. It is the first product to provide structural enforcement with immutable evidence capture across every state-changing operation—not just LLM calls, not just API requests, but every mutation, every automation, every action. The market for execution control scales with the number of AI-powered systems deployed. That number is growing exponentially.</w:t>
      </w:r>
    </w:p>
    <w:p>
      <w:r>
        <w:br w:type="page"/>
      </w:r>
    </w:p>
    <w:p>
      <w:pPr>
        <w:pStyle w:val="Heading1"/>
        <w:spacing w:after="200" w:before="360"/>
      </w:pPr>
      <w:r>
        <w:rPr>
          <w:b/>
          <w:bCs/>
        </w:rPr>
        <w:t xml:space="preserve">PHASE 5: GAP ANALYSIS</w:t>
      </w:r>
    </w:p>
    <w:p>
      <w:pPr>
        <w:pBdr>
          <w:left w:val="single" w:color="C9A24D" w:sz="6" w:space="8"/>
        </w:pBdr>
        <w:spacing w:after="200" w:before="200"/>
        <w:ind w:left="720" w:right="720"/>
      </w:pPr>
      <w:r>
        <w:rPr>
          <w:rFonts w:ascii="Arial" w:cs="Arial" w:eastAsia="Arial" w:hAnsi="Arial"/>
          <w:i/>
          <w:iCs/>
          <w:color w:val="0F172A"/>
          <w:sz w:val="24"/>
          <w:szCs w:val="24"/>
        </w:rPr>
        <w:t xml:space="preserve">The current velarisgroup.app website describes a product that no longer exists. The Strix platform landing page is closer but still misses the core insight. Both need to be rebuilt around execution control.</w:t>
      </w:r>
    </w:p>
    <w:p>
      <w:pPr>
        <w:pStyle w:val="Heading2"/>
        <w:spacing w:after="200" w:before="360"/>
      </w:pPr>
      <w:r>
        <w:rPr>
          <w:b/>
          <w:bCs/>
        </w:rPr>
        <w:t xml:space="preserve">velarisgroup.app — Current State</w:t>
      </w:r>
    </w:p>
    <w:p>
      <w:pPr>
        <w:spacing w:after="160"/>
      </w:pPr>
      <w:r>
        <w:rPr>
          <w:rFonts w:ascii="Arial" w:cs="Arial" w:eastAsia="Arial" w:hAnsi="Arial"/>
          <w:color w:val="334155"/>
          <w:sz w:val="22"/>
          <w:szCs w:val="22"/>
        </w:rPr>
        <w:t xml:space="preserve">The live website at velarisgroup.app positions Strix as “The Control Plane for Vertical AI.” The messaging focuses on tenant isolation, module composition, agent orchestration, and telemetry. The four-step lifecycle is “Define → Compose → Orchestrate → Operate.”</w:t>
      </w:r>
    </w:p>
    <w:p>
      <w:pPr>
        <w:spacing w:after="160"/>
      </w:pPr>
      <w:r>
        <w:rPr>
          <w:rFonts w:ascii="Arial" w:cs="Arial" w:eastAsia="Arial" w:hAnsi="Arial"/>
          <w:b/>
          <w:bCs/>
          <w:color w:val="0F172A"/>
          <w:sz w:val="22"/>
          <w:szCs w:val="22"/>
        </w:rPr>
        <w:t xml:space="preserve">This is the wrong product. </w:t>
      </w:r>
      <w:r>
        <w:rPr>
          <w:rFonts w:ascii="Arial" w:cs="Arial" w:eastAsia="Arial" w:hAnsi="Arial"/>
          <w:color w:val="334155"/>
          <w:sz w:val="22"/>
          <w:szCs w:val="22"/>
        </w:rPr>
        <w:t xml:space="preserve">The site describes a multi-tenant vertical AI platform—an infrastructure layer for building SaaS products. But the production implementation of Strix is not a platform for building SaaS. It is a governance kernel that embeds into existing applications to control execution. The site is selling plumbing. The product is selling control.</w:t>
      </w:r>
    </w:p>
    <w:p>
      <w:pPr>
        <w:pStyle w:val="Heading2"/>
        <w:spacing w:after="200" w:before="360"/>
      </w:pPr>
      <w:r>
        <w:rPr>
          <w:b/>
          <w:bCs/>
        </w:rPr>
        <w:t xml:space="preserve">Specific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Current Messaging</w:t>
            </w:r>
          </w:p>
        </w:tc>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Reality</w:t>
            </w:r>
          </w:p>
        </w:tc>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“The Control Plane for Vertical AI”</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Strix is an execution control kernel, not a control plane for vertical AI</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REWRITE. Lead with execution control.</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Tenant isolation, modules, composition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These are infrastructure features, not the core value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REMOVE or demote to secondary.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“Define → Compose → Orchestrate → Operate”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The actual lifecycle is: Intercept → Evaluate → Decide → Record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REPLACE with governance lifecycle.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“Builders / Operators / Teams” audience cards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The audience is: CTOs, CISOs, compliance leads, and eng leaders deploying AI-powered systems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REWRITE audience segments.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No mention of deny/escalate/allow</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This IS the product. Three-state decisions are the core innovation.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ADD as primary demonstration.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No mention of evidence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Evidence-first design is the moat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ADD as primary concept.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No mention of the invariant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The invariant is the selling point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ADD as hero statement.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“Private beta” with generic CTA</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Needs urgency, proof, and specificity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334155"/>
                <w:sz w:val="20"/>
                <w:szCs w:val="20"/>
              </w:rPr>
              <w:t xml:space="preserve">REWRITE CTA with proof points.</w:t>
            </w:r>
          </w:p>
        </w:tc>
      </w:tr>
    </w:tbl>
    <w:p>
      <w:pPr>
        <w:pStyle w:val="Heading2"/>
        <w:spacing w:after="200" w:before="360"/>
      </w:pPr>
      <w:r>
        <w:rPr>
          <w:b/>
          <w:bCs/>
        </w:rPr>
        <w:t xml:space="preserve">Strix Platform Repo — Landing Page</w:t>
      </w:r>
    </w:p>
    <w:p>
      <w:pPr>
        <w:spacing w:after="160"/>
      </w:pPr>
      <w:r>
        <w:rPr>
          <w:rFonts w:ascii="Arial" w:cs="Arial" w:eastAsia="Arial" w:hAnsi="Arial"/>
          <w:color w:val="334155"/>
          <w:sz w:val="22"/>
          <w:szCs w:val="22"/>
        </w:rPr>
        <w:t xml:space="preserve">The Strix platform repo’s landing page (the “Strix in 12 seconds” simulator) is a better foundation but still leads with the wrong concepts. The simulator shows: Define tenants → Compose modules → Orchestrate agents → Operate with telemetry. This is the multi-tenant platform story, not the execution control story.</w:t>
      </w:r>
    </w:p>
    <w:p>
      <w:pPr>
        <w:spacing w:after="160"/>
      </w:pPr>
      <w:r>
        <w:rPr>
          <w:rFonts w:ascii="Arial" w:cs="Arial" w:eastAsia="Arial" w:hAnsi="Arial"/>
          <w:b/>
          <w:bCs/>
          <w:color w:val="0F172A"/>
          <w:sz w:val="22"/>
          <w:szCs w:val="22"/>
        </w:rPr>
        <w:t xml:space="preserve">The simulator should demonstrate the governance lifecycle: </w:t>
      </w:r>
      <w:r>
        <w:rPr>
          <w:rFonts w:ascii="Arial" w:cs="Arial" w:eastAsia="Arial" w:hAnsi="Arial"/>
          <w:color w:val="334155"/>
          <w:sz w:val="22"/>
          <w:szCs w:val="22"/>
        </w:rPr>
        <w:t xml:space="preserve">an action is attempted, the kernel intercepts it, evaluates it against policy and risk classification, makes a three-state decision, and records immutable evidence. This is a 12-second story that no competitor can tell.</w:t>
      </w:r>
    </w:p>
    <w:p>
      <w:r>
        <w:br w:type="page"/>
      </w:r>
    </w:p>
    <w:p>
      <w:pPr>
        <w:pStyle w:val="Heading1"/>
        <w:spacing w:after="200" w:before="360"/>
      </w:pPr>
      <w:r>
        <w:rPr>
          <w:b/>
          <w:bCs/>
        </w:rPr>
        <w:t xml:space="preserve">PHASE 6: WEBSITE REWRITE</w:t>
      </w:r>
    </w:p>
    <w:p>
      <w:pPr>
        <w:spacing w:after="160"/>
      </w:pPr>
      <w:r>
        <w:rPr>
          <w:rFonts w:ascii="Arial" w:cs="Arial" w:eastAsia="Arial" w:hAnsi="Arial"/>
          <w:color w:val="334155"/>
          <w:sz w:val="22"/>
          <w:szCs w:val="22"/>
        </w:rPr>
        <w:t xml:space="preserve">Complete homepage structure for velarisgroup.app, designed to establish category leadership in execution control.</w:t>
      </w:r>
    </w:p>
    <w:p>
      <w:pPr>
        <w:pStyle w:val="Heading2"/>
        <w:spacing w:after="200" w:before="360"/>
      </w:pPr>
      <w:r>
        <w:rPr>
          <w:b/>
          <w:bCs/>
        </w:rPr>
        <w:t xml:space="preserve">HERO</w:t>
      </w:r>
    </w:p>
    <w:p>
      <w:pPr>
        <w:shd w:fill="F1F5F9" w:val="clear"/>
        <w:spacing w:after="100" w:before="200"/>
        <w:ind w:left="480" w:right="480"/>
      </w:pPr>
      <w:r>
        <w:rPr>
          <w:rFonts w:ascii="Arial" w:cs="Arial" w:eastAsia="Arial" w:hAnsi="Arial"/>
          <w:b/>
          <w:bCs/>
          <w:color w:val="334155"/>
          <w:sz w:val="20"/>
          <w:szCs w:val="20"/>
        </w:rPr>
        <w:t xml:space="preserve">Badge: </w:t>
      </w:r>
      <w:r>
        <w:rPr>
          <w:rFonts w:ascii="Arial" w:cs="Arial" w:eastAsia="Arial" w:hAnsi="Arial"/>
          <w:color w:val="C9A24D"/>
          <w:sz w:val="20"/>
          <w:szCs w:val="20"/>
        </w:rPr>
        <w:t xml:space="preserve">84 capabilities governed in production</w:t>
      </w:r>
    </w:p>
    <w:p>
      <w:pPr>
        <w:shd w:fill="F1F5F9" w:val="clear"/>
        <w:spacing w:after="100"/>
        <w:ind w:left="480" w:right="480"/>
      </w:pPr>
      <w:r>
        <w:rPr>
          <w:rFonts w:ascii="Arial" w:cs="Arial" w:eastAsia="Arial" w:hAnsi="Arial"/>
          <w:b/>
          <w:bCs/>
          <w:color w:val="334155"/>
          <w:sz w:val="20"/>
          <w:szCs w:val="20"/>
        </w:rPr>
        <w:t xml:space="preserve">Headline: </w:t>
      </w:r>
      <w:r>
        <w:rPr>
          <w:rFonts w:ascii="Arial" w:cs="Arial" w:eastAsia="Arial" w:hAnsi="Arial"/>
          <w:b/>
          <w:bCs/>
          <w:color w:val="0F172A"/>
          <w:sz w:val="32"/>
          <w:szCs w:val="32"/>
        </w:rPr>
        <w:t xml:space="preserve">Nothing executes until it is evaluated.</w:t>
      </w:r>
    </w:p>
    <w:p>
      <w:pPr>
        <w:shd w:fill="F1F5F9" w:val="clear"/>
        <w:spacing w:after="100"/>
        <w:ind w:left="480" w:right="480"/>
      </w:pPr>
      <w:r>
        <w:rPr>
          <w:rFonts w:ascii="Arial" w:cs="Arial" w:eastAsia="Arial" w:hAnsi="Arial"/>
          <w:b/>
          <w:bCs/>
          <w:color w:val="334155"/>
          <w:sz w:val="20"/>
          <w:szCs w:val="20"/>
        </w:rPr>
        <w:t xml:space="preserve">Subheadline: </w:t>
      </w:r>
      <w:r>
        <w:rPr>
          <w:rFonts w:ascii="Arial" w:cs="Arial" w:eastAsia="Arial" w:hAnsi="Arial"/>
          <w:color w:val="334155"/>
          <w:sz w:val="22"/>
          <w:szCs w:val="22"/>
        </w:rPr>
        <w:t xml:space="preserve">Strix embeds into your application’s mutation layer. Every state-changing operation is intercepted, evaluated, and recorded—before it runs. Allow. Deny. Escalate. Every time.</w:t>
      </w:r>
    </w:p>
    <w:p>
      <w:pPr>
        <w:shd w:fill="F1F5F9" w:val="clear"/>
        <w:spacing w:after="200"/>
        <w:ind w:left="480" w:right="480"/>
      </w:pPr>
      <w:r>
        <w:rPr>
          <w:rFonts w:ascii="Arial" w:cs="Arial" w:eastAsia="Arial" w:hAnsi="Arial"/>
          <w:b/>
          <w:bCs/>
          <w:color w:val="334155"/>
          <w:sz w:val="20"/>
          <w:szCs w:val="20"/>
        </w:rPr>
        <w:t xml:space="preserve">CTAs: </w:t>
      </w:r>
      <w:r>
        <w:rPr>
          <w:rFonts w:ascii="Arial" w:cs="Arial" w:eastAsia="Arial" w:hAnsi="Arial"/>
          <w:color w:val="C9A24D"/>
          <w:sz w:val="20"/>
          <w:szCs w:val="20"/>
        </w:rPr>
        <w:t xml:space="preserve">[See the Proof]  |  [Request Access]</w:t>
      </w:r>
    </w:p>
    <w:p>
      <w:pPr>
        <w:pStyle w:val="Heading2"/>
        <w:spacing w:after="200" w:before="360"/>
      </w:pPr>
      <w:r>
        <w:rPr>
          <w:b/>
          <w:bCs/>
        </w:rPr>
        <w:t xml:space="preserve">SECTION 1: The Problem</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“Your AI systems are doing things you can’t prove.”</w:t>
      </w:r>
    </w:p>
    <w:p>
      <w:pPr>
        <w:spacing w:after="160"/>
      </w:pPr>
      <w:r>
        <w:rPr>
          <w:rFonts w:ascii="Arial" w:cs="Arial" w:eastAsia="Arial" w:hAnsi="Arial"/>
          <w:color w:val="334155"/>
          <w:sz w:val="22"/>
          <w:szCs w:val="22"/>
        </w:rPr>
        <w:t xml:space="preserve">Body: Every AI agent, every automation, every admin action in your system changes state. Deletes data. Sends emails. Modifies permissions. Processes payments. Right now, you have two options: let it happen and hope nothing goes wrong, or build a custom governance layer from scratch and pray you covered everything. Neither option is acceptable. You need a system where nothing executes until it is evaluated. Where every action produces evidence. Where deny is a first-class outcome, not an afterthought.</w:t>
      </w:r>
    </w:p>
    <w:p>
      <w:pPr>
        <w:pStyle w:val="Heading2"/>
        <w:spacing w:after="200" w:before="360"/>
      </w:pPr>
      <w:r>
        <w:rPr>
          <w:b/>
          <w:bCs/>
        </w:rPr>
        <w:t xml:space="preserve">SECTION 2: The Three Decisions (Interactive Demo)</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“Allow. Deny. Escalate.”</w:t>
      </w:r>
    </w:p>
    <w:p>
      <w:pPr>
        <w:spacing w:after="160"/>
      </w:pPr>
      <w:r>
        <w:rPr>
          <w:rFonts w:ascii="Arial" w:cs="Arial" w:eastAsia="Arial" w:hAnsi="Arial"/>
          <w:color w:val="334155"/>
          <w:sz w:val="22"/>
          <w:szCs w:val="22"/>
        </w:rPr>
        <w:t xml:space="preserve">Three interactive panels showing live governance decisions:</w:t>
      </w:r>
    </w:p>
    <w:p>
      <w:pPr>
        <w:pStyle w:val="ListParagraph"/>
        <w:numPr>
          <w:ilvl w:val="0"/>
          <w:numId w:val="2"/>
        </w:numPr>
        <w:spacing w:after="120"/>
      </w:pPr>
      <w:r>
        <w:rPr>
          <w:rFonts w:ascii="Arial" w:cs="Arial" w:eastAsia="Arial" w:hAnsi="Arial"/>
          <w:b/>
          <w:bCs/>
          <w:color w:val="16A34A"/>
          <w:sz w:val="22"/>
          <w:szCs w:val="22"/>
        </w:rPr>
        <w:t xml:space="preserve">ALLOW — </w:t>
      </w:r>
      <w:r>
        <w:rPr>
          <w:rFonts w:ascii="Arial" w:cs="Arial" w:eastAsia="Arial" w:hAnsi="Arial"/>
          <w:color w:val="334155"/>
          <w:sz w:val="22"/>
          <w:szCs w:val="22"/>
        </w:rPr>
        <w:t xml:space="preserve">Admin creates a new schedule. Risk: medium. Approvals required: 0. Decision: ALLOW. Evidence recorded. Action executed.</w:t>
      </w:r>
    </w:p>
    <w:p>
      <w:pPr>
        <w:pStyle w:val="ListParagraph"/>
        <w:numPr>
          <w:ilvl w:val="0"/>
          <w:numId w:val="2"/>
        </w:numPr>
        <w:spacing w:after="120"/>
      </w:pPr>
      <w:r>
        <w:rPr>
          <w:rFonts w:ascii="Arial" w:cs="Arial" w:eastAsia="Arial" w:hAnsi="Arial"/>
          <w:b/>
          <w:bCs/>
          <w:color w:val="DC2626"/>
          <w:sz w:val="22"/>
          <w:szCs w:val="22"/>
        </w:rPr>
        <w:t xml:space="preserve">DENY — </w:t>
      </w:r>
      <w:r>
        <w:rPr>
          <w:rFonts w:ascii="Arial" w:cs="Arial" w:eastAsia="Arial" w:hAnsi="Arial"/>
          <w:color w:val="334155"/>
          <w:sz w:val="22"/>
          <w:szCs w:val="22"/>
        </w:rPr>
        <w:t xml:space="preserve">Coach attempts to change a user’s system role. Risk: critical. Approvals required: 2. Actor is not owner. Decision: DENY. Evidence recorded. Action blocked.</w:t>
      </w:r>
    </w:p>
    <w:p>
      <w:pPr>
        <w:pStyle w:val="ListParagraph"/>
        <w:numPr>
          <w:ilvl w:val="0"/>
          <w:numId w:val="2"/>
        </w:numPr>
        <w:spacing w:after="120"/>
      </w:pPr>
      <w:r>
        <w:rPr>
          <w:rFonts w:ascii="Arial" w:cs="Arial" w:eastAsia="Arial" w:hAnsi="Arial"/>
          <w:b/>
          <w:bCs/>
          <w:color w:val="C9A24D"/>
          <w:sz w:val="22"/>
          <w:szCs w:val="22"/>
        </w:rPr>
        <w:t xml:space="preserve">ESCALATE — </w:t>
      </w:r>
      <w:r>
        <w:rPr>
          <w:rFonts w:ascii="Arial" w:cs="Arial" w:eastAsia="Arial" w:hAnsi="Arial"/>
          <w:color w:val="334155"/>
          <w:sz w:val="22"/>
          <w:szCs w:val="22"/>
        </w:rPr>
        <w:t xml:space="preserve">Admin deletes a training program. Risk: high. Approvals required: 1. Decision: ESCALATE. Evidence recorded. Action proceeds with review flag.</w:t>
      </w:r>
    </w:p>
    <w:p>
      <w:pPr>
        <w:pStyle w:val="Heading2"/>
        <w:spacing w:after="200" w:before="360"/>
      </w:pPr>
      <w:r>
        <w:rPr>
          <w:b/>
          <w:bCs/>
        </w:rPr>
        <w:t xml:space="preserve">SECTION 3: How It Works</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“One function call. Complete governance.”</w:t>
      </w:r>
    </w:p>
    <w:p>
      <w:pPr>
        <w:spacing w:after="160"/>
      </w:pPr>
      <w:r>
        <w:rPr>
          <w:rFonts w:ascii="Arial" w:cs="Arial" w:eastAsia="Arial" w:hAnsi="Arial"/>
          <w:color w:val="334155"/>
          <w:sz w:val="22"/>
          <w:szCs w:val="22"/>
        </w:rPr>
        <w:t xml:space="preserve">Show the code transformation:</w:t>
      </w:r>
    </w:p>
    <w:p>
      <w:pPr>
        <w:spacing w:after="160"/>
      </w:pPr>
      <w:r>
        <w:rPr>
          <w:rFonts w:ascii="Arial" w:cs="Arial" w:eastAsia="Arial" w:hAnsi="Arial"/>
          <w:color w:val="334155"/>
          <w:sz w:val="22"/>
          <w:szCs w:val="22"/>
        </w:rPr>
        <w:t xml:space="preserve">BEFORE:  adminProcedure.input(z.object({...})).mutation(handler)</w:t>
      </w:r>
    </w:p>
    <w:p>
      <w:pPr>
        <w:spacing w:after="160"/>
      </w:pPr>
      <w:r>
        <w:rPr>
          <w:rFonts w:ascii="Arial" w:cs="Arial" w:eastAsia="Arial" w:hAnsi="Arial"/>
          <w:color w:val="334155"/>
          <w:sz w:val="22"/>
          <w:szCs w:val="22"/>
        </w:rPr>
        <w:t xml:space="preserve">AFTER:   governedProcedure(“admin.programs.delete”).input(z.object({...})).mutation(handler)</w:t>
      </w:r>
    </w:p>
    <w:p>
      <w:pPr>
        <w:spacing w:after="160"/>
      </w:pPr>
      <w:r>
        <w:rPr>
          <w:rFonts w:ascii="Arial" w:cs="Arial" w:eastAsia="Arial" w:hAnsi="Arial"/>
          <w:color w:val="334155"/>
          <w:sz w:val="22"/>
          <w:szCs w:val="22"/>
        </w:rPr>
        <w:t xml:space="preserve">That’s it. One function call wraps your mutation with: capability lookup, risk classification, policy evaluation, three-state decision, and immutable evidence recording. No configuration files. No separate infrastructure. No SDK initialization ceremony.</w:t>
      </w:r>
    </w:p>
    <w:p>
      <w:pPr>
        <w:pStyle w:val="Heading2"/>
        <w:spacing w:after="200" w:before="360"/>
      </w:pPr>
      <w:r>
        <w:rPr>
          <w:b/>
          <w:bCs/>
        </w:rPr>
        <w:t xml:space="preserve">SECTION 4: The Evidence Trail</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“Prove everything. Retroactively.”</w:t>
      </w:r>
    </w:p>
    <w:p>
      <w:pPr>
        <w:spacing w:after="160"/>
      </w:pPr>
      <w:r>
        <w:rPr>
          <w:rFonts w:ascii="Arial" w:cs="Arial" w:eastAsia="Arial" w:hAnsi="Arial"/>
          <w:color w:val="334155"/>
          <w:sz w:val="22"/>
          <w:szCs w:val="22"/>
        </w:rPr>
        <w:t xml:space="preserve">Show a live evidence trail table: timestamp, capability, actor, decision, reason. Every allow. Every deny. Every escalation. Queryable. Filterable. Immutable. When the auditor asks “who deleted that program and were they authorized?”, the answer is one query away. Not buried in logs. Not reconstructed from access patterns. Recorded as a first-class evidence artifact at the moment of the decision.</w:t>
      </w:r>
    </w:p>
    <w:p>
      <w:pPr>
        <w:pStyle w:val="Heading2"/>
        <w:spacing w:after="200" w:before="360"/>
      </w:pPr>
      <w:r>
        <w:rPr>
          <w:b/>
          <w:bCs/>
        </w:rPr>
        <w:t xml:space="preserve">SECTION 5: Why Not X?</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“This is not RBAC. This is not logging. This is not guardrails.”</w:t>
      </w:r>
    </w:p>
    <w:p>
      <w:pPr>
        <w:spacing w:after="160"/>
      </w:pPr>
      <w:r>
        <w:rPr>
          <w:rFonts w:ascii="Arial" w:cs="Arial" w:eastAsia="Arial" w:hAnsi="Arial"/>
          <w:color w:val="334155"/>
          <w:sz w:val="22"/>
          <w:szCs w:val="22"/>
        </w:rPr>
        <w:t xml:space="preserve">RBAC tells you who CAN act. Strix tells you who SHOULD act—right now, on this specific action, given the risk level, the context, and the policy. Logging tells you what DID happen. Strix decides what WILL happen. Guardrails filter LLM outputs. Strix governs every mutation in your system—database writes, payment operations, user management, automated jobs, AI-generated content approval.</w:t>
      </w:r>
    </w:p>
    <w:p>
      <w:pPr>
        <w:pStyle w:val="Heading2"/>
        <w:spacing w:after="200" w:before="360"/>
      </w:pPr>
      <w:r>
        <w:rPr>
          <w:b/>
          <w:bCs/>
        </w:rPr>
        <w:t xml:space="preserve">SECTION 6: CTA</w:t>
      </w:r>
    </w:p>
    <w:p>
      <w:pPr>
        <w:spacing w:after="160"/>
      </w:pPr>
      <w:r>
        <w:rPr>
          <w:rFonts w:ascii="Arial" w:cs="Arial" w:eastAsia="Arial" w:hAnsi="Arial"/>
          <w:b/>
          <w:bCs/>
          <w:color w:val="0F172A"/>
          <w:sz w:val="22"/>
          <w:szCs w:val="22"/>
        </w:rPr>
        <w:t xml:space="preserve">Heading: </w:t>
      </w:r>
      <w:r>
        <w:rPr>
          <w:rFonts w:ascii="Arial" w:cs="Arial" w:eastAsia="Arial" w:hAnsi="Arial"/>
          <w:color w:val="334155"/>
          <w:sz w:val="22"/>
          <w:szCs w:val="22"/>
        </w:rPr>
        <w:t xml:space="preserve">“84 capabilities. Zero bypasses. One evidence trail.”</w:t>
      </w:r>
    </w:p>
    <w:p>
      <w:pPr>
        <w:spacing w:after="160"/>
      </w:pPr>
      <w:r>
        <w:rPr>
          <w:rFonts w:ascii="Arial" w:cs="Arial" w:eastAsia="Arial" w:hAnsi="Arial"/>
          <w:color w:val="334155"/>
          <w:sz w:val="22"/>
          <w:szCs w:val="22"/>
        </w:rPr>
        <w:t xml:space="preserve">Subheading: Strix is in production today. Request access to see the governance kernel in action.</w:t>
      </w:r>
    </w:p>
    <w:p>
      <w:pPr>
        <w:spacing w:after="160"/>
      </w:pPr>
      <w:r>
        <w:rPr>
          <w:rFonts w:ascii="Arial" w:cs="Arial" w:eastAsia="Arial" w:hAnsi="Arial"/>
          <w:color w:val="334155"/>
          <w:sz w:val="22"/>
          <w:szCs w:val="22"/>
        </w:rPr>
        <w:t xml:space="preserve">CTAs: [See the Live Evidence Trail]  |  [Request Access]  |  [Read the Architecture]</w:t>
      </w:r>
    </w:p>
    <w:p>
      <w:r>
        <w:br w:type="page"/>
      </w:r>
    </w:p>
    <w:p>
      <w:pPr>
        <w:pStyle w:val="Heading1"/>
        <w:spacing w:after="200" w:before="360"/>
      </w:pPr>
      <w:r>
        <w:rPr>
          <w:b/>
          <w:bCs/>
        </w:rPr>
        <w:t xml:space="preserve">PHASE 7: NARRATIVE ALIGNMENT</w:t>
      </w:r>
    </w:p>
    <w:p>
      <w:pPr>
        <w:spacing w:after="160"/>
      </w:pPr>
      <w:r>
        <w:rPr>
          <w:rFonts w:ascii="Arial" w:cs="Arial" w:eastAsia="Arial" w:hAnsi="Arial"/>
          <w:color w:val="334155"/>
          <w:sz w:val="22"/>
          <w:szCs w:val="22"/>
        </w:rPr>
        <w:t xml:space="preserve">The website, the demo, and the investor narrative must all tell the same story. Here is that story.</w:t>
      </w:r>
    </w:p>
    <w:p>
      <w:pPr>
        <w:pStyle w:val="Heading2"/>
        <w:spacing w:after="200" w:before="360"/>
      </w:pPr>
      <w:r>
        <w:rPr>
          <w:b/>
          <w:bCs/>
        </w:rPr>
        <w:t xml:space="preserve">The Unified Narrative</w:t>
      </w:r>
    </w:p>
    <w:p>
      <w:pPr>
        <w:shd w:fill="F1F5F9" w:val="clear"/>
        <w:spacing w:after="200" w:before="200"/>
        <w:ind w:left="480" w:right="480"/>
      </w:pPr>
      <w:r>
        <w:rPr>
          <w:rFonts w:ascii="Arial" w:cs="Arial" w:eastAsia="Arial" w:hAnsi="Arial"/>
          <w:i/>
          <w:iCs/>
          <w:color w:val="0F172A"/>
          <w:sz w:val="22"/>
          <w:szCs w:val="22"/>
        </w:rPr>
        <w:t xml:space="preserve">Every software system that deploys AI agents, automation, or multi-user admin operations has the same problem: things happen that nobody can prove should have happened. Strix solves this by embedding a governance kernel directly into the application’s execution path. Every state-changing operation is intercepted, evaluated against policy and risk, and either allowed, denied, or escalated. Every decision is recorded as immutable evidence. The kernel is non-bypassable—it is structural, not configurable. This is not a new feature for existing categories. This is a new category: execution control.</w:t>
      </w:r>
    </w:p>
    <w:p>
      <w:pPr>
        <w:pStyle w:val="Heading2"/>
        <w:spacing w:after="200" w:before="360"/>
      </w:pPr>
      <w:r>
        <w:rPr>
          <w:b/>
          <w:bCs/>
        </w:rPr>
        <w:t xml:space="preserve">Demo Script Alignment</w:t>
      </w:r>
    </w:p>
    <w:p>
      <w:pPr>
        <w:spacing w:after="160"/>
      </w:pPr>
      <w:r>
        <w:rPr>
          <w:rFonts w:ascii="Arial" w:cs="Arial" w:eastAsia="Arial" w:hAnsi="Arial"/>
          <w:color w:val="334155"/>
          <w:sz w:val="22"/>
          <w:szCs w:val="22"/>
        </w:rPr>
        <w:t xml:space="preserve">The demo must follow the same arc as the website:</w:t>
      </w:r>
    </w:p>
    <w:p>
      <w:pPr>
        <w:pStyle w:val="ListParagraph"/>
        <w:numPr>
          <w:ilvl w:val="0"/>
          <w:numId w:val="2"/>
        </w:numPr>
        <w:spacing w:after="120"/>
      </w:pPr>
      <w:r>
        <w:rPr>
          <w:rFonts w:ascii="Arial" w:cs="Arial" w:eastAsia="Arial" w:hAnsi="Arial"/>
          <w:b/>
          <w:bCs/>
          <w:color w:val="0F172A"/>
          <w:sz w:val="22"/>
          <w:szCs w:val="22"/>
        </w:rPr>
        <w:t xml:space="preserve">Show the problem. </w:t>
      </w:r>
      <w:r>
        <w:rPr>
          <w:rFonts w:ascii="Arial" w:cs="Arial" w:eastAsia="Arial" w:hAnsi="Arial"/>
          <w:color w:val="334155"/>
          <w:sz w:val="22"/>
          <w:szCs w:val="22"/>
        </w:rPr>
        <w:t xml:space="preserve">“Here is a production application with 84 admin capabilities. Watch what happens when we attempt a critical action.”</w:t>
      </w:r>
    </w:p>
    <w:p>
      <w:pPr>
        <w:pStyle w:val="ListParagraph"/>
        <w:numPr>
          <w:ilvl w:val="0"/>
          <w:numId w:val="2"/>
        </w:numPr>
        <w:spacing w:after="120"/>
      </w:pPr>
      <w:r>
        <w:rPr>
          <w:rFonts w:ascii="Arial" w:cs="Arial" w:eastAsia="Arial" w:hAnsi="Arial"/>
          <w:b/>
          <w:bCs/>
          <w:color w:val="0F172A"/>
          <w:sz w:val="22"/>
          <w:szCs w:val="22"/>
        </w:rPr>
        <w:t xml:space="preserve">Show the deny. </w:t>
      </w:r>
      <w:r>
        <w:rPr>
          <w:rFonts w:ascii="Arial" w:cs="Arial" w:eastAsia="Arial" w:hAnsi="Arial"/>
          <w:color w:val="334155"/>
          <w:sz w:val="22"/>
          <w:szCs w:val="22"/>
        </w:rPr>
        <w:t xml:space="preserve">Attempt a role change as a non-owner. Show FORBIDDEN. Show the evidence record. “The action was blocked. The attempt was recorded. The system knows who tried, when, and why it was denied.”</w:t>
      </w:r>
    </w:p>
    <w:p>
      <w:pPr>
        <w:pStyle w:val="ListParagraph"/>
        <w:numPr>
          <w:ilvl w:val="0"/>
          <w:numId w:val="2"/>
        </w:numPr>
        <w:spacing w:after="120"/>
      </w:pPr>
      <w:r>
        <w:rPr>
          <w:rFonts w:ascii="Arial" w:cs="Arial" w:eastAsia="Arial" w:hAnsi="Arial"/>
          <w:b/>
          <w:bCs/>
          <w:color w:val="0F172A"/>
          <w:sz w:val="22"/>
          <w:szCs w:val="22"/>
        </w:rPr>
        <w:t xml:space="preserve">Show the allow. </w:t>
      </w:r>
      <w:r>
        <w:rPr>
          <w:rFonts w:ascii="Arial" w:cs="Arial" w:eastAsia="Arial" w:hAnsi="Arial"/>
          <w:color w:val="334155"/>
          <w:sz w:val="22"/>
          <w:szCs w:val="22"/>
        </w:rPr>
        <w:t xml:space="preserve">Create a schedule as an admin. Show the action succeed. Show the evidence record. “The action was allowed. But it was also evaluated and recorded. The evidence trail is complete.”</w:t>
      </w:r>
    </w:p>
    <w:p>
      <w:pPr>
        <w:pStyle w:val="ListParagraph"/>
        <w:numPr>
          <w:ilvl w:val="0"/>
          <w:numId w:val="2"/>
        </w:numPr>
        <w:spacing w:after="120"/>
      </w:pPr>
      <w:r>
        <w:rPr>
          <w:rFonts w:ascii="Arial" w:cs="Arial" w:eastAsia="Arial" w:hAnsi="Arial"/>
          <w:b/>
          <w:bCs/>
          <w:color w:val="0F172A"/>
          <w:sz w:val="22"/>
          <w:szCs w:val="22"/>
        </w:rPr>
        <w:t xml:space="preserve">Show the escalation. </w:t>
      </w:r>
      <w:r>
        <w:rPr>
          <w:rFonts w:ascii="Arial" w:cs="Arial" w:eastAsia="Arial" w:hAnsi="Arial"/>
          <w:color w:val="334155"/>
          <w:sz w:val="22"/>
          <w:szCs w:val="22"/>
        </w:rPr>
        <w:t xml:space="preserve">Delete a program. Show the escalation flag. Show the evidence. “The action proceeded, but it was flagged for review. The system doesn’t just block. It creates accountability.”</w:t>
      </w:r>
    </w:p>
    <w:p>
      <w:pPr>
        <w:pStyle w:val="ListParagraph"/>
        <w:numPr>
          <w:ilvl w:val="0"/>
          <w:numId w:val="2"/>
        </w:numPr>
        <w:spacing w:after="120"/>
      </w:pPr>
      <w:r>
        <w:rPr>
          <w:rFonts w:ascii="Arial" w:cs="Arial" w:eastAsia="Arial" w:hAnsi="Arial"/>
          <w:b/>
          <w:bCs/>
          <w:color w:val="0F172A"/>
          <w:sz w:val="22"/>
          <w:szCs w:val="22"/>
        </w:rPr>
        <w:t xml:space="preserve">Show the evidence trail. </w:t>
      </w:r>
      <w:r>
        <w:rPr>
          <w:rFonts w:ascii="Arial" w:cs="Arial" w:eastAsia="Arial" w:hAnsi="Arial"/>
          <w:color w:val="334155"/>
          <w:sz w:val="22"/>
          <w:szCs w:val="22"/>
        </w:rPr>
        <w:t xml:space="preserve">Open the governance dashboard. Filter by denied actions. Filter by critical capabilities. “Every action in this system produces evidence. Prove everything. Retroactively.”</w:t>
      </w:r>
    </w:p>
    <w:p>
      <w:pPr>
        <w:pStyle w:val="ListParagraph"/>
        <w:numPr>
          <w:ilvl w:val="0"/>
          <w:numId w:val="2"/>
        </w:numPr>
        <w:spacing w:after="120"/>
      </w:pPr>
      <w:r>
        <w:rPr>
          <w:rFonts w:ascii="Arial" w:cs="Arial" w:eastAsia="Arial" w:hAnsi="Arial"/>
          <w:b/>
          <w:bCs/>
          <w:color w:val="0F172A"/>
          <w:sz w:val="22"/>
          <w:szCs w:val="22"/>
        </w:rPr>
        <w:t xml:space="preserve">Show the integration. </w:t>
      </w:r>
      <w:r>
        <w:rPr>
          <w:rFonts w:ascii="Arial" w:cs="Arial" w:eastAsia="Arial" w:hAnsi="Arial"/>
          <w:color w:val="334155"/>
          <w:sz w:val="22"/>
          <w:szCs w:val="22"/>
        </w:rPr>
        <w:t xml:space="preserve">Show the one-line code change. “This entire governance system was activated by changing adminProcedure to governedProcedure. One function. 84 capabilities. Zero bypasses.”</w:t>
      </w:r>
    </w:p>
    <w:p>
      <w:pPr>
        <w:pStyle w:val="Heading2"/>
        <w:spacing w:after="200" w:before="360"/>
      </w:pPr>
      <w:r>
        <w:rPr>
          <w:b/>
          <w:bCs/>
        </w:rPr>
        <w:t xml:space="preserve">Investor Narrative Arc</w:t>
      </w:r>
    </w:p>
    <w:p>
      <w:pPr>
        <w:pStyle w:val="ListParagraph"/>
        <w:numPr>
          <w:ilvl w:val="0"/>
          <w:numId w:val="2"/>
        </w:numPr>
        <w:spacing w:after="100"/>
      </w:pPr>
      <w:r>
        <w:rPr>
          <w:rFonts w:ascii="Arial" w:cs="Arial" w:eastAsia="Arial" w:hAnsi="Arial"/>
          <w:color w:val="334155"/>
          <w:sz w:val="22"/>
          <w:szCs w:val="22"/>
        </w:rPr>
        <w:t xml:space="preserve">The world is deploying AI agents and automation at scale.</w:t>
      </w:r>
    </w:p>
    <w:p>
      <w:pPr>
        <w:pStyle w:val="ListParagraph"/>
        <w:numPr>
          <w:ilvl w:val="0"/>
          <w:numId w:val="2"/>
        </w:numPr>
        <w:spacing w:after="100"/>
      </w:pPr>
      <w:r>
        <w:rPr>
          <w:rFonts w:ascii="Arial" w:cs="Arial" w:eastAsia="Arial" w:hAnsi="Arial"/>
          <w:color w:val="334155"/>
          <w:sz w:val="22"/>
          <w:szCs w:val="22"/>
        </w:rPr>
        <w:t xml:space="preserve">Nobody can prove what those systems did, or whether they should have been allowed to do it.</w:t>
      </w:r>
    </w:p>
    <w:p>
      <w:pPr>
        <w:pStyle w:val="ListParagraph"/>
        <w:numPr>
          <w:ilvl w:val="0"/>
          <w:numId w:val="2"/>
        </w:numPr>
        <w:spacing w:after="100"/>
      </w:pPr>
      <w:r>
        <w:rPr>
          <w:rFonts w:ascii="Arial" w:cs="Arial" w:eastAsia="Arial" w:hAnsi="Arial"/>
          <w:color w:val="334155"/>
          <w:sz w:val="22"/>
          <w:szCs w:val="22"/>
        </w:rPr>
        <w:t xml:space="preserve">Existing tools solve fragments: RBAC handles identity, logging handles history, guardrails handle LLM outputs.</w:t>
      </w:r>
    </w:p>
    <w:p>
      <w:pPr>
        <w:pStyle w:val="ListParagraph"/>
        <w:numPr>
          <w:ilvl w:val="0"/>
          <w:numId w:val="2"/>
        </w:numPr>
        <w:spacing w:after="100"/>
      </w:pPr>
      <w:r>
        <w:rPr>
          <w:rFonts w:ascii="Arial" w:cs="Arial" w:eastAsia="Arial" w:hAnsi="Arial"/>
          <w:color w:val="334155"/>
          <w:sz w:val="22"/>
          <w:szCs w:val="22"/>
        </w:rPr>
        <w:t xml:space="preserve">Nobody solves the whole problem: intercept, evaluate, decide, and record—for every operation.</w:t>
      </w:r>
    </w:p>
    <w:p>
      <w:pPr>
        <w:pStyle w:val="ListParagraph"/>
        <w:numPr>
          <w:ilvl w:val="0"/>
          <w:numId w:val="2"/>
        </w:numPr>
        <w:spacing w:after="100"/>
      </w:pPr>
      <w:r>
        <w:rPr>
          <w:rFonts w:ascii="Arial" w:cs="Arial" w:eastAsia="Arial" w:hAnsi="Arial"/>
          <w:color w:val="334155"/>
          <w:sz w:val="22"/>
          <w:szCs w:val="22"/>
        </w:rPr>
        <w:t xml:space="preserve">We built Strix. It is an execution control kernel. It embeds in one function call. It governs every mutation. It produces immutable evidence.</w:t>
      </w:r>
    </w:p>
    <w:p>
      <w:pPr>
        <w:pStyle w:val="ListParagraph"/>
        <w:numPr>
          <w:ilvl w:val="0"/>
          <w:numId w:val="2"/>
        </w:numPr>
        <w:spacing w:after="100"/>
      </w:pPr>
      <w:r>
        <w:rPr>
          <w:rFonts w:ascii="Arial" w:cs="Arial" w:eastAsia="Arial" w:hAnsi="Arial"/>
          <w:color w:val="334155"/>
          <w:sz w:val="22"/>
          <w:szCs w:val="22"/>
        </w:rPr>
        <w:t xml:space="preserve">It is in production today, governing 84 capabilities in a live application with web, mobile, and automation surfaces.</w:t>
      </w:r>
    </w:p>
    <w:p>
      <w:pPr>
        <w:pStyle w:val="ListParagraph"/>
        <w:numPr>
          <w:ilvl w:val="0"/>
          <w:numId w:val="2"/>
        </w:numPr>
        <w:spacing w:after="100"/>
      </w:pPr>
      <w:r>
        <w:rPr>
          <w:rFonts w:ascii="Arial" w:cs="Arial" w:eastAsia="Arial" w:hAnsi="Arial"/>
          <w:color w:val="334155"/>
          <w:sz w:val="22"/>
          <w:szCs w:val="22"/>
        </w:rPr>
        <w:t xml:space="preserve">The market for execution control scales with the number of AI-powered systems. That number is exponential.</w:t>
      </w:r>
    </w:p>
    <w:p>
      <w:r>
        <w:br w:type="page"/>
      </w:r>
    </w:p>
    <w:p>
      <w:pPr>
        <w:pStyle w:val="Heading1"/>
        <w:spacing w:after="200" w:before="360"/>
      </w:pPr>
      <w:r>
        <w:rPr>
          <w:b/>
          <w:bCs/>
        </w:rPr>
        <w:t xml:space="preserve">PHASE 8: MARKET ACTIVATION STRATEGY</w:t>
      </w:r>
    </w:p>
    <w:p>
      <w:pPr>
        <w:spacing w:after="160"/>
      </w:pPr>
      <w:r>
        <w:rPr>
          <w:rFonts w:ascii="Arial" w:cs="Arial" w:eastAsia="Arial" w:hAnsi="Arial"/>
          <w:color w:val="334155"/>
          <w:sz w:val="22"/>
          <w:szCs w:val="22"/>
        </w:rPr>
        <w:t xml:space="preserve">A two-week pre-launch content strategy designed to build curiosity, introduce the problem before the solution, and establish Strix as the category-defining product.</w:t>
      </w:r>
    </w:p>
    <w:p>
      <w:pPr>
        <w:pStyle w:val="Heading2"/>
        <w:spacing w:after="200" w:before="360"/>
      </w:pPr>
      <w:r>
        <w:rPr>
          <w:b/>
          <w:bCs/>
        </w:rPr>
        <w:t xml:space="preserve">Week 1: The Problem (No Product Mention)</w:t>
      </w:r>
    </w:p>
    <w:p>
      <w:pPr>
        <w:spacing w:after="160"/>
      </w:pPr>
      <w:r>
        <w:rPr>
          <w:rFonts w:ascii="Arial" w:cs="Arial" w:eastAsia="Arial" w:hAnsi="Arial"/>
          <w:b/>
          <w:bCs/>
          <w:color w:val="0F172A"/>
          <w:sz w:val="22"/>
          <w:szCs w:val="22"/>
        </w:rPr>
        <w:t xml:space="preserve">Day 1 — The Opening Shot</w:t>
      </w:r>
    </w:p>
    <w:p>
      <w:pPr>
        <w:spacing w:after="160"/>
      </w:pPr>
      <w:r>
        <w:rPr>
          <w:rFonts w:ascii="Arial" w:cs="Arial" w:eastAsia="Arial" w:hAnsi="Arial"/>
          <w:color w:val="334155"/>
          <w:sz w:val="22"/>
          <w:szCs w:val="22"/>
        </w:rPr>
        <w:t xml:space="preserve">Post: “Every AI agent you deploy is doing things you can’t prove. Every admin action in your SaaS is a liability you can’t audit. Every automation that runs overnight is a decision nobody reviewed. This is the reality of software in 2026. And nobody is talking about it.”</w:t>
      </w:r>
    </w:p>
    <w:p>
      <w:pPr>
        <w:spacing w:after="160"/>
      </w:pPr>
      <w:r>
        <w:rPr>
          <w:rFonts w:ascii="Arial" w:cs="Arial" w:eastAsia="Arial" w:hAnsi="Arial"/>
          <w:color w:val="334155"/>
          <w:sz w:val="22"/>
          <w:szCs w:val="22"/>
        </w:rPr>
        <w:t xml:space="preserve">Theme: Establish the problem. No solution yet.</w:t>
      </w:r>
    </w:p>
    <w:p>
      <w:pPr>
        <w:spacing w:after="160"/>
      </w:pPr>
      <w:r>
        <w:rPr>
          <w:rFonts w:ascii="Arial" w:cs="Arial" w:eastAsia="Arial" w:hAnsi="Arial"/>
          <w:b/>
          <w:bCs/>
          <w:color w:val="0F172A"/>
          <w:sz w:val="22"/>
          <w:szCs w:val="22"/>
        </w:rPr>
        <w:t xml:space="preserve">Day 3 — The RBAC Lie</w:t>
      </w:r>
    </w:p>
    <w:p>
      <w:pPr>
        <w:spacing w:after="160"/>
      </w:pPr>
      <w:r>
        <w:rPr>
          <w:rFonts w:ascii="Arial" w:cs="Arial" w:eastAsia="Arial" w:hAnsi="Arial"/>
          <w:color w:val="334155"/>
          <w:sz w:val="22"/>
          <w:szCs w:val="22"/>
        </w:rPr>
        <w:t xml:space="preserve">Post: “RBAC answers: ‘Who can?’ It does not answer: ‘Who should, right now, on this specific action, given the risk?’ Your permissions system is not a governance system. It’s a phone book.”</w:t>
      </w:r>
    </w:p>
    <w:p>
      <w:pPr>
        <w:spacing w:after="160"/>
      </w:pPr>
      <w:r>
        <w:rPr>
          <w:rFonts w:ascii="Arial" w:cs="Arial" w:eastAsia="Arial" w:hAnsi="Arial"/>
          <w:color w:val="334155"/>
          <w:sz w:val="22"/>
          <w:szCs w:val="22"/>
        </w:rPr>
        <w:t xml:space="preserve">Theme: Disqualify existing solutions.</w:t>
      </w:r>
    </w:p>
    <w:p>
      <w:pPr>
        <w:spacing w:after="160"/>
      </w:pPr>
      <w:r>
        <w:rPr>
          <w:rFonts w:ascii="Arial" w:cs="Arial" w:eastAsia="Arial" w:hAnsi="Arial"/>
          <w:b/>
          <w:bCs/>
          <w:color w:val="0F172A"/>
          <w:sz w:val="22"/>
          <w:szCs w:val="22"/>
        </w:rPr>
        <w:t xml:space="preserve">Day 5 — The Logging Trap</w:t>
      </w:r>
    </w:p>
    <w:p>
      <w:pPr>
        <w:spacing w:after="160"/>
      </w:pPr>
      <w:r>
        <w:rPr>
          <w:rFonts w:ascii="Arial" w:cs="Arial" w:eastAsia="Arial" w:hAnsi="Arial"/>
          <w:color w:val="334155"/>
          <w:sz w:val="22"/>
          <w:szCs w:val="22"/>
        </w:rPr>
        <w:t xml:space="preserve">Post: “Your logs tell you what happened. They cannot tell you whether it should have happened. They cannot prevent it from happening. Logging is forensics. You need governance.”</w:t>
      </w:r>
    </w:p>
    <w:p>
      <w:pPr>
        <w:spacing w:after="160"/>
      </w:pPr>
      <w:r>
        <w:rPr>
          <w:rFonts w:ascii="Arial" w:cs="Arial" w:eastAsia="Arial" w:hAnsi="Arial"/>
          <w:color w:val="334155"/>
          <w:sz w:val="22"/>
          <w:szCs w:val="22"/>
        </w:rPr>
        <w:t xml:space="preserve">Theme: Continue disqualifying.</w:t>
      </w:r>
    </w:p>
    <w:p>
      <w:pPr>
        <w:spacing w:after="160"/>
      </w:pPr>
      <w:r>
        <w:rPr>
          <w:rFonts w:ascii="Arial" w:cs="Arial" w:eastAsia="Arial" w:hAnsi="Arial"/>
          <w:b/>
          <w:bCs/>
          <w:color w:val="0F172A"/>
          <w:sz w:val="22"/>
          <w:szCs w:val="22"/>
        </w:rPr>
        <w:t xml:space="preserve">Day 7 — The Three Decisions</w:t>
      </w:r>
    </w:p>
    <w:p>
      <w:pPr>
        <w:spacing w:after="160"/>
      </w:pPr>
      <w:r>
        <w:rPr>
          <w:rFonts w:ascii="Arial" w:cs="Arial" w:eastAsia="Arial" w:hAnsi="Arial"/>
          <w:color w:val="334155"/>
          <w:sz w:val="22"/>
          <w:szCs w:val="22"/>
        </w:rPr>
        <w:t xml:space="preserve">Post: “Every operation in your system should produce one of three outcomes: Allow. Deny. Escalate. If your system only supports two of these, you have a blind spot the size of your entire operations layer.”</w:t>
      </w:r>
    </w:p>
    <w:p>
      <w:pPr>
        <w:spacing w:after="160"/>
      </w:pPr>
      <w:r>
        <w:rPr>
          <w:rFonts w:ascii="Arial" w:cs="Arial" w:eastAsia="Arial" w:hAnsi="Arial"/>
          <w:color w:val="334155"/>
          <w:sz w:val="22"/>
          <w:szCs w:val="22"/>
        </w:rPr>
        <w:t xml:space="preserve">Theme: Introduce the framework without naming the product.</w:t>
      </w:r>
    </w:p>
    <w:p>
      <w:pPr>
        <w:pStyle w:val="Heading2"/>
        <w:spacing w:after="200" w:before="360"/>
      </w:pPr>
      <w:r>
        <w:rPr>
          <w:b/>
          <w:bCs/>
        </w:rPr>
        <w:t xml:space="preserve">Week 2: The Reveal</w:t>
      </w:r>
    </w:p>
    <w:p>
      <w:pPr>
        <w:spacing w:after="160"/>
      </w:pPr>
      <w:r>
        <w:rPr>
          <w:rFonts w:ascii="Arial" w:cs="Arial" w:eastAsia="Arial" w:hAnsi="Arial"/>
          <w:b/>
          <w:bCs/>
          <w:color w:val="0F172A"/>
          <w:sz w:val="22"/>
          <w:szCs w:val="22"/>
        </w:rPr>
        <w:t xml:space="preserve">Day 8 — The Invariant</w:t>
      </w:r>
    </w:p>
    <w:p>
      <w:pPr>
        <w:spacing w:after="160"/>
      </w:pPr>
      <w:r>
        <w:rPr>
          <w:rFonts w:ascii="Arial" w:cs="Arial" w:eastAsia="Arial" w:hAnsi="Arial"/>
          <w:color w:val="334155"/>
          <w:sz w:val="22"/>
          <w:szCs w:val="22"/>
        </w:rPr>
        <w:t xml:space="preserve">Post: “What if nothing in your system could execute until it was evaluated? What if every mutation, every automation, every admin action produced immutable evidence—before it ran? This is not a thought experiment. This is production code. ”</w:t>
      </w:r>
    </w:p>
    <w:p>
      <w:pPr>
        <w:spacing w:after="160"/>
      </w:pPr>
      <w:r>
        <w:rPr>
          <w:rFonts w:ascii="Arial" w:cs="Arial" w:eastAsia="Arial" w:hAnsi="Arial"/>
          <w:color w:val="334155"/>
          <w:sz w:val="22"/>
          <w:szCs w:val="22"/>
        </w:rPr>
        <w:t xml:space="preserve">Theme: Reveal the invariant. Tease the product.</w:t>
      </w:r>
    </w:p>
    <w:p>
      <w:pPr>
        <w:spacing w:after="160"/>
      </w:pPr>
      <w:r>
        <w:rPr>
          <w:rFonts w:ascii="Arial" w:cs="Arial" w:eastAsia="Arial" w:hAnsi="Arial"/>
          <w:b/>
          <w:bCs/>
          <w:color w:val="0F172A"/>
          <w:sz w:val="22"/>
          <w:szCs w:val="22"/>
        </w:rPr>
        <w:t xml:space="preserve">Day 10 — The Proof</w:t>
      </w:r>
    </w:p>
    <w:p>
      <w:pPr>
        <w:spacing w:after="160"/>
      </w:pPr>
      <w:r>
        <w:rPr>
          <w:rFonts w:ascii="Arial" w:cs="Arial" w:eastAsia="Arial" w:hAnsi="Arial"/>
          <w:color w:val="334155"/>
          <w:sz w:val="22"/>
          <w:szCs w:val="22"/>
        </w:rPr>
        <w:t xml:space="preserve">Post: “84 capabilities. 75 admin mutations. 9 automated jobs. Zero bypasses. One evidence trail. Running in production since Q1 2026. This is execution control. This is Strix.”</w:t>
      </w:r>
    </w:p>
    <w:p>
      <w:pPr>
        <w:spacing w:after="160"/>
      </w:pPr>
      <w:r>
        <w:rPr>
          <w:rFonts w:ascii="Arial" w:cs="Arial" w:eastAsia="Arial" w:hAnsi="Arial"/>
          <w:color w:val="334155"/>
          <w:sz w:val="22"/>
          <w:szCs w:val="22"/>
        </w:rPr>
        <w:t xml:space="preserve">Theme: First product mention. Lead with proof, not promise.</w:t>
      </w:r>
    </w:p>
    <w:p>
      <w:pPr>
        <w:spacing w:after="160"/>
      </w:pPr>
      <w:r>
        <w:rPr>
          <w:rFonts w:ascii="Arial" w:cs="Arial" w:eastAsia="Arial" w:hAnsi="Arial"/>
          <w:b/>
          <w:bCs/>
          <w:color w:val="0F172A"/>
          <w:sz w:val="22"/>
          <w:szCs w:val="22"/>
        </w:rPr>
        <w:t xml:space="preserve">Day 12 — The Architecture</w:t>
      </w:r>
    </w:p>
    <w:p>
      <w:pPr>
        <w:spacing w:after="160"/>
      </w:pPr>
      <w:r>
        <w:rPr>
          <w:rFonts w:ascii="Arial" w:cs="Arial" w:eastAsia="Arial" w:hAnsi="Arial"/>
          <w:color w:val="334155"/>
          <w:sz w:val="22"/>
          <w:szCs w:val="22"/>
        </w:rPr>
        <w:t xml:space="preserve">Post: Show the code diff. adminProcedure → governedProcedure. “One function call. Complete governance. Non-bypassable evaluation with immutable evidence capture. This is not a configuration change. This is a structural guarantee.”</w:t>
      </w:r>
    </w:p>
    <w:p>
      <w:pPr>
        <w:spacing w:after="160"/>
      </w:pPr>
      <w:r>
        <w:rPr>
          <w:rFonts w:ascii="Arial" w:cs="Arial" w:eastAsia="Arial" w:hAnsi="Arial"/>
          <w:color w:val="334155"/>
          <w:sz w:val="22"/>
          <w:szCs w:val="22"/>
        </w:rPr>
        <w:t xml:space="preserve">Theme: Technical credibility.</w:t>
      </w:r>
    </w:p>
    <w:p>
      <w:pPr>
        <w:spacing w:after="160"/>
      </w:pPr>
      <w:r>
        <w:rPr>
          <w:rFonts w:ascii="Arial" w:cs="Arial" w:eastAsia="Arial" w:hAnsi="Arial"/>
          <w:b/>
          <w:bCs/>
          <w:color w:val="0F172A"/>
          <w:sz w:val="22"/>
          <w:szCs w:val="22"/>
        </w:rPr>
        <w:t xml:space="preserve">Day 14 — The Category</w:t>
      </w:r>
    </w:p>
    <w:p>
      <w:pPr>
        <w:spacing w:after="160"/>
      </w:pPr>
      <w:r>
        <w:rPr>
          <w:rFonts w:ascii="Arial" w:cs="Arial" w:eastAsia="Arial" w:hAnsi="Arial"/>
          <w:color w:val="334155"/>
          <w:sz w:val="22"/>
          <w:szCs w:val="22"/>
        </w:rPr>
        <w:t xml:space="preserve">Post: “Execution Control is not IAM. It’s not observability. It’s not AI safety. It’s the layer between authorization and operation—the layer that asks: ‘Should you, right now, given everything we know?’ We built the first product in this category. And it’s in production today.”</w:t>
      </w:r>
    </w:p>
    <w:p>
      <w:pPr>
        <w:spacing w:after="160"/>
      </w:pPr>
      <w:r>
        <w:rPr>
          <w:rFonts w:ascii="Arial" w:cs="Arial" w:eastAsia="Arial" w:hAnsi="Arial"/>
          <w:color w:val="334155"/>
          <w:sz w:val="22"/>
          <w:szCs w:val="22"/>
        </w:rPr>
        <w:t xml:space="preserve">Theme: Define the category. Claim it. Launch.</w:t>
      </w:r>
    </w:p>
    <w:p>
      <w:r>
        <w:br w:type="page"/>
      </w:r>
    </w:p>
    <w:p>
      <w:pPr>
        <w:pStyle w:val="Heading1"/>
        <w:spacing w:after="200" w:before="360"/>
      </w:pPr>
      <w:r>
        <w:rPr>
          <w:b/>
          <w:bCs/>
        </w:rPr>
        <w:t xml:space="preserve">APPENDIX: PORTFOLIO ASSESSMENT</w:t>
      </w:r>
    </w:p>
    <w:p>
      <w:pPr>
        <w:spacing w:after="160"/>
      </w:pPr>
      <w:r>
        <w:rPr>
          <w:rFonts w:ascii="Arial" w:cs="Arial" w:eastAsia="Arial" w:hAnsi="Arial"/>
          <w:color w:val="334155"/>
          <w:sz w:val="22"/>
          <w:szCs w:val="22"/>
        </w:rPr>
        <w:t xml:space="preserve">Additional repositories reviewed at your request.</w:t>
      </w:r>
    </w:p>
    <w:p>
      <w:pPr>
        <w:pStyle w:val="Heading2"/>
        <w:spacing w:after="200" w:before="360"/>
      </w:pPr>
      <w:r>
        <w:rPr>
          <w:b/>
          <w:bCs/>
        </w:rPr>
        <w:t xml:space="preserve">jason-core</w:t>
      </w:r>
    </w:p>
    <w:p>
      <w:pPr>
        <w:spacing w:after="160"/>
      </w:pPr>
      <w:r>
        <w:rPr>
          <w:rFonts w:ascii="Arial" w:cs="Arial" w:eastAsia="Arial" w:hAnsi="Arial"/>
          <w:color w:val="334155"/>
          <w:sz w:val="22"/>
          <w:szCs w:val="22"/>
        </w:rPr>
        <w:t xml:space="preserve">Status: Legacy/placeholder. Single initial commit (Nov 2025). Empty directory structure with config/, modules/, docs/, supabase/, workflows/ folders but no code. Appears to have been a starter template or reference architecture concept that was never developed. Recommendation: Archive or delete. If the name “Jason” refers to an AI agent concept (the strix-platform repo references “Jason” as an agent role), consider whether this concept migrates into the Strix agent orchestration layer rather than living as a separate repo.</w:t>
      </w:r>
    </w:p>
    <w:p>
      <w:pPr>
        <w:pStyle w:val="Heading2"/>
        <w:spacing w:after="200" w:before="360"/>
      </w:pPr>
      <w:r>
        <w:rPr>
          <w:b/>
          <w:bCs/>
        </w:rPr>
        <w:t xml:space="preserve">ReplyHero</w:t>
      </w:r>
    </w:p>
    <w:p>
      <w:pPr>
        <w:spacing w:after="160"/>
      </w:pPr>
      <w:r>
        <w:rPr>
          <w:rFonts w:ascii="Arial" w:cs="Arial" w:eastAsia="Arial" w:hAnsi="Arial"/>
          <w:color w:val="334155"/>
          <w:sz w:val="22"/>
          <w:szCs w:val="22"/>
        </w:rPr>
        <w:t xml:space="preserve">Status: Active (last commit Dec 2025). AI-powered Google Business review management platform. Next.js 14, Prisma, OpenAI for draft response generation, Stripe billing. Deployed at replyhero1.vercel.app. This is a vertical SaaS product—exactly the type of application that would benefit from Strix governance. Recommendation: Use as a second production reference implementation for Strix. If ReplyHero’s admin mutations are governed by Strix, that’s two production deployments as proof points.</w:t>
      </w:r>
    </w:p>
    <w:p>
      <w:pPr>
        <w:pStyle w:val="Heading2"/>
        <w:spacing w:after="200" w:before="360"/>
      </w:pPr>
      <w:r>
        <w:rPr>
          <w:b/>
          <w:bCs/>
        </w:rPr>
        <w:t xml:space="preserve">replyhero-mobile</w:t>
      </w:r>
    </w:p>
    <w:p>
      <w:pPr>
        <w:spacing w:after="160"/>
      </w:pPr>
      <w:r>
        <w:rPr>
          <w:rFonts w:ascii="Arial" w:cs="Arial" w:eastAsia="Arial" w:hAnsi="Arial"/>
          <w:color w:val="334155"/>
          <w:sz w:val="22"/>
          <w:szCs w:val="22"/>
        </w:rPr>
        <w:t xml:space="preserve">Status: Active (last commit Dec 2025). Expo 54 React Native mobile app for ReplyHero. Standard mobile client pattern. Not directly relevant to the Strix narrative unless mobile mutation governance is demonstrated.</w:t>
      </w:r>
    </w:p>
    <w:p>
      <w:pPr>
        <w:pStyle w:val="Heading2"/>
        <w:spacing w:after="200" w:before="360"/>
      </w:pPr>
      <w:r>
        <w:rPr>
          <w:b/>
          <w:bCs/>
        </w:rPr>
        <w:t xml:space="preserve">strix-saas-template</w:t>
      </w:r>
    </w:p>
    <w:p>
      <w:pPr>
        <w:spacing w:after="160"/>
      </w:pPr>
      <w:r>
        <w:rPr>
          <w:rFonts w:ascii="Arial" w:cs="Arial" w:eastAsia="Arial" w:hAnsi="Arial"/>
          <w:color w:val="334155"/>
          <w:sz w:val="22"/>
          <w:szCs w:val="22"/>
        </w:rPr>
        <w:t xml:space="preserve">Status: Functional template (v1.7.6). Next.js 14 SaaS boilerplate with Clerk, Drizzle, Tailwind, multi-tenancy, RBAC, Stripe. This is a distribution channel for Strix—if governance is baked into the template, every app built on it starts with execution control. Recommendation: High strategic value. Embed governedProcedure into the template as the default mutation pattern.</w:t>
      </w:r>
    </w:p>
    <w:p>
      <w:pPr>
        <w:pStyle w:val="Heading2"/>
        <w:spacing w:after="200" w:before="360"/>
      </w:pPr>
      <w:r>
        <w:rPr>
          <w:b/>
          <w:bCs/>
        </w:rPr>
        <w:t xml:space="preserve">strix-engine</w:t>
      </w:r>
    </w:p>
    <w:p>
      <w:pPr>
        <w:spacing w:after="160"/>
      </w:pPr>
      <w:r>
        <w:rPr>
          <w:rFonts w:ascii="Arial" w:cs="Arial" w:eastAsia="Arial" w:hAnsi="Arial"/>
          <w:color w:val="334155"/>
          <w:sz w:val="22"/>
          <w:szCs w:val="22"/>
        </w:rPr>
        <w:t xml:space="preserve">Status: Infrastructure tool. n8n workflow automation running in Docker. Not the core Strix governance product. Potentially useful for automating governance workflows (e.g., approval routing, escalation notifications) but not a product asset itself.</w:t>
      </w:r>
    </w:p>
    <w:p>
      <w:pPr>
        <w:pStyle w:val="Heading2"/>
        <w:spacing w:after="200" w:before="360"/>
      </w:pPr>
      <w:r>
        <w:rPr>
          <w:b/>
          <w:bCs/>
        </w:rPr>
        <w:t xml:space="preserve">replyhero-backup</w:t>
      </w:r>
    </w:p>
    <w:p>
      <w:pPr>
        <w:spacing w:after="160"/>
      </w:pPr>
      <w:r>
        <w:rPr>
          <w:rFonts w:ascii="Arial" w:cs="Arial" w:eastAsia="Arial" w:hAnsi="Arial"/>
          <w:color w:val="334155"/>
          <w:sz w:val="22"/>
          <w:szCs w:val="22"/>
        </w:rPr>
        <w:t xml:space="preserve">Status: Legacy archive. 6 files, no git history, contains exposed credentials in .env.local. Recommendation: Delete immediately. Credentials should be rotated.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334155"/>
        <w:sz w:val="16"/>
        <w:szCs w:val="16"/>
      </w:rPr>
      <w:t xml:space="preserve">Velaris Group  |  Confidential  |  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pPr>
    <w:r>
      <w:rPr>
        <w:rFonts w:ascii="Arial" w:cs="Arial" w:eastAsia="Arial" w:hAnsi="Arial"/>
        <w:b/>
        <w:bCs/>
        <w:color w:val="0F172A"/>
        <w:sz w:val="16"/>
        <w:szCs w:val="16"/>
      </w:rPr>
      <w:t xml:space="preserve">STRIX  </w:t>
    </w:r>
    <w:r>
      <w:rPr>
        <w:rFonts w:ascii="Arial" w:cs="Arial" w:eastAsia="Arial" w:hAnsi="Arial"/>
        <w:color w:val="334155"/>
        <w:sz w:val="16"/>
        <w:szCs w:val="16"/>
      </w:rPr>
      <w:t xml:space="preserve">|  Execution Control for the AI 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0F172A"/>
      <w:sz w:val="36"/>
      <w:szCs w:val="36"/>
    </w:rPr>
  </w:style>
  <w:style w:type="paragraph" w:styleId="Heading2">
    <w:name w:val="Heading 2"/>
    <w:basedOn w:val="Normal"/>
    <w:next w:val="Normal"/>
    <w:qFormat/>
    <w:pPr>
      <w:spacing w:after="200" w:before="360"/>
      <w:outlineLvl w:val="1"/>
    </w:pPr>
    <w:rPr>
      <w:rFonts w:ascii="Arial" w:cs="Arial" w:eastAsia="Arial" w:hAnsi="Arial"/>
      <w:b/>
      <w:bCs/>
      <w:color w:val="0F172A"/>
      <w:sz w:val="28"/>
      <w:szCs w:val="28"/>
    </w:rPr>
  </w:style>
  <w:style w:type="paragraph" w:styleId="Heading3">
    <w:name w:val="Heading 3"/>
    <w:basedOn w:val="Normal"/>
    <w:next w:val="Normal"/>
    <w:qFormat/>
    <w:pPr>
      <w:spacing w:after="160" w:before="240"/>
      <w:outlineLvl w:val="2"/>
    </w:pPr>
    <w:rPr>
      <w:rFonts w:ascii="Arial" w:cs="Arial" w:eastAsia="Arial" w:hAnsi="Arial"/>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2026-03-19T19:26:42.352Z</dcterms:created>
  <dcterms:modified xsi:type="dcterms:W3CDTF">2026-03-19T19:26:42.353Z</dcterms:modified>
</cp:coreProperties>
</file>

<file path=docProps/custom.xml><?xml version="1.0" encoding="utf-8"?>
<Properties xmlns="http://schemas.openxmlformats.org/officeDocument/2006/custom-properties" xmlns:vt="http://schemas.openxmlformats.org/officeDocument/2006/docPropsVTypes"/>
</file>