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p>
    <w:p>
      <w:pPr>
        <w:spacing w:after="80" w:before="80"/>
      </w:pPr>
    </w:p>
    <w:p>
      <w:pPr>
        <w:spacing w:after="80" w:before="80"/>
      </w:pPr>
    </w:p>
    <w:p>
      <w:pPr>
        <w:spacing w:after="80" w:before="80"/>
      </w:pPr>
    </w:p>
    <w:p>
      <w:pPr>
        <w:spacing w:after="80" w:before="80"/>
      </w:pPr>
    </w:p>
    <w:p>
      <w:pPr>
        <w:spacing w:after="80" w:before="80"/>
      </w:pPr>
    </w:p>
    <w:p>
      <w:pPr>
        <w:spacing w:after="120"/>
        <w:jc w:val="center"/>
      </w:pPr>
      <w:r>
        <w:rPr>
          <w:rFonts w:ascii="Arial" w:cs="Arial" w:eastAsia="Arial" w:hAnsi="Arial"/>
          <w:b/>
          <w:bCs/>
          <w:color w:val="0F172A"/>
          <w:sz w:val="72"/>
          <w:szCs w:val="72"/>
        </w:rPr>
        <w:t xml:space="preserve">STRIX</w:t>
      </w:r>
    </w:p>
    <w:p>
      <w:pPr>
        <w:spacing w:after="80"/>
        <w:jc w:val="center"/>
      </w:pPr>
      <w:r>
        <w:rPr>
          <w:rFonts w:ascii="Arial" w:cs="Arial" w:eastAsia="Arial" w:hAnsi="Arial"/>
          <w:caps/>
          <w:color w:val="C9A24D"/>
          <w:sz w:val="28"/>
          <w:szCs w:val="28"/>
        </w:rPr>
        <w:t xml:space="preserve">EXECUTION INTELLIGENCE FOR SOFTWARE SYSTEMS</w:t>
      </w:r>
    </w:p>
    <w:p>
      <w:pPr>
        <w:pBdr>
          <w:bottom w:val="single" w:color="C9A24D" w:sz="4" w:space="8"/>
        </w:pBdr>
        <w:spacing w:after="400"/>
        <w:jc w:val="center"/>
      </w:pPr>
    </w:p>
    <w:p>
      <w:pPr>
        <w:spacing w:after="80" w:before="80"/>
      </w:pPr>
    </w:p>
    <w:p>
      <w:pPr>
        <w:spacing w:after="80" w:before="80"/>
      </w:pPr>
    </w:p>
    <w:p>
      <w:pPr>
        <w:spacing w:after="160"/>
        <w:jc w:val="center"/>
      </w:pPr>
      <w:r>
        <w:rPr>
          <w:rFonts w:ascii="Arial" w:cs="Arial" w:eastAsia="Arial" w:hAnsi="Arial"/>
          <w:color w:val="334155"/>
          <w:sz w:val="26"/>
          <w:szCs w:val="26"/>
        </w:rPr>
        <w:t xml:space="preserve">Complete Architecture &amp; Strategic Analysis</w:t>
      </w:r>
    </w:p>
    <w:p>
      <w:pPr>
        <w:spacing w:after="80"/>
        <w:jc w:val="center"/>
      </w:pPr>
      <w:r>
        <w:rPr>
          <w:rFonts w:ascii="Arial" w:cs="Arial" w:eastAsia="Arial" w:hAnsi="Arial"/>
          <w:i/>
          <w:iCs/>
          <w:color w:val="334155"/>
          <w:sz w:val="22"/>
          <w:szCs w:val="22"/>
        </w:rPr>
        <w:t xml:space="preserve">Derived from production code, Console engine source, and live deployment.</w:t>
      </w:r>
    </w:p>
    <w:p>
      <w:pPr>
        <w:spacing w:after="80" w:before="80"/>
      </w:pPr>
    </w:p>
    <w:p>
      <w:pPr>
        <w:spacing w:after="80" w:before="80"/>
      </w:pPr>
    </w:p>
    <w:p>
      <w:pPr>
        <w:spacing w:after="80" w:before="80"/>
      </w:pPr>
    </w:p>
    <w:p>
      <w:pPr>
        <w:spacing w:after="80" w:before="80"/>
      </w:pPr>
    </w:p>
    <w:p>
      <w:pPr>
        <w:spacing w:after="80"/>
        <w:jc w:val="center"/>
      </w:pPr>
      <w:r>
        <w:rPr>
          <w:rFonts w:ascii="Arial" w:cs="Arial" w:eastAsia="Arial" w:hAnsi="Arial"/>
          <w:b/>
          <w:bCs/>
          <w:color w:val="0F172A"/>
          <w:sz w:val="22"/>
          <w:szCs w:val="22"/>
        </w:rPr>
        <w:t xml:space="preserve">Velaris Group</w:t>
      </w:r>
    </w:p>
    <w:p>
      <w:pPr>
        <w:jc w:val="center"/>
      </w:pPr>
      <w:r>
        <w:rPr>
          <w:rFonts w:ascii="Arial" w:cs="Arial" w:eastAsia="Arial" w:hAnsi="Arial"/>
          <w:color w:val="334155"/>
          <w:sz w:val="20"/>
          <w:szCs w:val="20"/>
        </w:rPr>
        <w:t xml:space="preserve">March 2026  |  Confidential</w:t>
      </w:r>
    </w:p>
    <w:p>
      <w:pPr>
        <w:sectPr>
          <w:pgSz w:w="12240" w:h="15840" w:orient="portrait"/>
          <w:pgMar w:top="1440" w:right="1440" w:bottom="1440" w:left="1440" w:header="708" w:footer="708" w:gutter="0"/>
          <w:pgNumType/>
          <w:docGrid w:linePitch="360"/>
        </w:sectPr>
      </w:pPr>
    </w:p>
    <w:p>
      <w:pPr>
        <w:pStyle w:val="Heading1"/>
        <w:spacing w:after="200" w:before="360"/>
      </w:pPr>
      <w:r>
        <w:rPr>
          <w:b/>
          <w:bCs/>
        </w:rPr>
        <w:t xml:space="preserve">PHASE 1: THE FULL SYSTEM</w:t>
      </w:r>
    </w:p>
    <w:p>
      <w:pPr>
        <w:pBdr>
          <w:left w:val="single" w:color="C9A24D" w:sz="6" w:space="8"/>
        </w:pBdr>
        <w:spacing w:after="200" w:before="200"/>
        <w:ind w:left="720" w:right="720"/>
      </w:pPr>
      <w:r>
        <w:rPr>
          <w:rFonts w:ascii="Arial" w:cs="Arial" w:eastAsia="Arial" w:hAnsi="Arial"/>
          <w:i/>
          <w:iCs/>
          <w:color w:val="0F172A"/>
          <w:sz w:val="24"/>
          <w:szCs w:val="24"/>
        </w:rPr>
        <w:t xml:space="preserve">Strix is two things: a governance control plane (the Console) and an embeddable kernel (the SDK integration). The Academy platform demonstrates the kernel. The Console IS the product. This section documents both.</w:t>
      </w:r>
    </w:p>
    <w:p>
      <w:pPr>
        <w:pStyle w:val="Heading2"/>
        <w:spacing w:after="200" w:before="360"/>
      </w:pPr>
      <w:r>
        <w:rPr>
          <w:b/>
          <w:bCs/>
        </w:rPr>
        <w:t xml:space="preserve">1A. The Strix Console — The Product</w:t>
      </w:r>
    </w:p>
    <w:p>
      <w:pPr>
        <w:spacing w:after="160"/>
      </w:pPr>
      <w:r>
        <w:rPr>
          <w:rFonts w:ascii="Arial" w:cs="Arial" w:eastAsia="Arial" w:hAnsi="Arial"/>
          <w:color w:val="334155"/>
          <w:sz w:val="22"/>
          <w:szCs w:val="22"/>
        </w:rPr>
        <w:t xml:space="preserve">The Strix Console (apps/strix-console) is a Next.js 16 application deployed at velarisgroup.app. It is not a marketing site with a demo backend. It is a governance control plane that implements a frozen decision state machine, multi-party approval workflows, HMAC-signed execution tokens, scope-bound capability grants, breakglass emergency overrides, and an immutable evidence trail. It is the product.</w:t>
      </w:r>
    </w:p>
    <w:p>
      <w:pPr>
        <w:pStyle w:val="Heading3"/>
        <w:spacing w:after="200" w:before="360"/>
      </w:pPr>
      <w:r>
        <w:rPr>
          <w:b/>
          <w:bCs/>
        </w:rPr>
        <w:t xml:space="preserve">The Decision State Machine</w:t>
      </w:r>
    </w:p>
    <w:p>
      <w:pPr>
        <w:spacing w:after="160"/>
      </w:pPr>
      <w:r>
        <w:rPr>
          <w:rFonts w:ascii="Arial" w:cs="Arial" w:eastAsia="Arial" w:hAnsi="Arial"/>
          <w:color w:val="334155"/>
          <w:sz w:val="22"/>
          <w:szCs w:val="22"/>
        </w:rPr>
        <w:t xml:space="preserve">Every governed action in Strix follows a strict lifecycle implemented in DecisionService (1,244 lines). The state machine is frozen — transitions are one-way and structurally enforced:</w:t>
      </w:r>
    </w:p>
    <w:p>
      <w:pPr>
        <w:shd w:fill="F1F5F9" w:val="clear"/>
        <w:spacing w:after="200" w:before="200"/>
        <w:ind w:left="480" w:right="480"/>
      </w:pPr>
      <w:r>
        <w:rPr>
          <w:rFonts w:ascii="Arial" w:cs="Arial" w:eastAsia="Arial" w:hAnsi="Arial"/>
          <w:color w:val="0F172A"/>
          <w:sz w:val="22"/>
          <w:szCs w:val="22"/>
        </w:rPr>
        <w:t xml:space="preserve">DRAFT → PROPOSED → EVALUATED → APPROVED → EXECUTING → EXECUTED
                                                    │
                                          BREAKGLASS (CRITICAL only)
                                                    │
                                               EXECUTING → EXECUTED
Branch states: REJECTED, FAILED, EXPIRED (all terminal)</w:t>
      </w:r>
    </w:p>
    <w:p>
      <w:pPr>
        <w:pStyle w:val="ListParagraph"/>
        <w:numPr>
          <w:ilvl w:val="0"/>
          <w:numId w:val="2"/>
        </w:numPr>
        <w:spacing w:after="120"/>
      </w:pPr>
      <w:r>
        <w:rPr>
          <w:rFonts w:ascii="Arial" w:cs="Arial" w:eastAsia="Arial" w:hAnsi="Arial"/>
          <w:b/>
          <w:bCs/>
          <w:color w:val="0F172A"/>
          <w:sz w:val="22"/>
          <w:szCs w:val="22"/>
        </w:rPr>
        <w:t xml:space="preserve">DRAFT → PROPOSED. </w:t>
      </w:r>
      <w:r>
        <w:rPr>
          <w:rFonts w:ascii="Arial" w:cs="Arial" w:eastAsia="Arial" w:hAnsi="Arial"/>
          <w:color w:val="334155"/>
          <w:sz w:val="22"/>
          <w:szCs w:val="22"/>
        </w:rPr>
        <w:t xml:space="preserve">The decision is submitted for evaluation. No policy evaluation yet.</w:t>
      </w:r>
    </w:p>
    <w:p>
      <w:pPr>
        <w:pStyle w:val="ListParagraph"/>
        <w:numPr>
          <w:ilvl w:val="0"/>
          <w:numId w:val="2"/>
        </w:numPr>
        <w:spacing w:after="120"/>
      </w:pPr>
      <w:r>
        <w:rPr>
          <w:rFonts w:ascii="Arial" w:cs="Arial" w:eastAsia="Arial" w:hAnsi="Arial"/>
          <w:b/>
          <w:bCs/>
          <w:color w:val="0F172A"/>
          <w:sz w:val="22"/>
          <w:szCs w:val="22"/>
        </w:rPr>
        <w:t xml:space="preserve">PROPOSED → EVALUATED. </w:t>
      </w:r>
      <w:r>
        <w:rPr>
          <w:rFonts w:ascii="Arial" w:cs="Arial" w:eastAsia="Arial" w:hAnsi="Arial"/>
          <w:color w:val="334155"/>
          <w:sz w:val="22"/>
          <w:szCs w:val="22"/>
        </w:rPr>
        <w:t xml:space="preserve">The PolicyEngine runs. A policy snapshot is captured and frozen for the entire decision lifecycle. The snapshot is immutable — attempting to re-evaluate throws PolicyImmutableError. Risk level (LOW/MEDIUM/HIGH/CRITICAL) is classified. Approval requirements are set.</w:t>
      </w:r>
    </w:p>
    <w:p>
      <w:pPr>
        <w:pStyle w:val="ListParagraph"/>
        <w:numPr>
          <w:ilvl w:val="0"/>
          <w:numId w:val="2"/>
        </w:numPr>
        <w:spacing w:after="120"/>
      </w:pPr>
      <w:r>
        <w:rPr>
          <w:rFonts w:ascii="Arial" w:cs="Arial" w:eastAsia="Arial" w:hAnsi="Arial"/>
          <w:b/>
          <w:bCs/>
          <w:color w:val="0F172A"/>
          <w:sz w:val="22"/>
          <w:szCs w:val="22"/>
        </w:rPr>
        <w:t xml:space="preserve">EVALUATED → APPROVED. </w:t>
      </w:r>
      <w:r>
        <w:rPr>
          <w:rFonts w:ascii="Arial" w:cs="Arial" w:eastAsia="Arial" w:hAnsi="Arial"/>
          <w:color w:val="334155"/>
          <w:sz w:val="22"/>
          <w:szCs w:val="22"/>
        </w:rPr>
        <w:t xml:space="preserve">Approvals are collected until the quorum is met. Self-approval is forbidden for HIGH/CRITICAL. Each approval records actor, method (manual/auto/breakglass), comment, and timestamp. Approval TTL is enforced with a rolling window.</w:t>
      </w:r>
    </w:p>
    <w:p>
      <w:pPr>
        <w:pStyle w:val="ListParagraph"/>
        <w:numPr>
          <w:ilvl w:val="0"/>
          <w:numId w:val="2"/>
        </w:numPr>
        <w:spacing w:after="120"/>
      </w:pPr>
      <w:r>
        <w:rPr>
          <w:rFonts w:ascii="Arial" w:cs="Arial" w:eastAsia="Arial" w:hAnsi="Arial"/>
          <w:b/>
          <w:bCs/>
          <w:color w:val="0F172A"/>
          <w:sz w:val="22"/>
          <w:szCs w:val="22"/>
        </w:rPr>
        <w:t xml:space="preserve">APPROVED → EXECUTING. </w:t>
      </w:r>
      <w:r>
        <w:rPr>
          <w:rFonts w:ascii="Arial" w:cs="Arial" w:eastAsia="Arial" w:hAnsi="Arial"/>
          <w:color w:val="334155"/>
          <w:sz w:val="22"/>
          <w:szCs w:val="22"/>
        </w:rPr>
        <w:t xml:space="preserve">An HMAC-signed execution token is issued. The token is single-use, scope-bound, and time-limited (5-minute TTL). Fresh quorum is verified at this moment — if approvals have expired under the rolling TTL, execution is blocked with ApprovalsExpiredError.</w:t>
      </w:r>
    </w:p>
    <w:p>
      <w:pPr>
        <w:pStyle w:val="ListParagraph"/>
        <w:numPr>
          <w:ilvl w:val="0"/>
          <w:numId w:val="2"/>
        </w:numPr>
        <w:spacing w:after="120"/>
      </w:pPr>
      <w:r>
        <w:rPr>
          <w:rFonts w:ascii="Arial" w:cs="Arial" w:eastAsia="Arial" w:hAnsi="Arial"/>
          <w:b/>
          <w:bCs/>
          <w:color w:val="0F172A"/>
          <w:sz w:val="22"/>
          <w:szCs w:val="22"/>
        </w:rPr>
        <w:t xml:space="preserve">EXECUTING → EXECUTED or FAILED. </w:t>
      </w:r>
      <w:r>
        <w:rPr>
          <w:rFonts w:ascii="Arial" w:cs="Arial" w:eastAsia="Arial" w:hAnsi="Arial"/>
          <w:color w:val="334155"/>
          <w:sz w:val="22"/>
          <w:szCs w:val="22"/>
        </w:rPr>
        <w:t xml:space="preserve">The caller submits a receipt with success/failure and optional result data. An evidence bundle is created: correlationId, policyVersion, riskLevel, approvals snapshot, artifactHashes, result, and retentionClass.</w:t>
      </w:r>
    </w:p>
    <w:p>
      <w:pPr>
        <w:pStyle w:val="Heading3"/>
        <w:spacing w:after="200" w:before="360"/>
      </w:pPr>
      <w:r>
        <w:rPr>
          <w:b/>
          <w:bCs/>
        </w:rPr>
        <w:t xml:space="preserve">The Policy Engine</w:t>
      </w:r>
    </w:p>
    <w:p>
      <w:pPr>
        <w:spacing w:after="160"/>
      </w:pPr>
      <w:r>
        <w:rPr>
          <w:rFonts w:ascii="Arial" w:cs="Arial" w:eastAsia="Arial" w:hAnsi="Arial"/>
          <w:color w:val="334155"/>
          <w:sz w:val="22"/>
          <w:szCs w:val="22"/>
        </w:rPr>
        <w:t xml:space="preserve">PolicyEngine (336 lines) performs deterministic risk classification. It is content-addressable — getVersion() returns a SHA-256 hash of the engine’s rules, so policy snapshots are traceable to exact engine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Risk Level</w:t>
            </w:r>
          </w:p>
        </w:tc>
        <w:tc>
          <w:tcPr>
            <w:tcW w:type="dxa" w:w="1872"/>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Approvals Required</w:t>
            </w:r>
          </w:p>
        </w:tc>
        <w:tc>
          <w:tcPr>
            <w:tcW w:type="dxa" w:w="1872"/>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Self-Approval</w:t>
            </w:r>
          </w:p>
        </w:tc>
        <w:tc>
          <w:tcPr>
            <w:tcW w:type="dxa" w:w="1872"/>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Breakglass Eligible</w:t>
            </w:r>
          </w:p>
        </w:tc>
        <w:tc>
          <w:tcPr>
            <w:tcW w:type="dxa" w:w="1872"/>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TTL</w:t>
            </w:r>
          </w:p>
        </w:tc>
      </w:tr>
      <w:tr>
        <w:tc>
          <w:tcPr>
            <w:tcW w:type="dxa" w:w="1872"/>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CRITICAL</w:t>
            </w:r>
          </w:p>
        </w:tc>
        <w:tc>
          <w:tcPr>
            <w:tcW w:type="dxa" w:w="1872"/>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3</w:t>
            </w:r>
          </w:p>
        </w:tc>
        <w:tc>
          <w:tcPr>
            <w:tcW w:type="dxa" w:w="1872"/>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Forbidden</w:t>
            </w:r>
          </w:p>
        </w:tc>
        <w:tc>
          <w:tcPr>
            <w:tcW w:type="dxa" w:w="1872"/>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Yes</w:t>
            </w:r>
          </w:p>
        </w:tc>
        <w:tc>
          <w:tcPr>
            <w:tcW w:type="dxa" w:w="1872"/>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24 hours</w:t>
            </w:r>
          </w:p>
        </w:tc>
      </w:tr>
      <w:tr>
        <w:tc>
          <w:tcPr>
            <w:tcW w:type="dxa" w:w="1872"/>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HIGH</w:t>
            </w:r>
          </w:p>
        </w:tc>
        <w:tc>
          <w:tcPr>
            <w:tcW w:type="dxa" w:w="1872"/>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2</w:t>
            </w:r>
          </w:p>
        </w:tc>
        <w:tc>
          <w:tcPr>
            <w:tcW w:type="dxa" w:w="1872"/>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Forbidden</w:t>
            </w:r>
          </w:p>
        </w:tc>
        <w:tc>
          <w:tcPr>
            <w:tcW w:type="dxa" w:w="1872"/>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No</w:t>
            </w:r>
          </w:p>
        </w:tc>
        <w:tc>
          <w:tcPr>
            <w:tcW w:type="dxa" w:w="1872"/>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24 hours</w:t>
            </w:r>
          </w:p>
        </w:tc>
      </w:tr>
      <w:tr>
        <w:tc>
          <w:tcPr>
            <w:tcW w:type="dxa" w:w="1872"/>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MEDIUM</w:t>
            </w:r>
          </w:p>
        </w:tc>
        <w:tc>
          <w:tcPr>
            <w:tcW w:type="dxa" w:w="1872"/>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0 (auto-execute)</w:t>
            </w:r>
          </w:p>
        </w:tc>
        <w:tc>
          <w:tcPr>
            <w:tcW w:type="dxa" w:w="1872"/>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Allowed</w:t>
            </w:r>
          </w:p>
        </w:tc>
        <w:tc>
          <w:tcPr>
            <w:tcW w:type="dxa" w:w="1872"/>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No</w:t>
            </w:r>
          </w:p>
        </w:tc>
        <w:tc>
          <w:tcPr>
            <w:tcW w:type="dxa" w:w="1872"/>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24 hours</w:t>
            </w:r>
          </w:p>
        </w:tc>
      </w:tr>
      <w:tr>
        <w:tc>
          <w:tcPr>
            <w:tcW w:type="dxa" w:w="1872"/>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LOW</w:t>
            </w:r>
          </w:p>
        </w:tc>
        <w:tc>
          <w:tcPr>
            <w:tcW w:type="dxa" w:w="1872"/>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0 (auto-execute)</w:t>
            </w:r>
          </w:p>
        </w:tc>
        <w:tc>
          <w:tcPr>
            <w:tcW w:type="dxa" w:w="1872"/>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Allowed</w:t>
            </w:r>
          </w:p>
        </w:tc>
        <w:tc>
          <w:tcPr>
            <w:tcW w:type="dxa" w:w="1872"/>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No</w:t>
            </w:r>
          </w:p>
        </w:tc>
        <w:tc>
          <w:tcPr>
            <w:tcW w:type="dxa" w:w="1872"/>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24 hours</w:t>
            </w:r>
          </w:p>
        </w:tc>
      </w:tr>
    </w:tbl>
    <w:p>
      <w:pPr>
        <w:spacing w:after="80" w:before="80"/>
      </w:pPr>
    </w:p>
    <w:p>
      <w:pPr>
        <w:spacing w:after="160"/>
      </w:pPr>
      <w:r>
        <w:rPr>
          <w:rFonts w:ascii="Arial" w:cs="Arial" w:eastAsia="Arial" w:hAnsi="Arial"/>
          <w:color w:val="334155"/>
          <w:sz w:val="22"/>
          <w:szCs w:val="22"/>
        </w:rPr>
        <w:t xml:space="preserve">Action classification uses keyword matching: “destroy-production” or “delete-database” → CRITICAL. Keywords “delete”, “destroy”, “drop”, “terminate” → HIGH. Everything else → MEDIUM. Environment escalation applies for production environments. The engine never returns DENY directly — denial happens through explicit rules in the service layer.</w:t>
      </w:r>
    </w:p>
    <w:p>
      <w:pPr>
        <w:pStyle w:val="Heading3"/>
        <w:spacing w:after="200" w:before="360"/>
      </w:pPr>
      <w:r>
        <w:rPr>
          <w:b/>
          <w:bCs/>
        </w:rPr>
        <w:t xml:space="preserve">Execution Tokens</w:t>
      </w:r>
    </w:p>
    <w:p>
      <w:pPr>
        <w:spacing w:after="160"/>
      </w:pPr>
      <w:r>
        <w:rPr>
          <w:rFonts w:ascii="Arial" w:cs="Arial" w:eastAsia="Arial" w:hAnsi="Arial"/>
          <w:color w:val="334155"/>
          <w:sz w:val="22"/>
          <w:szCs w:val="22"/>
        </w:rPr>
        <w:t xml:space="preserve">ExecutionTokenService (569 lines) implements HMAC-SHA256 signed, single-use authorization tokens. Format: stx1.&lt;jti&gt;.&lt;signature&gt;. The signature binds the token to a specific tenantId, decisionId, actionType, environment, and expiresAt — it cannot be used for any other action.</w:t>
      </w:r>
    </w:p>
    <w:p>
      <w:pPr>
        <w:spacing w:after="160"/>
      </w:pPr>
      <w:r>
        <w:rPr>
          <w:rFonts w:ascii="Arial" w:cs="Arial" w:eastAsia="Arial" w:hAnsi="Arial"/>
          <w:b/>
          <w:bCs/>
          <w:color w:val="0F172A"/>
          <w:sz w:val="22"/>
          <w:szCs w:val="22"/>
        </w:rPr>
        <w:t xml:space="preserve">Issuance: </w:t>
      </w:r>
      <w:r>
        <w:rPr>
          <w:rFonts w:ascii="Arial" w:cs="Arial" w:eastAsia="Arial" w:hAnsi="Arial"/>
          <w:color w:val="334155"/>
          <w:sz w:val="22"/>
          <w:szCs w:val="22"/>
        </w:rPr>
        <w:t xml:space="preserve">Only from APPROVED or BREAKGLASS state. Default TTL: 5 minutes (STRIX_DECISION_TOKEN_TTL_SECONDS). JTI uniqueness prevents replay.</w:t>
      </w:r>
    </w:p>
    <w:p>
      <w:pPr>
        <w:spacing w:after="160"/>
      </w:pPr>
      <w:r>
        <w:rPr>
          <w:rFonts w:ascii="Arial" w:cs="Arial" w:eastAsia="Arial" w:hAnsi="Arial"/>
          <w:b/>
          <w:bCs/>
          <w:color w:val="0F172A"/>
          <w:sz w:val="22"/>
          <w:szCs w:val="22"/>
        </w:rPr>
        <w:t xml:space="preserve">Redemption: </w:t>
      </w:r>
      <w:r>
        <w:rPr>
          <w:rFonts w:ascii="Arial" w:cs="Arial" w:eastAsia="Arial" w:hAnsi="Arial"/>
          <w:color w:val="334155"/>
          <w:sz w:val="22"/>
          <w:szCs w:val="22"/>
        </w:rPr>
        <w:t xml:space="preserve">Atomic single-use via UPDATE WHERE jti=? AND status=ACTIVE AND redeemedAt IS NULL. If count=0 after update, someone else won the race → 409 REPLAY.</w:t>
      </w:r>
    </w:p>
    <w:p>
      <w:pPr>
        <w:spacing w:after="160"/>
      </w:pPr>
      <w:r>
        <w:rPr>
          <w:rFonts w:ascii="Arial" w:cs="Arial" w:eastAsia="Arial" w:hAnsi="Arial"/>
          <w:b/>
          <w:bCs/>
          <w:color w:val="0F172A"/>
          <w:sz w:val="22"/>
          <w:szCs w:val="22"/>
        </w:rPr>
        <w:t xml:space="preserve">Verification: </w:t>
      </w:r>
      <w:r>
        <w:rPr>
          <w:rFonts w:ascii="Arial" w:cs="Arial" w:eastAsia="Arial" w:hAnsi="Arial"/>
          <w:color w:val="334155"/>
          <w:sz w:val="22"/>
          <w:szCs w:val="22"/>
        </w:rPr>
        <w:t xml:space="preserve">Timing-safe HMAC comparison prevents timing attacks. Scope verification ensures the token matches the exact action being performed.</w:t>
      </w:r>
    </w:p>
    <w:p>
      <w:pPr>
        <w:spacing w:after="160"/>
      </w:pPr>
      <w:r>
        <w:rPr>
          <w:rFonts w:ascii="Arial" w:cs="Arial" w:eastAsia="Arial" w:hAnsi="Arial"/>
          <w:b/>
          <w:bCs/>
          <w:color w:val="0F172A"/>
          <w:sz w:val="22"/>
          <w:szCs w:val="22"/>
        </w:rPr>
        <w:t xml:space="preserve">Revocation: </w:t>
      </w:r>
      <w:r>
        <w:rPr>
          <w:rFonts w:ascii="Arial" w:cs="Arial" w:eastAsia="Arial" w:hAnsi="Arial"/>
          <w:color w:val="334155"/>
          <w:sz w:val="22"/>
          <w:szCs w:val="22"/>
        </w:rPr>
        <w:t xml:space="preserve">Idempotent. Cannot revoke already-redeemed tokens (409). REDEEMED → cannot revoke (separation of execute and revoke).</w:t>
      </w:r>
    </w:p>
    <w:p>
      <w:pPr>
        <w:spacing w:after="160"/>
      </w:pPr>
      <w:r>
        <w:rPr>
          <w:rFonts w:ascii="Arial" w:cs="Arial" w:eastAsia="Arial" w:hAnsi="Arial"/>
          <w:color w:val="334155"/>
          <w:sz w:val="22"/>
          <w:szCs w:val="22"/>
        </w:rPr>
        <w:t xml:space="preserve">Token denial reasons are captured as structured data: NOT_FOUND (404), EXPIRED (410), REPLAY (409), BAD_SIGNATURE (400), SCOPE_MISMATCH (403). Every denial produces an audit event.</w:t>
      </w:r>
    </w:p>
    <w:p>
      <w:pPr>
        <w:pStyle w:val="Heading3"/>
        <w:spacing w:after="200" w:before="360"/>
      </w:pPr>
      <w:r>
        <w:rPr>
          <w:b/>
          <w:bCs/>
        </w:rPr>
        <w:t xml:space="preserve">Capability Grants</w:t>
      </w:r>
    </w:p>
    <w:p>
      <w:pPr>
        <w:spacing w:after="160"/>
      </w:pPr>
      <w:r>
        <w:rPr>
          <w:rFonts w:ascii="Arial" w:cs="Arial" w:eastAsia="Arial" w:hAnsi="Arial"/>
          <w:color w:val="334155"/>
          <w:sz w:val="22"/>
          <w:szCs w:val="22"/>
        </w:rPr>
        <w:t xml:space="preserve">The CapabilityGrant model binds a principal (OPERATOR, AGENT, or SERVICE) to a specific action capability, scoped by environment and arbitrary JSON constraints. Every grant requires a grantDecisionId — you cannot grant a capability without a governance decision authorizing it.</w:t>
      </w:r>
    </w:p>
    <w:p>
      <w:pPr>
        <w:spacing w:after="160"/>
      </w:pPr>
      <w:r>
        <w:rPr>
          <w:rFonts w:ascii="Arial" w:cs="Arial" w:eastAsia="Arial" w:hAnsi="Arial"/>
          <w:b/>
          <w:bCs/>
          <w:color w:val="0F172A"/>
          <w:sz w:val="22"/>
          <w:szCs w:val="22"/>
        </w:rPr>
        <w:t xml:space="preserve">Scope enforcement: </w:t>
      </w:r>
      <w:r>
        <w:rPr>
          <w:rFonts w:ascii="Arial" w:cs="Arial" w:eastAsia="Arial" w:hAnsi="Arial"/>
          <w:color w:val="334155"/>
          <w:sz w:val="22"/>
          <w:szCs w:val="22"/>
        </w:rPr>
        <w:t xml:space="preserve">Exact-match on tenantId, principalType, principalId, capability, environment, and scopeHash (SHA-256 of scopeJson). No wildcards. No implicit escalation.</w:t>
      </w:r>
    </w:p>
    <w:p>
      <w:pPr>
        <w:spacing w:after="160"/>
      </w:pPr>
      <w:r>
        <w:rPr>
          <w:rFonts w:ascii="Arial" w:cs="Arial" w:eastAsia="Arial" w:hAnsi="Arial"/>
          <w:b/>
          <w:bCs/>
          <w:color w:val="0F172A"/>
          <w:sz w:val="22"/>
          <w:szCs w:val="22"/>
        </w:rPr>
        <w:t xml:space="preserve">Decision linkage: </w:t>
      </w:r>
      <w:r>
        <w:rPr>
          <w:rFonts w:ascii="Arial" w:cs="Arial" w:eastAsia="Arial" w:hAnsi="Arial"/>
          <w:color w:val="334155"/>
          <w:sz w:val="22"/>
          <w:szCs w:val="22"/>
        </w:rPr>
        <w:t xml:space="preserve">Both grantDecisionId and grantTokenJti are stored. The capability grant is traceable to the exact decision and the exact token redemption that authorized it.</w:t>
      </w:r>
    </w:p>
    <w:p>
      <w:pPr>
        <w:spacing w:after="160"/>
      </w:pPr>
      <w:r>
        <w:rPr>
          <w:rFonts w:ascii="Arial" w:cs="Arial" w:eastAsia="Arial" w:hAnsi="Arial"/>
          <w:b/>
          <w:bCs/>
          <w:color w:val="0F172A"/>
          <w:sz w:val="22"/>
          <w:szCs w:val="22"/>
        </w:rPr>
        <w:t xml:space="preserve">Revocation linkage: </w:t>
      </w:r>
      <w:r>
        <w:rPr>
          <w:rFonts w:ascii="Arial" w:cs="Arial" w:eastAsia="Arial" w:hAnsi="Arial"/>
          <w:color w:val="334155"/>
          <w:sz w:val="22"/>
          <w:szCs w:val="22"/>
        </w:rPr>
        <w:t xml:space="preserve">Soft delete with revokeDecisionId, revokeTokenJti, revokedBy, revokedAt. The audit trail is complete in both directions.</w:t>
      </w:r>
    </w:p>
    <w:p>
      <w:pPr>
        <w:spacing w:after="160"/>
      </w:pPr>
      <w:r>
        <w:rPr>
          <w:rFonts w:ascii="Arial" w:cs="Arial" w:eastAsia="Arial" w:hAnsi="Arial"/>
          <w:b/>
          <w:bCs/>
          <w:color w:val="0F172A"/>
          <w:sz w:val="22"/>
          <w:szCs w:val="22"/>
        </w:rPr>
        <w:t xml:space="preserve">Unique constraint: </w:t>
      </w:r>
      <w:r>
        <w:rPr>
          <w:rFonts w:ascii="Arial" w:cs="Arial" w:eastAsia="Arial" w:hAnsi="Arial"/>
          <w:color w:val="334155"/>
          <w:sz w:val="22"/>
          <w:szCs w:val="22"/>
        </w:rPr>
        <w:t xml:space="preserve">Only ONE active grant per (tenant, principal, capability, environment, scopeHash). Idempotent grant returns existing if found.</w:t>
      </w:r>
    </w:p>
    <w:p>
      <w:pPr>
        <w:pStyle w:val="Heading3"/>
        <w:spacing w:after="200" w:before="360"/>
      </w:pPr>
      <w:r>
        <w:rPr>
          <w:b/>
          <w:bCs/>
        </w:rPr>
        <w:t xml:space="preserve">Breakglass Emergency Override</w:t>
      </w:r>
    </w:p>
    <w:p>
      <w:pPr>
        <w:spacing w:after="160"/>
      </w:pPr>
      <w:r>
        <w:rPr>
          <w:rFonts w:ascii="Arial" w:cs="Arial" w:eastAsia="Arial" w:hAnsi="Arial"/>
          <w:color w:val="334155"/>
          <w:sz w:val="22"/>
          <w:szCs w:val="22"/>
        </w:rPr>
        <w:t xml:space="preserve">Breakglass (CP-E-003) allows CRITICAL-risk decisions to execute without full approval quorum. It is not a skip button — it is an audited emergency path with hard constraints:</w:t>
      </w:r>
    </w:p>
    <w:p>
      <w:pPr>
        <w:pStyle w:val="ListParagraph"/>
        <w:numPr>
          <w:ilvl w:val="0"/>
          <w:numId w:val="3"/>
        </w:numPr>
        <w:spacing w:after="120"/>
      </w:pPr>
      <w:r>
        <w:rPr>
          <w:rFonts w:ascii="Arial" w:cs="Arial" w:eastAsia="Arial" w:hAnsi="Arial"/>
          <w:b/>
          <w:bCs/>
          <w:color w:val="0F172A"/>
          <w:sz w:val="22"/>
          <w:szCs w:val="22"/>
        </w:rPr>
        <w:t xml:space="preserve">Eligibility: </w:t>
      </w:r>
      <w:r>
        <w:rPr>
          <w:rFonts w:ascii="Arial" w:cs="Arial" w:eastAsia="Arial" w:hAnsi="Arial"/>
          <w:color w:val="334155"/>
          <w:sz w:val="22"/>
          <w:szCs w:val="22"/>
        </w:rPr>
        <w:t xml:space="preserve">CRITICAL risk only (verified against policy snapshot’s breakglassEligible constraint).</w:t>
      </w:r>
    </w:p>
    <w:p>
      <w:pPr>
        <w:pStyle w:val="ListParagraph"/>
        <w:numPr>
          <w:ilvl w:val="0"/>
          <w:numId w:val="3"/>
        </w:numPr>
        <w:spacing w:after="120"/>
      </w:pPr>
      <w:r>
        <w:rPr>
          <w:rFonts w:ascii="Arial" w:cs="Arial" w:eastAsia="Arial" w:hAnsi="Arial"/>
          <w:b/>
          <w:bCs/>
          <w:color w:val="0F172A"/>
          <w:sz w:val="22"/>
          <w:szCs w:val="22"/>
        </w:rPr>
        <w:t xml:space="preserve">Separation of duty: </w:t>
      </w:r>
      <w:r>
        <w:rPr>
          <w:rFonts w:ascii="Arial" w:cs="Arial" w:eastAsia="Arial" w:hAnsi="Arial"/>
          <w:color w:val="334155"/>
          <w:sz w:val="22"/>
          <w:szCs w:val="22"/>
        </w:rPr>
        <w:t xml:space="preserve">The decision proposer CANNOT initiate breakglass. A different principal must do it.</w:t>
      </w:r>
    </w:p>
    <w:p>
      <w:pPr>
        <w:pStyle w:val="ListParagraph"/>
        <w:numPr>
          <w:ilvl w:val="0"/>
          <w:numId w:val="3"/>
        </w:numPr>
        <w:spacing w:after="120"/>
      </w:pPr>
      <w:r>
        <w:rPr>
          <w:rFonts w:ascii="Arial" w:cs="Arial" w:eastAsia="Arial" w:hAnsi="Arial"/>
          <w:b/>
          <w:bCs/>
          <w:color w:val="0F172A"/>
          <w:sz w:val="22"/>
          <w:szCs w:val="22"/>
        </w:rPr>
        <w:t xml:space="preserve">Justification required: </w:t>
      </w:r>
      <w:r>
        <w:rPr>
          <w:rFonts w:ascii="Arial" w:cs="Arial" w:eastAsia="Arial" w:hAnsi="Arial"/>
          <w:color w:val="334155"/>
          <w:sz w:val="22"/>
          <w:szCs w:val="22"/>
        </w:rPr>
        <w:t xml:space="preserve">32–2048 characters, validated server-side and enforced by DB CHECK constraint. No empty justifications.</w:t>
      </w:r>
    </w:p>
    <w:p>
      <w:pPr>
        <w:pStyle w:val="ListParagraph"/>
        <w:numPr>
          <w:ilvl w:val="0"/>
          <w:numId w:val="3"/>
        </w:numPr>
        <w:spacing w:after="120"/>
      </w:pPr>
      <w:r>
        <w:rPr>
          <w:rFonts w:ascii="Arial" w:cs="Arial" w:eastAsia="Arial" w:hAnsi="Arial"/>
          <w:b/>
          <w:bCs/>
          <w:color w:val="0F172A"/>
          <w:sz w:val="22"/>
          <w:szCs w:val="22"/>
        </w:rPr>
        <w:t xml:space="preserve">Quorum still required at execute time: </w:t>
      </w:r>
      <w:r>
        <w:rPr>
          <w:rFonts w:ascii="Arial" w:cs="Arial" w:eastAsia="Arial" w:hAnsi="Arial"/>
          <w:color w:val="334155"/>
          <w:sz w:val="22"/>
          <w:szCs w:val="22"/>
        </w:rPr>
        <w:t xml:space="preserve">Breakglass transitions the decision to BREAKGLASS state, but fresh approvals are still required before execution. The emergency is the state transition, not the approval bypass.</w:t>
      </w:r>
    </w:p>
    <w:p>
      <w:pPr>
        <w:pStyle w:val="ListParagraph"/>
        <w:numPr>
          <w:ilvl w:val="0"/>
          <w:numId w:val="3"/>
        </w:numPr>
        <w:spacing w:after="120"/>
      </w:pPr>
      <w:r>
        <w:rPr>
          <w:rFonts w:ascii="Arial" w:cs="Arial" w:eastAsia="Arial" w:hAnsi="Arial"/>
          <w:b/>
          <w:bCs/>
          <w:color w:val="0F172A"/>
          <w:sz w:val="22"/>
          <w:szCs w:val="22"/>
        </w:rPr>
        <w:t xml:space="preserve">Immutable event trail: </w:t>
      </w:r>
      <w:r>
        <w:rPr>
          <w:rFonts w:ascii="Arial" w:cs="Arial" w:eastAsia="Arial" w:hAnsi="Arial"/>
          <w:color w:val="334155"/>
          <w:sz w:val="22"/>
          <w:szCs w:val="22"/>
        </w:rPr>
        <w:t xml:space="preserve">DecisionBreakglassEvent records are append-only. Idempotent — duplicate initiations return current state without creating duplicate events.</w:t>
      </w:r>
    </w:p>
    <w:p>
      <w:pPr>
        <w:pStyle w:val="Heading3"/>
        <w:spacing w:after="200" w:before="360"/>
      </w:pPr>
      <w:r>
        <w:rPr>
          <w:b/>
          <w:bCs/>
        </w:rPr>
        <w:t xml:space="preserve">Approval TTL with Rolling Window</w:t>
      </w:r>
    </w:p>
    <w:p>
      <w:pPr>
        <w:spacing w:after="160"/>
      </w:pPr>
      <w:r>
        <w:rPr>
          <w:rFonts w:ascii="Arial" w:cs="Arial" w:eastAsia="Arial" w:hAnsi="Arial"/>
          <w:color w:val="334155"/>
          <w:sz w:val="22"/>
          <w:szCs w:val="22"/>
        </w:rPr>
        <w:t xml:space="preserve">CP-E-002: Approvals expire on a rolling window. The window is MAX(approvedAt) → NOW. If the window exceeds the policy’s TTL (default 24h) + 1-second tolerance, all approvals are considered stale and the count drops to 0. A new approval resets MAX(approvedAt) and re-establishes fresh quorum without changing the decision state. At execute time, HIGH/CRITICAL decisions must have fresh quorum — stale approvals throw ApprovalsExpiredError.</w:t>
      </w:r>
    </w:p>
    <w:p>
      <w:pPr>
        <w:pStyle w:val="Heading3"/>
        <w:spacing w:after="200" w:before="360"/>
      </w:pPr>
      <w:r>
        <w:rPr>
          <w:b/>
          <w:bCs/>
        </w:rPr>
        <w:t xml:space="preserve">The Middleware Chain</w:t>
      </w:r>
    </w:p>
    <w:p>
      <w:pPr>
        <w:spacing w:after="160"/>
      </w:pPr>
      <w:r>
        <w:rPr>
          <w:rFonts w:ascii="Arial" w:cs="Arial" w:eastAsia="Arial" w:hAnsi="Arial"/>
          <w:color w:val="334155"/>
          <w:sz w:val="22"/>
          <w:szCs w:val="22"/>
        </w:rPr>
        <w:t xml:space="preserve">Every protected Console API route passes through a structural middleware chain:</w:t>
      </w:r>
    </w:p>
    <w:p>
      <w:pPr>
        <w:pStyle w:val="ListParagraph"/>
        <w:numPr>
          <w:ilvl w:val="0"/>
          <w:numId w:val="2"/>
        </w:numPr>
        <w:spacing w:after="120"/>
      </w:pPr>
      <w:r>
        <w:rPr>
          <w:rFonts w:ascii="Arial" w:cs="Arial" w:eastAsia="Arial" w:hAnsi="Arial"/>
          <w:b/>
          <w:bCs/>
          <w:color w:val="0F172A"/>
          <w:sz w:val="22"/>
          <w:szCs w:val="22"/>
        </w:rPr>
        <w:t xml:space="preserve">requireAuth(). </w:t>
      </w:r>
      <w:r>
        <w:rPr>
          <w:rFonts w:ascii="Arial" w:cs="Arial" w:eastAsia="Arial" w:hAnsi="Arial"/>
          <w:color w:val="334155"/>
          <w:sz w:val="22"/>
          <w:szCs w:val="22"/>
        </w:rPr>
        <w:t xml:space="preserve">Multi-layer auth: session cookie (production) or dev token bypass (dev only, triple-guarded against production). Extracts user + tenant context. Tenant isolation enforced — cross-tenant access returns 404.</w:t>
      </w:r>
    </w:p>
    <w:p>
      <w:pPr>
        <w:pStyle w:val="ListParagraph"/>
        <w:numPr>
          <w:ilvl w:val="0"/>
          <w:numId w:val="2"/>
        </w:numPr>
        <w:spacing w:after="120"/>
      </w:pPr>
      <w:r>
        <w:rPr>
          <w:rFonts w:ascii="Arial" w:cs="Arial" w:eastAsia="Arial" w:hAnsi="Arial"/>
          <w:b/>
          <w:bCs/>
          <w:color w:val="0F172A"/>
          <w:sz w:val="22"/>
          <w:szCs w:val="22"/>
        </w:rPr>
        <w:t xml:space="preserve">requireCapability(). </w:t>
      </w:r>
      <w:r>
        <w:rPr>
          <w:rFonts w:ascii="Arial" w:cs="Arial" w:eastAsia="Arial" w:hAnsi="Arial"/>
          <w:color w:val="334155"/>
          <w:sz w:val="22"/>
          <w:szCs w:val="22"/>
        </w:rPr>
        <w:t xml:space="preserve">Checks CapabilityGrant table for ACTIVE grant with exact scope match. Falls back to legacy UserCapability only if STRIX_ALLOW_LEGACY_CAPS=true. Fail-closed — any error denies access.</w:t>
      </w:r>
    </w:p>
    <w:p>
      <w:pPr>
        <w:pStyle w:val="ListParagraph"/>
        <w:numPr>
          <w:ilvl w:val="0"/>
          <w:numId w:val="2"/>
        </w:numPr>
        <w:spacing w:after="120"/>
      </w:pPr>
      <w:r>
        <w:rPr>
          <w:rFonts w:ascii="Arial" w:cs="Arial" w:eastAsia="Arial" w:hAnsi="Arial"/>
          <w:b/>
          <w:bCs/>
          <w:color w:val="0F172A"/>
          <w:sz w:val="22"/>
          <w:szCs w:val="22"/>
        </w:rPr>
        <w:t xml:space="preserve">requireDecisionToken(). </w:t>
      </w:r>
      <w:r>
        <w:rPr>
          <w:rFonts w:ascii="Arial" w:cs="Arial" w:eastAsia="Arial" w:hAnsi="Arial"/>
          <w:color w:val="334155"/>
          <w:sz w:val="22"/>
          <w:szCs w:val="22"/>
        </w:rPr>
        <w:t xml:space="preserve">Extracts token from X-Strix-Decision-Token header or Authorization: Bearer. Resolves decisionId from header or body. Atomically verifies AND redeems the token. Fail-closed — unexpected errors return 503 SERVICE_UNAVAILABLE.</w:t>
      </w:r>
    </w:p>
    <w:p>
      <w:pPr>
        <w:spacing w:after="160"/>
      </w:pPr>
      <w:r>
        <w:rPr>
          <w:rFonts w:ascii="Arial" w:cs="Arial" w:eastAsia="Arial" w:hAnsi="Arial"/>
          <w:color w:val="334155"/>
          <w:sz w:val="22"/>
          <w:szCs w:val="22"/>
        </w:rPr>
        <w:t xml:space="preserve">The chain is non-bypassable. Capability grant and revoke routes require all three middleware layers: auth + capability check + token redemption. There is no route to a protected mutation that skips any layer.</w:t>
      </w:r>
    </w:p>
    <w:p>
      <w:pPr>
        <w:pStyle w:val="Heading3"/>
        <w:spacing w:after="200" w:before="360"/>
      </w:pPr>
      <w:r>
        <w:rPr>
          <w:b/>
          <w:bCs/>
        </w:rPr>
        <w:t xml:space="preserve">Error Taxonomy</w:t>
      </w:r>
    </w:p>
    <w:p>
      <w:pPr>
        <w:spacing w:after="160"/>
      </w:pPr>
      <w:r>
        <w:rPr>
          <w:rFonts w:ascii="Arial" w:cs="Arial" w:eastAsia="Arial" w:hAnsi="Arial"/>
          <w:color w:val="334155"/>
          <w:sz w:val="22"/>
          <w:szCs w:val="22"/>
        </w:rPr>
        <w:t xml:space="preserve">The system defines 23 typed error classes across three domains: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312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Errors</w:t>
            </w:r>
          </w:p>
        </w:tc>
        <w:tc>
          <w:tcPr>
            <w:tcW w:type="dxa" w:w="312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Key Codes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Decision (17)</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InvalidStateTransition, NotFound, Expired, InsufficientApprovals, SelfApprovalForbidden, NotApproved, ApprovalsExpired, PolicyImmutable, PolicyDenied, PolicyEvaluationFailed, BreakglassNotAllowed, BreakglassJustificationRequired, BreakglassSelfInitiationForbidden, BreakglassQuorumNotMet, BreakglassInvalidState, InvalidActorId, InvalidApprovalMethod, InvalidComment</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409, 404, 410, 403, 403, 409, 403, 409, 403, 500, 403, 400, 403, 403, 409, 400, 400, 400</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Token (6)</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NotFound, Expired, Replay, Signature, ScopeMismatch, Revocation</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404, 410, 409, 400, 403, 409</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Capability (1)</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MissingCapability (ForbiddenError)</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403</w:t>
            </w:r>
          </w:p>
        </w:tc>
      </w:tr>
    </w:tbl>
    <w:p>
      <w:r>
        <w:br w:type="page"/>
      </w:r>
    </w:p>
    <w:p>
      <w:pPr>
        <w:pStyle w:val="Heading2"/>
        <w:spacing w:after="200" w:before="360"/>
      </w:pPr>
      <w:r>
        <w:rPr>
          <w:b/>
          <w:bCs/>
        </w:rPr>
        <w:t xml:space="preserve">1B. The Academy Integration — The Proof Point</w:t>
      </w:r>
    </w:p>
    <w:p>
      <w:pPr>
        <w:spacing w:after="160"/>
      </w:pPr>
      <w:r>
        <w:rPr>
          <w:rFonts w:ascii="Arial" w:cs="Arial" w:eastAsia="Arial" w:hAnsi="Arial"/>
          <w:color w:val="334155"/>
          <w:sz w:val="22"/>
          <w:szCs w:val="22"/>
        </w:rPr>
        <w:t xml:space="preserve">The Academy platform is the first production integration of the Strix governance kernel. It demonstrates the embedded pattern: governedProcedure() wraps every admin mutation with governance evaluation before execution.</w:t>
      </w:r>
    </w:p>
    <w:p>
      <w:pPr>
        <w:pStyle w:val="Heading3"/>
        <w:spacing w:after="200" w:before="360"/>
      </w:pPr>
      <w:r>
        <w:rPr>
          <w:b/>
          <w:bCs/>
        </w:rPr>
        <w:t xml:space="preserve">The Embedded Kernel Pattern</w:t>
      </w:r>
    </w:p>
    <w:p>
      <w:pPr>
        <w:spacing w:after="160"/>
      </w:pPr>
      <w:r>
        <w:rPr>
          <w:rFonts w:ascii="Arial" w:cs="Arial" w:eastAsia="Arial" w:hAnsi="Arial"/>
          <w:color w:val="334155"/>
          <w:sz w:val="22"/>
          <w:szCs w:val="22"/>
        </w:rPr>
        <w:t xml:space="preserve">governedProcedure(capabilityId) replaces adminProcedure as the tRPC procedure builder. It chains governance middleware via .use() — the mutation handler is a closure inside .mutation() with no alternate execution path. The middleware pipeline:</w:t>
      </w:r>
    </w:p>
    <w:p>
      <w:pPr>
        <w:pStyle w:val="ListParagraph"/>
        <w:numPr>
          <w:ilvl w:val="0"/>
          <w:numId w:val="2"/>
        </w:numPr>
        <w:spacing w:after="120"/>
      </w:pPr>
      <w:r>
        <w:rPr>
          <w:rFonts w:ascii="Arial" w:cs="Arial" w:eastAsia="Arial" w:hAnsi="Arial"/>
          <w:b/>
          <w:bCs/>
          <w:color w:val="0F172A"/>
          <w:sz w:val="22"/>
          <w:szCs w:val="22"/>
        </w:rPr>
        <w:t xml:space="preserve">Actor extraction. </w:t>
      </w:r>
      <w:r>
        <w:rPr>
          <w:rFonts w:ascii="Arial" w:cs="Arial" w:eastAsia="Arial" w:hAnsi="Arial"/>
          <w:color w:val="334155"/>
          <w:sz w:val="22"/>
          <w:szCs w:val="22"/>
        </w:rPr>
        <w:t xml:space="preserve">User ID, role, and email from authenticated tRPC context.</w:t>
      </w:r>
    </w:p>
    <w:p>
      <w:pPr>
        <w:pStyle w:val="ListParagraph"/>
        <w:numPr>
          <w:ilvl w:val="0"/>
          <w:numId w:val="2"/>
        </w:numPr>
        <w:spacing w:after="120"/>
      </w:pPr>
      <w:r>
        <w:rPr>
          <w:rFonts w:ascii="Arial" w:cs="Arial" w:eastAsia="Arial" w:hAnsi="Arial"/>
          <w:b/>
          <w:bCs/>
          <w:color w:val="0F172A"/>
          <w:sz w:val="22"/>
          <w:szCs w:val="22"/>
        </w:rPr>
        <w:t xml:space="preserve">Capability lookup. </w:t>
      </w:r>
      <w:r>
        <w:rPr>
          <w:rFonts w:ascii="Arial" w:cs="Arial" w:eastAsia="Arial" w:hAnsi="Arial"/>
          <w:color w:val="334155"/>
          <w:sz w:val="22"/>
          <w:szCs w:val="22"/>
        </w:rPr>
        <w:t xml:space="preserve">84-entry typed registry with risk classification, domain, and approval requirements.</w:t>
      </w:r>
    </w:p>
    <w:p>
      <w:pPr>
        <w:pStyle w:val="ListParagraph"/>
        <w:numPr>
          <w:ilvl w:val="0"/>
          <w:numId w:val="2"/>
        </w:numPr>
        <w:spacing w:after="120"/>
      </w:pPr>
      <w:r>
        <w:rPr>
          <w:rFonts w:ascii="Arial" w:cs="Arial" w:eastAsia="Arial" w:hAnsi="Arial"/>
          <w:b/>
          <w:bCs/>
          <w:color w:val="0F172A"/>
          <w:sz w:val="22"/>
          <w:szCs w:val="22"/>
        </w:rPr>
        <w:t xml:space="preserve">Policy evaluation. </w:t>
      </w:r>
      <w:r>
        <w:rPr>
          <w:rFonts w:ascii="Arial" w:cs="Arial" w:eastAsia="Arial" w:hAnsi="Arial"/>
          <w:color w:val="334155"/>
          <w:sz w:val="22"/>
          <w:szCs w:val="22"/>
        </w:rPr>
        <w:t xml:space="preserve">External SDK if configured, local deterministic engine if not. CRITICAL → deny unless owner. HIGH → soft escalate. MEDIUM/LOW → allow.</w:t>
      </w:r>
    </w:p>
    <w:p>
      <w:pPr>
        <w:pStyle w:val="ListParagraph"/>
        <w:numPr>
          <w:ilvl w:val="0"/>
          <w:numId w:val="2"/>
        </w:numPr>
        <w:spacing w:after="120"/>
      </w:pPr>
      <w:r>
        <w:rPr>
          <w:rFonts w:ascii="Arial" w:cs="Arial" w:eastAsia="Arial" w:hAnsi="Arial"/>
          <w:b/>
          <w:bCs/>
          <w:color w:val="0F172A"/>
          <w:sz w:val="22"/>
          <w:szCs w:val="22"/>
        </w:rPr>
        <w:t xml:space="preserve">Decision enforcement. </w:t>
      </w:r>
      <w:r>
        <w:rPr>
          <w:rFonts w:ascii="Arial" w:cs="Arial" w:eastAsia="Arial" w:hAnsi="Arial"/>
          <w:color w:val="334155"/>
          <w:sz w:val="22"/>
          <w:szCs w:val="22"/>
        </w:rPr>
        <w:t xml:space="preserve">DENY throws FORBIDDEN with descriptive message naming the capability. ESCALATE records and proceeds. ALLOW proceeds.</w:t>
      </w:r>
    </w:p>
    <w:p>
      <w:pPr>
        <w:pStyle w:val="ListParagraph"/>
        <w:numPr>
          <w:ilvl w:val="0"/>
          <w:numId w:val="2"/>
        </w:numPr>
        <w:spacing w:after="120"/>
      </w:pPr>
      <w:r>
        <w:rPr>
          <w:rFonts w:ascii="Arial" w:cs="Arial" w:eastAsia="Arial" w:hAnsi="Arial"/>
          <w:b/>
          <w:bCs/>
          <w:color w:val="0F172A"/>
          <w:sz w:val="22"/>
          <w:szCs w:val="22"/>
        </w:rPr>
        <w:t xml:space="preserve">Cryptographic sealing. </w:t>
      </w:r>
      <w:r>
        <w:rPr>
          <w:rFonts w:ascii="Arial" w:cs="Arial" w:eastAsia="Arial" w:hAnsi="Arial"/>
          <w:color w:val="334155"/>
          <w:sz w:val="22"/>
          <w:szCs w:val="22"/>
        </w:rPr>
        <w:t xml:space="preserve">SHA-256 hash over 8 fields in deterministic order. Stored as evidence_hash. Any modification detectable by recomputing.</w:t>
      </w:r>
    </w:p>
    <w:p>
      <w:pPr>
        <w:pStyle w:val="ListParagraph"/>
        <w:numPr>
          <w:ilvl w:val="0"/>
          <w:numId w:val="2"/>
        </w:numPr>
        <w:spacing w:after="120"/>
      </w:pPr>
      <w:r>
        <w:rPr>
          <w:rFonts w:ascii="Arial" w:cs="Arial" w:eastAsia="Arial" w:hAnsi="Arial"/>
          <w:b/>
          <w:bCs/>
          <w:color w:val="0F172A"/>
          <w:sz w:val="22"/>
          <w:szCs w:val="22"/>
        </w:rPr>
        <w:t xml:space="preserve">Evidence persistence. </w:t>
      </w:r>
      <w:r>
        <w:rPr>
          <w:rFonts w:ascii="Arial" w:cs="Arial" w:eastAsia="Arial" w:hAnsi="Arial"/>
          <w:color w:val="334155"/>
          <w:sz w:val="22"/>
          <w:szCs w:val="22"/>
        </w:rPr>
        <w:t xml:space="preserve">Written to governance_evidence table. Fire-and-forget. Every action, every decision, regardless of SDK availability.</w:t>
      </w:r>
    </w:p>
    <w:p>
      <w:pPr>
        <w:pStyle w:val="Heading3"/>
        <w:spacing w:after="200" w:before="360"/>
      </w:pPr>
      <w:r>
        <w:rPr>
          <w:b/>
          <w:bCs/>
        </w:rPr>
        <w:t xml:space="preserve">Production Evidence</w:t>
      </w:r>
    </w:p>
    <w:p>
      <w:pPr>
        <w:spacing w:after="160"/>
      </w:pPr>
      <w:r>
        <w:rPr>
          <w:rFonts w:ascii="Arial" w:cs="Arial" w:eastAsia="Arial" w:hAnsi="Arial"/>
          <w:color w:val="334155"/>
          <w:sz w:val="22"/>
          <w:szCs w:val="22"/>
        </w:rPr>
        <w:t xml:space="preserve">As of March 2026: 84 capabilities governed (75 tRPC mutations + 9 cron jobs), 12 total decisions recorded, 1 critical action blocked (coach attempted admin.members.updateRole, denied with reason “critical_requires_owner”). The governance router reads evidence via raw SQL, exposing evidence_hash alongside every record in the admin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234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234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Local Policy</w:t>
            </w:r>
          </w:p>
        </w:tc>
        <w:tc>
          <w:tcPr>
            <w:tcW w:type="dxa" w:w="234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Evidence</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CRITICAL</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9 (+2 system)</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Deny unless owner</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SHA-256 sealed</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HIGH</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26</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Soft escalate</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SHA-256 sealed</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MEDIUM</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42</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Allow</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SHA-256 sealed</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LOW</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5</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Allow</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SHA-256 sealed</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CRON</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9</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Auto-approve (approvalsRequired: 0)</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SHA-256 sealed</w:t>
            </w:r>
          </w:p>
        </w:tc>
      </w:tr>
    </w:tbl>
    <w:p>
      <w:r>
        <w:br w:type="page"/>
      </w:r>
    </w:p>
    <w:p>
      <w:pPr>
        <w:pStyle w:val="Heading1"/>
        <w:spacing w:after="200" w:before="360"/>
      </w:pPr>
      <w:r>
        <w:rPr>
          <w:b/>
          <w:bCs/>
        </w:rPr>
        <w:t xml:space="preserve">PHASE 2: THE INVARIANT</w:t>
      </w:r>
    </w:p>
    <w:p>
      <w:pPr>
        <w:pBdr>
          <w:left w:val="single" w:color="C9A24D" w:sz="6" w:space="8"/>
        </w:pBdr>
        <w:spacing w:after="200" w:before="200"/>
        <w:ind w:left="720" w:right="720"/>
      </w:pPr>
      <w:r>
        <w:rPr>
          <w:rFonts w:ascii="Arial" w:cs="Arial" w:eastAsia="Arial" w:hAnsi="Arial"/>
          <w:i/>
          <w:iCs/>
          <w:color w:val="0F172A"/>
          <w:sz w:val="24"/>
          <w:szCs w:val="24"/>
        </w:rPr>
        <w:t xml:space="preserve">Nothing executes until it is evaluated. Nothing is granted without a decision. Nothing is decided without evidence.</w:t>
      </w:r>
    </w:p>
    <w:p>
      <w:pPr>
        <w:pStyle w:val="Heading2"/>
        <w:spacing w:after="200" w:before="360"/>
      </w:pPr>
      <w:r>
        <w:rPr>
          <w:b/>
          <w:bCs/>
        </w:rPr>
        <w:t xml:space="preserve">Formal Statement</w:t>
      </w:r>
    </w:p>
    <w:p>
      <w:pPr>
        <w:shd w:fill="F1F5F9" w:val="clear"/>
        <w:spacing w:after="200" w:before="200"/>
        <w:ind w:left="480" w:right="480"/>
      </w:pPr>
      <w:r>
        <w:rPr>
          <w:rFonts w:ascii="Arial" w:cs="Arial" w:eastAsia="Arial" w:hAnsi="Arial"/>
          <w:color w:val="0F172A"/>
          <w:sz w:val="22"/>
          <w:szCs w:val="22"/>
        </w:rPr>
        <w:t xml:space="preserve">For every state-changing operation O in the governed system, there exists a governance evaluation E such that E executes before O and produces a recorded decision D ∈ {allow, deny, escalate}. In the Console, E additionally requires: (a) a frozen policy snapshot, (b) sufficient fresh approvals for the risk tier, and (c) an HMAC-signed, single-use execution token binding the authorization to the specific action. D is persisted as tamper-evident evidence. If D = deny, O is never executed.</w:t>
      </w:r>
    </w:p>
    <w:p>
      <w:pPr>
        <w:pStyle w:val="Heading2"/>
        <w:spacing w:after="200" w:before="360"/>
      </w:pPr>
      <w:r>
        <w:rPr>
          <w:b/>
          <w:bCs/>
        </w:rPr>
        <w:t xml:space="preserve">Proof: Console Layer</w:t>
      </w:r>
    </w:p>
    <w:p>
      <w:pPr>
        <w:spacing w:after="160"/>
      </w:pPr>
      <w:r>
        <w:rPr>
          <w:rFonts w:ascii="Arial" w:cs="Arial" w:eastAsia="Arial" w:hAnsi="Arial"/>
          <w:b/>
          <w:bCs/>
          <w:color w:val="0F172A"/>
          <w:sz w:val="22"/>
          <w:szCs w:val="22"/>
        </w:rPr>
        <w:t xml:space="preserve">Frozen state machine. </w:t>
      </w:r>
      <w:r>
        <w:rPr>
          <w:rFonts w:ascii="Arial" w:cs="Arial" w:eastAsia="Arial" w:hAnsi="Arial"/>
          <w:color w:val="334155"/>
          <w:sz w:val="22"/>
          <w:szCs w:val="22"/>
        </w:rPr>
        <w:t xml:space="preserve">DecisionService enforces VALID_TRANSITIONS. No code path reaches EXECUTING without passing through EVALUATED → APPROVED (with quorum) or BREAKGLASS (with justification + quorum). Terminal states (EXECUTED, FAILED, REJECTED, EXPIRED) cannot transition further.</w:t>
      </w:r>
    </w:p>
    <w:p>
      <w:pPr>
        <w:spacing w:after="160"/>
      </w:pPr>
      <w:r>
        <w:rPr>
          <w:rFonts w:ascii="Arial" w:cs="Arial" w:eastAsia="Arial" w:hAnsi="Arial"/>
          <w:b/>
          <w:bCs/>
          <w:color w:val="0F172A"/>
          <w:sz w:val="22"/>
          <w:szCs w:val="22"/>
        </w:rPr>
        <w:t xml:space="preserve">Token-gated execution. </w:t>
      </w:r>
      <w:r>
        <w:rPr>
          <w:rFonts w:ascii="Arial" w:cs="Arial" w:eastAsia="Arial" w:hAnsi="Arial"/>
          <w:color w:val="334155"/>
          <w:sz w:val="22"/>
          <w:szCs w:val="22"/>
        </w:rPr>
        <w:t xml:space="preserve">The execution token is issued only from APPROVED/BREAKGLASS state. It is HMAC-signed, scope-bound (tenantId + decisionId + actionType + environment), single-use (atomic redemption), and time-limited (5 min). There is no way to execute a governed action without redeeming a valid token.</w:t>
      </w:r>
    </w:p>
    <w:p>
      <w:pPr>
        <w:spacing w:after="160"/>
      </w:pPr>
      <w:r>
        <w:rPr>
          <w:rFonts w:ascii="Arial" w:cs="Arial" w:eastAsia="Arial" w:hAnsi="Arial"/>
          <w:b/>
          <w:bCs/>
          <w:color w:val="0F172A"/>
          <w:sz w:val="22"/>
          <w:szCs w:val="22"/>
        </w:rPr>
        <w:t xml:space="preserve">Capability-decision binding. </w:t>
      </w:r>
      <w:r>
        <w:rPr>
          <w:rFonts w:ascii="Arial" w:cs="Arial" w:eastAsia="Arial" w:hAnsi="Arial"/>
          <w:color w:val="334155"/>
          <w:sz w:val="22"/>
          <w:szCs w:val="22"/>
        </w:rPr>
        <w:t xml:space="preserve">Every CapabilityGrant stores grantDecisionId and grantTokenJti. You cannot grant a capability without a governance decision that authorized it. You cannot execute that grant without redeeming the token. The chain is: Decision → Token → Grant → Action.</w:t>
      </w:r>
    </w:p>
    <w:p>
      <w:pPr>
        <w:spacing w:after="160"/>
      </w:pPr>
      <w:r>
        <w:rPr>
          <w:rFonts w:ascii="Arial" w:cs="Arial" w:eastAsia="Arial" w:hAnsi="Arial"/>
          <w:b/>
          <w:bCs/>
          <w:color w:val="0F172A"/>
          <w:sz w:val="22"/>
          <w:szCs w:val="22"/>
        </w:rPr>
        <w:t xml:space="preserve">Middleware chain enforcement. </w:t>
      </w:r>
      <w:r>
        <w:rPr>
          <w:rFonts w:ascii="Arial" w:cs="Arial" w:eastAsia="Arial" w:hAnsi="Arial"/>
          <w:color w:val="334155"/>
          <w:sz w:val="22"/>
          <w:szCs w:val="22"/>
        </w:rPr>
        <w:t xml:space="preserve">requireAuth → requireCapability → requireDecisionToken. Each layer fails closed. Missing auth = 401. Missing capability = 403. Missing/invalid token = 401/403/404/409/410/503.</w:t>
      </w:r>
    </w:p>
    <w:p>
      <w:pPr>
        <w:pStyle w:val="Heading2"/>
        <w:spacing w:after="200" w:before="360"/>
      </w:pPr>
      <w:r>
        <w:rPr>
          <w:b/>
          <w:bCs/>
        </w:rPr>
        <w:t xml:space="preserve">Proof: Academy Layer</w:t>
      </w:r>
    </w:p>
    <w:p>
      <w:pPr>
        <w:spacing w:after="160"/>
      </w:pPr>
      <w:r>
        <w:rPr>
          <w:rFonts w:ascii="Arial" w:cs="Arial" w:eastAsia="Arial" w:hAnsi="Arial"/>
          <w:b/>
          <w:bCs/>
          <w:color w:val="0F172A"/>
          <w:sz w:val="22"/>
          <w:szCs w:val="22"/>
        </w:rPr>
        <w:t xml:space="preserve">Structural enforcement. </w:t>
      </w:r>
      <w:r>
        <w:rPr>
          <w:rFonts w:ascii="Arial" w:cs="Arial" w:eastAsia="Arial" w:hAnsi="Arial"/>
          <w:color w:val="334155"/>
          <w:sz w:val="22"/>
          <w:szCs w:val="22"/>
        </w:rPr>
        <w:t xml:space="preserve">governedProcedure() returns a tRPC procedure that chains governance middleware via .use(). The mutation handler is a closure — no code path bypasses it.</w:t>
      </w:r>
    </w:p>
    <w:p>
      <w:pPr>
        <w:spacing w:after="160"/>
      </w:pPr>
      <w:r>
        <w:rPr>
          <w:rFonts w:ascii="Arial" w:cs="Arial" w:eastAsia="Arial" w:hAnsi="Arial"/>
          <w:b/>
          <w:bCs/>
          <w:color w:val="0F172A"/>
          <w:sz w:val="22"/>
          <w:szCs w:val="22"/>
        </w:rPr>
        <w:t xml:space="preserve">Complete coverage. </w:t>
      </w:r>
      <w:r>
        <w:rPr>
          <w:rFonts w:ascii="Arial" w:cs="Arial" w:eastAsia="Arial" w:hAnsi="Arial"/>
          <w:color w:val="334155"/>
          <w:sz w:val="22"/>
          <w:szCs w:val="22"/>
        </w:rPr>
        <w:t xml:space="preserve">84 of 84 capabilities covered. Zero raw adminProcedure.mutation() calls in admin space. 9 cron jobs call evaluateCronGovernance() as first line.</w:t>
      </w:r>
    </w:p>
    <w:p>
      <w:pPr>
        <w:spacing w:after="160"/>
      </w:pPr>
      <w:r>
        <w:rPr>
          <w:rFonts w:ascii="Arial" w:cs="Arial" w:eastAsia="Arial" w:hAnsi="Arial"/>
          <w:b/>
          <w:bCs/>
          <w:color w:val="0F172A"/>
          <w:sz w:val="22"/>
          <w:szCs w:val="22"/>
        </w:rPr>
        <w:t xml:space="preserve">Unconditional evidence. </w:t>
      </w:r>
      <w:r>
        <w:rPr>
          <w:rFonts w:ascii="Arial" w:cs="Arial" w:eastAsia="Arial" w:hAnsi="Arial"/>
          <w:color w:val="334155"/>
          <w:sz w:val="22"/>
          <w:szCs w:val="22"/>
        </w:rPr>
        <w:t xml:space="preserve">recordEvidence() fires for every decision. SHA-256 hash computed from 8 fields in deterministic order. Evidence_hash stored and exposed in admin UI.</w:t>
      </w:r>
    </w:p>
    <w:p>
      <w:pPr>
        <w:pStyle w:val="Heading2"/>
        <w:spacing w:after="200" w:before="360"/>
      </w:pPr>
      <w:r>
        <w:rPr>
          <w:b/>
          <w:bCs/>
        </w:rPr>
        <w:t xml:space="preserve">Known Gaps (Honest)</w:t>
      </w:r>
    </w:p>
    <w:p>
      <w:pPr>
        <w:pStyle w:val="ListParagraph"/>
        <w:numPr>
          <w:ilvl w:val="0"/>
          <w:numId w:val="3"/>
        </w:numPr>
        <w:spacing w:after="120"/>
      </w:pPr>
      <w:r>
        <w:rPr>
          <w:rFonts w:ascii="Arial" w:cs="Arial" w:eastAsia="Arial" w:hAnsi="Arial"/>
          <w:b/>
          <w:bCs/>
          <w:color w:val="DC2626"/>
          <w:sz w:val="22"/>
          <w:szCs w:val="22"/>
        </w:rPr>
        <w:t xml:space="preserve">Academy: fail-open on SDK errors. </w:t>
      </w:r>
      <w:r>
        <w:rPr>
          <w:rFonts w:ascii="Arial" w:cs="Arial" w:eastAsia="Arial" w:hAnsi="Arial"/>
          <w:color w:val="334155"/>
          <w:sz w:val="22"/>
          <w:szCs w:val="22"/>
        </w:rPr>
        <w:t xml:space="preserve">External policy unavailable → local engine evaluates, action proceeds. Evidence recorded. Deliberate availability trade-off.</w:t>
      </w:r>
    </w:p>
    <w:p>
      <w:pPr>
        <w:pStyle w:val="ListParagraph"/>
        <w:numPr>
          <w:ilvl w:val="0"/>
          <w:numId w:val="3"/>
        </w:numPr>
        <w:spacing w:after="120"/>
      </w:pPr>
      <w:r>
        <w:rPr>
          <w:rFonts w:ascii="Arial" w:cs="Arial" w:eastAsia="Arial" w:hAnsi="Arial"/>
          <w:b/>
          <w:bCs/>
          <w:color w:val="D97706"/>
          <w:sz w:val="22"/>
          <w:szCs w:val="22"/>
        </w:rPr>
        <w:t xml:space="preserve">Academy: soft escalation. </w:t>
      </w:r>
      <w:r>
        <w:rPr>
          <w:rFonts w:ascii="Arial" w:cs="Arial" w:eastAsia="Arial" w:hAnsi="Arial"/>
          <w:color w:val="334155"/>
          <w:sz w:val="22"/>
          <w:szCs w:val="22"/>
        </w:rPr>
        <w:t xml:space="preserve">HIGH-risk actions escalate but proceed. Blocking requires approval workflow UI (Console provides this — not yet integrated into Academy).</w:t>
      </w:r>
    </w:p>
    <w:p>
      <w:pPr>
        <w:pStyle w:val="ListParagraph"/>
        <w:numPr>
          <w:ilvl w:val="0"/>
          <w:numId w:val="3"/>
        </w:numPr>
        <w:spacing w:after="120"/>
      </w:pPr>
      <w:r>
        <w:rPr>
          <w:rFonts w:ascii="Arial" w:cs="Arial" w:eastAsia="Arial" w:hAnsi="Arial"/>
          <w:b/>
          <w:bCs/>
          <w:color w:val="D97706"/>
          <w:sz w:val="22"/>
          <w:szCs w:val="22"/>
        </w:rPr>
        <w:t xml:space="preserve">Academy: cron auto-approve. </w:t>
      </w:r>
      <w:r>
        <w:rPr>
          <w:rFonts w:ascii="Arial" w:cs="Arial" w:eastAsia="Arial" w:hAnsi="Arial"/>
          <w:color w:val="334155"/>
          <w:sz w:val="22"/>
          <w:szCs w:val="22"/>
        </w:rPr>
        <w:t xml:space="preserve">9 cron capabilities have approvalsRequired: 0. Governed and sealed but always allowed locally.</w:t>
      </w:r>
    </w:p>
    <w:p>
      <w:pPr>
        <w:pStyle w:val="ListParagraph"/>
        <w:numPr>
          <w:ilvl w:val="0"/>
          <w:numId w:val="3"/>
        </w:numPr>
        <w:spacing w:after="120"/>
      </w:pPr>
      <w:r>
        <w:rPr>
          <w:rFonts w:ascii="Arial" w:cs="Arial" w:eastAsia="Arial" w:hAnsi="Arial"/>
          <w:b/>
          <w:bCs/>
          <w:color w:val="DC2626"/>
          <w:sz w:val="22"/>
          <w:szCs w:val="22"/>
        </w:rPr>
        <w:t xml:space="preserve">Console: dev auth only. </w:t>
      </w:r>
      <w:r>
        <w:rPr>
          <w:rFonts w:ascii="Arial" w:cs="Arial" w:eastAsia="Arial" w:hAnsi="Arial"/>
          <w:color w:val="334155"/>
          <w:sz w:val="22"/>
          <w:szCs w:val="22"/>
        </w:rPr>
        <w:t xml:space="preserve">Session cookie + dev bearer token bypass. No production auth provider (Clerk/Auth0) integrated yet.</w:t>
      </w:r>
    </w:p>
    <w:p>
      <w:pPr>
        <w:pStyle w:val="ListParagraph"/>
        <w:numPr>
          <w:ilvl w:val="0"/>
          <w:numId w:val="3"/>
        </w:numPr>
        <w:spacing w:after="120"/>
      </w:pPr>
      <w:r>
        <w:rPr>
          <w:rFonts w:ascii="Arial" w:cs="Arial" w:eastAsia="Arial" w:hAnsi="Arial"/>
          <w:b/>
          <w:bCs/>
          <w:color w:val="D97706"/>
          <w:sz w:val="22"/>
          <w:szCs w:val="22"/>
        </w:rPr>
        <w:t xml:space="preserve">Console: seed data. </w:t>
      </w:r>
      <w:r>
        <w:rPr>
          <w:rFonts w:ascii="Arial" w:cs="Arial" w:eastAsia="Arial" w:hAnsi="Arial"/>
          <w:color w:val="334155"/>
          <w:sz w:val="22"/>
          <w:szCs w:val="22"/>
        </w:rPr>
        <w:t xml:space="preserve">Agent/project data is mock. CRM, billing, and marketplace are scaffolded but not production-wired.</w:t>
      </w:r>
    </w:p>
    <w:p>
      <w:pPr>
        <w:pStyle w:val="ListParagraph"/>
        <w:numPr>
          <w:ilvl w:val="0"/>
          <w:numId w:val="3"/>
        </w:numPr>
        <w:spacing w:after="120"/>
      </w:pPr>
      <w:r>
        <w:rPr>
          <w:rFonts w:ascii="Arial" w:cs="Arial" w:eastAsia="Arial" w:hAnsi="Arial"/>
          <w:b/>
          <w:bCs/>
          <w:color w:val="D97706"/>
          <w:sz w:val="22"/>
          <w:szCs w:val="22"/>
        </w:rPr>
        <w:t xml:space="preserve">Evidence: per-record hashing. </w:t>
      </w:r>
      <w:r>
        <w:rPr>
          <w:rFonts w:ascii="Arial" w:cs="Arial" w:eastAsia="Arial" w:hAnsi="Arial"/>
          <w:color w:val="334155"/>
          <w:sz w:val="22"/>
          <w:szCs w:val="22"/>
        </w:rPr>
        <w:t xml:space="preserve">Academy uses per-record SHA-256 (no chain). Console uses correlation IDs + evidence bundles. Neither uses Merkle trees — deletion detection requires gap analysis.</w:t>
      </w:r>
    </w:p>
    <w:p>
      <w:pPr>
        <w:pStyle w:val="Heading2"/>
        <w:spacing w:after="200" w:before="360"/>
      </w:pPr>
      <w:r>
        <w:rPr>
          <w:b/>
          <w:bCs/>
        </w:rPr>
        <w:t xml:space="preserve">Invariant Verdict</w:t>
      </w:r>
    </w:p>
    <w:p>
      <w:pPr>
        <w:pBdr>
          <w:left w:val="single" w:color="16A34A" w:sz="6" w:space="8"/>
        </w:pBdr>
        <w:shd w:fill="F0FDF4" w:val="clear"/>
        <w:spacing w:after="200" w:before="200"/>
        <w:ind w:left="480" w:right="480"/>
      </w:pPr>
      <w:r>
        <w:rPr>
          <w:rFonts w:ascii="Arial" w:cs="Arial" w:eastAsia="Arial" w:hAnsi="Arial"/>
          <w:color w:val="0F172A"/>
          <w:sz w:val="22"/>
          <w:szCs w:val="22"/>
        </w:rPr>
        <w:t xml:space="preserve">CONFIRMED AT TWO LAYERS. The Console enforces a frozen state machine with token-gated execution, capability-decision binding, and multi-party approvals. The Academy enforces structural middleware interception with SHA-256 sealed evidence. Together they prove: no mutation executes without evaluation, no capability is granted without a decision, and no decision exists without evidence.</w:t>
      </w:r>
    </w:p>
    <w:p>
      <w:r>
        <w:br w:type="page"/>
      </w:r>
    </w:p>
    <w:p>
      <w:pPr>
        <w:pStyle w:val="Heading1"/>
        <w:spacing w:after="200" w:before="360"/>
      </w:pPr>
      <w:r>
        <w:rPr>
          <w:b/>
          <w:bCs/>
        </w:rPr>
        <w:t xml:space="preserve">PHASE 3: THE MOAT</w:t>
      </w:r>
    </w:p>
    <w:p>
      <w:pPr>
        <w:pBdr>
          <w:left w:val="single" w:color="C9A24D" w:sz="6" w:space="8"/>
        </w:pBdr>
        <w:spacing w:after="200" w:before="200"/>
        <w:ind w:left="720" w:right="720"/>
      </w:pPr>
      <w:r>
        <w:rPr>
          <w:rFonts w:ascii="Arial" w:cs="Arial" w:eastAsia="Arial" w:hAnsi="Arial"/>
          <w:i/>
          <w:iCs/>
          <w:color w:val="0F172A"/>
          <w:sz w:val="24"/>
          <w:szCs w:val="24"/>
        </w:rPr>
        <w:t xml:space="preserve">The question is whether anyone can build a frozen state machine with HMAC-signed execution tokens, scope-bound capability grants linked to decisions, breakglass emergency overrides with separation of duty, rolling approval TTL, SHA-256 evidence sealing, intent evaluation, and a non-bypassable middleware chain — and make it embeddable in one function call.</w:t>
      </w:r>
    </w:p>
    <w:p>
      <w:pPr>
        <w:spacing w:after="160"/>
      </w:pPr>
      <w:r>
        <w:rPr>
          <w:rFonts w:ascii="Arial" w:cs="Arial" w:eastAsia="Arial" w:hAnsi="Arial"/>
          <w:b/>
          <w:bCs/>
          <w:color w:val="0F172A"/>
          <w:sz w:val="22"/>
          <w:szCs w:val="22"/>
        </w:rPr>
        <w:t xml:space="preserve">1. Two-layer enforcement. </w:t>
      </w:r>
      <w:r>
        <w:rPr>
          <w:rFonts w:ascii="Arial" w:cs="Arial" w:eastAsia="Arial" w:hAnsi="Arial"/>
          <w:color w:val="334155"/>
          <w:sz w:val="22"/>
          <w:szCs w:val="22"/>
        </w:rPr>
        <w:t xml:space="preserve">The Console provides the decision engine (state machine + tokens + approvals). The embedded kernel provides structural middleware enforcement. Either layer alone is significant. Together they create defense in depth that no single product replicates.</w:t>
      </w:r>
    </w:p>
    <w:p>
      <w:pPr>
        <w:spacing w:after="160"/>
      </w:pPr>
      <w:r>
        <w:rPr>
          <w:rFonts w:ascii="Arial" w:cs="Arial" w:eastAsia="Arial" w:hAnsi="Arial"/>
          <w:b/>
          <w:bCs/>
          <w:color w:val="0F172A"/>
          <w:sz w:val="22"/>
          <w:szCs w:val="22"/>
        </w:rPr>
        <w:t xml:space="preserve">2. Token-gated execution. </w:t>
      </w:r>
      <w:r>
        <w:rPr>
          <w:rFonts w:ascii="Arial" w:cs="Arial" w:eastAsia="Arial" w:hAnsi="Arial"/>
          <w:color w:val="334155"/>
          <w:sz w:val="22"/>
          <w:szCs w:val="22"/>
        </w:rPr>
        <w:t xml:space="preserve">The execution token is the critical innovation. It binds a specific authorization decision to a specific action, with HMAC signature, scope verification, single-use redemption, and time bounds. This is not an API key. This is not a JWT. This is a cryptographic proof that a specific governance process completed for a specific action.</w:t>
      </w:r>
    </w:p>
    <w:p>
      <w:pPr>
        <w:spacing w:after="160"/>
      </w:pPr>
      <w:r>
        <w:rPr>
          <w:rFonts w:ascii="Arial" w:cs="Arial" w:eastAsia="Arial" w:hAnsi="Arial"/>
          <w:b/>
          <w:bCs/>
          <w:color w:val="0F172A"/>
          <w:sz w:val="22"/>
          <w:szCs w:val="22"/>
        </w:rPr>
        <w:t xml:space="preserve">3. Capability-decision binding. </w:t>
      </w:r>
      <w:r>
        <w:rPr>
          <w:rFonts w:ascii="Arial" w:cs="Arial" w:eastAsia="Arial" w:hAnsi="Arial"/>
          <w:color w:val="334155"/>
          <w:sz w:val="22"/>
          <w:szCs w:val="22"/>
        </w:rPr>
        <w:t xml:space="preserve">Every capability grant in the system is traceable to the decision that authorized it and the token that was redeemed to create it. Revocations are similarly linked. This creates a complete authorization provenance chain that no RBAC system provides.</w:t>
      </w:r>
    </w:p>
    <w:p>
      <w:pPr>
        <w:spacing w:after="160"/>
      </w:pPr>
      <w:r>
        <w:rPr>
          <w:rFonts w:ascii="Arial" w:cs="Arial" w:eastAsia="Arial" w:hAnsi="Arial"/>
          <w:b/>
          <w:bCs/>
          <w:color w:val="0F172A"/>
          <w:sz w:val="22"/>
          <w:szCs w:val="22"/>
        </w:rPr>
        <w:t xml:space="preserve">4. Intent evaluation. </w:t>
      </w:r>
      <w:r>
        <w:rPr>
          <w:rFonts w:ascii="Arial" w:cs="Arial" w:eastAsia="Arial" w:hAnsi="Arial"/>
          <w:color w:val="334155"/>
          <w:sz w:val="22"/>
          <w:szCs w:val="22"/>
        </w:rPr>
        <w:t xml:space="preserve">The same action by the same actor produces different decisions based on declared purpose and surrounding context. No existing product evaluates intent as a first-class input to execution decisions.</w:t>
      </w:r>
    </w:p>
    <w:p>
      <w:pPr>
        <w:spacing w:after="160"/>
      </w:pPr>
      <w:r>
        <w:rPr>
          <w:rFonts w:ascii="Arial" w:cs="Arial" w:eastAsia="Arial" w:hAnsi="Arial"/>
          <w:b/>
          <w:bCs/>
          <w:color w:val="0F172A"/>
          <w:sz w:val="22"/>
          <w:szCs w:val="22"/>
        </w:rPr>
        <w:t xml:space="preserve">5. Breakglass with separation of duty. </w:t>
      </w:r>
      <w:r>
        <w:rPr>
          <w:rFonts w:ascii="Arial" w:cs="Arial" w:eastAsia="Arial" w:hAnsi="Arial"/>
          <w:color w:val="334155"/>
          <w:sz w:val="22"/>
          <w:szCs w:val="22"/>
        </w:rPr>
        <w:t xml:space="preserve">Emergency overrides exist in many systems. Breakglass with mandatory justification (32–2048 chars), proposer ≠ initiator enforcement, quorum still required at execute time, and append-only event trail is architecturally non-trivial to replicate.</w:t>
      </w:r>
    </w:p>
    <w:p>
      <w:pPr>
        <w:spacing w:after="160"/>
      </w:pPr>
      <w:r>
        <w:rPr>
          <w:rFonts w:ascii="Arial" w:cs="Arial" w:eastAsia="Arial" w:hAnsi="Arial"/>
          <w:b/>
          <w:bCs/>
          <w:color w:val="0F172A"/>
          <w:sz w:val="22"/>
          <w:szCs w:val="22"/>
        </w:rPr>
        <w:t xml:space="preserve">6. Rolling approval TTL. </w:t>
      </w:r>
      <w:r>
        <w:rPr>
          <w:rFonts w:ascii="Arial" w:cs="Arial" w:eastAsia="Arial" w:hAnsi="Arial"/>
          <w:color w:val="334155"/>
          <w:sz w:val="22"/>
          <w:szCs w:val="22"/>
        </w:rPr>
        <w:t xml:space="preserve">Approvals expire on a rolling window. Stale quorum drops to zero. New approvals reset the window. This prevents “approve and forget” patterns where authorized actions execute long after the approval context has changed.</w:t>
      </w:r>
    </w:p>
    <w:p>
      <w:pPr>
        <w:spacing w:after="160"/>
      </w:pPr>
      <w:r>
        <w:rPr>
          <w:rFonts w:ascii="Arial" w:cs="Arial" w:eastAsia="Arial" w:hAnsi="Arial"/>
          <w:b/>
          <w:bCs/>
          <w:color w:val="0F172A"/>
          <w:sz w:val="22"/>
          <w:szCs w:val="22"/>
        </w:rPr>
        <w:t xml:space="preserve">7. One-function embedding. </w:t>
      </w:r>
      <w:r>
        <w:rPr>
          <w:rFonts w:ascii="Arial" w:cs="Arial" w:eastAsia="Arial" w:hAnsi="Arial"/>
          <w:color w:val="334155"/>
          <w:sz w:val="22"/>
          <w:szCs w:val="22"/>
        </w:rPr>
        <w:t xml:space="preserve">The entire governance kernel activates with governedProcedure(capabilityId). One import, one function call per mutation. 84 capabilities governed with 84 one-line changes.</w:t>
      </w:r>
    </w:p>
    <w:p>
      <w:pPr>
        <w:pStyle w:val="Heading2"/>
        <w:spacing w:after="200" w:before="360"/>
      </w:pPr>
      <w:r>
        <w:rPr>
          <w:b/>
          <w:bCs/>
        </w:rPr>
        <w:t xml:space="preserve">Competitive Comparison (Updated)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System</w:t>
            </w:r>
          </w:p>
        </w:tc>
        <w:tc>
          <w:tcPr>
            <w:tcW w:type="dxa" w:w="312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312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What Strix Adds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RBAC</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Checks identity + permission</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Intent evaluation, risk classification, three-state decisions, evidence sealing, approval workflows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OPA / Cedar</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External policy evaluation</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Structural enforcement (non-bypassable), execution tokens, capability-decision binding, breakglass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AI Guardrails</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Filter LLM I/O</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Governs ALL mutations (DB writes, payments, automation, admin ops), not just LLM</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Logging / SIEM</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Records events after the fact</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Pre-execution evaluation, deny capability, SHA-256 evidence sealing, real-time decisions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Blockchain Audit</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Immutable append-only ledger</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Real-time deny/escalate decisions, one-function deployment, no infrastructure overhead</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Temporal / Step Functions</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Workflow orchestration</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Security-first (token-gated, scope-bound), governance-native (not general-purpose workflow)</w:t>
            </w:r>
          </w:p>
        </w:tc>
      </w:tr>
    </w:tbl>
    <w:p>
      <w:r>
        <w:br w:type="page"/>
      </w:r>
    </w:p>
    <w:p>
      <w:pPr>
        <w:pStyle w:val="Heading1"/>
        <w:spacing w:after="200" w:before="360"/>
      </w:pPr>
      <w:r>
        <w:rPr>
          <w:b/>
          <w:bCs/>
        </w:rPr>
        <w:t xml:space="preserve">PHASE 4: CATEGORY DEFINITION</w:t>
      </w:r>
    </w:p>
    <w:p>
      <w:pPr>
        <w:pStyle w:val="Heading2"/>
        <w:spacing w:after="200" w:before="360"/>
      </w:pPr>
      <w:r>
        <w:rPr>
          <w:b/>
          <w:bCs/>
        </w:rPr>
        <w:t xml:space="preserve">Execution Intelligence</w:t>
      </w:r>
    </w:p>
    <w:p>
      <w:pPr>
        <w:pBdr>
          <w:left w:val="single" w:color="C9A24D" w:sz="6" w:space="8"/>
        </w:pBdr>
        <w:shd w:fill="FFFBEB" w:val="clear"/>
        <w:spacing w:after="240" w:before="240"/>
        <w:ind w:left="480" w:right="480"/>
      </w:pPr>
      <w:r>
        <w:rPr>
          <w:rFonts w:ascii="Arial" w:cs="Arial" w:eastAsia="Arial" w:hAnsi="Arial"/>
          <w:i/>
          <w:iCs/>
          <w:color w:val="0F172A"/>
          <w:sz w:val="22"/>
          <w:szCs w:val="22"/>
        </w:rPr>
        <w:t xml:space="preserve">Execution Intelligence: The discipline of intercepting, evaluating intent and context of, and cryptographically recording every state-changing operation in a software system before it executes — with the authority to allow, deny, or escalate based on identity, declared purpose, risk classification, approval status, and policy — enforced through token-gated execution and immutable evidence.</w:t>
      </w:r>
    </w:p>
    <w:p>
      <w:pPr>
        <w:spacing w:after="160"/>
      </w:pPr>
      <w:r>
        <w:rPr>
          <w:rFonts w:ascii="Arial" w:cs="Arial" w:eastAsia="Arial" w:hAnsi="Arial"/>
          <w:b/>
          <w:bCs/>
          <w:color w:val="0F172A"/>
          <w:sz w:val="22"/>
          <w:szCs w:val="22"/>
        </w:rPr>
        <w:t xml:space="preserve">IAM: “Who are you?” </w:t>
      </w:r>
      <w:r>
        <w:rPr>
          <w:rFonts w:ascii="Arial" w:cs="Arial" w:eastAsia="Arial" w:hAnsi="Arial"/>
          <w:color w:val="334155"/>
          <w:sz w:val="22"/>
          <w:szCs w:val="22"/>
        </w:rPr>
        <w:t xml:space="preserve">Does not evaluate intent, risk, context, or approval freshness.</w:t>
      </w:r>
    </w:p>
    <w:p>
      <w:pPr>
        <w:spacing w:after="160"/>
      </w:pPr>
      <w:r>
        <w:rPr>
          <w:rFonts w:ascii="Arial" w:cs="Arial" w:eastAsia="Arial" w:hAnsi="Arial"/>
          <w:b/>
          <w:bCs/>
          <w:color w:val="0F172A"/>
          <w:sz w:val="22"/>
          <w:szCs w:val="22"/>
        </w:rPr>
        <w:t xml:space="preserve">Observability: “What happened?” </w:t>
      </w:r>
      <w:r>
        <w:rPr>
          <w:rFonts w:ascii="Arial" w:cs="Arial" w:eastAsia="Arial" w:hAnsi="Arial"/>
          <w:color w:val="334155"/>
          <w:sz w:val="22"/>
          <w:szCs w:val="22"/>
        </w:rPr>
        <w:t xml:space="preserve">Cannot prevent it. Cannot prove records are unaltered.</w:t>
      </w:r>
    </w:p>
    <w:p>
      <w:pPr>
        <w:spacing w:after="160"/>
      </w:pPr>
      <w:r>
        <w:rPr>
          <w:rFonts w:ascii="Arial" w:cs="Arial" w:eastAsia="Arial" w:hAnsi="Arial"/>
          <w:b/>
          <w:bCs/>
          <w:color w:val="0F172A"/>
          <w:sz w:val="22"/>
          <w:szCs w:val="22"/>
        </w:rPr>
        <w:t xml:space="preserve">AI Safety: “Is this LLM output safe?” </w:t>
      </w:r>
      <w:r>
        <w:rPr>
          <w:rFonts w:ascii="Arial" w:cs="Arial" w:eastAsia="Arial" w:hAnsi="Arial"/>
          <w:color w:val="334155"/>
          <w:sz w:val="22"/>
          <w:szCs w:val="22"/>
        </w:rPr>
        <w:t xml:space="preserve">Does not govern the 95% of operations that are not LLM interactions.</w:t>
      </w:r>
    </w:p>
    <w:p>
      <w:pPr>
        <w:spacing w:after="160"/>
      </w:pPr>
      <w:r>
        <w:rPr>
          <w:rFonts w:ascii="Arial" w:cs="Arial" w:eastAsia="Arial" w:hAnsi="Arial"/>
          <w:b/>
          <w:bCs/>
          <w:color w:val="0F172A"/>
          <w:sz w:val="22"/>
          <w:szCs w:val="22"/>
        </w:rPr>
        <w:t xml:space="preserve">Workflow engines: “What step is next?” </w:t>
      </w:r>
      <w:r>
        <w:rPr>
          <w:rFonts w:ascii="Arial" w:cs="Arial" w:eastAsia="Arial" w:hAnsi="Arial"/>
          <w:color w:val="334155"/>
          <w:sz w:val="22"/>
          <w:szCs w:val="22"/>
        </w:rPr>
        <w:t xml:space="preserve">Not security-first. No token-gated execution. No capability-decision binding. No breakglass.</w:t>
      </w:r>
    </w:p>
    <w:p>
      <w:pPr>
        <w:pStyle w:val="Heading2"/>
        <w:spacing w:after="200" w:before="360"/>
      </w:pPr>
      <w:r>
        <w:rPr>
          <w:b/>
          <w:bCs/>
        </w:rPr>
        <w:t xml:space="preserve">For Investors</w:t>
      </w:r>
    </w:p>
    <w:p>
      <w:pPr>
        <w:spacing w:after="160"/>
      </w:pPr>
      <w:r>
        <w:rPr>
          <w:rFonts w:ascii="Arial" w:cs="Arial" w:eastAsia="Arial" w:hAnsi="Arial"/>
          <w:color w:val="334155"/>
          <w:sz w:val="22"/>
          <w:szCs w:val="22"/>
        </w:rPr>
        <w:t xml:space="preserve">Every company deploying AI agents, automation, or multi-user admin systems faces the same problem: they cannot prove what their systems did, why, or whether they should have. Strix solves the whole problem with two layers: a governance control plane (decision state machine, execution tokens, capability grants, approval workflows, breakglass overrides) and an embeddable kernel (one-function middleware interception with SHA-256 evidence sealing). The control plane is built. The first production integration governs 84 capabilities across web, mobile, and automation. The market scales with AI deployment. Every software system needs execution intelligence. That number is growing exponentially.</w:t>
      </w:r>
    </w:p>
    <w:p>
      <w:r>
        <w:br w:type="page"/>
      </w:r>
    </w:p>
    <w:p>
      <w:pPr>
        <w:pStyle w:val="Heading1"/>
        <w:spacing w:after="200" w:before="360"/>
      </w:pPr>
      <w:r>
        <w:rPr>
          <w:b/>
          <w:bCs/>
        </w:rPr>
        <w:t xml:space="preserve">PHASE 5: SITE ASSESSMENT</w:t>
      </w:r>
    </w:p>
    <w:p>
      <w:pPr>
        <w:pBdr>
          <w:left w:val="single" w:color="C9A24D" w:sz="6" w:space="8"/>
        </w:pBdr>
        <w:spacing w:after="200" w:before="200"/>
        <w:ind w:left="720" w:right="720"/>
      </w:pPr>
      <w:r>
        <w:rPr>
          <w:rFonts w:ascii="Arial" w:cs="Arial" w:eastAsia="Arial" w:hAnsi="Arial"/>
          <w:i/>
          <w:iCs/>
          <w:color w:val="0F172A"/>
          <w:sz w:val="24"/>
          <w:szCs w:val="24"/>
        </w:rPr>
        <w:t xml:space="preserve">The velarisgroup.app homepage is strong. The proof page, how-it-works, pricing, about, and request-access pages are all built and on-message. This section identifies what’s excellent and what’s missing.</w:t>
      </w:r>
    </w:p>
    <w:p>
      <w:pPr>
        <w:pStyle w:val="Heading2"/>
        <w:spacing w:after="200" w:before="360"/>
      </w:pPr>
      <w:r>
        <w:rPr>
          <w:b/>
          <w:bCs/>
        </w:rPr>
        <w:t xml:space="preserve">What Is Excellent</w:t>
      </w:r>
    </w:p>
    <w:p>
      <w:pPr>
        <w:spacing w:after="160"/>
      </w:pPr>
      <w:r>
        <w:rPr>
          <w:rFonts w:ascii="Arial" w:cs="Arial" w:eastAsia="Arial" w:hAnsi="Arial"/>
          <w:b/>
          <w:bCs/>
          <w:color w:val="0F172A"/>
          <w:sz w:val="22"/>
          <w:szCs w:val="22"/>
        </w:rPr>
        <w:t xml:space="preserve">Hero. </w:t>
      </w:r>
      <w:r>
        <w:rPr>
          <w:rFonts w:ascii="Arial" w:cs="Arial" w:eastAsia="Arial" w:hAnsi="Arial"/>
          <w:color w:val="334155"/>
          <w:sz w:val="22"/>
          <w:szCs w:val="22"/>
        </w:rPr>
        <w:t xml:space="preserve">“Nothing executes until it is evaluated” with live production evidence table. Category-defining.</w:t>
      </w:r>
    </w:p>
    <w:p>
      <w:pPr>
        <w:spacing w:after="160"/>
      </w:pPr>
      <w:r>
        <w:rPr>
          <w:rFonts w:ascii="Arial" w:cs="Arial" w:eastAsia="Arial" w:hAnsi="Arial"/>
          <w:b/>
          <w:bCs/>
          <w:color w:val="0F172A"/>
          <w:sz w:val="22"/>
          <w:szCs w:val="22"/>
        </w:rPr>
        <w:t xml:space="preserve">Control Moment. </w:t>
      </w:r>
      <w:r>
        <w:rPr>
          <w:rFonts w:ascii="Arial" w:cs="Arial" w:eastAsia="Arial" w:hAnsi="Arial"/>
          <w:color w:val="334155"/>
          <w:sz w:val="22"/>
          <w:szCs w:val="22"/>
        </w:rPr>
        <w:t xml:space="preserve">Without/with Strix comparison using real production denial. The most powerful selling section.</w:t>
      </w:r>
    </w:p>
    <w:p>
      <w:pPr>
        <w:spacing w:after="160"/>
      </w:pPr>
      <w:r>
        <w:rPr>
          <w:rFonts w:ascii="Arial" w:cs="Arial" w:eastAsia="Arial" w:hAnsi="Arial"/>
          <w:b/>
          <w:bCs/>
          <w:color w:val="0F172A"/>
          <w:sz w:val="22"/>
          <w:szCs w:val="22"/>
        </w:rPr>
        <w:t xml:space="preserve">Intent Binding. </w:t>
      </w:r>
      <w:r>
        <w:rPr>
          <w:rFonts w:ascii="Arial" w:cs="Arial" w:eastAsia="Arial" w:hAnsi="Arial"/>
          <w:color w:val="334155"/>
          <w:sz w:val="22"/>
          <w:szCs w:val="22"/>
        </w:rPr>
        <w:t xml:space="preserve">Four scenarios demonstrating same-action-different-decision. No competitor can tell this story.</w:t>
      </w:r>
    </w:p>
    <w:p>
      <w:pPr>
        <w:spacing w:after="160"/>
      </w:pPr>
      <w:r>
        <w:rPr>
          <w:rFonts w:ascii="Arial" w:cs="Arial" w:eastAsia="Arial" w:hAnsi="Arial"/>
          <w:b/>
          <w:bCs/>
          <w:color w:val="0F172A"/>
          <w:sz w:val="22"/>
          <w:szCs w:val="22"/>
        </w:rPr>
        <w:t xml:space="preserve">Proof page. </w:t>
      </w:r>
      <w:r>
        <w:rPr>
          <w:rFonts w:ascii="Arial" w:cs="Arial" w:eastAsia="Arial" w:hAnsi="Arial"/>
          <w:color w:val="334155"/>
          <w:sz w:val="22"/>
          <w:szCs w:val="22"/>
        </w:rPr>
        <w:t xml:space="preserve">Live stats, three evidence examples (ALLOW/DENY/ESCALATE), intent comparison cards, engineering transparency section. Honest and credible.</w:t>
      </w:r>
    </w:p>
    <w:p>
      <w:pPr>
        <w:spacing w:after="160"/>
      </w:pPr>
      <w:r>
        <w:rPr>
          <w:rFonts w:ascii="Arial" w:cs="Arial" w:eastAsia="Arial" w:hAnsi="Arial"/>
          <w:b/>
          <w:bCs/>
          <w:color w:val="0F172A"/>
          <w:sz w:val="22"/>
          <w:szCs w:val="22"/>
        </w:rPr>
        <w:t xml:space="preserve">How-it-works. </w:t>
      </w:r>
      <w:r>
        <w:rPr>
          <w:rFonts w:ascii="Arial" w:cs="Arial" w:eastAsia="Arial" w:hAnsi="Arial"/>
          <w:color w:val="334155"/>
          <w:sz w:val="22"/>
          <w:szCs w:val="22"/>
        </w:rPr>
        <w:t xml:space="preserve">Integration pattern with before/after code, four-stage pipeline, intent evaluation explanation, capability registry example, dual-engine architecture, evidence trail properties.</w:t>
      </w:r>
    </w:p>
    <w:p>
      <w:pPr>
        <w:spacing w:after="160"/>
      </w:pPr>
      <w:r>
        <w:rPr>
          <w:rFonts w:ascii="Arial" w:cs="Arial" w:eastAsia="Arial" w:hAnsi="Arial"/>
          <w:b/>
          <w:bCs/>
          <w:color w:val="0F172A"/>
          <w:sz w:val="22"/>
          <w:szCs w:val="22"/>
        </w:rPr>
        <w:t xml:space="preserve">About page. </w:t>
      </w:r>
      <w:r>
        <w:rPr>
          <w:rFonts w:ascii="Arial" w:cs="Arial" w:eastAsia="Arial" w:hAnsi="Arial"/>
          <w:color w:val="334155"/>
          <w:sz w:val="22"/>
          <w:szCs w:val="22"/>
        </w:rPr>
        <w:t xml:space="preserve">Category definition (“Execution Control → Execution Intelligence” progression), positioning box, target audience list. The narrative arc is right.</w:t>
      </w:r>
    </w:p>
    <w:p>
      <w:pPr>
        <w:spacing w:after="160"/>
      </w:pPr>
      <w:r>
        <w:rPr>
          <w:rFonts w:ascii="Arial" w:cs="Arial" w:eastAsia="Arial" w:hAnsi="Arial"/>
          <w:b/>
          <w:bCs/>
          <w:color w:val="0F172A"/>
          <w:sz w:val="22"/>
          <w:szCs w:val="22"/>
        </w:rPr>
        <w:t xml:space="preserve">Pricing. </w:t>
      </w:r>
      <w:r>
        <w:rPr>
          <w:rFonts w:ascii="Arial" w:cs="Arial" w:eastAsia="Arial" w:hAnsi="Arial"/>
          <w:color w:val="334155"/>
          <w:sz w:val="22"/>
          <w:szCs w:val="22"/>
        </w:rPr>
        <w:t xml:space="preserve">Beta Access + Enterprise tiers. FAQ addresses key objections. Clean and appropriate for stage.</w:t>
      </w:r>
    </w:p>
    <w:p>
      <w:pPr>
        <w:pStyle w:val="Heading2"/>
        <w:spacing w:after="200" w:before="360"/>
      </w:pPr>
      <w:r>
        <w:rPr>
          <w:b/>
          <w:bCs/>
        </w:rPr>
        <w:t xml:space="preserve">What’s Missing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Gap</w:t>
            </w:r>
          </w:p>
        </w:tc>
        <w:tc>
          <w:tcPr>
            <w:tcW w:type="dxa" w:w="312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c>
          <w:tcPr>
            <w:tcW w:type="dxa" w:w="312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Recommendation</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No mention of the decision state machine</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The frozen state machine (DRAFT → PROPOSED → EVALUATED → APPROVED → EXECUTING → EXECUTED) is the core product. The site only shows allow/deny/escalate.</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Add a “Decision Lifecycle” section to /how-it-works showing the full state machine.</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No mention of execution tokens</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HMAC-signed, single-use, scope-bound tokens are the enforcement gate. This is the technical moat.</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Add to /how-it-works: “Token-Gated Execution” section with stx1 format.</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No mention of capability-decision binding</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Every grant traces to its authorizing decision. This is the provenance chain.</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Add to /proof or /how-it-works as a “Capability Provenance” section.</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No mention of breakglass</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Emergency override with separation of duty is a enterprise selling point.</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Add to /how-it-works or create /enterprise page.</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No mention of approval TTL</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Rolling window approval expiry prevents “approve and forget”. Unique feature.</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Mention in decision lifecycle section.</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SHA-256 evidence hashing invisible</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The Academy kernel now computes evidence_hash. Not shown on site.</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Add evidence_hash column to hero table. Add “Cryptographic Sealing” section.</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Site says “Execution Control” on about page but meta says “Execution Intelligence”</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Category name inconsistency. Both are used.</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Standardize on “Execution Intelligence” everywhere. The intent evaluation dimension justifies the upgrade.</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Console dashboard not shown</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The product has a full governance dashboard. Prospects can’t see it.</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Add screenshots or interactive preview to /proof.</w:t>
            </w:r>
          </w:p>
        </w:tc>
      </w:tr>
    </w:tbl>
    <w:p>
      <w:r>
        <w:br w:type="page"/>
      </w:r>
    </w:p>
    <w:p>
      <w:pPr>
        <w:pStyle w:val="Heading1"/>
        <w:spacing w:after="200" w:before="360"/>
      </w:pPr>
      <w:r>
        <w:rPr>
          <w:b/>
          <w:bCs/>
        </w:rPr>
        <w:t xml:space="preserve">PHASE 6: NARRATIVE ALIGNMENT</w:t>
      </w:r>
    </w:p>
    <w:p>
      <w:pPr>
        <w:pStyle w:val="Heading2"/>
        <w:spacing w:after="200" w:before="360"/>
      </w:pPr>
      <w:r>
        <w:rPr>
          <w:b/>
          <w:bCs/>
        </w:rPr>
        <w:t xml:space="preserve">The Unified Story</w:t>
      </w:r>
    </w:p>
    <w:p>
      <w:pPr>
        <w:shd w:fill="F1F5F9" w:val="clear"/>
        <w:spacing w:after="200" w:before="200"/>
        <w:ind w:left="480" w:right="480"/>
      </w:pPr>
      <w:r>
        <w:rPr>
          <w:rFonts w:ascii="Arial" w:cs="Arial" w:eastAsia="Arial" w:hAnsi="Arial"/>
          <w:color w:val="0F172A"/>
          <w:sz w:val="22"/>
          <w:szCs w:val="22"/>
        </w:rPr>
        <w:t xml:space="preserve">Every software system that deploys AI agents, automation, or multi-user admin operations has the same problem: things happen that nobody can prove should have happened. Strix solves this at two layers. The governance control plane implements a frozen decision state machine: every action is proposed, evaluated against policy, approved by qualified actors, and authorized with a cryptographic execution token before it can execute. The embeddable kernel intercepts every mutation at the application boundary, evaluates intent and context, and records SHA-256 sealed evidence. Together they guarantee: nothing executes without evaluation, nothing is granted without a decision, and nothing is decided without proof. This is Execution Intelligence.</w:t>
      </w:r>
    </w:p>
    <w:p>
      <w:pPr>
        <w:pStyle w:val="Heading2"/>
        <w:spacing w:after="200" w:before="360"/>
      </w:pPr>
      <w:r>
        <w:rPr>
          <w:b/>
          <w:bCs/>
        </w:rPr>
        <w:t xml:space="preserve">Demo Script (Full Product)</w:t>
      </w:r>
    </w:p>
    <w:p>
      <w:pPr>
        <w:pStyle w:val="ListParagraph"/>
        <w:numPr>
          <w:ilvl w:val="0"/>
          <w:numId w:val="2"/>
        </w:numPr>
        <w:spacing w:after="120"/>
      </w:pPr>
      <w:r>
        <w:rPr>
          <w:rFonts w:ascii="Arial" w:cs="Arial" w:eastAsia="Arial" w:hAnsi="Arial"/>
          <w:b/>
          <w:bCs/>
          <w:color w:val="0F172A"/>
          <w:sz w:val="22"/>
          <w:szCs w:val="22"/>
        </w:rPr>
        <w:t xml:space="preserve">Open with the evidence. </w:t>
      </w:r>
      <w:r>
        <w:rPr>
          <w:rFonts w:ascii="Arial" w:cs="Arial" w:eastAsia="Arial" w:hAnsi="Arial"/>
          <w:color w:val="334155"/>
          <w:sz w:val="22"/>
          <w:szCs w:val="22"/>
        </w:rPr>
        <w:t xml:space="preserve">Live hero table. “This is production data. Real denials. Real evidence hashes.”</w:t>
      </w:r>
    </w:p>
    <w:p>
      <w:pPr>
        <w:pStyle w:val="ListParagraph"/>
        <w:numPr>
          <w:ilvl w:val="0"/>
          <w:numId w:val="2"/>
        </w:numPr>
        <w:spacing w:after="120"/>
      </w:pPr>
      <w:r>
        <w:rPr>
          <w:rFonts w:ascii="Arial" w:cs="Arial" w:eastAsia="Arial" w:hAnsi="Arial"/>
          <w:b/>
          <w:bCs/>
          <w:color w:val="0F172A"/>
          <w:sz w:val="22"/>
          <w:szCs w:val="22"/>
        </w:rPr>
        <w:t xml:space="preserve">Show the control moment. </w:t>
      </w:r>
      <w:r>
        <w:rPr>
          <w:rFonts w:ascii="Arial" w:cs="Arial" w:eastAsia="Arial" w:hAnsi="Arial"/>
          <w:color w:val="334155"/>
          <w:sz w:val="22"/>
          <w:szCs w:val="22"/>
        </w:rPr>
        <w:t xml:space="preserve">Without/with comparison. “Without Strix: uncontrolled privilege escalation. With Strix: blocked, sealed, zero ambiguity.”</w:t>
      </w:r>
    </w:p>
    <w:p>
      <w:pPr>
        <w:pStyle w:val="ListParagraph"/>
        <w:numPr>
          <w:ilvl w:val="0"/>
          <w:numId w:val="2"/>
        </w:numPr>
        <w:spacing w:after="120"/>
      </w:pPr>
      <w:r>
        <w:rPr>
          <w:rFonts w:ascii="Arial" w:cs="Arial" w:eastAsia="Arial" w:hAnsi="Arial"/>
          <w:b/>
          <w:bCs/>
          <w:color w:val="0F172A"/>
          <w:sz w:val="22"/>
          <w:szCs w:val="22"/>
        </w:rPr>
        <w:t xml:space="preserve">Walk the decision lifecycle. </w:t>
      </w:r>
      <w:r>
        <w:rPr>
          <w:rFonts w:ascii="Arial" w:cs="Arial" w:eastAsia="Arial" w:hAnsi="Arial"/>
          <w:color w:val="334155"/>
          <w:sz w:val="22"/>
          <w:szCs w:val="22"/>
        </w:rPr>
        <w:t xml:space="preserve">Create a decision → submit → evaluate (policy snapshot captured) → collect approvals → issue execution token → execute → receipt. “Every step is audited. The state machine is frozen.”</w:t>
      </w:r>
    </w:p>
    <w:p>
      <w:pPr>
        <w:pStyle w:val="ListParagraph"/>
        <w:numPr>
          <w:ilvl w:val="0"/>
          <w:numId w:val="2"/>
        </w:numPr>
        <w:spacing w:after="120"/>
      </w:pPr>
      <w:r>
        <w:rPr>
          <w:rFonts w:ascii="Arial" w:cs="Arial" w:eastAsia="Arial" w:hAnsi="Arial"/>
          <w:b/>
          <w:bCs/>
          <w:color w:val="0F172A"/>
          <w:sz w:val="22"/>
          <w:szCs w:val="22"/>
        </w:rPr>
        <w:t xml:space="preserve">Demonstrate intent evaluation. </w:t>
      </w:r>
      <w:r>
        <w:rPr>
          <w:rFonts w:ascii="Arial" w:cs="Arial" w:eastAsia="Arial" w:hAnsi="Arial"/>
          <w:color w:val="334155"/>
          <w:sz w:val="22"/>
          <w:szCs w:val="22"/>
        </w:rPr>
        <w:t xml:space="preserve">Same action, different intent, different decision. “This is why it’s intelligence, not just control.”</w:t>
      </w:r>
    </w:p>
    <w:p>
      <w:pPr>
        <w:pStyle w:val="ListParagraph"/>
        <w:numPr>
          <w:ilvl w:val="0"/>
          <w:numId w:val="2"/>
        </w:numPr>
        <w:spacing w:after="120"/>
      </w:pPr>
      <w:r>
        <w:rPr>
          <w:rFonts w:ascii="Arial" w:cs="Arial" w:eastAsia="Arial" w:hAnsi="Arial"/>
          <w:b/>
          <w:bCs/>
          <w:color w:val="0F172A"/>
          <w:sz w:val="22"/>
          <w:szCs w:val="22"/>
        </w:rPr>
        <w:t xml:space="preserve">Show execution tokens. </w:t>
      </w:r>
      <w:r>
        <w:rPr>
          <w:rFonts w:ascii="Arial" w:cs="Arial" w:eastAsia="Arial" w:hAnsi="Arial"/>
          <w:color w:val="334155"/>
          <w:sz w:val="22"/>
          <w:szCs w:val="22"/>
        </w:rPr>
        <w:t xml:space="preserve">Issue a token. Show the stx1 format. Show the 5-minute TTL. Attempt replay. “409 REPLAY. Single-use. Scope-bound. Cannot be reused.”</w:t>
      </w:r>
    </w:p>
    <w:p>
      <w:pPr>
        <w:pStyle w:val="ListParagraph"/>
        <w:numPr>
          <w:ilvl w:val="0"/>
          <w:numId w:val="2"/>
        </w:numPr>
        <w:spacing w:after="120"/>
      </w:pPr>
      <w:r>
        <w:rPr>
          <w:rFonts w:ascii="Arial" w:cs="Arial" w:eastAsia="Arial" w:hAnsi="Arial"/>
          <w:b/>
          <w:bCs/>
          <w:color w:val="0F172A"/>
          <w:sz w:val="22"/>
          <w:szCs w:val="22"/>
        </w:rPr>
        <w:t xml:space="preserve">Show breakglass. </w:t>
      </w:r>
      <w:r>
        <w:rPr>
          <w:rFonts w:ascii="Arial" w:cs="Arial" w:eastAsia="Arial" w:hAnsi="Arial"/>
          <w:color w:val="334155"/>
          <w:sz w:val="22"/>
          <w:szCs w:val="22"/>
        </w:rPr>
        <w:t xml:space="preserve">CRITICAL decision. Proposer tries to initiate breakglass. “403 SELF_INITIATION_FORBIDDEN.” Different actor initiates with justification. “Emergency override with full audit trail.”</w:t>
      </w:r>
    </w:p>
    <w:p>
      <w:pPr>
        <w:pStyle w:val="ListParagraph"/>
        <w:numPr>
          <w:ilvl w:val="0"/>
          <w:numId w:val="2"/>
        </w:numPr>
        <w:spacing w:after="120"/>
      </w:pPr>
      <w:r>
        <w:rPr>
          <w:rFonts w:ascii="Arial" w:cs="Arial" w:eastAsia="Arial" w:hAnsi="Arial"/>
          <w:b/>
          <w:bCs/>
          <w:color w:val="0F172A"/>
          <w:sz w:val="22"/>
          <w:szCs w:val="22"/>
        </w:rPr>
        <w:t xml:space="preserve">Show the one-line integration. </w:t>
      </w:r>
      <w:r>
        <w:rPr>
          <w:rFonts w:ascii="Arial" w:cs="Arial" w:eastAsia="Arial" w:hAnsi="Arial"/>
          <w:color w:val="334155"/>
          <w:sz w:val="22"/>
          <w:szCs w:val="22"/>
        </w:rPr>
        <w:t xml:space="preserve">adminProcedure → governedProcedure. “84 capabilities. One function call each. Zero bypasses.”</w:t>
      </w:r>
    </w:p>
    <w:p>
      <w:pPr>
        <w:pStyle w:val="ListParagraph"/>
        <w:numPr>
          <w:ilvl w:val="0"/>
          <w:numId w:val="2"/>
        </w:numPr>
        <w:spacing w:after="120"/>
      </w:pPr>
      <w:r>
        <w:rPr>
          <w:rFonts w:ascii="Arial" w:cs="Arial" w:eastAsia="Arial" w:hAnsi="Arial"/>
          <w:b/>
          <w:bCs/>
          <w:color w:val="0F172A"/>
          <w:sz w:val="22"/>
          <w:szCs w:val="22"/>
        </w:rPr>
        <w:t xml:space="preserve">Close with numbers. </w:t>
      </w:r>
      <w:r>
        <w:rPr>
          <w:rFonts w:ascii="Arial" w:cs="Arial" w:eastAsia="Arial" w:hAnsi="Arial"/>
          <w:color w:val="334155"/>
          <w:sz w:val="22"/>
          <w:szCs w:val="22"/>
        </w:rPr>
        <w:t xml:space="preserve">84 capabilities. 12 decisions. 1 blocked. Frozen state machine. HMAC tokens. SHA-256 evidence. “In production today.”</w:t>
      </w:r>
    </w:p>
    <w:p>
      <w:pPr>
        <w:pStyle w:val="Heading2"/>
        <w:spacing w:after="200" w:before="360"/>
      </w:pPr>
      <w:r>
        <w:rPr>
          <w:b/>
          <w:bCs/>
        </w:rPr>
        <w:t xml:space="preserve">Investor Arc (Full Product)</w:t>
      </w:r>
    </w:p>
    <w:p>
      <w:pPr>
        <w:pStyle w:val="ListParagraph"/>
        <w:numPr>
          <w:ilvl w:val="0"/>
          <w:numId w:val="2"/>
        </w:numPr>
        <w:spacing w:after="120"/>
      </w:pPr>
      <w:r>
        <w:rPr>
          <w:rFonts w:ascii="Arial" w:cs="Arial" w:eastAsia="Arial" w:hAnsi="Arial"/>
          <w:b/>
          <w:bCs/>
          <w:color w:val="0F172A"/>
          <w:sz w:val="22"/>
          <w:szCs w:val="22"/>
        </w:rPr>
        <w:t xml:space="preserve"/>
      </w:r>
      <w:r>
        <w:rPr>
          <w:rFonts w:ascii="Arial" w:cs="Arial" w:eastAsia="Arial" w:hAnsi="Arial"/>
          <w:color w:val="334155"/>
          <w:sz w:val="22"/>
          <w:szCs w:val="22"/>
        </w:rPr>
        <w:t xml:space="preserve">AI agents and automation are being deployed at unprecedented scale.</w:t>
      </w:r>
    </w:p>
    <w:p>
      <w:pPr>
        <w:pStyle w:val="ListParagraph"/>
        <w:numPr>
          <w:ilvl w:val="0"/>
          <w:numId w:val="2"/>
        </w:numPr>
        <w:spacing w:after="120"/>
      </w:pPr>
      <w:r>
        <w:rPr>
          <w:rFonts w:ascii="Arial" w:cs="Arial" w:eastAsia="Arial" w:hAnsi="Arial"/>
          <w:b/>
          <w:bCs/>
          <w:color w:val="0F172A"/>
          <w:sz w:val="22"/>
          <w:szCs w:val="22"/>
        </w:rPr>
        <w:t xml:space="preserve"/>
      </w:r>
      <w:r>
        <w:rPr>
          <w:rFonts w:ascii="Arial" w:cs="Arial" w:eastAsia="Arial" w:hAnsi="Arial"/>
          <w:color w:val="334155"/>
          <w:sz w:val="22"/>
          <w:szCs w:val="22"/>
        </w:rPr>
        <w:t xml:space="preserve">Nobody can prove what those systems did, whether they should have, or that the records are unaltered.</w:t>
      </w:r>
    </w:p>
    <w:p>
      <w:pPr>
        <w:pStyle w:val="ListParagraph"/>
        <w:numPr>
          <w:ilvl w:val="0"/>
          <w:numId w:val="2"/>
        </w:numPr>
        <w:spacing w:after="120"/>
      </w:pPr>
      <w:r>
        <w:rPr>
          <w:rFonts w:ascii="Arial" w:cs="Arial" w:eastAsia="Arial" w:hAnsi="Arial"/>
          <w:b/>
          <w:bCs/>
          <w:color w:val="0F172A"/>
          <w:sz w:val="22"/>
          <w:szCs w:val="22"/>
        </w:rPr>
        <w:t xml:space="preserve"/>
      </w:r>
      <w:r>
        <w:rPr>
          <w:rFonts w:ascii="Arial" w:cs="Arial" w:eastAsia="Arial" w:hAnsi="Arial"/>
          <w:color w:val="334155"/>
          <w:sz w:val="22"/>
          <w:szCs w:val="22"/>
        </w:rPr>
        <w:t xml:space="preserve">Existing tools solve fragments. RBAC: identity. Logging: history. Guardrails: LLM outputs. Workflow engines: orchestration. None provide security-first governance with token-gated execution.</w:t>
      </w:r>
    </w:p>
    <w:p>
      <w:pPr>
        <w:pStyle w:val="ListParagraph"/>
        <w:numPr>
          <w:ilvl w:val="0"/>
          <w:numId w:val="2"/>
        </w:numPr>
        <w:spacing w:after="120"/>
      </w:pPr>
      <w:r>
        <w:rPr>
          <w:rFonts w:ascii="Arial" w:cs="Arial" w:eastAsia="Arial" w:hAnsi="Arial"/>
          <w:b/>
          <w:bCs/>
          <w:color w:val="0F172A"/>
          <w:sz w:val="22"/>
          <w:szCs w:val="22"/>
        </w:rPr>
        <w:t xml:space="preserve"/>
      </w:r>
      <w:r>
        <w:rPr>
          <w:rFonts w:ascii="Arial" w:cs="Arial" w:eastAsia="Arial" w:hAnsi="Arial"/>
          <w:color w:val="334155"/>
          <w:sz w:val="22"/>
          <w:szCs w:val="22"/>
        </w:rPr>
        <w:t xml:space="preserve">We built Strix. A governance control plane with a frozen decision state machine, HMAC execution tokens, multi-party approvals with TTL, breakglass overrides, and capability-decision binding. Plus an embeddable kernel that activates in one function call.</w:t>
      </w:r>
    </w:p>
    <w:p>
      <w:pPr>
        <w:pStyle w:val="ListParagraph"/>
        <w:numPr>
          <w:ilvl w:val="0"/>
          <w:numId w:val="2"/>
        </w:numPr>
        <w:spacing w:after="120"/>
      </w:pPr>
      <w:r>
        <w:rPr>
          <w:rFonts w:ascii="Arial" w:cs="Arial" w:eastAsia="Arial" w:hAnsi="Arial"/>
          <w:b/>
          <w:bCs/>
          <w:color w:val="0F172A"/>
          <w:sz w:val="22"/>
          <w:szCs w:val="22"/>
        </w:rPr>
        <w:t xml:space="preserve"/>
      </w:r>
      <w:r>
        <w:rPr>
          <w:rFonts w:ascii="Arial" w:cs="Arial" w:eastAsia="Arial" w:hAnsi="Arial"/>
          <w:color w:val="334155"/>
          <w:sz w:val="22"/>
          <w:szCs w:val="22"/>
        </w:rPr>
        <w:t xml:space="preserve">It is in production. 84 capabilities governed. 12 decisions. 1 critical action blocked. Full evidence trail.</w:t>
      </w:r>
    </w:p>
    <w:p>
      <w:pPr>
        <w:pStyle w:val="ListParagraph"/>
        <w:numPr>
          <w:ilvl w:val="0"/>
          <w:numId w:val="2"/>
        </w:numPr>
        <w:spacing w:after="120"/>
      </w:pPr>
      <w:r>
        <w:rPr>
          <w:rFonts w:ascii="Arial" w:cs="Arial" w:eastAsia="Arial" w:hAnsi="Arial"/>
          <w:b/>
          <w:bCs/>
          <w:color w:val="0F172A"/>
          <w:sz w:val="22"/>
          <w:szCs w:val="22"/>
        </w:rPr>
        <w:t xml:space="preserve"/>
      </w:r>
      <w:r>
        <w:rPr>
          <w:rFonts w:ascii="Arial" w:cs="Arial" w:eastAsia="Arial" w:hAnsi="Arial"/>
          <w:color w:val="334155"/>
          <w:sz w:val="22"/>
          <w:szCs w:val="22"/>
        </w:rPr>
        <w:t xml:space="preserve">This is Execution Intelligence. A new category. We defined it. We’re the first product.</w:t>
      </w:r>
    </w:p>
    <w:p>
      <w:pPr>
        <w:pStyle w:val="ListParagraph"/>
        <w:numPr>
          <w:ilvl w:val="0"/>
          <w:numId w:val="2"/>
        </w:numPr>
        <w:spacing w:after="120"/>
      </w:pPr>
      <w:r>
        <w:rPr>
          <w:rFonts w:ascii="Arial" w:cs="Arial" w:eastAsia="Arial" w:hAnsi="Arial"/>
          <w:b/>
          <w:bCs/>
          <w:color w:val="0F172A"/>
          <w:sz w:val="22"/>
          <w:szCs w:val="22"/>
        </w:rPr>
        <w:t xml:space="preserve"/>
      </w:r>
      <w:r>
        <w:rPr>
          <w:rFonts w:ascii="Arial" w:cs="Arial" w:eastAsia="Arial" w:hAnsi="Arial"/>
          <w:color w:val="334155"/>
          <w:sz w:val="22"/>
          <w:szCs w:val="22"/>
        </w:rPr>
        <w:t xml:space="preserve">The market is every software system deploying AI or automation. That’s every software company.</w:t>
      </w:r>
    </w:p>
    <w:p>
      <w:r>
        <w:br w:type="page"/>
      </w:r>
    </w:p>
    <w:p>
      <w:pPr>
        <w:pStyle w:val="Heading1"/>
        <w:spacing w:after="200" w:before="360"/>
      </w:pPr>
      <w:r>
        <w:rPr>
          <w:b/>
          <w:bCs/>
        </w:rPr>
        <w:t xml:space="preserve">PHASE 7: MARKET ACTIVATION</w:t>
      </w:r>
    </w:p>
    <w:p>
      <w:pPr>
        <w:pStyle w:val="Heading2"/>
        <w:spacing w:after="200" w:before="360"/>
      </w:pPr>
      <w:r>
        <w:rPr>
          <w:b/>
          <w:bCs/>
        </w:rPr>
        <w:t xml:space="preserve">Week 1: The Problem</w:t>
      </w:r>
    </w:p>
    <w:p>
      <w:pPr>
        <w:spacing w:after="160"/>
      </w:pPr>
      <w:r>
        <w:rPr>
          <w:rFonts w:ascii="Arial" w:cs="Arial" w:eastAsia="Arial" w:hAnsi="Arial"/>
          <w:b/>
          <w:bCs/>
          <w:color w:val="0F172A"/>
          <w:sz w:val="22"/>
          <w:szCs w:val="22"/>
        </w:rPr>
        <w:t xml:space="preserve">Day 1: </w:t>
      </w:r>
      <w:r>
        <w:rPr>
          <w:rFonts w:ascii="Arial" w:cs="Arial" w:eastAsia="Arial" w:hAnsi="Arial"/>
          <w:color w:val="334155"/>
          <w:sz w:val="22"/>
          <w:szCs w:val="22"/>
        </w:rPr>
        <w:t xml:space="preserve">“Every AI agent you deploy is doing things you can’t prove. Every admin action is a liability you can’t audit. And every log file you rely on could have been modified after the fact.”</w:t>
      </w:r>
    </w:p>
    <w:p>
      <w:pPr>
        <w:spacing w:after="160"/>
      </w:pPr>
      <w:r>
        <w:rPr>
          <w:rFonts w:ascii="Arial" w:cs="Arial" w:eastAsia="Arial" w:hAnsi="Arial"/>
          <w:b/>
          <w:bCs/>
          <w:color w:val="0F172A"/>
          <w:sz w:val="22"/>
          <w:szCs w:val="22"/>
        </w:rPr>
        <w:t xml:space="preserve">Day 3: </w:t>
      </w:r>
      <w:r>
        <w:rPr>
          <w:rFonts w:ascii="Arial" w:cs="Arial" w:eastAsia="Arial" w:hAnsi="Arial"/>
          <w:color w:val="334155"/>
          <w:sz w:val="22"/>
          <w:szCs w:val="22"/>
        </w:rPr>
        <w:t xml:space="preserve">“RBAC answers ‘who can?’ It cannot answer ‘who should, right now, with this intent?’ A verified admin deleting a schedule at 2 PM to clean up a duplicate? Fine. A service account deleting the same schedule at 3 AM via raw API with no declared purpose? Not fine. Your permission system treats these identically.”</w:t>
      </w:r>
    </w:p>
    <w:p>
      <w:pPr>
        <w:spacing w:after="160"/>
      </w:pPr>
      <w:r>
        <w:rPr>
          <w:rFonts w:ascii="Arial" w:cs="Arial" w:eastAsia="Arial" w:hAnsi="Arial"/>
          <w:b/>
          <w:bCs/>
          <w:color w:val="0F172A"/>
          <w:sz w:val="22"/>
          <w:szCs w:val="22"/>
        </w:rPr>
        <w:t xml:space="preserve">Day 5: </w:t>
      </w:r>
      <w:r>
        <w:rPr>
          <w:rFonts w:ascii="Arial" w:cs="Arial" w:eastAsia="Arial" w:hAnsi="Arial"/>
          <w:color w:val="334155"/>
          <w:sz w:val="22"/>
          <w:szCs w:val="22"/>
        </w:rPr>
        <w:t xml:space="preserve">“Your logs tell you what happened — after it happened. They cannot prevent it. They cannot deny it. And they cannot prove they haven’t been altered.”</w:t>
      </w:r>
    </w:p>
    <w:p>
      <w:pPr>
        <w:spacing w:after="160"/>
      </w:pPr>
      <w:r>
        <w:rPr>
          <w:rFonts w:ascii="Arial" w:cs="Arial" w:eastAsia="Arial" w:hAnsi="Arial"/>
          <w:b/>
          <w:bCs/>
          <w:color w:val="0F172A"/>
          <w:sz w:val="22"/>
          <w:szCs w:val="22"/>
        </w:rPr>
        <w:t xml:space="preserve">Day 7: </w:t>
      </w:r>
      <w:r>
        <w:rPr>
          <w:rFonts w:ascii="Arial" w:cs="Arial" w:eastAsia="Arial" w:hAnsi="Arial"/>
          <w:color w:val="334155"/>
          <w:sz w:val="22"/>
          <w:szCs w:val="22"/>
        </w:rPr>
        <w:t xml:space="preserve">“Every operation should produce one of three outcomes: Allow. Deny. Escalate. If your system only supports two, you have a blind spot. And if your decisions aren’t cryptographically sealed, you have opinions, not proof.”</w:t>
      </w:r>
    </w:p>
    <w:p>
      <w:pPr>
        <w:pStyle w:val="Heading2"/>
        <w:spacing w:after="200" w:before="360"/>
      </w:pPr>
      <w:r>
        <w:rPr>
          <w:b/>
          <w:bCs/>
        </w:rPr>
        <w:t xml:space="preserve">Week 2: The Reveal</w:t>
      </w:r>
    </w:p>
    <w:p>
      <w:pPr>
        <w:spacing w:after="160"/>
      </w:pPr>
      <w:r>
        <w:rPr>
          <w:rFonts w:ascii="Arial" w:cs="Arial" w:eastAsia="Arial" w:hAnsi="Arial"/>
          <w:b/>
          <w:bCs/>
          <w:color w:val="0F172A"/>
          <w:sz w:val="22"/>
          <w:szCs w:val="22"/>
        </w:rPr>
        <w:t xml:space="preserve">Day 8: </w:t>
      </w:r>
      <w:r>
        <w:rPr>
          <w:rFonts w:ascii="Arial" w:cs="Arial" w:eastAsia="Arial" w:hAnsi="Arial"/>
          <w:color w:val="334155"/>
          <w:sz w:val="22"/>
          <w:szCs w:val="22"/>
        </w:rPr>
        <w:t xml:space="preserve">“What if nothing in your system could execute until a frozen state machine had evaluated it, qualified actors had approved it, and a cryptographic token had been issued specifically for that action? This is not a thought experiment.”</w:t>
      </w:r>
    </w:p>
    <w:p>
      <w:pPr>
        <w:spacing w:after="160"/>
      </w:pPr>
      <w:r>
        <w:rPr>
          <w:rFonts w:ascii="Arial" w:cs="Arial" w:eastAsia="Arial" w:hAnsi="Arial"/>
          <w:b/>
          <w:bCs/>
          <w:color w:val="0F172A"/>
          <w:sz w:val="22"/>
          <w:szCs w:val="22"/>
        </w:rPr>
        <w:t xml:space="preserve">Day 10: </w:t>
      </w:r>
      <w:r>
        <w:rPr>
          <w:rFonts w:ascii="Arial" w:cs="Arial" w:eastAsia="Arial" w:hAnsi="Arial"/>
          <w:color w:val="334155"/>
          <w:sz w:val="22"/>
          <w:szCs w:val="22"/>
        </w:rPr>
        <w:t xml:space="preserve">“84 capabilities. A frozen decision state machine. HMAC-signed execution tokens. Multi-party approvals with rolling TTL. SHA-256 sealed evidence. Running in production. This is Strix.”</w:t>
      </w:r>
    </w:p>
    <w:p>
      <w:pPr>
        <w:spacing w:after="160"/>
      </w:pPr>
      <w:r>
        <w:rPr>
          <w:rFonts w:ascii="Arial" w:cs="Arial" w:eastAsia="Arial" w:hAnsi="Arial"/>
          <w:b/>
          <w:bCs/>
          <w:color w:val="0F172A"/>
          <w:sz w:val="22"/>
          <w:szCs w:val="22"/>
        </w:rPr>
        <w:t xml:space="preserve">Day 12: </w:t>
      </w:r>
      <w:r>
        <w:rPr>
          <w:rFonts w:ascii="Arial" w:cs="Arial" w:eastAsia="Arial" w:hAnsi="Arial"/>
          <w:color w:val="334155"/>
          <w:sz w:val="22"/>
          <w:szCs w:val="22"/>
        </w:rPr>
        <w:t xml:space="preserve">Show the code diff. “One function. Complete governance. Structural enforcement. Token-gated execution. Evidence sealing. No configuration. Structural guarantee.”</w:t>
      </w:r>
    </w:p>
    <w:p>
      <w:pPr>
        <w:spacing w:after="160"/>
      </w:pPr>
      <w:r>
        <w:rPr>
          <w:rFonts w:ascii="Arial" w:cs="Arial" w:eastAsia="Arial" w:hAnsi="Arial"/>
          <w:b/>
          <w:bCs/>
          <w:color w:val="0F172A"/>
          <w:sz w:val="22"/>
          <w:szCs w:val="22"/>
        </w:rPr>
        <w:t xml:space="preserve">Day 14: </w:t>
      </w:r>
      <w:r>
        <w:rPr>
          <w:rFonts w:ascii="Arial" w:cs="Arial" w:eastAsia="Arial" w:hAnsi="Arial"/>
          <w:color w:val="334155"/>
          <w:sz w:val="22"/>
          <w:szCs w:val="22"/>
        </w:rPr>
        <w:t xml:space="preserve">“Execution Intelligence is the layer that asks: ‘Should you, right now, given everything we know about what you’re doing and why?’ — then issues a cryptographic token authorizing exactly that action and nothing else. We built the first product. It’s in production today.”</w:t>
      </w:r>
    </w:p>
    <w:p>
      <w:r>
        <w:br w:type="page"/>
      </w:r>
    </w:p>
    <w:p>
      <w:pPr>
        <w:pStyle w:val="Heading1"/>
        <w:spacing w:after="200" w:before="360"/>
      </w:pPr>
      <w:r>
        <w:rPr>
          <w:b/>
          <w:bCs/>
        </w:rPr>
        <w:t xml:space="preserve">APPENDIX: ARCHITECTURE DECISION POINTS</w:t>
      </w:r>
    </w:p>
    <w:p>
      <w:pPr>
        <w:spacing w:after="160"/>
      </w:pPr>
      <w:r>
        <w:rPr>
          <w:rFonts w:ascii="Arial" w:cs="Arial" w:eastAsia="Arial" w:hAnsi="Arial"/>
          <w:color w:val="334155"/>
          <w:sz w:val="22"/>
          <w:szCs w:val="22"/>
        </w:rPr>
        <w:t xml:space="preserve">These are decisions you can make based on the architecture documented above.</w:t>
      </w:r>
    </w:p>
    <w:p>
      <w:pPr>
        <w:pStyle w:val="Heading2"/>
        <w:spacing w:after="200" w:before="360"/>
      </w:pPr>
      <w:r>
        <w:rPr>
          <w:b/>
          <w:bCs/>
        </w:rPr>
        <w:t xml:space="preserve">Console → Academy Integration</w:t>
      </w:r>
    </w:p>
    <w:p>
      <w:pPr>
        <w:spacing w:after="160"/>
      </w:pPr>
      <w:r>
        <w:rPr>
          <w:rFonts w:ascii="Arial" w:cs="Arial" w:eastAsia="Arial" w:hAnsi="Arial"/>
          <w:color w:val="334155"/>
          <w:sz w:val="22"/>
          <w:szCs w:val="22"/>
        </w:rPr>
        <w:t xml:space="preserve">The Academy’s governedProcedure() currently has a local policy engine with optional SDK calls. The Console implements the full decision state machine with tokens, approvals, and breakglass. The integration path is: Academy mutations create Decision objects in the Console → Console evaluates policy and collects approvals → Console issues execution token → Academy redeems token before executing mutation. This replaces the local allow/deny/escalate with the full frozen state machine.</w:t>
      </w:r>
    </w:p>
    <w:p>
      <w:pPr>
        <w:pStyle w:val="Heading2"/>
        <w:spacing w:after="200" w:before="360"/>
      </w:pPr>
      <w:r>
        <w:rPr>
          <w:b/>
          <w:bCs/>
        </w:rPr>
        <w:t xml:space="preserve">Auth Provider</w:t>
      </w:r>
    </w:p>
    <w:p>
      <w:pPr>
        <w:spacing w:after="160"/>
      </w:pPr>
      <w:r>
        <w:rPr>
          <w:rFonts w:ascii="Arial" w:cs="Arial" w:eastAsia="Arial" w:hAnsi="Arial"/>
          <w:color w:val="334155"/>
          <w:sz w:val="22"/>
          <w:szCs w:val="22"/>
        </w:rPr>
        <w:t xml:space="preserve">The Console has session cookie auth + dev bypass. Production requires a real auth provider. Options: Clerk (already in Academy stack), Auth0, or custom. Clerk provides the fastest path since the team already has Clerk expertise and the Academy integration would share auth context.</w:t>
      </w:r>
    </w:p>
    <w:p>
      <w:pPr>
        <w:pStyle w:val="Heading2"/>
        <w:spacing w:after="200" w:before="360"/>
      </w:pPr>
      <w:r>
        <w:rPr>
          <w:b/>
          <w:bCs/>
        </w:rPr>
        <w:t xml:space="preserve">Evidence Unification</w:t>
      </w:r>
    </w:p>
    <w:p>
      <w:pPr>
        <w:spacing w:after="160"/>
      </w:pPr>
      <w:r>
        <w:rPr>
          <w:rFonts w:ascii="Arial" w:cs="Arial" w:eastAsia="Arial" w:hAnsi="Arial"/>
          <w:color w:val="334155"/>
          <w:sz w:val="22"/>
          <w:szCs w:val="22"/>
        </w:rPr>
        <w:t xml:space="preserve">Currently two evidence systems: Academy’s governance_evidence table (SHA-256 per-record hashing) and Console’s DecisionEvidence table (correlation IDs, policy snapshots, artifact hashes, retention classes). Unification means the Academy’s evidence records become entries in the Console’s evidence system with full correlation to the decision that authorized them.</w:t>
      </w:r>
    </w:p>
    <w:p>
      <w:pPr>
        <w:pStyle w:val="Heading2"/>
        <w:spacing w:after="200" w:before="360"/>
      </w:pPr>
      <w:r>
        <w:rPr>
          <w:b/>
          <w:bCs/>
        </w:rPr>
        <w:t xml:space="preserve">strix-saas-template Embedding</w:t>
      </w:r>
    </w:p>
    <w:p>
      <w:pPr>
        <w:spacing w:after="160"/>
      </w:pPr>
      <w:r>
        <w:rPr>
          <w:rFonts w:ascii="Arial" w:cs="Arial" w:eastAsia="Arial" w:hAnsi="Arial"/>
          <w:color w:val="334155"/>
          <w:sz w:val="22"/>
          <w:szCs w:val="22"/>
        </w:rPr>
        <w:t xml:space="preserve">The template (v1.7.6) is a distribution channel. Embedding governedProcedure as the default mutation pattern means every app built on the template ships with execution intelligence by default. This is category-defining distribution.</w:t>
      </w:r>
    </w:p>
    <w:p>
      <w:pPr>
        <w:pStyle w:val="Heading2"/>
        <w:spacing w:after="200" w:before="360"/>
      </w:pPr>
      <w:r>
        <w:rPr>
          <w:b/>
          <w:bCs/>
        </w:rPr>
        <w:t xml:space="preserve">ReplyHero as Second Proof Point</w:t>
      </w:r>
    </w:p>
    <w:p>
      <w:pPr>
        <w:spacing w:after="160"/>
      </w:pPr>
      <w:r>
        <w:rPr>
          <w:rFonts w:ascii="Arial" w:cs="Arial" w:eastAsia="Arial" w:hAnsi="Arial"/>
          <w:color w:val="334155"/>
          <w:sz w:val="22"/>
          <w:szCs w:val="22"/>
        </w:rPr>
        <w:t xml:space="preserve">ReplyHero is an active vertical SaaS (AI-powered review management). Integrating Strix governance gives two production deployments as proof points. Two is categorically more credible than one.</w:t>
      </w:r>
    </w:p>
    <w:p>
      <w:pPr>
        <w:pStyle w:val="Heading2"/>
        <w:spacing w:after="200" w:before="360"/>
      </w:pPr>
      <w:r>
        <w:rPr>
          <w:b/>
          <w:bCs/>
        </w:rPr>
        <w:t xml:space="preserve">Vercel Deployment Fix</w:t>
      </w:r>
    </w:p>
    <w:p>
      <w:pPr>
        <w:spacing w:after="160"/>
      </w:pPr>
      <w:r>
        <w:rPr>
          <w:rFonts w:ascii="Arial" w:cs="Arial" w:eastAsia="Arial" w:hAnsi="Arial"/>
          <w:color w:val="334155"/>
          <w:sz w:val="22"/>
          <w:szCs w:val="22"/>
        </w:rPr>
        <w:t xml:space="preserve">The build failure (No Output Directory named “public”) is a Vercel project configuration issue, not a code issue. Fix: set Root Directory to apps/strix-console in Vercel dashboard settings. The existing vercel.json in that directory has the correct framework, outputDirectory, installCommand, and buildCommand. No code change required.</w:t>
      </w:r>
    </w:p>
    <w:p>
      <w:pPr>
        <w:pStyle w:val="Heading2"/>
        <w:spacing w:after="200" w:before="360"/>
      </w:pPr>
      <w:r>
        <w:rPr>
          <w:b/>
          <w:bCs/>
        </w:rPr>
        <w:t xml:space="preserve">Immediate Actions (Priority Order)</w:t>
      </w:r>
    </w:p>
    <w:p>
      <w:pPr>
        <w:pStyle w:val="ListParagraph"/>
        <w:numPr>
          <w:ilvl w:val="0"/>
          <w:numId w:val="2"/>
        </w:numPr>
        <w:spacing w:after="120"/>
      </w:pPr>
      <w:r>
        <w:rPr>
          <w:rFonts w:ascii="Arial" w:cs="Arial" w:eastAsia="Arial" w:hAnsi="Arial"/>
          <w:b/>
          <w:bCs/>
          <w:color w:val="0F172A"/>
          <w:sz w:val="22"/>
          <w:szCs w:val="22"/>
        </w:rPr>
        <w:t xml:space="preserve">Fix Vercel deployment. </w:t>
      </w:r>
      <w:r>
        <w:rPr>
          <w:rFonts w:ascii="Arial" w:cs="Arial" w:eastAsia="Arial" w:hAnsi="Arial"/>
          <w:color w:val="334155"/>
          <w:sz w:val="22"/>
          <w:szCs w:val="22"/>
        </w:rPr>
        <w:t xml:space="preserve">Set root directory to apps/strix-console. Unblocks all site updates.</w:t>
      </w:r>
    </w:p>
    <w:p>
      <w:pPr>
        <w:pStyle w:val="ListParagraph"/>
        <w:numPr>
          <w:ilvl w:val="0"/>
          <w:numId w:val="2"/>
        </w:numPr>
        <w:spacing w:after="120"/>
      </w:pPr>
      <w:r>
        <w:rPr>
          <w:rFonts w:ascii="Arial" w:cs="Arial" w:eastAsia="Arial" w:hAnsi="Arial"/>
          <w:b/>
          <w:bCs/>
          <w:color w:val="0F172A"/>
          <w:sz w:val="22"/>
          <w:szCs w:val="22"/>
        </w:rPr>
        <w:t xml:space="preserve">Add decision lifecycle to site. </w:t>
      </w:r>
      <w:r>
        <w:rPr>
          <w:rFonts w:ascii="Arial" w:cs="Arial" w:eastAsia="Arial" w:hAnsi="Arial"/>
          <w:color w:val="334155"/>
          <w:sz w:val="22"/>
          <w:szCs w:val="22"/>
        </w:rPr>
        <w:t xml:space="preserve">The state machine is the core product. It’s invisible on the current site.</w:t>
      </w:r>
    </w:p>
    <w:p>
      <w:pPr>
        <w:pStyle w:val="ListParagraph"/>
        <w:numPr>
          <w:ilvl w:val="0"/>
          <w:numId w:val="2"/>
        </w:numPr>
        <w:spacing w:after="120"/>
      </w:pPr>
      <w:r>
        <w:rPr>
          <w:rFonts w:ascii="Arial" w:cs="Arial" w:eastAsia="Arial" w:hAnsi="Arial"/>
          <w:b/>
          <w:bCs/>
          <w:color w:val="0F172A"/>
          <w:sz w:val="22"/>
          <w:szCs w:val="22"/>
        </w:rPr>
        <w:t xml:space="preserve">Add execution token section. </w:t>
      </w:r>
      <w:r>
        <w:rPr>
          <w:rFonts w:ascii="Arial" w:cs="Arial" w:eastAsia="Arial" w:hAnsi="Arial"/>
          <w:color w:val="334155"/>
          <w:sz w:val="22"/>
          <w:szCs w:val="22"/>
        </w:rPr>
        <w:t xml:space="preserve">HMAC-signed, single-use, scope-bound tokens are the technical moat. Show them.</w:t>
      </w:r>
    </w:p>
    <w:p>
      <w:pPr>
        <w:pStyle w:val="ListParagraph"/>
        <w:numPr>
          <w:ilvl w:val="0"/>
          <w:numId w:val="2"/>
        </w:numPr>
        <w:spacing w:after="120"/>
      </w:pPr>
      <w:r>
        <w:rPr>
          <w:rFonts w:ascii="Arial" w:cs="Arial" w:eastAsia="Arial" w:hAnsi="Arial"/>
          <w:b/>
          <w:bCs/>
          <w:color w:val="0F172A"/>
          <w:sz w:val="22"/>
          <w:szCs w:val="22"/>
        </w:rPr>
        <w:t xml:space="preserve">Standardize category name. </w:t>
      </w:r>
      <w:r>
        <w:rPr>
          <w:rFonts w:ascii="Arial" w:cs="Arial" w:eastAsia="Arial" w:hAnsi="Arial"/>
          <w:color w:val="334155"/>
          <w:sz w:val="22"/>
          <w:szCs w:val="22"/>
        </w:rPr>
        <w:t xml:space="preserve">“Execution Intelligence” everywhere. Drop “Execution Control” from the about page.</w:t>
      </w:r>
    </w:p>
    <w:p>
      <w:pPr>
        <w:pStyle w:val="ListParagraph"/>
        <w:numPr>
          <w:ilvl w:val="0"/>
          <w:numId w:val="2"/>
        </w:numPr>
        <w:spacing w:after="120"/>
      </w:pPr>
      <w:r>
        <w:rPr>
          <w:rFonts w:ascii="Arial" w:cs="Arial" w:eastAsia="Arial" w:hAnsi="Arial"/>
          <w:b/>
          <w:bCs/>
          <w:color w:val="0F172A"/>
          <w:sz w:val="22"/>
          <w:szCs w:val="22"/>
        </w:rPr>
        <w:t xml:space="preserve">Add SHA-256 evidence hashes to hero table. </w:t>
      </w:r>
      <w:r>
        <w:rPr>
          <w:rFonts w:ascii="Arial" w:cs="Arial" w:eastAsia="Arial" w:hAnsi="Arial"/>
          <w:color w:val="334155"/>
          <w:sz w:val="22"/>
          <w:szCs w:val="22"/>
        </w:rPr>
        <w:t xml:space="preserve">Transform the evidence table from audit log to cryptographic proof.</w:t>
      </w:r>
    </w:p>
    <w:p>
      <w:pPr>
        <w:pStyle w:val="ListParagraph"/>
        <w:numPr>
          <w:ilvl w:val="0"/>
          <w:numId w:val="2"/>
        </w:numPr>
        <w:spacing w:after="120"/>
      </w:pPr>
      <w:r>
        <w:rPr>
          <w:rFonts w:ascii="Arial" w:cs="Arial" w:eastAsia="Arial" w:hAnsi="Arial"/>
          <w:b/>
          <w:bCs/>
          <w:color w:val="0F172A"/>
          <w:sz w:val="22"/>
          <w:szCs w:val="22"/>
        </w:rPr>
        <w:t xml:space="preserve">Delete replyhero-backup. </w:t>
      </w:r>
      <w:r>
        <w:rPr>
          <w:rFonts w:ascii="Arial" w:cs="Arial" w:eastAsia="Arial" w:hAnsi="Arial"/>
          <w:color w:val="334155"/>
          <w:sz w:val="22"/>
          <w:szCs w:val="22"/>
        </w:rPr>
        <w:t xml:space="preserve">Contains exposed credentials. Rotate all credentials found in the file.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334155"/>
        <w:sz w:val="16"/>
        <w:szCs w:val="16"/>
      </w:rPr>
      <w:t xml:space="preserve">Velaris Group  |  Confidential  |  Page </w:t>
    </w:r>
    <w:r>
      <w:rPr>
        <w:rFonts w:ascii="Arial" w:cs="Arial" w:eastAsia="Arial" w:hAnsi="Arial"/>
        <w:color w:val="3341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1" w:space="4"/>
      </w:pBdr>
    </w:pPr>
    <w:r>
      <w:rPr>
        <w:rFonts w:ascii="Arial" w:cs="Arial" w:eastAsia="Arial" w:hAnsi="Arial"/>
        <w:b/>
        <w:bCs/>
        <w:color w:val="0F172A"/>
        <w:sz w:val="16"/>
        <w:szCs w:val="16"/>
      </w:rPr>
      <w:t xml:space="preserve">STRIX  </w:t>
    </w:r>
    <w:r>
      <w:rPr>
        <w:rFonts w:ascii="Arial" w:cs="Arial" w:eastAsia="Arial" w:hAnsi="Arial"/>
        <w:color w:val="334155"/>
        <w:sz w:val="16"/>
        <w:szCs w:val="16"/>
      </w:rPr>
      <w:t xml:space="preserve">|  Complete Architecture &amp; Strategic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0F172A"/>
      <w:sz w:val="36"/>
      <w:szCs w:val="36"/>
    </w:rPr>
  </w:style>
  <w:style w:type="paragraph" w:styleId="Heading2">
    <w:name w:val="Heading 2"/>
    <w:basedOn w:val="Normal"/>
    <w:next w:val="Normal"/>
    <w:qFormat/>
    <w:pPr>
      <w:spacing w:after="200" w:before="360"/>
      <w:outlineLvl w:val="1"/>
    </w:pPr>
    <w:rPr>
      <w:rFonts w:ascii="Arial" w:cs="Arial" w:eastAsia="Arial" w:hAnsi="Arial"/>
      <w:b/>
      <w:bCs/>
      <w:color w:val="0F172A"/>
      <w:sz w:val="28"/>
      <w:szCs w:val="28"/>
    </w:rPr>
  </w:style>
  <w:style w:type="paragraph" w:styleId="Heading3">
    <w:name w:val="Heading 3"/>
    <w:basedOn w:val="Normal"/>
    <w:next w:val="Normal"/>
    <w:qFormat/>
    <w:pPr>
      <w:spacing w:after="160" w:before="240"/>
      <w:outlineLvl w:val="2"/>
    </w:pPr>
    <w:rPr>
      <w:rFonts w:ascii="Arial" w:cs="Arial" w:eastAsia="Arial" w:hAnsi="Arial"/>
      <w:b/>
      <w:bCs/>
      <w:color w:val="3341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2026-03-21T06:05:53.099Z</dcterms:created>
  <dcterms:modified xsi:type="dcterms:W3CDTF">2026-03-21T06:05:53.099Z</dcterms:modified>
</cp:coreProperties>
</file>

<file path=docProps/custom.xml><?xml version="1.0" encoding="utf-8"?>
<Properties xmlns="http://schemas.openxmlformats.org/officeDocument/2006/custom-properties" xmlns:vt="http://schemas.openxmlformats.org/officeDocument/2006/docPropsVTypes"/>
</file>