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before="0" w:after="200" w:line="360" w:lineRule="auto"/>
        <w:ind w:left="0" w:hanging="0" w:firstLine="0"/>
      </w:pPr>
      <w:r>
        <w:rPr>
          <w:rFonts w:ascii="Times New Roman" w:hAnsi="Times New Roman" w:cs="Times New Roman"/>
          <w:b/>
          <w:sz w:val="36"/>
          <w:szCs w:val="36"/>
        </w:rPr>
        <w:t xml:space="preserve">Литературный обзор: IVM в программах ЭКО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Обзор собран только по записям, которые уже лежат на устройстве: выгрузка Europe PMC в </w:t>
      </w:r>
      <w:r>
        <w:rPr>
          <w:rFonts w:ascii="Times New Roman" w:hAnsi="Times New Roman" w:cs="Times New Roman"/>
          <w:sz w:val="28"/>
          <w:szCs w:val="28"/>
          <w:shd w:val="clear" w:fill="F2F2F2"/>
        </w:rPr>
        <w:t xml:space="preserve">literature/ivm/</w:t>
      </w:r>
      <w:r>
        <w:rPr>
          <w:rFonts w:ascii="Times New Roman" w:hAnsi="Times New Roman" w:cs="Times New Roman"/>
          <w:sz w:val="28"/>
          <w:szCs w:val="28"/>
        </w:rPr>
        <w:t xml:space="preserve"> от 2026-10-08. Полных текстов (PDF) на диске нет. Ниже использованы названия, метаданные и аннотации. Цифры, которых в сохранённой аннотации нет или которые в ней оборваны, не восстанавливались.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Отдельного корпуса статей «только про классическое ЭКО» на устройстве нет. Все записи относятся к созреванию ооцитов in vitro (IVM) внутри программ вспомогательных репродуктивных технологий и почти все сравнивают IVM с обычным ЭКО (IVF) либо встраивают IVM в цикл ЭКО (rescue-IVM).</w:t>
      </w:r>
    </w:p>
    <w:p>
      <w:pPr>
        <w:jc w:val="left"/>
        <w:spacing w:before="280" w:after="80" w:line="360" w:lineRule="auto"/>
        <w:ind w:left="0" w:hanging="0" w:firstLine="0"/>
      </w:pPr>
      <w:r>
        <w:rPr>
          <w:rFonts w:ascii="Times New Roman" w:hAnsi="Times New Roman" w:cs="Times New Roman"/>
          <w:b/>
          <w:sz w:val="30"/>
          <w:szCs w:val="30"/>
        </w:rPr>
        <w:t xml:space="preserve">Как отсеяны повторы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Пять тематических файлов содержат по 12 строк, всего 60. По DOI это 34 разные записи: одна и та же статья часто скачивалась в два–пять вопросов сразу. Две работы попали во все пять файлов (Kulmann et al., 2026; Vuong et al., 2026).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Отдельно от межзапросных повторов есть содержательный дубль: статья Fakhar-I-Adil et al. (2025) сохранена дважды — как журнал </w:t>
      </w:r>
      <w:r>
        <w:rPr>
          <w:rFonts w:ascii="Times New Roman" w:hAnsi="Times New Roman" w:cs="Times New Roman"/>
          <w:i/>
          <w:sz w:val="28"/>
          <w:szCs w:val="28"/>
        </w:rPr>
        <w:t xml:space="preserve">International Journal of Molecular Sciences</w:t>
      </w:r>
      <w:r>
        <w:rPr>
          <w:rFonts w:ascii="Times New Roman" w:hAnsi="Times New Roman" w:cs="Times New Roman"/>
          <w:sz w:val="28"/>
          <w:szCs w:val="28"/>
        </w:rPr>
        <w:t xml:space="preserve"> (DOI 10.3390/ijms26125495) и как препринт той же рукописи (DOI 10.20944/preprints202505.1132.v1). В обзор вошла только журнальная версия.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Правило скрининга из </w:t>
      </w:r>
      <w:r>
        <w:rPr>
          <w:rFonts w:ascii="Times New Roman" w:hAnsi="Times New Roman" w:cs="Times New Roman"/>
          <w:sz w:val="28"/>
          <w:szCs w:val="28"/>
          <w:shd w:val="clear" w:fill="F2F2F2"/>
        </w:rPr>
        <w:t xml:space="preserve">literature/SEARCH_STRATEGY.md</w:t>
      </w:r>
      <w:r>
        <w:rPr>
          <w:rFonts w:ascii="Times New Roman" w:hAnsi="Times New Roman" w:cs="Times New Roman"/>
          <w:sz w:val="28"/>
          <w:szCs w:val="28"/>
        </w:rPr>
        <w:t xml:space="preserve">: в клинический синтез входят работы, где IVM — созревание незрелых ооцитов человека в программе ВРТ. Созревание ооцитов животных и случайные аббревиатуры не включаются, кроме случаев, когда животная модель прямо объясняет клинический протокол, прежде всего CAPA-IVM.</w:t>
      </w:r>
    </w:p>
    <w:tbl>
      <w:tblPr>
        <w:tblW w:w="90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</w:tblPr>
      <w:tblGrid>
        <w:gridCol w:w="4535"/>
        <w:gridCol w:w="4535"/>
      </w:tblGrid>
      <w:tr>
        <w:tc>
          <w:tcPr>
            <w:tcW w:w="4535" w:type="dxa"/>
            <w:shd w:val="clear" w:fill="EFEFEF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Решение</w:t>
            </w:r>
          </w:p>
        </w:tc>
        <w:tc>
          <w:tcPr>
            <w:tcW w:w="4535" w:type="dxa"/>
            <w:shd w:val="clear" w:fill="EFEFEF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Что сделано</w:t>
            </w:r>
          </w:p>
        </w:tc>
      </w:tr>
      <w:tr>
        <w:tc>
          <w:tcPr>
            <w:tcW w:w="4535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29 записей</w:t>
            </w:r>
          </w:p>
        </w:tc>
        <w:tc>
          <w:tcPr>
            <w:tcW w:w="4535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Клинический IVM человека: обзоры, испытания, когорты, серии и случаи</w:t>
            </w:r>
          </w:p>
        </w:tc>
      </w:tr>
      <w:tr>
        <w:tc>
          <w:tcPr>
            <w:tcW w:w="4535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 записи</w:t>
            </w:r>
          </w:p>
        </w:tc>
        <w:tc>
          <w:tcPr>
            <w:tcW w:w="4535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Животные модели, оставленные только как объяснение CAPA-IVM (мышь с проверкой на ооцитах человека, лошадь, коза)</w:t>
            </w:r>
          </w:p>
        </w:tc>
      </w:tr>
      <w:tr>
        <w:tc>
          <w:tcPr>
            <w:tcW w:w="4535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 запись</w:t>
            </w:r>
          </w:p>
        </w:tc>
        <w:tc>
          <w:tcPr>
            <w:tcW w:w="4535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Препринт Fakhar-I-Adil et al., 2025 — повтор журнальной статьи</w:t>
            </w:r>
          </w:p>
        </w:tc>
      </w:tr>
      <w:tr>
        <w:tc>
          <w:tcPr>
            <w:tcW w:w="4535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 запись</w:t>
            </w:r>
          </w:p>
        </w:tc>
        <w:tc>
          <w:tcPr>
            <w:tcW w:w="4535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Hallberg et al., 2026 — IVM коров и свиней как модель токсичности и метаболизма; клинический протокол не объясняет</w:t>
            </w:r>
          </w:p>
        </w:tc>
      </w:tr>
    </w:tbl>
    <w:p>
      <w:pPr>
        <w:jc w:val="both"/>
        <w:spacing w:before="0" w:after="80" w:line="360" w:lineRule="auto"/>
        <w:ind w:left="0" w:hanging="0" w:firstLine="0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В части 2026 года синдром поликистозных яичников назван polyendocrine metabolic ovarian syndrome (PMOS). В Cochrane и в большинстве остальных записей сохраняется название PCOS. Ниже это один и тот же клинический фенотип, если авторы прямо пишут о переименовании.</w:t>
      </w:r>
    </w:p>
    <w:p>
      <w:pPr>
        <w:jc w:val="left"/>
        <w:spacing w:before="280" w:after="80" w:line="360" w:lineRule="auto"/>
        <w:ind w:left="0" w:hanging="0" w:firstLine="0"/>
      </w:pPr>
      <w:r>
        <w:rPr>
          <w:rFonts w:ascii="Times New Roman" w:hAnsi="Times New Roman" w:cs="Times New Roman"/>
          <w:b/>
          <w:sz w:val="30"/>
          <w:szCs w:val="30"/>
        </w:rPr>
        <w:t xml:space="preserve">1. Что такое клинический IVM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Клинический IVM — забор незрелых ооцитов из небольших антральных фолликулов при отсутствии стимуляции или при минимальном прайминге и дозревание их в культуре до метафазы II, после чего цикл идёт как обычное ЭКО или ИКСИ (Gilchrist and Smitz, 2023; Das and Son, 2023; Morato et al., 2025). Метод старше рутинного ЭКО, но долго оставался в стороне: компетентность эмбриона и частота живорождения были ниже, чем после контролируемой стимуляции (Kulmann et al., 2026; Chatzimeletiou et al., 2025).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Обзоры сходятся в механизме. Для исхода недостаточно выхода из герминального пузырька и выброса первого полярного тельца. Нужны цитоплазматическое созревание, запас белков и согласованная работа комплекса кумулюс–ооцит. Преждевременное возобновление мейоза после извлечения ооцита из фолликула этот запас обрывает. Двухфазные системы (CAPA-IVM, SPOM) на это и направлены: пре-IVM с C-type natriuretic peptide удерживает мейоз, чтобы цитоплазма успела дозреть, и только затем снимают блок (Gilchrist and Smitz, 2023; Smitz et al., 2025; Gargallo-Alonso et al., 2025; Liu et al., 2025).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Молекулярные обзоры добавляют cAMP/cGMP, факторы, секретируемые ооцитом, антиоксидантную защиту и метаболический обмен с кумулюсом (Kulmann et al., 2026; Gargallo-Alonso et al., 2025). Систематический обзор экспрессии в клетках кумулюса нашёл четыре клинических исследования человека (2013–2022) и 22 дифференциально экспрессируемых гена, из них 10 общих для комплексов после ЭКО и после IVM; общий кластер связан с сигналингом рецептора EGF и динамикой мембраны (Elias et al., 2025). Это карта кандидатов, а не клинический предиктор.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Протеом мышиных ооцитов после созревания in vivo, стандартного IVM и CAPA-IVM расходится по трансляции, аутофагии и эндоцитозу; в кумулюсе — по детоксикации активных форм кислорода и синтезу серина. Часть белков (клатрин, RPL24, eIF2A) видна и в отбракованных GV- и MII-ооцитах человека после rescue-IVM. Авторы прямо пишут, что нынешние системы IVM не догоняют компетентность ооцита после стимуляции in vivo, и что гонадотропин-свободный клинический IVM в этой работе не разбирался (Frost et al., 2026).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С 2023 года профильные обзоры называют клинический IVM человека неэкспериментальным методом, но подчёркивают, что он остаётся специализированным: успех зависит от отбора пациенток, прайминга и лаборатории (Gilchrist and Smitz, 2023; Das and Son, 2023; Torkashvand et al., 2024).</w:t>
      </w:r>
    </w:p>
    <w:p>
      <w:pPr>
        <w:jc w:val="left"/>
        <w:spacing w:before="280" w:after="80" w:line="360" w:lineRule="auto"/>
        <w:ind w:left="0" w:hanging="0" w:firstLine="0"/>
      </w:pPr>
      <w:r>
        <w:rPr>
          <w:rFonts w:ascii="Times New Roman" w:hAnsi="Times New Roman" w:cs="Times New Roman"/>
          <w:b/>
          <w:sz w:val="30"/>
          <w:szCs w:val="30"/>
        </w:rPr>
        <w:t xml:space="preserve">2. Кому его предлагают</w:t>
      </w:r>
    </w:p>
    <w:p>
      <w:pPr>
        <w:jc w:val="left"/>
        <w:spacing w:before="200" w:after="60" w:line="360" w:lineRule="auto"/>
        <w:ind w:left="0" w:hanging="0" w:firstLine="0"/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СПКЯ и риск гиперстимуляции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Основное показание — высокий антральный запас и СПКЯ, где полная стимуляция даёт неровную когорту фолликулов, незрелые ооциты и риск синдрома гиперстимуляции яичников (Siristatidis et al., 2025; Vuong et al., 2026; Liu et al., 2025). Все разобранные протоколы IVM в обзоре Vuong et al. (2026) по сути убирают СГЯ. Это самый устойчивый клинический вывод корпуса.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Тяжёлый СГЯ при современном ЭКО уже редок, поэтому выигрыш IVM — не «вместо любого ЭКО», а у женщин, для которых даже антагонист и триггер агонистом не снимают опасение или нежелательна лекарственная нагрузка. Сравнение нагрузки это подтверждает: у 149 женщин с PMOS (ЭКО 74, IVM 75, выбор через совместное решение, балансировка propensity score) тревога, депрессия и суммарное качество жизни не различались, но после ЭКО было больше физических жалоб, больше боли после пункции и ниже оценка отношений в паре (Sanmartín-Cuevas et al., 2026).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АМГ в IVM ведёт себя нелинейно. В ретроспективной когорте очень высокий АМГ (сохранённый порог аннотации — выше 17,53 нг/мл) связан с большим сбором незрелых ооцитов и одновременно с более низкой частотой клинической беременности относительно низкого АМГ (OR 0,281; 95% ДИ 0,108–0,728). Авторы противопоставляют этому умеренный диапазон (1 &lt; АМГ ≤ 7,77 нг/мл). Границы остальных квартилей и объёмы групп в сохранённой аннотации оборваны, поэтому дробнее пороги здесь не приводятся (Fan et al., 2026).</w:t>
      </w:r>
    </w:p>
    <w:p>
      <w:pPr>
        <w:jc w:val="left"/>
        <w:spacing w:before="200" w:after="60" w:line="360" w:lineRule="auto"/>
        <w:ind w:left="0" w:hanging="0" w:firstLine="0"/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Сохранение фертильности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Второе показание — онкофертильность, когда на стимуляцию нет времени или она противопоказана. Незрелые комплексы забирают трансвагинально в любой день цикла либо ex vivo из удалённой ткани яичника и сочетают с криоконсервацией ткани (Gotschel et al., 2024; Das and Son, 2023).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У 44 гематологических пациенток перед трансплантацией гемопоэтических стволовых клеток OTO-IVM вместе с криоконсервацией ткани оказался выполнимым. При незлокачественном заболевании АМГ и число незрелых ооцитов выше, чем при злокачественном (АМГ 4,36 ± 3,14 против 2,08 ± 1,57 нг/мл; ооциты 10,58 ± 7,54 против 4,85 ± 3,26), но число MII в итоге не различалось (3,58 ± 4,07 против 2,23 ± 2,01). При апластической анемии созревание, по данным авторов, страдает из-за апоптоза стромы (Ding et al., 2026). Серия из четырёх женщин с гинекологическим раком описывает тот же приём и прямо называет его экспериментальным: живорождений после OTO-IVM в литературе мало (Goh et al., 2026).</w:t>
      </w:r>
    </w:p>
    <w:p>
      <w:pPr>
        <w:jc w:val="left"/>
        <w:spacing w:before="200" w:after="60" w:line="360" w:lineRule="auto"/>
        <w:ind w:left="0" w:hanging="0" w:firstLine="0"/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Сниженный запас и rescue-IVM внутри обычного ЭКО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Это другой приём: не замена стимуляции, а дозревание ооцитов, которые в стандартном ЭКО остались незрелыми.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У 90 женщин (45 с нормальным и 45 со сниженным запасом) из 719 ооцитов зрелыми при пункции были 72,3% при нормальном запасе и 64,9% при сниженном. После rescue-IVM дозрели 47,69% незрелых ооцитов в первой группе и 60% во второй; оплодотворение после rescue-IVM — 37,8% против 66,7%. Качество эмбрионов третьего дня авторы оценивают выше при сниженном запасе. Группы несопоставимы по диагнозу: в группе нормального запаса 55,6% имели СПКЯ, в группе сниженного 37,8% — возраст и статус после рака. Единственным значимым фактором созревания в их анализе был триггер ХГЧ (Ahmad et al., 2025a).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Парная работа по 15 незрелым ооцитам смотрела GREM1, HAS2 и PTGS2 в кумулюсе. Аннотация на диске повреждена (оборванные значения p), поэтому из неё можно взять только направление: после rescue-IVM у женщин со сниженным запасом все три гена повышались, а оплодотворение было сопоставимо с нормальным запасом (Ahmad et al., 2025b). Это не доказательство улучшения живорождения.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Кофеин как короткая добавка при rescue-IVM не изменил частоту ядерного созревания, но повысил оплодотворение и долю эмбрионов хорошего качества, сильнее всего у женщин 37 лет и старше; кинетика развития по таймлапсу приближалась к ооцитам, созревшим in vivo. Числовых частот в аннотации нет, механизм не доказан (Lee et al., 2026).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Одно наблюдение при СПКЯ (нейротрофин-4 в среде: 12 незрелых ооцитов, 8 MII, 7 оплодотворений, 5 бластоцист, беременность после криопереноса) нельзя читать как доказательство эффективности добавки (Kalaskar et al., 2025).</w:t>
      </w:r>
    </w:p>
    <w:p>
      <w:pPr>
        <w:jc w:val="left"/>
        <w:spacing w:before="280" w:after="80" w:line="360" w:lineRule="auto"/>
        <w:ind w:left="0" w:hanging="0" w:firstLine="0"/>
      </w:pPr>
      <w:r>
        <w:rPr>
          <w:rFonts w:ascii="Times New Roman" w:hAnsi="Times New Roman" w:cs="Times New Roman"/>
          <w:b/>
          <w:sz w:val="30"/>
          <w:szCs w:val="30"/>
        </w:rPr>
        <w:t xml:space="preserve">3. Протоколы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На устройстве различаются четыре клинические развилки: прайминг, культура, кислород и техника забора.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b/>
          <w:sz w:val="28"/>
          <w:szCs w:val="28"/>
        </w:rPr>
        <w:t xml:space="preserve">Прайминг.</w:t>
      </w:r>
      <w:r>
        <w:rPr>
          <w:rFonts w:ascii="Times New Roman" w:hAnsi="Times New Roman" w:cs="Times New Roman"/>
          <w:sz w:val="28"/>
          <w:szCs w:val="28"/>
        </w:rPr>
        <w:t xml:space="preserve"> Метаанализ шести РКИ (497 женщин) показывает, что прайминг ФСГ повышает частоту созревания ооцитов относительно цикла без прайминга (OR 1,24; 95% ДИ 1,05–1,45) и не показывает различия по оплодотворению и клинической беременности (Lin et al., 2025). Систематический обзор по PMOS даёт ориентиры созревания около 50% при стандартном IVM и 60–70% при прайминге ХГЧ или двухфазной культуре; живорождение на одну пункцию — примерно 20–48%. Наибольший выход зрелых ооцитов и эмбрионов связан с CAPA-IVM, а полностью безгормональный CAPA-IVM в одном РКИ признан выполнимым. Свести протоколы в один пул авторы отказались: слишком разнородны прайминг, культура и политика переноса, а испытаний мало (Vuong et al., 2026).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b/>
          <w:sz w:val="28"/>
          <w:szCs w:val="28"/>
        </w:rPr>
        <w:t xml:space="preserve">CAPA-IVM.</w:t>
      </w:r>
      <w:r>
        <w:rPr>
          <w:rFonts w:ascii="Times New Roman" w:hAnsi="Times New Roman" w:cs="Times New Roman"/>
          <w:sz w:val="28"/>
          <w:szCs w:val="28"/>
        </w:rPr>
        <w:t xml:space="preserve"> Пре-IVM с CNP, затем среда созревания с FSH, амфирегулин/эпирегулин и добавками. Обзор десятилетия клинического внедрения сообщает о порядка 1000 детях и считает подход проверенным для СПКЯ (Smitz et al., 2025). Лабораторный протокол опубликован отдельно (Vuong et al., 2026b). Забор фолликулов 2–8 мм без гонадотропинов, поиск компактных комплексов и выбор свежего или криопереноса описаны как «сайгонский» протокол (Vuong et al., 2026c). Единичный случай в Индонезии (37 лет, без стимуляции, все полученные ооциты дошли до MII за 24 часа CAPA и 30 часов созревания) показывает переносимость схемы в новой лаборатории и не сообщает о беременности (Kan et al., 2026).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b/>
          <w:sz w:val="28"/>
          <w:szCs w:val="28"/>
        </w:rPr>
        <w:t xml:space="preserve">Кислород.</w:t>
      </w:r>
      <w:r>
        <w:rPr>
          <w:rFonts w:ascii="Times New Roman" w:hAnsi="Times New Roman" w:cs="Times New Roman"/>
          <w:sz w:val="28"/>
          <w:szCs w:val="28"/>
        </w:rPr>
        <w:t xml:space="preserve"> Два сиблинговых исследования на ооцитах женщин с СПКЯ расходятся по тому, на каком этапе снижать кислород, и сходятся в том, что 5% не лучше 20% для созревания.</w:t>
      </w:r>
    </w:p>
    <w:p>
      <w:pPr>
        <w:jc w:val="left"/>
        <w:spacing w:before="0" w:after="60" w:line="360" w:lineRule="auto"/>
        <w:ind w:left="420" w:hanging="280" w:firstLine="0"/>
      </w:pPr>
      <w:r>
        <w:rPr>
          <w:rFonts w:ascii="Times New Roman" w:hAnsi="Times New Roman" w:cs="Times New Roman"/>
          <w:sz w:val="28"/>
          <w:szCs w:val="28"/>
        </w:rPr>
        <w:t xml:space="preserve">Обе фазы CAPA-IVM при 5% против 20%: 554 комплекса, 20 женщин. Созревание 53,6% против 65,8% (RR 0,81; 95% ДИ 0,71–0,94), доля двух пронуклеусов 61,5% против 72,7%. Бластоцисты различались незначимо (Pham et al., 2025).</w:t>
      </w:r>
    </w:p>
    <w:p>
      <w:pPr>
        <w:jc w:val="left"/>
        <w:spacing w:before="0" w:after="60" w:line="360" w:lineRule="auto"/>
        <w:ind w:left="420" w:hanging="280" w:firstLine="0"/>
      </w:pPr>
      <w:r>
        <w:rPr>
          <w:rFonts w:ascii="Times New Roman" w:hAnsi="Times New Roman" w:cs="Times New Roman"/>
          <w:sz w:val="28"/>
          <w:szCs w:val="28"/>
        </w:rPr>
        <w:t xml:space="preserve">Низкий кислород только на пре-IVM, созревание при 20%: 532 комплекса, 20 женщин, средний возраст 29,5 ± 2,5 года, без гонадотропинов. Созревание на комплекс 56,1% против 59,8% (p = 0,47). Оплодотворение выше при атмосферном кислороде на пре-IVM; качество бластоцист не различалось. В кумулюсе при гипоксии ниже LDHA и NDRG1 и выше CPT1A (Huynh et al., 2026).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добавляют животные модели CAPA-IVM.</w:t>
      </w:r>
      <w:r>
        <w:rPr>
          <w:rFonts w:ascii="Times New Roman" w:hAnsi="Times New Roman" w:cs="Times New Roman"/>
          <w:sz w:val="28"/>
          <w:szCs w:val="28"/>
        </w:rPr>
        <w:t xml:space="preserve"> У лошади короткая пре-IVM (6 часов) дала больше эмбрионов, чем стандартное IVM (20/69 против 9/63), при высокой эуплоидии бластоцист независимо от схемы (Fakhar-I-Adil et al., 2025). У препубертатных коз CNP удерживает герминальный пузырёк, а CAPA-IVM повышает EGFR и снижает активные формы кислорода в ооцитах из крупных фолликулов; ооциты из мелких фолликулов от этого не выигрывают, частоты бластоцист остаются низкими (Ferrer-Roda et al., 2024). Это аргумент в пользу отбора фолликулов, а не клиническая частота живорождения.</w:t>
      </w:r>
    </w:p>
    <w:p>
      <w:pPr>
        <w:jc w:val="left"/>
        <w:spacing w:before="280" w:after="80" w:line="360" w:lineRule="auto"/>
        <w:ind w:left="0" w:hanging="0" w:firstLine="0"/>
      </w:pPr>
      <w:r>
        <w:rPr>
          <w:rFonts w:ascii="Times New Roman" w:hAnsi="Times New Roman" w:cs="Times New Roman"/>
          <w:b/>
          <w:sz w:val="30"/>
          <w:szCs w:val="30"/>
        </w:rPr>
        <w:t xml:space="preserve">4. Эффективность относительно ЭКО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Самая сильная сравнительная запись — обновление Cochrane (поиск до 27 февраля 2023 года): четыре РКИ, 810 женщин с СПКЯ; первичный анализ ограничен двумя исследованиями с низким риском смещения (739 участниц), протокол сравнения — антагонист ГнРГ (Siristatidis et al., 2025).</w:t>
      </w:r>
    </w:p>
    <w:tbl>
      <w:tblPr>
        <w:tblW w:w="907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</w:tblPr>
      <w:tblGrid>
        <w:gridCol w:w="3023"/>
        <w:gridCol w:w="3023"/>
        <w:gridCol w:w="3023"/>
      </w:tblGrid>
      <w:tr>
        <w:tc>
          <w:tcPr>
            <w:tcW w:w="3023" w:type="dxa"/>
            <w:shd w:val="clear" w:fill="EFEFEF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Исход</w:t>
            </w:r>
          </w:p>
        </w:tc>
        <w:tc>
          <w:tcPr>
            <w:tcW w:w="3023" w:type="dxa"/>
            <w:shd w:val="clear" w:fill="EFEFEF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Оценка</w:t>
            </w:r>
          </w:p>
        </w:tc>
        <w:tc>
          <w:tcPr>
            <w:tcW w:w="3023" w:type="dxa"/>
            <w:shd w:val="clear" w:fill="EFEFEF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Достоверность по GRADE</w:t>
            </w:r>
          </w:p>
        </w:tc>
      </w:tr>
      <w:tr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Живорождение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0,47 (95% ДИ 0,17–1,32), I² = 91%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Очень низкая</w:t>
            </w:r>
          </w:p>
        </w:tc>
      </w:tr>
      <w:tr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Клиническая беременность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0,49 (0,14–1,70), I² = 94%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Очень низкая</w:t>
            </w:r>
          </w:p>
        </w:tc>
      </w:tr>
      <w:tr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Выкидыш на клиническую беременность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1,66 (1,02–2,70), I² = 0%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Высокая</w:t>
            </w:r>
          </w:p>
        </w:tc>
      </w:tr>
      <w:tr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Умеренный или тяжёлый СГЯ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0,08 (0,01–0,67), I² = 0%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Высокая</w:t>
            </w:r>
          </w:p>
        </w:tc>
      </w:tr>
      <w:tr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Преждевременные роды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0,69 (0,31–1,52), I² = 45%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Умеренная</w:t>
            </w:r>
          </w:p>
        </w:tc>
      </w:tr>
      <w:tr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Врождённые аномалии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OR 0,33 (0,01–8,24), одно исследование, 351 участница</w:t>
            </w:r>
          </w:p>
        </w:tc>
        <w:tc>
          <w:tcPr>
            <w:tcW w:w="3023" w:type="dxa"/>
            <w:vAlign w:val="center"/>
          </w:tcPr>
          <w:p>
            <w:pPr>
              <w:jc w:val="left"/>
              <w:spacing w:before="40" w:after="40" w:line="360" w:lineRule="auto"/>
              <w:ind w:left="0" w:hanging="0" w:firstLine="0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Низкая</w:t>
            </w:r>
          </w:p>
        </w:tc>
      </w:tr>
    </w:tbl>
    <w:p>
      <w:pPr>
        <w:jc w:val="both"/>
        <w:spacing w:before="0" w:after="80" w:line="360" w:lineRule="auto"/>
        <w:ind w:left="0" w:hanging="0" w:firstLine="0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Если принять живорождение после ЭКО за 45,7%, интервал для IVM — 12,5–52,6%. Если выкидыш после ЭКО — 20,1% клинических беременностей, для IVM — 20,4–40,4%. Если умеренный или тяжёлый СГЯ после ЭКО — 3,5%, для IVM — 0–2,4%. По оплодотворению и отмене цикла данных не было. Авторы нашли пять продолжающихся испытаний.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Крупнейшее наблюдательное сравнение на диске — подобранная когорта СПКЯ: нестимулированный IVM, n = 545, против ЭКО с антагонистом, n = 1635, подбор 1:3 по возрасту и ИМТ, пункции 2010–2022, наблюдение до конца 2023 года (Guo et al., 2026a). Кумулятивное живорождение за 36 месяцев на начатую пункцию — 22,20% против 47,95%; на цикл переноса — 31,43% против 50,19%. Разрыв авторы относят к меньшему выходу эмбрионов. После первого свежего переноса живорождение ниже (25,96% против 33,20%), после первого криопереноса — неотличимо (33,33% против 36,61%, p = 0,486). При АФС ≥ 24 живорождение после первого криопереноса совпало (OR 0,99; 95% ДИ 0,57–1,72). Тяжёлого СГЯ в IVM не было, в ЭКО — 0,98%. Это не рандомизация: остаточное смещение по показаниям возможно.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Нарративные обзоры формулируют тот же компромисс без новых пулов: совокупное живорождение скромно ниже, чем при ЭКО, а у высокого антрального счёта отдельные серии уже сближаются (Chatzimeletiou et al., 2025; Kulmann et al., 2026; Liu et al., 2025). Исторический обзор связывает медленное внедрение ещё и с путаницей протоколов (Chatzimeletiou et al., 2025).</w:t>
      </w:r>
    </w:p>
    <w:p>
      <w:pPr>
        <w:jc w:val="left"/>
        <w:spacing w:before="280" w:after="80" w:line="360" w:lineRule="auto"/>
        <w:ind w:left="0" w:hanging="0" w:firstLine="0"/>
      </w:pPr>
      <w:r>
        <w:rPr>
          <w:rFonts w:ascii="Times New Roman" w:hAnsi="Times New Roman" w:cs="Times New Roman"/>
          <w:b/>
          <w:sz w:val="30"/>
          <w:szCs w:val="30"/>
        </w:rPr>
        <w:t xml:space="preserve">5. Безопасность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b/>
          <w:sz w:val="28"/>
          <w:szCs w:val="28"/>
        </w:rPr>
        <w:t xml:space="preserve">Мать.</w:t>
      </w:r>
      <w:r>
        <w:rPr>
          <w:rFonts w:ascii="Times New Roman" w:hAnsi="Times New Roman" w:cs="Times New Roman"/>
          <w:sz w:val="28"/>
          <w:szCs w:val="28"/>
        </w:rPr>
        <w:t xml:space="preserve"> Снижение умеренного и тяжёлого СГЯ — вывод высокой достоверности (Siristatidis et al., 2025) и повторяется в когорте без единого тяжёлого случая на 545 циклов IVM (Guo et al., 2026a) и в систематическом обзоре протоколов (Vuong et al., 2026). Цена — более высокий выкидыш на клиническую беременность в Cochrane. Акушерские исходы в когорте Guo et al. (2026a) в целом сопоставимы.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b/>
          <w:sz w:val="28"/>
          <w:szCs w:val="28"/>
        </w:rPr>
        <w:t xml:space="preserve">Ребёнок.</w:t>
      </w:r>
      <w:r>
        <w:rPr>
          <w:rFonts w:ascii="Times New Roman" w:hAnsi="Times New Roman" w:cs="Times New Roman"/>
          <w:sz w:val="28"/>
          <w:szCs w:val="28"/>
        </w:rPr>
        <w:t xml:space="preserve"> Преждевременные роды, вероятно, не различаются; по врождённым аномалиям данных мало (Siristatidis et al., 2025). Vuong et al. (2026) суммируют акушерские, неонатальные, эпигенетические и нейроразвитие до 5–7 лет как обнадёживающие, без количественного пула.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b/>
          <w:sz w:val="28"/>
          <w:szCs w:val="28"/>
        </w:rPr>
        <w:t xml:space="preserve">Метилом.</w:t>
      </w:r>
      <w:r>
        <w:rPr>
          <w:rFonts w:ascii="Times New Roman" w:hAnsi="Times New Roman" w:cs="Times New Roman"/>
          <w:sz w:val="28"/>
          <w:szCs w:val="28"/>
        </w:rPr>
        <w:t xml:space="preserve"> Вложенный анализ РКИ NCT03463772 сравнил пуповинную кровь пяти детей после IVM и пяти после ЭКО вместе с кровью родителей. Обе группы — заморозка всех эмбрионов и перенос одного бластоциста. Глобальное метилирование CpG и распределение по промоторам, CpG-островкам и телам генов не различались. Найдены три редких дифференциально метилированных участка, около 0,0001% генома, ни один не попал в импринтированные или критичные для развития локусы (Guo et al., 2026b). Это аргумент против грубого эпигенетического сдвига в этих условиях, а не доказательство безопасности всех протоколов IVM: выборка — десять семей.</w:t>
      </w:r>
    </w:p>
    <w:p>
      <w:pPr>
        <w:jc w:val="left"/>
        <w:spacing w:before="280" w:after="80" w:line="360" w:lineRule="auto"/>
        <w:ind w:left="0" w:hanging="0" w:firstLine="0"/>
      </w:pPr>
      <w:r>
        <w:rPr>
          <w:rFonts w:ascii="Times New Roman" w:hAnsi="Times New Roman" w:cs="Times New Roman"/>
          <w:b/>
          <w:sz w:val="30"/>
          <w:szCs w:val="30"/>
        </w:rPr>
        <w:t xml:space="preserve">6. Синтез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По записям на устройстве IVM — уже не экспериментальная замена стимуляции для узкой группы, а развилка внутри ЭКО.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1. Для СПКЯ и высокого антрального счёта IVM почти убирает умеренный и тяжёлый СГЯ. Это единственный сравнительный исход с высокой достоверностью.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2. Кумулятивное живорождение на пункцию ниже, чем при ЭКО с антагонистом. Cochrane не может сказать, насколько именно: неоднородность огромная. В подобранной когорте разрыв примерно двукратный (22% против 48% за 36 месяцев) и объясняется числом эмбрионов, а не провалом криопереноса.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3. Выкидыш на наступившую клиническую беременность выше. Этот вред нельзя прятать за выигрышем по СГЯ.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4. CAPA-IVM — наиболее последовательно описанный способ поднять созревание и выход эмбрионов. Прайминг ФСГ поднимает созревание и не показывает выигрыша по беременности. Снижение кислорода до 5% в этих двух лабораториях созревание не улучшает.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5. После криопереноса, особенно при высоком АФС, живорождение одного переноса сближается с ЭКО. Стратегия «заморозить все» в когорте выглядит рациональнее свежего переноса.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6. Онкофертильность и OTO-IVM выполнимы, когда стимуляция невозможна. Для гинекологического рака это всё ещё экспериментальная серия. Rescue-IVM внутри обычного ЭКО может добавить эмбрионы при сниженном запасе; живорождение так не измерено.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7. Эпигенетика в одном маленьком трио-дизайне и обзорные данные до школьного возраста не показывают отдельного сигнала вреда. Это не замена регистру.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Пробелы, которые корпус сам обозначает: мало многоцентровых РКИ, протоколы несопоставимы, нет данных Cochrane по оплодотворению и отмене цикла, аннотации Fan et al. (2026) и Ahmad et al. (2025b) на диске обрезаны, животные работы нельзя переносить в частоту живорождения у человека. Краткий двухстраничный обзор в </w:t>
      </w:r>
      <w:r>
        <w:rPr>
          <w:rFonts w:ascii="Times New Roman" w:hAnsi="Times New Roman" w:cs="Times New Roman"/>
          <w:sz w:val="28"/>
          <w:szCs w:val="28"/>
          <w:shd w:val="clear" w:fill="F2F2F2"/>
        </w:rPr>
        <w:t xml:space="preserve">In_vitro_maturation_overview.docx</w:t>
      </w:r>
      <w:r>
        <w:rPr>
          <w:rFonts w:ascii="Times New Roman" w:hAnsi="Times New Roman" w:cs="Times New Roman"/>
          <w:sz w:val="28"/>
          <w:szCs w:val="28"/>
        </w:rPr>
        <w:t xml:space="preserve"> опирается ещё и на источники, которых в этой выгрузке нет (мнение комитета ASRM 2021 года и РКИ Zheng et al., 2022). В настоящий текст они не включались.</w:t>
      </w:r>
    </w:p>
    <w:p>
      <w:pPr>
        <w:jc w:val="left"/>
        <w:spacing w:before="280" w:after="80" w:line="360" w:lineRule="auto"/>
        <w:ind w:left="0" w:hanging="0" w:firstLine="0"/>
      </w:pPr>
      <w:r>
        <w:rPr>
          <w:rFonts w:ascii="Times New Roman" w:hAnsi="Times New Roman" w:cs="Times New Roman"/>
          <w:b/>
          <w:sz w:val="30"/>
          <w:szCs w:val="30"/>
        </w:rPr>
        <w:t xml:space="preserve">Включённые записи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Клинические работы перечислены по разделу, где они главным образом использованы. DOI — ключ к строке в </w:t>
      </w:r>
      <w:r>
        <w:rPr>
          <w:rFonts w:ascii="Times New Roman" w:hAnsi="Times New Roman" w:cs="Times New Roman"/>
          <w:sz w:val="28"/>
          <w:szCs w:val="28"/>
          <w:shd w:val="clear" w:fill="F2F2F2"/>
        </w:rPr>
        <w:t xml:space="preserve">literature/ivm/unique.csv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1. Ahmad MF, et al. Rescue-IVM при сниженном и нормальном запасе. </w:t>
      </w:r>
      <w:r>
        <w:rPr>
          <w:rFonts w:ascii="Times New Roman" w:hAnsi="Times New Roman" w:cs="Times New Roman"/>
          <w:i/>
          <w:sz w:val="28"/>
          <w:szCs w:val="28"/>
        </w:rPr>
        <w:t xml:space="preserve">Biomedicines</w:t>
      </w:r>
      <w:r>
        <w:rPr>
          <w:rFonts w:ascii="Times New Roman" w:hAnsi="Times New Roman" w:cs="Times New Roman"/>
          <w:sz w:val="28"/>
          <w:szCs w:val="28"/>
        </w:rPr>
        <w:t xml:space="preserve">. 2025. DOI 10.3390/biomedicines13051084.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2. Ahmad MF, et al. GREM1, HAS2 и PTGS2 после rescue-IVM. </w:t>
      </w:r>
      <w:r>
        <w:rPr>
          <w:rFonts w:ascii="Times New Roman" w:hAnsi="Times New Roman" w:cs="Times New Roman"/>
          <w:i/>
          <w:sz w:val="28"/>
          <w:szCs w:val="28"/>
        </w:rPr>
        <w:t xml:space="preserve">Life</w:t>
      </w:r>
      <w:r>
        <w:rPr>
          <w:rFonts w:ascii="Times New Roman" w:hAnsi="Times New Roman" w:cs="Times New Roman"/>
          <w:sz w:val="28"/>
          <w:szCs w:val="28"/>
        </w:rPr>
        <w:t xml:space="preserve">. 2025. DOI 10.3390/life15101609.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3. Chatzimeletiou K, et al. Исторические вехи IVM. </w:t>
      </w:r>
      <w:r>
        <w:rPr>
          <w:rFonts w:ascii="Times New Roman" w:hAnsi="Times New Roman" w:cs="Times New Roman"/>
          <w:i/>
          <w:sz w:val="28"/>
          <w:szCs w:val="28"/>
        </w:rPr>
        <w:t xml:space="preserve">Systems Biology in Reproductive Medicine</w:t>
      </w:r>
      <w:r>
        <w:rPr>
          <w:rFonts w:ascii="Times New Roman" w:hAnsi="Times New Roman" w:cs="Times New Roman"/>
          <w:sz w:val="28"/>
          <w:szCs w:val="28"/>
        </w:rPr>
        <w:t xml:space="preserve">. 2025. DOI 10.1080/19396368.2025.2469574.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4. Das M, Son WY. Остаётся ли IVM актуальным. </w:t>
      </w:r>
      <w:r>
        <w:rPr>
          <w:rFonts w:ascii="Times New Roman" w:hAnsi="Times New Roman" w:cs="Times New Roman"/>
          <w:i/>
          <w:sz w:val="28"/>
          <w:szCs w:val="28"/>
        </w:rPr>
        <w:t xml:space="preserve">Reproductive Biology and Endocrinology</w:t>
      </w:r>
      <w:r>
        <w:rPr>
          <w:rFonts w:ascii="Times New Roman" w:hAnsi="Times New Roman" w:cs="Times New Roman"/>
          <w:sz w:val="28"/>
          <w:szCs w:val="28"/>
        </w:rPr>
        <w:t xml:space="preserve">. 2023. DOI 10.1186/s12958-023-01162-x.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5. Ding Y, et al. OTO-IVM перед ТГСК. </w:t>
      </w:r>
      <w:r>
        <w:rPr>
          <w:rFonts w:ascii="Times New Roman" w:hAnsi="Times New Roman" w:cs="Times New Roman"/>
          <w:i/>
          <w:sz w:val="28"/>
          <w:szCs w:val="28"/>
        </w:rPr>
        <w:t xml:space="preserve">Journal of Ovarian Research</w:t>
      </w:r>
      <w:r>
        <w:rPr>
          <w:rFonts w:ascii="Times New Roman" w:hAnsi="Times New Roman" w:cs="Times New Roman"/>
          <w:sz w:val="28"/>
          <w:szCs w:val="28"/>
        </w:rPr>
        <w:t xml:space="preserve">. 2026. DOI 10.1186/s13048-026-02136-4.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6. Elias MH, et al. Экспрессия комплекса кумулюс–ооцит после IVM. </w:t>
      </w:r>
      <w:r>
        <w:rPr>
          <w:rFonts w:ascii="Times New Roman" w:hAnsi="Times New Roman" w:cs="Times New Roman"/>
          <w:i/>
          <w:sz w:val="28"/>
          <w:szCs w:val="28"/>
        </w:rPr>
        <w:t xml:space="preserve">Malaysian Journal of Medical Sciences</w:t>
      </w:r>
      <w:r>
        <w:rPr>
          <w:rFonts w:ascii="Times New Roman" w:hAnsi="Times New Roman" w:cs="Times New Roman"/>
          <w:sz w:val="28"/>
          <w:szCs w:val="28"/>
        </w:rPr>
        <w:t xml:space="preserve">. 2025. DOI 10.21315/mjms-12-2024-948.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7. Fan M, et al. АМГ и исходы IVM. </w:t>
      </w:r>
      <w:r>
        <w:rPr>
          <w:rFonts w:ascii="Times New Roman" w:hAnsi="Times New Roman" w:cs="Times New Roman"/>
          <w:i/>
          <w:sz w:val="28"/>
          <w:szCs w:val="28"/>
        </w:rPr>
        <w:t xml:space="preserve">Journal of Ovarian Research</w:t>
      </w:r>
      <w:r>
        <w:rPr>
          <w:rFonts w:ascii="Times New Roman" w:hAnsi="Times New Roman" w:cs="Times New Roman"/>
          <w:sz w:val="28"/>
          <w:szCs w:val="28"/>
        </w:rPr>
        <w:t xml:space="preserve">. 2026. DOI 10.1186/s13048-026-02033-w.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8. Gargallo-Alonso M, Picton HM, Malo C. Механизмы и клинические перспективы. </w:t>
      </w:r>
      <w:r>
        <w:rPr>
          <w:rFonts w:ascii="Times New Roman" w:hAnsi="Times New Roman" w:cs="Times New Roman"/>
          <w:i/>
          <w:sz w:val="28"/>
          <w:szCs w:val="28"/>
        </w:rPr>
        <w:t xml:space="preserve">International Journal of Molecular Sciences</w:t>
      </w:r>
      <w:r>
        <w:rPr>
          <w:rFonts w:ascii="Times New Roman" w:hAnsi="Times New Roman" w:cs="Times New Roman"/>
          <w:sz w:val="28"/>
          <w:szCs w:val="28"/>
        </w:rPr>
        <w:t xml:space="preserve">. 2025. DOI 10.3390/ijms27010005.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9. Gilchrist RB, Smitz J. Физиологическая основа и практика. </w:t>
      </w:r>
      <w:r>
        <w:rPr>
          <w:rFonts w:ascii="Times New Roman" w:hAnsi="Times New Roman" w:cs="Times New Roman"/>
          <w:i/>
          <w:sz w:val="28"/>
          <w:szCs w:val="28"/>
        </w:rPr>
        <w:t xml:space="preserve">Fertility and Sterility</w:t>
      </w:r>
      <w:r>
        <w:rPr>
          <w:rFonts w:ascii="Times New Roman" w:hAnsi="Times New Roman" w:cs="Times New Roman"/>
          <w:sz w:val="28"/>
          <w:szCs w:val="28"/>
        </w:rPr>
        <w:t xml:space="preserve">. 2023. DOI 10.1016/j.fertnstert.2023.02.010.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10. Goh CSY, et al. OTO-IVM при гинекологическом раке. </w:t>
      </w:r>
      <w:r>
        <w:rPr>
          <w:rFonts w:ascii="Times New Roman" w:hAnsi="Times New Roman" w:cs="Times New Roman"/>
          <w:i/>
          <w:sz w:val="28"/>
          <w:szCs w:val="28"/>
        </w:rPr>
        <w:t xml:space="preserve">Gynecologic Oncology Reports</w:t>
      </w:r>
      <w:r>
        <w:rPr>
          <w:rFonts w:ascii="Times New Roman" w:hAnsi="Times New Roman" w:cs="Times New Roman"/>
          <w:sz w:val="28"/>
          <w:szCs w:val="28"/>
        </w:rPr>
        <w:t xml:space="preserve">. 2026. DOI 10.1016/j.gore.2026.102195.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11. Gotschel F, et al. IVM для сохранения фертильности. </w:t>
      </w:r>
      <w:r>
        <w:rPr>
          <w:rFonts w:ascii="Times New Roman" w:hAnsi="Times New Roman" w:cs="Times New Roman"/>
          <w:i/>
          <w:sz w:val="28"/>
          <w:szCs w:val="28"/>
        </w:rPr>
        <w:t xml:space="preserve">International Journal of Molecular Sciences</w:t>
      </w:r>
      <w:r>
        <w:rPr>
          <w:rFonts w:ascii="Times New Roman" w:hAnsi="Times New Roman" w:cs="Times New Roman"/>
          <w:sz w:val="28"/>
          <w:szCs w:val="28"/>
        </w:rPr>
        <w:t xml:space="preserve">. 2024. DOI 10.3390/ijms251910605.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12. Guo W, et al. Кумулятивное живорождение, IVM против ЭКО при СПКЯ. </w:t>
      </w:r>
      <w:r>
        <w:rPr>
          <w:rFonts w:ascii="Times New Roman" w:hAnsi="Times New Roman" w:cs="Times New Roman"/>
          <w:i/>
          <w:sz w:val="28"/>
          <w:szCs w:val="28"/>
        </w:rPr>
        <w:t xml:space="preserve">Journal of Ovarian Research</w:t>
      </w:r>
      <w:r>
        <w:rPr>
          <w:rFonts w:ascii="Times New Roman" w:hAnsi="Times New Roman" w:cs="Times New Roman"/>
          <w:sz w:val="28"/>
          <w:szCs w:val="28"/>
        </w:rPr>
        <w:t xml:space="preserve">. 2026. DOI 10.1186/s13048-026-02092-z.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13. Guo W, et al. Метилирование пуповинной крови, вложенный анализ РКИ. </w:t>
      </w:r>
      <w:r>
        <w:rPr>
          <w:rFonts w:ascii="Times New Roman" w:hAnsi="Times New Roman" w:cs="Times New Roman"/>
          <w:i/>
          <w:sz w:val="28"/>
          <w:szCs w:val="28"/>
        </w:rPr>
        <w:t xml:space="preserve">Journal of Ovarian Research</w:t>
      </w:r>
      <w:r>
        <w:rPr>
          <w:rFonts w:ascii="Times New Roman" w:hAnsi="Times New Roman" w:cs="Times New Roman"/>
          <w:sz w:val="28"/>
          <w:szCs w:val="28"/>
        </w:rPr>
        <w:t xml:space="preserve">. 2026. DOI 10.1186/s13048-026-02179-7.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14. Huynh KT, et al. Кислород только на пре-IVM. </w:t>
      </w:r>
      <w:r>
        <w:rPr>
          <w:rFonts w:ascii="Times New Roman" w:hAnsi="Times New Roman" w:cs="Times New Roman"/>
          <w:i/>
          <w:sz w:val="28"/>
          <w:szCs w:val="28"/>
        </w:rPr>
        <w:t xml:space="preserve">Journal of Assisted Reproduction and Genetics</w:t>
      </w:r>
      <w:r>
        <w:rPr>
          <w:rFonts w:ascii="Times New Roman" w:hAnsi="Times New Roman" w:cs="Times New Roman"/>
          <w:sz w:val="28"/>
          <w:szCs w:val="28"/>
        </w:rPr>
        <w:t xml:space="preserve">. 2026. DOI 10.1007/s10815-026-03885-3.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15. Kalaskar G, et al. Случай с нейротрофином-4. </w:t>
      </w:r>
      <w:r>
        <w:rPr>
          <w:rFonts w:ascii="Times New Roman" w:hAnsi="Times New Roman" w:cs="Times New Roman"/>
          <w:i/>
          <w:sz w:val="28"/>
          <w:szCs w:val="28"/>
        </w:rPr>
        <w:t xml:space="preserve">Journal of Pharmacy and Bioallied Sciences</w:t>
      </w:r>
      <w:r>
        <w:rPr>
          <w:rFonts w:ascii="Times New Roman" w:hAnsi="Times New Roman" w:cs="Times New Roman"/>
          <w:sz w:val="28"/>
          <w:szCs w:val="28"/>
        </w:rPr>
        <w:t xml:space="preserve">. 2025. DOI 10.4103/jpbs.jpbs_207_25.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16. Kan A, et al. Первый CAPA-IVM в Индонезии. </w:t>
      </w:r>
      <w:r>
        <w:rPr>
          <w:rFonts w:ascii="Times New Roman" w:hAnsi="Times New Roman" w:cs="Times New Roman"/>
          <w:i/>
          <w:sz w:val="28"/>
          <w:szCs w:val="28"/>
        </w:rPr>
        <w:t xml:space="preserve">Journal of Reproduction and Infertility</w:t>
      </w:r>
      <w:r>
        <w:rPr>
          <w:rFonts w:ascii="Times New Roman" w:hAnsi="Times New Roman" w:cs="Times New Roman"/>
          <w:sz w:val="28"/>
          <w:szCs w:val="28"/>
        </w:rPr>
        <w:t xml:space="preserve">. 2026. DOI 10.18502/jri.v27i1.22123.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17. Kulmann MIR, et al. IVM 2.0. </w:t>
      </w:r>
      <w:r>
        <w:rPr>
          <w:rFonts w:ascii="Times New Roman" w:hAnsi="Times New Roman" w:cs="Times New Roman"/>
          <w:i/>
          <w:sz w:val="28"/>
          <w:szCs w:val="28"/>
        </w:rPr>
        <w:t xml:space="preserve">JBRA Assisted Reproduction</w:t>
      </w:r>
      <w:r>
        <w:rPr>
          <w:rFonts w:ascii="Times New Roman" w:hAnsi="Times New Roman" w:cs="Times New Roman"/>
          <w:sz w:val="28"/>
          <w:szCs w:val="28"/>
        </w:rPr>
        <w:t xml:space="preserve">. 2026. DOI 10.5935/1518-0557.20250177.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18. Lee G, et al. Кофеин при rescue-IVM. </w:t>
      </w:r>
      <w:r>
        <w:rPr>
          <w:rFonts w:ascii="Times New Roman" w:hAnsi="Times New Roman" w:cs="Times New Roman"/>
          <w:i/>
          <w:sz w:val="28"/>
          <w:szCs w:val="28"/>
        </w:rPr>
        <w:t xml:space="preserve">Antioxidants</w:t>
      </w:r>
      <w:r>
        <w:rPr>
          <w:rFonts w:ascii="Times New Roman" w:hAnsi="Times New Roman" w:cs="Times New Roman"/>
          <w:sz w:val="28"/>
          <w:szCs w:val="28"/>
        </w:rPr>
        <w:t xml:space="preserve">. 2026. DOI 10.3390/antiox15050555.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19. Lin KB, et al. Прайминг ФСГ, метаанализ. </w:t>
      </w:r>
      <w:r>
        <w:rPr>
          <w:rFonts w:ascii="Times New Roman" w:hAnsi="Times New Roman" w:cs="Times New Roman"/>
          <w:i/>
          <w:sz w:val="28"/>
          <w:szCs w:val="28"/>
        </w:rPr>
        <w:t xml:space="preserve">Frontiers in Endocrinology</w:t>
      </w:r>
      <w:r>
        <w:rPr>
          <w:rFonts w:ascii="Times New Roman" w:hAnsi="Times New Roman" w:cs="Times New Roman"/>
          <w:sz w:val="28"/>
          <w:szCs w:val="28"/>
        </w:rPr>
        <w:t xml:space="preserve">. 2025. DOI 10.3389/fendo.2025.1682277.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20. Liu M, et al. Нарративный обзор IVM ооцитов человека. </w:t>
      </w:r>
      <w:r>
        <w:rPr>
          <w:rFonts w:ascii="Times New Roman" w:hAnsi="Times New Roman" w:cs="Times New Roman"/>
          <w:i/>
          <w:sz w:val="28"/>
          <w:szCs w:val="28"/>
        </w:rPr>
        <w:t xml:space="preserve">Reproduction and Fertility</w:t>
      </w:r>
      <w:r>
        <w:rPr>
          <w:rFonts w:ascii="Times New Roman" w:hAnsi="Times New Roman" w:cs="Times New Roman"/>
          <w:sz w:val="28"/>
          <w:szCs w:val="28"/>
        </w:rPr>
        <w:t xml:space="preserve">. 2025. DOI 10.1530/raf-25-0092.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21. Morato ALC, et al. Что уже известно об IVM. </w:t>
      </w:r>
      <w:r>
        <w:rPr>
          <w:rFonts w:ascii="Times New Roman" w:hAnsi="Times New Roman" w:cs="Times New Roman"/>
          <w:i/>
          <w:sz w:val="28"/>
          <w:szCs w:val="28"/>
        </w:rPr>
        <w:t xml:space="preserve">Biology of Reproduction</w:t>
      </w:r>
      <w:r>
        <w:rPr>
          <w:rFonts w:ascii="Times New Roman" w:hAnsi="Times New Roman" w:cs="Times New Roman"/>
          <w:sz w:val="28"/>
          <w:szCs w:val="28"/>
        </w:rPr>
        <w:t xml:space="preserve">. 2025. DOI 10.1093/biolre/ioae147.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22. Pham HH, et al. Кислород в обеих фазах CAPA-IVM. </w:t>
      </w:r>
      <w:r>
        <w:rPr>
          <w:rFonts w:ascii="Times New Roman" w:hAnsi="Times New Roman" w:cs="Times New Roman"/>
          <w:i/>
          <w:sz w:val="28"/>
          <w:szCs w:val="28"/>
        </w:rPr>
        <w:t xml:space="preserve">Journal of Assisted Reproduction and Genetics</w:t>
      </w:r>
      <w:r>
        <w:rPr>
          <w:rFonts w:ascii="Times New Roman" w:hAnsi="Times New Roman" w:cs="Times New Roman"/>
          <w:sz w:val="28"/>
          <w:szCs w:val="28"/>
        </w:rPr>
        <w:t xml:space="preserve">. 2025. DOI 10.1007/s10815-025-03459-9.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23. Sanmartín-Cuevas V, et al. Нагрузка лечения, ЭКО против IVM при PMOS. </w:t>
      </w:r>
      <w:r>
        <w:rPr>
          <w:rFonts w:ascii="Times New Roman" w:hAnsi="Times New Roman" w:cs="Times New Roman"/>
          <w:i/>
          <w:sz w:val="28"/>
          <w:szCs w:val="28"/>
        </w:rPr>
        <w:t xml:space="preserve">Journal of Psychosomatic Research</w:t>
      </w:r>
      <w:r>
        <w:rPr>
          <w:rFonts w:ascii="Times New Roman" w:hAnsi="Times New Roman" w:cs="Times New Roman"/>
          <w:sz w:val="28"/>
          <w:szCs w:val="28"/>
        </w:rPr>
        <w:t xml:space="preserve">. 2026. DOI 10.1016/j.jpsychores.2026.112917.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24. Siristatidis CS, et al. Cochrane: IVM при СПКЯ. 2025. DOI 10.1002/14651858.cd006606.pub5.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25. Smitz J, et al. Культура капацитации. </w:t>
      </w:r>
      <w:r>
        <w:rPr>
          <w:rFonts w:ascii="Times New Roman" w:hAnsi="Times New Roman" w:cs="Times New Roman"/>
          <w:i/>
          <w:sz w:val="28"/>
          <w:szCs w:val="28"/>
        </w:rPr>
        <w:t xml:space="preserve">Reproductive Medicine and Biology</w:t>
      </w:r>
      <w:r>
        <w:rPr>
          <w:rFonts w:ascii="Times New Roman" w:hAnsi="Times New Roman" w:cs="Times New Roman"/>
          <w:sz w:val="28"/>
          <w:szCs w:val="28"/>
        </w:rPr>
        <w:t xml:space="preserve">. 2025. DOI 10.1002/rmb2.12640.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26. Torkashvand H, et al. Показания и протоколы. </w:t>
      </w:r>
      <w:r>
        <w:rPr>
          <w:rFonts w:ascii="Times New Roman" w:hAnsi="Times New Roman" w:cs="Times New Roman"/>
          <w:i/>
          <w:sz w:val="28"/>
          <w:szCs w:val="28"/>
        </w:rPr>
        <w:t xml:space="preserve">Avicenna Journal of Medical Biotechnology</w:t>
      </w:r>
      <w:r>
        <w:rPr>
          <w:rFonts w:ascii="Times New Roman" w:hAnsi="Times New Roman" w:cs="Times New Roman"/>
          <w:sz w:val="28"/>
          <w:szCs w:val="28"/>
        </w:rPr>
        <w:t xml:space="preserve">. 2024. DOI 10.18502/ajmb.v16i3.15741.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27. Vuong LN, et al. Систематический обзор протоколов при PMOS. </w:t>
      </w:r>
      <w:r>
        <w:rPr>
          <w:rFonts w:ascii="Times New Roman" w:hAnsi="Times New Roman" w:cs="Times New Roman"/>
          <w:i/>
          <w:sz w:val="28"/>
          <w:szCs w:val="28"/>
        </w:rPr>
        <w:t xml:space="preserve">Fertility and Sterility</w:t>
      </w:r>
      <w:r>
        <w:rPr>
          <w:rFonts w:ascii="Times New Roman" w:hAnsi="Times New Roman" w:cs="Times New Roman"/>
          <w:sz w:val="28"/>
          <w:szCs w:val="28"/>
        </w:rPr>
        <w:t xml:space="preserve">. 2026. DOI 10.1016/j.fertnstert.2026.07.032.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28. Vuong LN, Le AH, Ho TM, Gilchrist RB. Лабораторный протокол CAPA-IVM. </w:t>
      </w:r>
      <w:r>
        <w:rPr>
          <w:rFonts w:ascii="Times New Roman" w:hAnsi="Times New Roman" w:cs="Times New Roman"/>
          <w:i/>
          <w:sz w:val="28"/>
          <w:szCs w:val="28"/>
        </w:rPr>
        <w:t xml:space="preserve">Methods in Molecular Biology</w:t>
      </w:r>
      <w:r>
        <w:rPr>
          <w:rFonts w:ascii="Times New Roman" w:hAnsi="Times New Roman" w:cs="Times New Roman"/>
          <w:sz w:val="28"/>
          <w:szCs w:val="28"/>
        </w:rPr>
        <w:t xml:space="preserve">. 2026. DOI 10.1007/978-1-0716-5292-3_2.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29. Vuong LN, et al. Забор мелких фолликулов, сайгонский протокол. </w:t>
      </w:r>
      <w:r>
        <w:rPr>
          <w:rFonts w:ascii="Times New Roman" w:hAnsi="Times New Roman" w:cs="Times New Roman"/>
          <w:i/>
          <w:sz w:val="28"/>
          <w:szCs w:val="28"/>
        </w:rPr>
        <w:t xml:space="preserve">F&amp;S Reports</w:t>
      </w:r>
      <w:r>
        <w:rPr>
          <w:rFonts w:ascii="Times New Roman" w:hAnsi="Times New Roman" w:cs="Times New Roman"/>
          <w:sz w:val="28"/>
          <w:szCs w:val="28"/>
        </w:rPr>
        <w:t xml:space="preserve">. 2026. DOI 10.1016/j.xfre.2026.03.005.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Животные модели, использованные только для механизма CAPA-IVM: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30. Fakhar-I-Adil M, et al. Лошадь. </w:t>
      </w:r>
      <w:r>
        <w:rPr>
          <w:rFonts w:ascii="Times New Roman" w:hAnsi="Times New Roman" w:cs="Times New Roman"/>
          <w:i/>
          <w:sz w:val="28"/>
          <w:szCs w:val="28"/>
        </w:rPr>
        <w:t xml:space="preserve">International Journal of Molecular Sciences</w:t>
      </w:r>
      <w:r>
        <w:rPr>
          <w:rFonts w:ascii="Times New Roman" w:hAnsi="Times New Roman" w:cs="Times New Roman"/>
          <w:sz w:val="28"/>
          <w:szCs w:val="28"/>
        </w:rPr>
        <w:t xml:space="preserve">. 2025. DOI 10.3390/ijms26125495.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31. Ferrer-Roda M, et al. Коза, размер фолликула. </w:t>
      </w:r>
      <w:r>
        <w:rPr>
          <w:rFonts w:ascii="Times New Roman" w:hAnsi="Times New Roman" w:cs="Times New Roman"/>
          <w:i/>
          <w:sz w:val="28"/>
          <w:szCs w:val="28"/>
        </w:rPr>
        <w:t xml:space="preserve">Animal Biotechnology</w:t>
      </w:r>
      <w:r>
        <w:rPr>
          <w:rFonts w:ascii="Times New Roman" w:hAnsi="Times New Roman" w:cs="Times New Roman"/>
          <w:sz w:val="28"/>
          <w:szCs w:val="28"/>
        </w:rPr>
        <w:t xml:space="preserve">. 2024. DOI 10.1080/10495398.2024.2422316.</w:t>
      </w:r>
    </w:p>
    <w:p>
      <w:pPr>
        <w:jc w:val="left"/>
        <w:spacing w:before="0" w:after="60" w:line="360" w:lineRule="auto"/>
        <w:ind w:left="420" w:hanging="420" w:firstLine="0"/>
      </w:pPr>
      <w:r>
        <w:rPr>
          <w:rFonts w:ascii="Times New Roman" w:hAnsi="Times New Roman" w:cs="Times New Roman"/>
          <w:sz w:val="28"/>
          <w:szCs w:val="28"/>
        </w:rPr>
        <w:t xml:space="preserve">32. Frost ER, et al. Протеом мыши и проверка на ооцитах человека. </w:t>
      </w:r>
      <w:r>
        <w:rPr>
          <w:rFonts w:ascii="Times New Roman" w:hAnsi="Times New Roman" w:cs="Times New Roman"/>
          <w:i/>
          <w:sz w:val="28"/>
          <w:szCs w:val="28"/>
        </w:rPr>
        <w:t xml:space="preserve">Human Reproduction</w:t>
      </w:r>
      <w:r>
        <w:rPr>
          <w:rFonts w:ascii="Times New Roman" w:hAnsi="Times New Roman" w:cs="Times New Roman"/>
          <w:sz w:val="28"/>
          <w:szCs w:val="28"/>
        </w:rPr>
        <w:t xml:space="preserve">. 2026. DOI 10.1093/humrep/deag134.</w:t>
      </w:r>
    </w:p>
    <w:p>
      <w:pPr>
        <w:jc w:val="both"/>
        <w:spacing w:before="0" w:after="120" w:line="360" w:lineRule="auto"/>
        <w:ind w:left="0" w:hanging="0" w:firstLine="567"/>
      </w:pPr>
      <w:r>
        <w:rPr>
          <w:rFonts w:ascii="Times New Roman" w:hAnsi="Times New Roman" w:cs="Times New Roman"/>
          <w:sz w:val="28"/>
          <w:szCs w:val="28"/>
        </w:rPr>
        <w:t xml:space="preserve">Не вошли в синтез:</w:t>
      </w:r>
    </w:p>
    <w:p>
      <w:pPr>
        <w:jc w:val="left"/>
        <w:spacing w:before="0" w:after="60" w:line="360" w:lineRule="auto"/>
        <w:ind w:left="420" w:hanging="280" w:firstLine="0"/>
      </w:pPr>
      <w:r>
        <w:rPr>
          <w:rFonts w:ascii="Times New Roman" w:hAnsi="Times New Roman" w:cs="Times New Roman"/>
          <w:sz w:val="28"/>
          <w:szCs w:val="28"/>
        </w:rPr>
        <w:t xml:space="preserve">Fakhar-I-Adil M, et al. Препринт той же работы. DOI 10.20944/preprints202505.1132.v1.</w:t>
      </w:r>
    </w:p>
    <w:p>
      <w:pPr>
        <w:jc w:val="left"/>
        <w:spacing w:before="0" w:after="60" w:line="360" w:lineRule="auto"/>
        <w:ind w:left="420" w:hanging="280" w:firstLine="0"/>
      </w:pPr>
      <w:r>
        <w:rPr>
          <w:rFonts w:ascii="Times New Roman" w:hAnsi="Times New Roman" w:cs="Times New Roman"/>
          <w:sz w:val="28"/>
          <w:szCs w:val="28"/>
        </w:rPr>
        <w:t xml:space="preserve">Hallberg I, Laskowski D, Sjunnesson YCB. IVM коровы и свиньи для токсикологии. </w:t>
      </w:r>
      <w:r>
        <w:rPr>
          <w:rFonts w:ascii="Times New Roman" w:hAnsi="Times New Roman" w:cs="Times New Roman"/>
          <w:i/>
          <w:sz w:val="28"/>
          <w:szCs w:val="28"/>
        </w:rPr>
        <w:t xml:space="preserve">Biology of Reproduction</w:t>
      </w:r>
      <w:r>
        <w:rPr>
          <w:rFonts w:ascii="Times New Roman" w:hAnsi="Times New Roman" w:cs="Times New Roman"/>
          <w:sz w:val="28"/>
          <w:szCs w:val="28"/>
        </w:rPr>
        <w:t xml:space="preserve">. 2026. DOI 10.1093/biolre/ioaf137.</w:t>
      </w:r>
    </w:p>
    <w:sectPr>
      <w:pgSz w:w="11906" w:h="16838"/>
      <w:pgMar w:top="1134" w:right="1134" w:bottom="1134" w:left="1418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