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80" w:line="276" w:lineRule="auto"/>
      </w:pPr>
      <w:r>
        <w:rPr>
          <w:rFonts w:ascii="Times New Roman" w:hAnsi="Times New Roman" w:cs="Times New Roman"/>
          <w:b/>
          <w:sz w:val="32"/>
          <w:szCs w:val="32"/>
        </w:rPr>
        <w:t xml:space="preserve">Прозектор: In vitro maturation (IVM) of human immature oocytes: is it still relevant?</w:t>
      </w:r>
    </w:p>
    <w:p>
      <w:pPr>
        <w:spacing w:before="0" w:after="40" w:line="276" w:lineRule="auto"/>
      </w:pPr>
      <w:r>
        <w:rPr>
          <w:rFonts w:ascii="Times New Roman" w:hAnsi="Times New Roman" w:cs="Times New Roman"/>
          <w:sz w:val="22"/>
          <w:szCs w:val="22"/>
        </w:rPr>
        <w:t xml:space="preserve">Цитаты дословные и на языке статьи. Английский не переводится.</w:t>
      </w:r>
    </w:p>
    <w:p>
      <w:pPr>
        <w:spacing w:before="0" w:after="160" w:line="276" w:lineRule="auto"/>
      </w:pPr>
      <w:r>
        <w:rPr>
          <w:rFonts w:ascii="Times New Roman" w:hAnsi="Times New Roman" w:cs="Times New Roman"/>
          <w:sz w:val="22"/>
          <w:szCs w:val="22"/>
        </w:rPr>
        <w:t xml:space="preserve">В столбце «Ссылки» стоят пункты списка литературы этой статьи, на которые опирается фраза.</w:t>
      </w:r>
    </w:p>
    <w:p>
      <w:pPr>
        <w:spacing w:before="0" w:after="40" w:line="276" w:lineRule="auto"/>
      </w:pPr>
      <w:r>
        <w:rPr>
          <w:rFonts w:ascii="Times New Roman" w:hAnsi="Times New Roman" w:cs="Times New Roman"/>
          <w:sz w:val="22"/>
          <w:szCs w:val="22"/>
        </w:rPr>
        <w:t xml:space="preserve">Авторы: Das Mausumi, Son Weon-Young</w:t>
      </w:r>
    </w:p>
    <w:p>
      <w:pPr>
        <w:spacing w:before="0" w:after="40" w:line="276" w:lineRule="auto"/>
      </w:pPr>
      <w:r>
        <w:rPr>
          <w:rFonts w:ascii="Times New Roman" w:hAnsi="Times New Roman" w:cs="Times New Roman"/>
          <w:sz w:val="22"/>
          <w:szCs w:val="22"/>
        </w:rPr>
        <w:t xml:space="preserve">Год: 2023</w:t>
      </w:r>
    </w:p>
    <w:p>
      <w:pPr>
        <w:spacing w:before="0" w:after="40" w:line="276" w:lineRule="auto"/>
      </w:pPr>
      <w:r>
        <w:rPr>
          <w:rFonts w:ascii="Times New Roman" w:hAnsi="Times New Roman" w:cs="Times New Roman"/>
          <w:sz w:val="22"/>
          <w:szCs w:val="22"/>
        </w:rPr>
        <w:t xml:space="preserve">DOI: 10.1186/s12958-023-01162-x</w:t>
      </w:r>
    </w:p>
    <w:p>
      <w:pPr>
        <w:spacing w:before="0" w:after="40" w:line="276" w:lineRule="auto"/>
      </w:pPr>
      <w:r>
        <w:rPr>
          <w:rFonts w:ascii="Times New Roman" w:hAnsi="Times New Roman" w:cs="Times New Roman"/>
          <w:sz w:val="22"/>
          <w:szCs w:val="22"/>
        </w:rPr>
        <w:t xml:space="preserve">Источник: PMC10664544</w:t>
      </w:r>
    </w:p>
    <w:p>
      <w:pPr>
        <w:spacing w:before="0" w:after="40" w:line="276" w:lineRule="auto"/>
      </w:pPr>
      <w:r>
        <w:rPr>
          <w:rFonts w:ascii="Times New Roman" w:hAnsi="Times New Roman" w:cs="Times New Roman"/>
          <w:sz w:val="22"/>
          <w:szCs w:val="22"/>
        </w:rPr>
        <w:t xml:space="preserve">https://europepmc.org/articles/PMC10664544</w:t>
      </w:r>
    </w:p>
    <w:p>
      <w:pPr>
        <w:spacing w:before="0" w:after="40" w:line="276" w:lineRule="auto"/>
      </w:pPr>
      <w:r>
        <w:rPr>
          <w:rFonts w:ascii="Times New Roman" w:hAnsi="Times New Roman" w:cs="Times New Roman"/>
          <w:sz w:val="22"/>
          <w:szCs w:val="22"/>
        </w:rPr>
        <w:t xml:space="preserve">Язык цитат: английский</w:t>
      </w:r>
    </w:p>
    <w:p>
      <w:pPr>
        <w:spacing w:before="0" w:after="40" w:line="276" w:lineRule="auto"/>
      </w:pPr>
      <w:r>
        <w:rPr>
          <w:rFonts w:ascii="Times New Roman" w:hAnsi="Times New Roman" w:cs="Times New Roman"/>
          <w:sz w:val="22"/>
          <w:szCs w:val="22"/>
        </w:rPr>
        <w:t xml:space="preserve">Охват: полный текст</w:t>
      </w:r>
    </w:p>
    <w:p>
      <w:pPr>
        <w:spacing w:before="0" w:after="200" w:line="276" w:lineRule="auto"/>
      </w:pPr>
      <w:r>
        <w:rPr>
          <w:rFonts w:ascii="Times New Roman" w:hAnsi="Times New Roman" w:cs="Times New Roman"/>
          <w:sz w:val="22"/>
          <w:szCs w:val="22"/>
        </w:rPr>
        <w:t xml:space="preserve">Прочитано предложений: 289</w:t>
      </w:r>
    </w:p>
    <w:p>
      <w:pPr>
        <w:spacing w:before="240" w:after="60" w:line="276" w:lineRule="auto"/>
      </w:pPr>
      <w:r>
        <w:rPr>
          <w:rFonts w:ascii="Times New Roman" w:hAnsi="Times New Roman" w:cs="Times New Roman"/>
          <w:b/>
          <w:sz w:val="28"/>
          <w:szCs w:val="28"/>
        </w:rPr>
        <w:t xml:space="preserve">Структура эксперимента</w:t>
      </w:r>
    </w:p>
    <w:p>
      <w:pPr>
        <w:spacing w:before="0" w:after="80" w:line="276" w:lineRule="auto"/>
      </w:pPr>
      <w:r>
        <w:rPr>
          <w:rFonts w:ascii="Times New Roman" w:hAnsi="Times New Roman" w:cs="Times New Roman"/>
          <w:i/>
          <w:sz w:val="22"/>
          <w:szCs w:val="22"/>
        </w:rPr>
        <w:t xml:space="preserve">Как авторы устроили свою работу: дизайн, кто вошёл, группы, какие исходы заданы, чем сравнивали на уровне плана.</w:t>
      </w:r>
    </w:p>
    <w:tbl>
      <w:tblPr>
        <w:tblW w:w="15136" w:type="dxa"/>
        <w:tblLayout w:type="fixed"/>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top w:w="40" w:type="dxa"/>
          <w:left w:w="80" w:type="dxa"/>
          <w:bottom w:w="40" w:type="dxa"/>
          <w:right w:w="80" w:type="dxa"/>
        </w:tblCellMar>
      </w:tblPr>
      <w:tblGrid>
        <w:gridCol w:w="700"/>
        <w:gridCol w:w="2200"/>
        <w:gridCol w:w="7200"/>
        <w:gridCol w:w="5036"/>
      </w:tblGrid>
      <w:tr>
        <w:trPr>
          <w:tblHeader/>
        </w:trPr>
        <w:tc>
          <w:tcPr>
            <w:tcW w:w="700" w:type="dxa"/>
            <w:shd w:val="clear" w:color="auto" w:fill="1F4E79"/>
          </w:tcPr>
          <w:p>
            <w:pPr>
              <w:spacing w:before="20" w:after="20" w:line="240" w:lineRule="auto"/>
            </w:pPr>
            <w:r>
              <w:rPr>
                <w:rFonts w:ascii="Times New Roman" w:hAnsi="Times New Roman" w:cs="Times New Roman"/>
                <w:b/>
                <w:color w:val="FFFFFF"/>
                <w:sz w:val="20"/>
                <w:szCs w:val="20"/>
              </w:rPr>
              <w:t xml:space="preserve">#</w:t>
            </w:r>
          </w:p>
        </w:tc>
        <w:tc>
          <w:tcPr>
            <w:tcW w:w="2200" w:type="dxa"/>
            <w:shd w:val="clear" w:color="auto" w:fill="1F4E79"/>
          </w:tcPr>
          <w:p>
            <w:pPr>
              <w:spacing w:before="20" w:after="20" w:line="240" w:lineRule="auto"/>
            </w:pPr>
            <w:r>
              <w:rPr>
                <w:rFonts w:ascii="Times New Roman" w:hAnsi="Times New Roman" w:cs="Times New Roman"/>
                <w:b/>
                <w:color w:val="FFFFFF"/>
                <w:sz w:val="20"/>
                <w:szCs w:val="20"/>
              </w:rPr>
              <w:t xml:space="preserve">Раздел</w:t>
            </w:r>
          </w:p>
        </w:tc>
        <w:tc>
          <w:tcPr>
            <w:tcW w:w="7200" w:type="dxa"/>
            <w:shd w:val="clear" w:color="auto" w:fill="1F4E79"/>
          </w:tcPr>
          <w:p>
            <w:pPr>
              <w:spacing w:before="20" w:after="20" w:line="240" w:lineRule="auto"/>
            </w:pPr>
            <w:r>
              <w:rPr>
                <w:rFonts w:ascii="Times New Roman" w:hAnsi="Times New Roman" w:cs="Times New Roman"/>
                <w:b/>
                <w:color w:val="FFFFFF"/>
                <w:sz w:val="20"/>
                <w:szCs w:val="20"/>
              </w:rPr>
              <w:t xml:space="preserve">Цитата</w:t>
            </w:r>
          </w:p>
        </w:tc>
        <w:tc>
          <w:tcPr>
            <w:tcW w:w="5036" w:type="dxa"/>
            <w:shd w:val="clear" w:color="auto" w:fill="1F4E79"/>
          </w:tcPr>
          <w:p>
            <w:pPr>
              <w:spacing w:before="20" w:after="20" w:line="240" w:lineRule="auto"/>
            </w:pPr>
            <w:r>
              <w:rPr>
                <w:rFonts w:ascii="Times New Roman" w:hAnsi="Times New Roman" w:cs="Times New Roman"/>
                <w:b/>
                <w:color w:val="FFFFFF"/>
                <w:sz w:val="20"/>
                <w:szCs w:val="20"/>
              </w:rPr>
              <w:t xml:space="preserve">Ссылки</w:t>
            </w:r>
          </w:p>
        </w:tc>
      </w:tr>
      <w:tr>
        <w:tc>
          <w:tcPr>
            <w:tcW w:w="700" w:type="dxa"/>
          </w:tcPr>
          <w:p>
            <w:pPr>
              <w:spacing w:before="20" w:after="20" w:line="240" w:lineRule="auto"/>
            </w:pPr>
            <w:r>
              <w:rPr>
                <w:rFonts w:ascii="Times New Roman" w:hAnsi="Times New Roman" w:cs="Times New Roman"/>
                <w:sz w:val="20"/>
                <w:szCs w:val="20"/>
              </w:rPr>
              <w:t xml:space="preserve">1</w:t>
            </w:r>
          </w:p>
        </w:tc>
        <w:tc>
          <w:tcPr>
            <w:tcW w:w="2200" w:type="dxa"/>
          </w:tcPr>
          <w:p>
            <w:pPr>
              <w:spacing w:before="20" w:after="20" w:line="240" w:lineRule="auto"/>
            </w:pPr>
            <w:r>
              <w:rPr>
                <w:rFonts w:ascii="Times New Roman" w:hAnsi="Times New Roman" w:cs="Times New Roman"/>
                <w:sz w:val="20"/>
                <w:szCs w:val="20"/>
              </w:rPr>
              <w:t xml:space="preserve">Methods → Oocyte retrieval</w:t>
            </w:r>
          </w:p>
        </w:tc>
        <w:tc>
          <w:tcPr>
            <w:tcW w:w="7200" w:type="dxa"/>
          </w:tcPr>
          <w:p>
            <w:pPr>
              <w:spacing w:before="20" w:after="20" w:line="240" w:lineRule="auto"/>
            </w:pPr>
            <w:r>
              <w:rPr>
                <w:rFonts w:ascii="Times New Roman" w:hAnsi="Times New Roman" w:cs="Times New Roman"/>
                <w:sz w:val="20"/>
                <w:szCs w:val="20"/>
              </w:rPr>
              <w:t xml:space="preserve">A retrospective cohort study comparing complication rates and pain scores after oocyte retrieval in IVM and IVF cycles concluded that although IVM oocyte retrievals require more punctures per ovary and took significantly more time than IVF oocyte collections, they were not associated with a higher complication rate than IVF oocyte retrieval procedures [61].</w:t>
            </w:r>
          </w:p>
        </w:tc>
        <w:tc>
          <w:tcPr>
            <w:tcW w:w="5036" w:type="dxa"/>
          </w:tcPr>
          <w:p>
            <w:pPr>
              <w:spacing w:before="0" w:after="80" w:line="240" w:lineRule="auto"/>
              <w:ind w:left="360"/>
            </w:pPr>
            <w:r>
              <w:rPr>
                <w:rFonts w:ascii="Times New Roman" w:hAnsi="Times New Roman" w:cs="Times New Roman"/>
                <w:sz w:val="20"/>
                <w:szCs w:val="20"/>
              </w:rPr>
              <w:t xml:space="preserve">61. Seyhan A, Ata B, Son WY, Dahan MH, Tan SL. Comparison of complication rates and pain scores after transvaginal ultrasound-guided oocyte pickup procedures for in vitro maturation and in vitro fertilization cycles. Fertil Steril. 2014;101:705–709. doi: 10.1016/j.fertnstert.2013.12.011. </w:t>
            </w:r>
            <w:hyperlink r:id="rId37" w:history="1">
              <w:r>
                <w:rPr>
                  <w:rStyle w:val="Hyperlink"/>
                  <w:rFonts w:ascii="Times New Roman" w:hAnsi="Times New Roman" w:cs="Times New Roman"/>
                  <w:color w:val="0563C1"/>
                  <w:u w:val="single"/>
                  <w:sz w:val="20"/>
                  <w:szCs w:val="20"/>
                </w:rPr>
                <w:t xml:space="preserve">https://doi.org/10.1016/j.fertnstert.2013.12.011</w:t>
              </w:r>
            </w:hyperlink>
          </w:p>
        </w:tc>
      </w:tr>
      <w:tr>
        <w:tc>
          <w:tcPr>
            <w:tcW w:w="700" w:type="dxa"/>
          </w:tcPr>
          <w:p>
            <w:pPr>
              <w:spacing w:before="20" w:after="20" w:line="240" w:lineRule="auto"/>
            </w:pPr>
            <w:r>
              <w:rPr>
                <w:rFonts w:ascii="Times New Roman" w:hAnsi="Times New Roman" w:cs="Times New Roman"/>
                <w:sz w:val="20"/>
                <w:szCs w:val="20"/>
              </w:rPr>
              <w:t xml:space="preserve">2</w:t>
            </w:r>
          </w:p>
        </w:tc>
        <w:tc>
          <w:tcPr>
            <w:tcW w:w="2200" w:type="dxa"/>
          </w:tcPr>
          <w:p>
            <w:pPr>
              <w:spacing w:before="20" w:after="20" w:line="240" w:lineRule="auto"/>
            </w:pPr>
            <w:r>
              <w:rPr>
                <w:rFonts w:ascii="Times New Roman" w:hAnsi="Times New Roman" w:cs="Times New Roman"/>
                <w:sz w:val="20"/>
                <w:szCs w:val="20"/>
              </w:rPr>
              <w:t xml:space="preserve">Methods → Freeze all strategy</w:t>
            </w:r>
          </w:p>
        </w:tc>
        <w:tc>
          <w:tcPr>
            <w:tcW w:w="7200" w:type="dxa"/>
          </w:tcPr>
          <w:p>
            <w:pPr>
              <w:spacing w:before="20" w:after="20" w:line="240" w:lineRule="auto"/>
            </w:pPr>
            <w:r>
              <w:rPr>
                <w:rFonts w:ascii="Times New Roman" w:hAnsi="Times New Roman" w:cs="Times New Roman"/>
                <w:sz w:val="20"/>
                <w:szCs w:val="20"/>
              </w:rPr>
              <w:t xml:space="preserve">In a recent randomized controlled pilot study, 40 women aged 18–37 years with a high antral follicle count undergoing one cycle of CAPA-IVM were randomized to a freeze-only strategy with subsequent frozen embryo transfer or to fresh embryo transfer at the cleavage stage.</w:t>
            </w:r>
          </w:p>
        </w:tc>
        <w:tc>
          <w:tcPr>
            <w:tcW w:w="5036" w:type="dxa"/>
          </w:tcPr>
          <w:p>
            <w:pPr>
              <w:spacing w:before="20" w:after="20" w:line="240" w:lineRule="auto"/>
            </w:pPr>
            <w:r>
              <w:rPr>
                <w:rFonts w:ascii="Times New Roman" w:hAnsi="Times New Roman" w:cs="Times New Roman"/>
                <w:sz w:val="20"/>
                <w:szCs w:val="20"/>
              </w:rPr>
              <w:t xml:space="preserve">—</w:t>
            </w:r>
          </w:p>
        </w:tc>
      </w:tr>
    </w:tbl>
    <w:p>
      <w:pPr>
        <w:spacing w:before="240" w:after="60" w:line="276" w:lineRule="auto"/>
      </w:pPr>
      <w:r>
        <w:rPr>
          <w:rFonts w:ascii="Times New Roman" w:hAnsi="Times New Roman" w:cs="Times New Roman"/>
          <w:b/>
          <w:sz w:val="28"/>
          <w:szCs w:val="28"/>
        </w:rPr>
        <w:t xml:space="preserve">Контроль</w:t>
      </w:r>
    </w:p>
    <w:p>
      <w:pPr>
        <w:spacing w:before="0" w:after="80" w:line="276" w:lineRule="auto"/>
      </w:pPr>
      <w:r>
        <w:rPr>
          <w:rFonts w:ascii="Times New Roman" w:hAnsi="Times New Roman" w:cs="Times New Roman"/>
          <w:i/>
          <w:sz w:val="22"/>
          <w:szCs w:val="22"/>
        </w:rPr>
        <w:t xml:space="preserve">Чем задано сравнение: контрольная группа, подобранные контроли, группа сопоставления.</w:t>
      </w:r>
    </w:p>
    <w:p>
      <w:pPr>
        <w:spacing w:before="0" w:after="80" w:line="276" w:lineRule="auto"/>
      </w:pPr>
      <w:r>
        <w:rPr>
          <w:rFonts w:ascii="Times New Roman" w:hAnsi="Times New Roman" w:cs="Times New Roman"/>
          <w:sz w:val="22"/>
          <w:szCs w:val="22"/>
        </w:rPr>
        <w:t xml:space="preserve">Отдельное описание контроля не выделено.</w:t>
      </w:r>
    </w:p>
    <w:p>
      <w:pPr>
        <w:spacing w:before="240" w:after="60" w:line="276" w:lineRule="auto"/>
      </w:pPr>
      <w:r>
        <w:rPr>
          <w:rFonts w:ascii="Times New Roman" w:hAnsi="Times New Roman" w:cs="Times New Roman"/>
          <w:b/>
          <w:sz w:val="28"/>
          <w:szCs w:val="28"/>
        </w:rPr>
        <w:t xml:space="preserve">Данные литобзора</w:t>
      </w:r>
    </w:p>
    <w:p>
      <w:pPr>
        <w:spacing w:before="0" w:after="80" w:line="276" w:lineRule="auto"/>
      </w:pPr>
      <w:r>
        <w:rPr>
          <w:rFonts w:ascii="Times New Roman" w:hAnsi="Times New Roman" w:cs="Times New Roman"/>
          <w:i/>
          <w:sz w:val="22"/>
          <w:szCs w:val="22"/>
        </w:rPr>
        <w:t xml:space="preserve">Положения, которые опираются на чужие работы. Это фразы из введения и обсуждения, а не список литературы в конце статьи.</w:t>
      </w:r>
    </w:p>
    <w:tbl>
      <w:tblPr>
        <w:tblW w:w="15136" w:type="dxa"/>
        <w:tblLayout w:type="fixed"/>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top w:w="40" w:type="dxa"/>
          <w:left w:w="80" w:type="dxa"/>
          <w:bottom w:w="40" w:type="dxa"/>
          <w:right w:w="80" w:type="dxa"/>
        </w:tblCellMar>
      </w:tblPr>
      <w:tblGrid>
        <w:gridCol w:w="700"/>
        <w:gridCol w:w="2200"/>
        <w:gridCol w:w="7200"/>
        <w:gridCol w:w="5036"/>
      </w:tblGrid>
      <w:tr>
        <w:trPr>
          <w:tblHeader/>
        </w:trPr>
        <w:tc>
          <w:tcPr>
            <w:tcW w:w="700" w:type="dxa"/>
            <w:shd w:val="clear" w:color="auto" w:fill="1F4E79"/>
          </w:tcPr>
          <w:p>
            <w:pPr>
              <w:spacing w:before="20" w:after="20" w:line="240" w:lineRule="auto"/>
            </w:pPr>
            <w:r>
              <w:rPr>
                <w:rFonts w:ascii="Times New Roman" w:hAnsi="Times New Roman" w:cs="Times New Roman"/>
                <w:b/>
                <w:color w:val="FFFFFF"/>
                <w:sz w:val="20"/>
                <w:szCs w:val="20"/>
              </w:rPr>
              <w:t xml:space="preserve">#</w:t>
            </w:r>
          </w:p>
        </w:tc>
        <w:tc>
          <w:tcPr>
            <w:tcW w:w="2200" w:type="dxa"/>
            <w:shd w:val="clear" w:color="auto" w:fill="1F4E79"/>
          </w:tcPr>
          <w:p>
            <w:pPr>
              <w:spacing w:before="20" w:after="20" w:line="240" w:lineRule="auto"/>
            </w:pPr>
            <w:r>
              <w:rPr>
                <w:rFonts w:ascii="Times New Roman" w:hAnsi="Times New Roman" w:cs="Times New Roman"/>
                <w:b/>
                <w:color w:val="FFFFFF"/>
                <w:sz w:val="20"/>
                <w:szCs w:val="20"/>
              </w:rPr>
              <w:t xml:space="preserve">Раздел</w:t>
            </w:r>
          </w:p>
        </w:tc>
        <w:tc>
          <w:tcPr>
            <w:tcW w:w="7200" w:type="dxa"/>
            <w:shd w:val="clear" w:color="auto" w:fill="1F4E79"/>
          </w:tcPr>
          <w:p>
            <w:pPr>
              <w:spacing w:before="20" w:after="20" w:line="240" w:lineRule="auto"/>
            </w:pPr>
            <w:r>
              <w:rPr>
                <w:rFonts w:ascii="Times New Roman" w:hAnsi="Times New Roman" w:cs="Times New Roman"/>
                <w:b/>
                <w:color w:val="FFFFFF"/>
                <w:sz w:val="20"/>
                <w:szCs w:val="20"/>
              </w:rPr>
              <w:t xml:space="preserve">Цитата</w:t>
            </w:r>
          </w:p>
        </w:tc>
        <w:tc>
          <w:tcPr>
            <w:tcW w:w="5036" w:type="dxa"/>
            <w:shd w:val="clear" w:color="auto" w:fill="1F4E79"/>
          </w:tcPr>
          <w:p>
            <w:pPr>
              <w:spacing w:before="20" w:after="20" w:line="240" w:lineRule="auto"/>
            </w:pPr>
            <w:r>
              <w:rPr>
                <w:rFonts w:ascii="Times New Roman" w:hAnsi="Times New Roman" w:cs="Times New Roman"/>
                <w:b/>
                <w:color w:val="FFFFFF"/>
                <w:sz w:val="20"/>
                <w:szCs w:val="20"/>
              </w:rPr>
              <w:t xml:space="preserve">Ссылки</w:t>
            </w:r>
          </w:p>
        </w:tc>
      </w:tr>
      <w:tr>
        <w:tc>
          <w:tcPr>
            <w:tcW w:w="700" w:type="dxa"/>
          </w:tcPr>
          <w:p>
            <w:pPr>
              <w:spacing w:before="20" w:after="20" w:line="240" w:lineRule="auto"/>
            </w:pPr>
            <w:r>
              <w:rPr>
                <w:rFonts w:ascii="Times New Roman" w:hAnsi="Times New Roman" w:cs="Times New Roman"/>
                <w:sz w:val="20"/>
                <w:szCs w:val="20"/>
              </w:rPr>
              <w:t xml:space="preserve">1</w:t>
            </w:r>
          </w:p>
        </w:tc>
        <w:tc>
          <w:tcPr>
            <w:tcW w:w="2200" w:type="dxa"/>
          </w:tcPr>
          <w:p>
            <w:pPr>
              <w:spacing w:before="20" w:after="20" w:line="240" w:lineRule="auto"/>
            </w:pPr>
            <w:r>
              <w:rPr>
                <w:rFonts w:ascii="Times New Roman" w:hAnsi="Times New Roman" w:cs="Times New Roman"/>
                <w:sz w:val="20"/>
                <w:szCs w:val="20"/>
              </w:rPr>
              <w:t xml:space="preserve">Abstract</w:t>
            </w:r>
          </w:p>
        </w:tc>
        <w:tc>
          <w:tcPr>
            <w:tcW w:w="7200" w:type="dxa"/>
          </w:tcPr>
          <w:p>
            <w:pPr>
              <w:spacing w:before="20" w:after="20" w:line="240" w:lineRule="auto"/>
            </w:pPr>
            <w:r>
              <w:rPr>
                <w:rFonts w:ascii="Times New Roman" w:hAnsi="Times New Roman" w:cs="Times New Roman"/>
                <w:sz w:val="20"/>
                <w:szCs w:val="20"/>
              </w:rPr>
              <w:t xml:space="preserve">In vitro maturation (IVM) of human immature oocytes has been shown to be a viable option for patients at risk of ovarian hyperstimulation syndrome (OHSS), those seeking urgent fertility preservation and in circumstances where controlled ovarian stimulation is not feasible.</w:t>
            </w:r>
          </w:p>
        </w:tc>
        <w:tc>
          <w:tcPr>
            <w:tcW w:w="5036" w:type="dxa"/>
          </w:tcPr>
          <w:p>
            <w:pPr>
              <w:spacing w:before="20" w:after="20" w:line="240" w:lineRule="auto"/>
            </w:pPr>
            <w:r>
              <w:rPr>
                <w:rFonts w:ascii="Times New Roman" w:hAnsi="Times New Roman" w:cs="Times New Roman"/>
                <w:sz w:val="20"/>
                <w:szCs w:val="20"/>
              </w:rPr>
              <w:t xml:space="preserve">—</w:t>
            </w:r>
          </w:p>
        </w:tc>
      </w:tr>
      <w:tr>
        <w:tc>
          <w:tcPr>
            <w:tcW w:w="700" w:type="dxa"/>
          </w:tcPr>
          <w:p>
            <w:pPr>
              <w:spacing w:before="20" w:after="20" w:line="240" w:lineRule="auto"/>
            </w:pPr>
            <w:r>
              <w:rPr>
                <w:rFonts w:ascii="Times New Roman" w:hAnsi="Times New Roman" w:cs="Times New Roman"/>
                <w:sz w:val="20"/>
                <w:szCs w:val="20"/>
              </w:rPr>
              <w:t xml:space="preserve">2</w:t>
            </w:r>
          </w:p>
        </w:tc>
        <w:tc>
          <w:tcPr>
            <w:tcW w:w="2200" w:type="dxa"/>
          </w:tcPr>
          <w:p>
            <w:pPr>
              <w:spacing w:before="20" w:after="20" w:line="240" w:lineRule="auto"/>
            </w:pPr>
            <w:r>
              <w:rPr>
                <w:rFonts w:ascii="Times New Roman" w:hAnsi="Times New Roman" w:cs="Times New Roman"/>
                <w:sz w:val="20"/>
                <w:szCs w:val="20"/>
              </w:rPr>
              <w:t xml:space="preserve">Background</w:t>
            </w:r>
          </w:p>
        </w:tc>
        <w:tc>
          <w:tcPr>
            <w:tcW w:w="7200" w:type="dxa"/>
          </w:tcPr>
          <w:p>
            <w:pPr>
              <w:spacing w:before="20" w:after="20" w:line="240" w:lineRule="auto"/>
            </w:pPr>
            <w:r>
              <w:rPr>
                <w:rFonts w:ascii="Times New Roman" w:hAnsi="Times New Roman" w:cs="Times New Roman"/>
                <w:sz w:val="20"/>
                <w:szCs w:val="20"/>
              </w:rPr>
              <w:t xml:space="preserve">Since the first IVM baby was born in 1991 [1], the use of IVM has been credited with approximately 5000–6000 live births [2].</w:t>
            </w:r>
          </w:p>
        </w:tc>
        <w:tc>
          <w:tcPr>
            <w:tcW w:w="5036" w:type="dxa"/>
          </w:tcPr>
          <w:p>
            <w:pPr>
              <w:spacing w:before="0" w:after="80" w:line="240" w:lineRule="auto"/>
              <w:ind w:left="360"/>
            </w:pPr>
            <w:r>
              <w:rPr>
                <w:rFonts w:ascii="Times New Roman" w:hAnsi="Times New Roman" w:cs="Times New Roman"/>
                <w:sz w:val="20"/>
                <w:szCs w:val="20"/>
              </w:rPr>
              <w:t xml:space="preserve">1. Cha KY, Koo JJ, Ko JJ, Choi DH, Han SY, Yoon TK. Pregnancy after in vitro fertilization of human follicular oocytes collected from nonstimulated cycles, their culture in vitro and their transfer in a donor oocyte program. Fertil Steril. 1991;55:109–13. doi: 10.1016/S0015-0282(16)54068-0. </w:t>
            </w:r>
            <w:hyperlink r:id="rId2" w:history="1">
              <w:r>
                <w:rPr>
                  <w:rStyle w:val="Hyperlink"/>
                  <w:rFonts w:ascii="Times New Roman" w:hAnsi="Times New Roman" w:cs="Times New Roman"/>
                  <w:color w:val="0563C1"/>
                  <w:u w:val="single"/>
                  <w:sz w:val="20"/>
                  <w:szCs w:val="20"/>
                </w:rPr>
                <w:t xml:space="preserve">https://doi.org/10.1016/S0015-0282(16)54068-0</w:t>
              </w:r>
            </w:hyperlink>
            <w:r>
              <w:rPr>
                <w:rFonts w:ascii="Times New Roman" w:hAnsi="Times New Roman" w:cs="Times New Roman"/>
                <w:sz w:val="20"/>
                <w:szCs w:val="20"/>
              </w:rPr>
              <w:t xml:space="preserve">; </w:t>
            </w:r>
            <w:r>
              <w:rPr>
                <w:rFonts w:ascii="Times New Roman" w:hAnsi="Times New Roman" w:cs="Times New Roman"/>
                <w:sz w:val="20"/>
                <w:szCs w:val="20"/>
              </w:rPr>
              <w:t xml:space="preserve">2. Walls ML, Hart RJ. In vitro maturation. Best Pract Res Clin Obstet Gynaecol. 2018;53:60–72. doi: 10.1016/j.bpobgyn.2018.06.004. </w:t>
            </w:r>
            <w:hyperlink r:id="rId3" w:history="1">
              <w:r>
                <w:rPr>
                  <w:rStyle w:val="Hyperlink"/>
                  <w:rFonts w:ascii="Times New Roman" w:hAnsi="Times New Roman" w:cs="Times New Roman"/>
                  <w:color w:val="0563C1"/>
                  <w:u w:val="single"/>
                  <w:sz w:val="20"/>
                  <w:szCs w:val="20"/>
                </w:rPr>
                <w:t xml:space="preserve">https://doi.org/10.1016/j.bpobgyn.2018.06.004</w:t>
              </w:r>
            </w:hyperlink>
          </w:p>
        </w:tc>
      </w:tr>
      <w:tr>
        <w:tc>
          <w:tcPr>
            <w:tcW w:w="700" w:type="dxa"/>
          </w:tcPr>
          <w:p>
            <w:pPr>
              <w:spacing w:before="20" w:after="20" w:line="240" w:lineRule="auto"/>
            </w:pPr>
            <w:r>
              <w:rPr>
                <w:rFonts w:ascii="Times New Roman" w:hAnsi="Times New Roman" w:cs="Times New Roman"/>
                <w:sz w:val="20"/>
                <w:szCs w:val="20"/>
              </w:rPr>
              <w:t xml:space="preserve">3</w:t>
            </w:r>
          </w:p>
        </w:tc>
        <w:tc>
          <w:tcPr>
            <w:tcW w:w="2200" w:type="dxa"/>
          </w:tcPr>
          <w:p>
            <w:pPr>
              <w:spacing w:before="20" w:after="20" w:line="240" w:lineRule="auto"/>
            </w:pPr>
            <w:r>
              <w:rPr>
                <w:rFonts w:ascii="Times New Roman" w:hAnsi="Times New Roman" w:cs="Times New Roman"/>
                <w:sz w:val="20"/>
                <w:szCs w:val="20"/>
              </w:rPr>
              <w:t xml:space="preserve">Background</w:t>
            </w:r>
          </w:p>
        </w:tc>
        <w:tc>
          <w:tcPr>
            <w:tcW w:w="7200" w:type="dxa"/>
          </w:tcPr>
          <w:p>
            <w:pPr>
              <w:spacing w:before="20" w:after="20" w:line="240" w:lineRule="auto"/>
            </w:pPr>
            <w:r>
              <w:rPr>
                <w:rFonts w:ascii="Times New Roman" w:hAnsi="Times New Roman" w:cs="Times New Roman"/>
                <w:sz w:val="20"/>
                <w:szCs w:val="20"/>
              </w:rPr>
              <w:t xml:space="preserve">The clinical applications of IVM have expanded to include patients experiencing repeated failures in assisted reproduction due to resistant ovary syndrome and poor responders [3–5].</w:t>
            </w:r>
          </w:p>
        </w:tc>
        <w:tc>
          <w:tcPr>
            <w:tcW w:w="5036" w:type="dxa"/>
          </w:tcPr>
          <w:p>
            <w:pPr>
              <w:spacing w:before="0" w:after="80" w:line="240" w:lineRule="auto"/>
              <w:ind w:left="360"/>
            </w:pPr>
            <w:r>
              <w:rPr>
                <w:rFonts w:ascii="Times New Roman" w:hAnsi="Times New Roman" w:cs="Times New Roman"/>
                <w:sz w:val="20"/>
                <w:szCs w:val="20"/>
              </w:rPr>
              <w:t xml:space="preserve">3. Hyman JH, Sokal-Arnon T, Son WY, Tan SL, Dahan MH. Live birth of twins after performing early hCGadmicelnistration as a modification of natural cycle in vitro fertilization, in a women with decreased ovarian reserve. Arch Gynecol Obstet. 2015;291:219–222. doi: 10.1007/s00404-014-3371-9. </w:t>
            </w:r>
            <w:hyperlink r:id="rId4" w:history="1">
              <w:r>
                <w:rPr>
                  <w:rStyle w:val="Hyperlink"/>
                  <w:rFonts w:ascii="Times New Roman" w:hAnsi="Times New Roman" w:cs="Times New Roman"/>
                  <w:color w:val="0563C1"/>
                  <w:u w:val="single"/>
                  <w:sz w:val="20"/>
                  <w:szCs w:val="20"/>
                </w:rPr>
                <w:t xml:space="preserve">https://doi.org/10.1007/s00404-014-3371-9</w:t>
              </w:r>
            </w:hyperlink>
            <w:r>
              <w:rPr>
                <w:rFonts w:ascii="Times New Roman" w:hAnsi="Times New Roman" w:cs="Times New Roman"/>
                <w:sz w:val="20"/>
                <w:szCs w:val="20"/>
              </w:rPr>
              <w:t xml:space="preserve">; </w:t>
            </w:r>
            <w:r>
              <w:rPr>
                <w:rFonts w:ascii="Times New Roman" w:hAnsi="Times New Roman" w:cs="Times New Roman"/>
                <w:sz w:val="20"/>
                <w:szCs w:val="20"/>
              </w:rPr>
              <w:t xml:space="preserve">4. Nayot D, Chung JT, Son WY, Ao A, Hughes M, Dahan MH. Live birth following serial vitrification of embryos and PGD for fragile X syndrome in a patient with the premutation and decreased ovarian reserve. J Assist Reprod Genet. 2013;30:1439–1444. doi: 10.1007/s10815-013-0079-x. </w:t>
            </w:r>
            <w:hyperlink r:id="rId5" w:history="1">
              <w:r>
                <w:rPr>
                  <w:rStyle w:val="Hyperlink"/>
                  <w:rFonts w:ascii="Times New Roman" w:hAnsi="Times New Roman" w:cs="Times New Roman"/>
                  <w:color w:val="0563C1"/>
                  <w:u w:val="single"/>
                  <w:sz w:val="20"/>
                  <w:szCs w:val="20"/>
                </w:rPr>
                <w:t xml:space="preserve">https://doi.org/10.1007/s10815-013-0079-x</w:t>
              </w:r>
            </w:hyperlink>
            <w:r>
              <w:rPr>
                <w:rFonts w:ascii="Times New Roman" w:hAnsi="Times New Roman" w:cs="Times New Roman"/>
                <w:sz w:val="20"/>
                <w:szCs w:val="20"/>
              </w:rPr>
              <w:t xml:space="preserve">; </w:t>
            </w:r>
            <w:r>
              <w:rPr>
                <w:rFonts w:ascii="Times New Roman" w:hAnsi="Times New Roman" w:cs="Times New Roman"/>
                <w:sz w:val="20"/>
                <w:szCs w:val="20"/>
              </w:rPr>
              <w:t xml:space="preserve">5. Galvao A, Segers I, Smitz J, Tournaye H, de Vos M. In vitro maturation (IVM) of oocytes in patients with resistant ovarysyndrome and in patients with repeated deficient oocyte maturation. J Assist Reprod Genet. 2018;35:2161–71. doi: 10.1007/s10815-018-1317-z. </w:t>
            </w:r>
            <w:hyperlink r:id="rId6" w:history="1">
              <w:r>
                <w:rPr>
                  <w:rStyle w:val="Hyperlink"/>
                  <w:rFonts w:ascii="Times New Roman" w:hAnsi="Times New Roman" w:cs="Times New Roman"/>
                  <w:color w:val="0563C1"/>
                  <w:u w:val="single"/>
                  <w:sz w:val="20"/>
                  <w:szCs w:val="20"/>
                </w:rPr>
                <w:t xml:space="preserve">https://doi.org/10.1007/s10815-018-1317-z</w:t>
              </w:r>
            </w:hyperlink>
          </w:p>
        </w:tc>
      </w:tr>
      <w:tr>
        <w:tc>
          <w:tcPr>
            <w:tcW w:w="700" w:type="dxa"/>
          </w:tcPr>
          <w:p>
            <w:pPr>
              <w:spacing w:before="20" w:after="20" w:line="240" w:lineRule="auto"/>
            </w:pPr>
            <w:r>
              <w:rPr>
                <w:rFonts w:ascii="Times New Roman" w:hAnsi="Times New Roman" w:cs="Times New Roman"/>
                <w:sz w:val="20"/>
                <w:szCs w:val="20"/>
              </w:rPr>
              <w:t xml:space="preserve">4</w:t>
            </w:r>
          </w:p>
        </w:tc>
        <w:tc>
          <w:tcPr>
            <w:tcW w:w="2200" w:type="dxa"/>
          </w:tcPr>
          <w:p>
            <w:pPr>
              <w:spacing w:before="20" w:after="20" w:line="240" w:lineRule="auto"/>
            </w:pPr>
            <w:r>
              <w:rPr>
                <w:rFonts w:ascii="Times New Roman" w:hAnsi="Times New Roman" w:cs="Times New Roman"/>
                <w:sz w:val="20"/>
                <w:szCs w:val="20"/>
              </w:rPr>
              <w:t xml:space="preserve">Background</w:t>
            </w:r>
          </w:p>
        </w:tc>
        <w:tc>
          <w:tcPr>
            <w:tcW w:w="7200" w:type="dxa"/>
          </w:tcPr>
          <w:p>
            <w:pPr>
              <w:spacing w:before="20" w:after="20" w:line="240" w:lineRule="auto"/>
            </w:pPr>
            <w:r>
              <w:rPr>
                <w:rFonts w:ascii="Times New Roman" w:hAnsi="Times New Roman" w:cs="Times New Roman"/>
                <w:sz w:val="20"/>
                <w:szCs w:val="20"/>
              </w:rPr>
              <w:t xml:space="preserve">Recently, the American Society of Reproductive Medicine (ASRM) has acknowledged the usefulness of IVM in certain clinical applicationsand has declared it to be nonexperimental [6].</w:t>
            </w:r>
          </w:p>
        </w:tc>
        <w:tc>
          <w:tcPr>
            <w:tcW w:w="5036" w:type="dxa"/>
          </w:tcPr>
          <w:p>
            <w:pPr>
              <w:spacing w:before="0" w:after="80" w:line="240" w:lineRule="auto"/>
              <w:ind w:left="360"/>
            </w:pPr>
            <w:r>
              <w:rPr>
                <w:rFonts w:ascii="Times New Roman" w:hAnsi="Times New Roman" w:cs="Times New Roman"/>
                <w:sz w:val="20"/>
                <w:szCs w:val="20"/>
              </w:rPr>
              <w:t xml:space="preserve">6. Practice Committees of the American Society for Reproductive Medicine, the Society of Reproductive Biologists and Technologists, and the Society for Assisted Reproductive Technology In vitro maturation: a committee opinion. Fertil Steril. 2021;115:298–304. doi: 10.1016/j.fertnstert.2020.11.018. </w:t>
            </w:r>
            <w:hyperlink r:id="rId7" w:history="1">
              <w:r>
                <w:rPr>
                  <w:rStyle w:val="Hyperlink"/>
                  <w:rFonts w:ascii="Times New Roman" w:hAnsi="Times New Roman" w:cs="Times New Roman"/>
                  <w:color w:val="0563C1"/>
                  <w:u w:val="single"/>
                  <w:sz w:val="20"/>
                  <w:szCs w:val="20"/>
                </w:rPr>
                <w:t xml:space="preserve">https://doi.org/10.1016/j.fertnstert.2020.11.018</w:t>
              </w:r>
            </w:hyperlink>
          </w:p>
        </w:tc>
      </w:tr>
      <w:tr>
        <w:tc>
          <w:tcPr>
            <w:tcW w:w="700" w:type="dxa"/>
          </w:tcPr>
          <w:p>
            <w:pPr>
              <w:spacing w:before="20" w:after="20" w:line="240" w:lineRule="auto"/>
            </w:pPr>
            <w:r>
              <w:rPr>
                <w:rFonts w:ascii="Times New Roman" w:hAnsi="Times New Roman" w:cs="Times New Roman"/>
                <w:sz w:val="20"/>
                <w:szCs w:val="20"/>
              </w:rPr>
              <w:t xml:space="preserve">5</w:t>
            </w:r>
          </w:p>
        </w:tc>
        <w:tc>
          <w:tcPr>
            <w:tcW w:w="2200" w:type="dxa"/>
          </w:tcPr>
          <w:p>
            <w:pPr>
              <w:spacing w:before="20" w:after="20" w:line="240" w:lineRule="auto"/>
            </w:pPr>
            <w:r>
              <w:rPr>
                <w:rFonts w:ascii="Times New Roman" w:hAnsi="Times New Roman" w:cs="Times New Roman"/>
                <w:sz w:val="20"/>
                <w:szCs w:val="20"/>
              </w:rPr>
              <w:t xml:space="preserve">Background</w:t>
            </w:r>
          </w:p>
        </w:tc>
        <w:tc>
          <w:tcPr>
            <w:tcW w:w="7200" w:type="dxa"/>
          </w:tcPr>
          <w:p>
            <w:pPr>
              <w:spacing w:before="20" w:after="20" w:line="240" w:lineRule="auto"/>
            </w:pPr>
            <w:r>
              <w:rPr>
                <w:rFonts w:ascii="Times New Roman" w:hAnsi="Times New Roman" w:cs="Times New Roman"/>
                <w:sz w:val="20"/>
                <w:szCs w:val="20"/>
              </w:rPr>
              <w:t xml:space="preserve">The complexity involved in performing IVM and its generally lower success rates compared to conventional IVF remain significant challenges [7–9].</w:t>
            </w:r>
          </w:p>
        </w:tc>
        <w:tc>
          <w:tcPr>
            <w:tcW w:w="5036" w:type="dxa"/>
          </w:tcPr>
          <w:p>
            <w:pPr>
              <w:spacing w:before="0" w:after="80" w:line="240" w:lineRule="auto"/>
              <w:ind w:left="360"/>
            </w:pPr>
            <w:r>
              <w:rPr>
                <w:rFonts w:ascii="Times New Roman" w:hAnsi="Times New Roman" w:cs="Times New Roman"/>
                <w:sz w:val="20"/>
                <w:szCs w:val="20"/>
              </w:rPr>
              <w:t xml:space="preserve">7. Junk SM, Yeap D. Improved implantation and ongoing pregnancy rates after single-embryo transfer with an optimized protocol for in vitro oocyte maturation in women with polycystic ovaries and polycystic ovary syndrome. Fertil Steril. 2012;98:888–892. doi: 10.1016/j.fertnstert.2012.06.055. </w:t>
            </w:r>
            <w:hyperlink r:id="rId8" w:history="1">
              <w:r>
                <w:rPr>
                  <w:rStyle w:val="Hyperlink"/>
                  <w:rFonts w:ascii="Times New Roman" w:hAnsi="Times New Roman" w:cs="Times New Roman"/>
                  <w:color w:val="0563C1"/>
                  <w:u w:val="single"/>
                  <w:sz w:val="20"/>
                  <w:szCs w:val="20"/>
                </w:rPr>
                <w:t xml:space="preserve">https://doi.org/10.1016/j.fertnstert.2012.06.055</w:t>
              </w:r>
            </w:hyperlink>
            <w:r>
              <w:rPr>
                <w:rFonts w:ascii="Times New Roman" w:hAnsi="Times New Roman" w:cs="Times New Roman"/>
                <w:sz w:val="20"/>
                <w:szCs w:val="20"/>
              </w:rPr>
              <w:t xml:space="preserve">; </w:t>
            </w:r>
            <w:r>
              <w:rPr>
                <w:rFonts w:ascii="Times New Roman" w:hAnsi="Times New Roman" w:cs="Times New Roman"/>
                <w:sz w:val="20"/>
                <w:szCs w:val="20"/>
              </w:rPr>
              <w:t xml:space="preserve">8. Das M, Son WY, Buckett W, Tulandi T, Holzer H. In-vitro maturation versus IVF with GnRH antagonist for women with polycystic ovary syndrome: treatment outcome and rates of ovarian hyperstimulation syndrome. Reprod Biomed Online. 2014;29:545–551. doi: 10.1016/j.rbmo.2014.07.019. </w:t>
            </w:r>
            <w:hyperlink r:id="rId9" w:history="1">
              <w:r>
                <w:rPr>
                  <w:rStyle w:val="Hyperlink"/>
                  <w:rFonts w:ascii="Times New Roman" w:hAnsi="Times New Roman" w:cs="Times New Roman"/>
                  <w:color w:val="0563C1"/>
                  <w:u w:val="single"/>
                  <w:sz w:val="20"/>
                  <w:szCs w:val="20"/>
                </w:rPr>
                <w:t xml:space="preserve">https://doi.org/10.1016/j.rbmo.2014.07.019</w:t>
              </w:r>
            </w:hyperlink>
            <w:r>
              <w:rPr>
                <w:rFonts w:ascii="Times New Roman" w:hAnsi="Times New Roman" w:cs="Times New Roman"/>
                <w:sz w:val="20"/>
                <w:szCs w:val="20"/>
              </w:rPr>
              <w:t xml:space="preserve">; </w:t>
            </w:r>
            <w:r>
              <w:rPr>
                <w:rFonts w:ascii="Times New Roman" w:hAnsi="Times New Roman" w:cs="Times New Roman"/>
                <w:sz w:val="20"/>
                <w:szCs w:val="20"/>
              </w:rPr>
              <w:t xml:space="preserve">9. Vuong LN, Le AH, Ho VNA, Pham TD, Sanchez F, Romero S, Romero S, De Vos M, Ho TM, Gilchrist RB, Smitz J. Live births after oocyte in vitro maturation with a prematuration step in women with polycystic ovary syndrome. J Assist Reprod Genet. 2020;37:347–357. doi: 10.1007/s10815-019-01677-6. </w:t>
            </w:r>
            <w:hyperlink r:id="rId10" w:history="1">
              <w:r>
                <w:rPr>
                  <w:rStyle w:val="Hyperlink"/>
                  <w:rFonts w:ascii="Times New Roman" w:hAnsi="Times New Roman" w:cs="Times New Roman"/>
                  <w:color w:val="0563C1"/>
                  <w:u w:val="single"/>
                  <w:sz w:val="20"/>
                  <w:szCs w:val="20"/>
                </w:rPr>
                <w:t xml:space="preserve">https://doi.org/10.1007/s10815-019-01677-6</w:t>
              </w:r>
            </w:hyperlink>
          </w:p>
        </w:tc>
      </w:tr>
      <w:tr>
        <w:tc>
          <w:tcPr>
            <w:tcW w:w="700" w:type="dxa"/>
          </w:tcPr>
          <w:p>
            <w:pPr>
              <w:spacing w:before="20" w:after="20" w:line="240" w:lineRule="auto"/>
            </w:pPr>
            <w:r>
              <w:rPr>
                <w:rFonts w:ascii="Times New Roman" w:hAnsi="Times New Roman" w:cs="Times New Roman"/>
                <w:sz w:val="20"/>
                <w:szCs w:val="20"/>
              </w:rPr>
              <w:t xml:space="preserve">6</w:t>
            </w:r>
          </w:p>
        </w:tc>
        <w:tc>
          <w:tcPr>
            <w:tcW w:w="2200" w:type="dxa"/>
          </w:tcPr>
          <w:p>
            <w:pPr>
              <w:spacing w:before="20" w:after="20" w:line="240" w:lineRule="auto"/>
            </w:pPr>
            <w:r>
              <w:rPr>
                <w:rFonts w:ascii="Times New Roman" w:hAnsi="Times New Roman" w:cs="Times New Roman"/>
                <w:sz w:val="20"/>
                <w:szCs w:val="20"/>
              </w:rPr>
              <w:t xml:space="preserve">Background</w:t>
            </w:r>
          </w:p>
        </w:tc>
        <w:tc>
          <w:tcPr>
            <w:tcW w:w="7200" w:type="dxa"/>
          </w:tcPr>
          <w:p>
            <w:pPr>
              <w:spacing w:before="20" w:after="20" w:line="240" w:lineRule="auto"/>
            </w:pPr>
            <w:r>
              <w:rPr>
                <w:rFonts w:ascii="Times New Roman" w:hAnsi="Times New Roman" w:cs="Times New Roman"/>
                <w:sz w:val="20"/>
                <w:szCs w:val="20"/>
              </w:rPr>
              <w:t xml:space="preserve">Secondly, the overall quality of oocytes derived from current IVM culture systems tends to be inferior to naturally matured oocytes in vivo [10].</w:t>
            </w:r>
          </w:p>
        </w:tc>
        <w:tc>
          <w:tcPr>
            <w:tcW w:w="5036" w:type="dxa"/>
          </w:tcPr>
          <w:p>
            <w:pPr>
              <w:spacing w:before="0" w:after="80" w:line="240" w:lineRule="auto"/>
              <w:ind w:left="360"/>
            </w:pPr>
            <w:r>
              <w:rPr>
                <w:rFonts w:ascii="Times New Roman" w:hAnsi="Times New Roman" w:cs="Times New Roman"/>
                <w:sz w:val="20"/>
                <w:szCs w:val="20"/>
              </w:rPr>
              <w:t xml:space="preserve">10. Gilchrist RB, Smitz J. Oocyte in vitro maturation: physiological basis and application to clinical practice. FertilSteril. 2023;119:524–39. doi: 10.1016/j.fertnstert.2023.02.010. </w:t>
            </w:r>
            <w:hyperlink r:id="rId11" w:history="1">
              <w:r>
                <w:rPr>
                  <w:rStyle w:val="Hyperlink"/>
                  <w:rFonts w:ascii="Times New Roman" w:hAnsi="Times New Roman" w:cs="Times New Roman"/>
                  <w:color w:val="0563C1"/>
                  <w:u w:val="single"/>
                  <w:sz w:val="20"/>
                  <w:szCs w:val="20"/>
                </w:rPr>
                <w:t xml:space="preserve">https://doi.org/10.1016/j.fertnstert.2023.02.010</w:t>
              </w:r>
            </w:hyperlink>
          </w:p>
        </w:tc>
      </w:tr>
    </w:tbl>
    <w:p>
      <w:pPr>
        <w:spacing w:before="240" w:after="60" w:line="276" w:lineRule="auto"/>
      </w:pPr>
      <w:r>
        <w:rPr>
          <w:rFonts w:ascii="Times New Roman" w:hAnsi="Times New Roman" w:cs="Times New Roman"/>
          <w:b/>
          <w:sz w:val="28"/>
          <w:szCs w:val="28"/>
        </w:rPr>
        <w:t xml:space="preserve">Результаты</w:t>
      </w:r>
    </w:p>
    <w:p>
      <w:pPr>
        <w:spacing w:before="0" w:after="80" w:line="276" w:lineRule="auto"/>
      </w:pPr>
      <w:r>
        <w:rPr>
          <w:rFonts w:ascii="Times New Roman" w:hAnsi="Times New Roman" w:cs="Times New Roman"/>
          <w:i/>
          <w:sz w:val="22"/>
          <w:szCs w:val="22"/>
        </w:rPr>
        <w:t xml:space="preserve">Что авторы сообщают как наблюдение своей работы: частоты, различия, значения P, случаи.</w:t>
      </w:r>
    </w:p>
    <w:p>
      <w:pPr>
        <w:spacing w:before="0" w:after="80" w:line="276" w:lineRule="auto"/>
      </w:pPr>
      <w:r>
        <w:rPr>
          <w:rFonts w:ascii="Times New Roman" w:hAnsi="Times New Roman" w:cs="Times New Roman"/>
          <w:sz w:val="22"/>
          <w:szCs w:val="22"/>
        </w:rPr>
        <w:t xml:space="preserve">Числовых итогов этой работы не выделено.</w:t>
      </w:r>
    </w:p>
    <w:p>
      <w:pPr>
        <w:spacing w:before="240" w:after="60" w:line="276" w:lineRule="auto"/>
      </w:pPr>
      <w:r>
        <w:rPr>
          <w:rFonts w:ascii="Times New Roman" w:hAnsi="Times New Roman" w:cs="Times New Roman"/>
          <w:b/>
          <w:sz w:val="28"/>
          <w:szCs w:val="28"/>
        </w:rPr>
        <w:t xml:space="preserve">Протоколы</w:t>
      </w:r>
    </w:p>
    <w:p>
      <w:pPr>
        <w:spacing w:before="0" w:after="80" w:line="276" w:lineRule="auto"/>
      </w:pPr>
      <w:r>
        <w:rPr>
          <w:rFonts w:ascii="Times New Roman" w:hAnsi="Times New Roman" w:cs="Times New Roman"/>
          <w:i/>
          <w:sz w:val="22"/>
          <w:szCs w:val="22"/>
        </w:rPr>
        <w:t xml:space="preserve">Нумерованный список дословных шагов. Перед списком — как это делают.</w:t>
      </w:r>
    </w:p>
    <w:p>
      <w:pPr>
        <w:spacing w:before="160" w:after="40" w:line="276" w:lineRule="auto"/>
      </w:pPr>
      <w:r>
        <w:rPr>
          <w:rFonts w:ascii="Times New Roman" w:hAnsi="Times New Roman" w:cs="Times New Roman"/>
          <w:b/>
          <w:sz w:val="24"/>
          <w:szCs w:val="24"/>
        </w:rPr>
        <w:t xml:space="preserve">Как сделать созревание in vivo</w:t>
      </w:r>
    </w:p>
    <w:p>
      <w:pPr>
        <w:spacing w:before="0" w:after="80" w:line="276" w:lineRule="auto"/>
      </w:pPr>
      <w:r>
        <w:rPr>
          <w:rFonts w:ascii="Times New Roman" w:hAnsi="Times New Roman" w:cs="Times New Roman"/>
          <w:sz w:val="22"/>
          <w:szCs w:val="22"/>
        </w:rPr>
        <w:t xml:space="preserve">Расширенные клетки кумулюса рвут щелевые контакты комплекса, перенос cAMP и cGMP прекращается, мейоз возобновляется через MPF.</w:t>
      </w:r>
    </w:p>
    <w:p>
      <w:pPr>
        <w:spacing w:before="0" w:after="20" w:line="276" w:lineRule="auto"/>
      </w:pPr>
      <w:r>
        <w:rPr>
          <w:rFonts w:ascii="Times New Roman" w:hAnsi="Times New Roman" w:cs="Times New Roman"/>
          <w:sz w:val="20"/>
          <w:szCs w:val="20"/>
        </w:rPr>
        <w:t xml:space="preserve">1. The expanded CCs disrupt gap junctions in the COCs, stopping cAMP and cGMP transport, leading to oocyte meiotic resumption via MPF activation [33].</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33. Norris RP, Freudzon M, Mehlmann LM, Cowan AE, Simon AM, Paul DL, Jaffe LA. Luteinizing hormone causes MAP kinase-dependent phosphorylation and closure of connexin 43 gap junctions in mouse ovarian follicles: one of two paths to meiotic resumption. Development. 2008;135:3229–3238. doi: 10.1242/dev.025494. </w:t>
      </w:r>
      <w:hyperlink r:id="rId12" w:history="1">
        <w:r>
          <w:rPr>
            <w:rStyle w:val="Hyperlink"/>
            <w:rFonts w:ascii="Times New Roman" w:hAnsi="Times New Roman" w:cs="Times New Roman"/>
            <w:color w:val="0563C1"/>
            <w:u w:val="single"/>
            <w:sz w:val="20"/>
            <w:szCs w:val="20"/>
          </w:rPr>
          <w:t xml:space="preserve">https://doi.org/10.1242/dev.025494</w:t>
        </w:r>
      </w:hyperlink>
    </w:p>
    <w:p>
      <w:pPr>
        <w:spacing w:before="160" w:after="40" w:line="276" w:lineRule="auto"/>
      </w:pPr>
      <w:r>
        <w:rPr>
          <w:rFonts w:ascii="Times New Roman" w:hAnsi="Times New Roman" w:cs="Times New Roman"/>
          <w:b/>
          <w:sz w:val="24"/>
          <w:szCs w:val="24"/>
        </w:rPr>
        <w:t xml:space="preserve">Как сделать обычный IVM</w:t>
      </w:r>
    </w:p>
    <w:p>
      <w:pPr>
        <w:spacing w:before="0" w:after="80" w:line="276" w:lineRule="auto"/>
      </w:pPr>
      <w:r>
        <w:rPr>
          <w:rFonts w:ascii="Times New Roman" w:hAnsi="Times New Roman" w:cs="Times New Roman"/>
          <w:sz w:val="22"/>
          <w:szCs w:val="22"/>
        </w:rPr>
        <w:t xml:space="preserve">Незрелые комплексы культивируют от профазы I до метафазы II и гонадотропины не вводят.</w:t>
      </w:r>
    </w:p>
    <w:p>
      <w:pPr>
        <w:spacing w:before="0" w:after="20" w:line="276" w:lineRule="auto"/>
      </w:pPr>
      <w:r>
        <w:rPr>
          <w:rFonts w:ascii="Times New Roman" w:hAnsi="Times New Roman" w:cs="Times New Roman"/>
          <w:sz w:val="20"/>
          <w:szCs w:val="20"/>
        </w:rPr>
        <w:t xml:space="preserve">1. The conventional approach to IVM involves culturing immature COCs from the Prophase-I to reach the metaphase II (MII) stage without the administration of any gonadotropins [34].</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34. Son WY, Tan SL. Laboratory and embryological aspects of hCG-primed in vitro maturation cycles for patients with polycystic ovaries. Hum Reprod Update. 2010;16:675–689. doi: 10.1093/humupd/dmq014. </w:t>
      </w:r>
      <w:hyperlink r:id="rId13" w:history="1">
        <w:r>
          <w:rPr>
            <w:rStyle w:val="Hyperlink"/>
            <w:rFonts w:ascii="Times New Roman" w:hAnsi="Times New Roman" w:cs="Times New Roman"/>
            <w:color w:val="0563C1"/>
            <w:u w:val="single"/>
            <w:sz w:val="20"/>
            <w:szCs w:val="20"/>
          </w:rPr>
          <w:t xml:space="preserve">https://doi.org/10.1093/humupd/dmq014</w:t>
        </w:r>
      </w:hyperlink>
    </w:p>
    <w:p>
      <w:pPr>
        <w:spacing w:before="160" w:after="40" w:line="276" w:lineRule="auto"/>
      </w:pPr>
      <w:r>
        <w:rPr>
          <w:rFonts w:ascii="Times New Roman" w:hAnsi="Times New Roman" w:cs="Times New Roman"/>
          <w:b/>
          <w:sz w:val="24"/>
          <w:szCs w:val="24"/>
        </w:rPr>
        <w:t xml:space="preserve">Как сделать FSH priming</w:t>
      </w:r>
    </w:p>
    <w:p>
      <w:pPr>
        <w:spacing w:before="0" w:after="80" w:line="276" w:lineRule="auto"/>
      </w:pPr>
      <w:r>
        <w:rPr>
          <w:rFonts w:ascii="Times New Roman" w:hAnsi="Times New Roman" w:cs="Times New Roman"/>
          <w:sz w:val="22"/>
          <w:szCs w:val="22"/>
        </w:rPr>
        <w:t xml:space="preserve">Несколько дней до пункции вводят ФСГ. Фолликулы 2–6 мм несут рецепторы ФСГ, мейоз in vivo не запускают и забирают незрелые компактные комплексы. В цитируемых работах это 600 МЕ в течение 5 дней со 2-го дня цикла или 150 МЕ в течение 2–3 дней со 2–3-го дня.</w:t>
      </w:r>
    </w:p>
    <w:p>
      <w:pPr>
        <w:spacing w:before="0" w:after="20" w:line="276" w:lineRule="auto"/>
      </w:pPr>
      <w:r>
        <w:rPr>
          <w:rFonts w:ascii="Times New Roman" w:hAnsi="Times New Roman" w:cs="Times New Roman"/>
          <w:sz w:val="20"/>
          <w:szCs w:val="20"/>
        </w:rPr>
        <w:t xml:space="preserve">1. Ovarian stimulation with a few days of FSH priming is often used in clinical IVM programs.</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2. Animal studies have suggested that in vivo FSH priming enhances follicular development and the meiotic and developmental competence of immature oocytes and decreases the time required to reach the MII stage [35, 36].</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35. Eppig JJ, Schroeder AC, O’Brien MJ. Developmental capacity of mouse oocytes matured in vitro: effects of gonadotrophic stimulation, follicular origin and oocyte size. J Reprod Fertil. 1992;95:119–127. doi: 10.1530/jrf.0.0950119. </w:t>
      </w:r>
      <w:hyperlink r:id="rId14" w:history="1">
        <w:r>
          <w:rPr>
            <w:rStyle w:val="Hyperlink"/>
            <w:rFonts w:ascii="Times New Roman" w:hAnsi="Times New Roman" w:cs="Times New Roman"/>
            <w:color w:val="0563C1"/>
            <w:u w:val="single"/>
            <w:sz w:val="20"/>
            <w:szCs w:val="20"/>
          </w:rPr>
          <w:t xml:space="preserve">https://doi.org/10.1530/jrf.0.0950119</w:t>
        </w:r>
      </w:hyperlink>
      <w:r>
        <w:rPr>
          <w:rFonts w:ascii="Times New Roman" w:hAnsi="Times New Roman" w:cs="Times New Roman"/>
          <w:sz w:val="20"/>
          <w:szCs w:val="20"/>
        </w:rPr>
        <w:t xml:space="preserve">; </w:t>
      </w:r>
      <w:r>
        <w:rPr>
          <w:rFonts w:ascii="Times New Roman" w:hAnsi="Times New Roman" w:cs="Times New Roman"/>
          <w:sz w:val="20"/>
          <w:szCs w:val="20"/>
        </w:rPr>
        <w:t xml:space="preserve">36. Gilchrist RB, Nayudu PL, Hodges JK. Maturation, fertilization, and development of marmoset monkey oocytes in vitro. Biol Reprod. 1997;56:238–246. doi: 10.1095/biolreprod56.1.238. </w:t>
      </w:r>
      <w:hyperlink r:id="rId15" w:history="1">
        <w:r>
          <w:rPr>
            <w:rStyle w:val="Hyperlink"/>
            <w:rFonts w:ascii="Times New Roman" w:hAnsi="Times New Roman" w:cs="Times New Roman"/>
            <w:color w:val="0563C1"/>
            <w:u w:val="single"/>
            <w:sz w:val="20"/>
            <w:szCs w:val="20"/>
          </w:rPr>
          <w:t xml:space="preserve">https://doi.org/10.1095/biolreprod56.1.238</w:t>
        </w:r>
      </w:hyperlink>
    </w:p>
    <w:p>
      <w:pPr>
        <w:spacing w:before="0" w:after="20" w:line="276" w:lineRule="auto"/>
      </w:pPr>
      <w:r>
        <w:rPr>
          <w:rFonts w:ascii="Times New Roman" w:hAnsi="Times New Roman" w:cs="Times New Roman"/>
          <w:sz w:val="20"/>
          <w:szCs w:val="20"/>
        </w:rPr>
        <w:t xml:space="preserve">3. Likewise, in human IVM programs, FSH priming has been found to improve oocyte yield and maturation rates, resulting in more mature oocytes.</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4. The rationale for pretreating a patient with FSH is that human follicles with a diameter of 2–6 mm have a high expression of FSH receptors, and FSH augments follicular growth and estradiol production.</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5. As FSH priming does not induce oocyte meiotic resumption in vivo, immature compact COCs are obtained after oocyte retrieval [37] (Fig. 1A).</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37. De Vos M, Grynberg M, Ho TM, Yuan Y, Albertini DF, Gilchrist RB. Perspectives on the development and future of oocyte IVM in clinical practice. J Assist Reprod Genet. 2021;38:1265–1280. doi: 10.1007/s10815-021-02263-5. </w:t>
      </w:r>
      <w:hyperlink r:id="rId16" w:history="1">
        <w:r>
          <w:rPr>
            <w:rStyle w:val="Hyperlink"/>
            <w:rFonts w:ascii="Times New Roman" w:hAnsi="Times New Roman" w:cs="Times New Roman"/>
            <w:color w:val="0563C1"/>
            <w:u w:val="single"/>
            <w:sz w:val="20"/>
            <w:szCs w:val="20"/>
          </w:rPr>
          <w:t xml:space="preserve">https://doi.org/10.1007/s10815-021-02263-5</w:t>
        </w:r>
      </w:hyperlink>
    </w:p>
    <w:p>
      <w:pPr>
        <w:spacing w:before="0" w:after="20" w:line="276" w:lineRule="auto"/>
      </w:pPr>
      <w:r>
        <w:rPr>
          <w:rFonts w:ascii="Times New Roman" w:hAnsi="Times New Roman" w:cs="Times New Roman"/>
          <w:sz w:val="20"/>
          <w:szCs w:val="20"/>
        </w:rPr>
        <w:t xml:space="preserve">6. There is no consensus, however, on the dose and duration of FSH priming in IVM cycles.</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7. Wynn et al. [38] suggested that a short course of FSH treatment (600 IU for 5 days, from day 2 of the menstrual cycle), improved the oocyte maturation rate in vitro.</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38. Wynn P, Picton HM, Krapez JA, Rutherford AJ, Balen AH, Gosden RG. Pretreatment with follicle stimulating hormone promotes the numbers of human oocytes reaching metaphase II by in-vitro maturation. Hum Reprod. 1998;13:3132–3138. doi: 10.1093/humrep/13.11.3132. </w:t>
      </w:r>
      <w:hyperlink r:id="rId17" w:history="1">
        <w:r>
          <w:rPr>
            <w:rStyle w:val="Hyperlink"/>
            <w:rFonts w:ascii="Times New Roman" w:hAnsi="Times New Roman" w:cs="Times New Roman"/>
            <w:color w:val="0563C1"/>
            <w:u w:val="single"/>
            <w:sz w:val="20"/>
            <w:szCs w:val="20"/>
          </w:rPr>
          <w:t xml:space="preserve">https://doi.org/10.1093/humrep/13.11.3132</w:t>
        </w:r>
      </w:hyperlink>
    </w:p>
    <w:p>
      <w:pPr>
        <w:spacing w:before="0" w:after="20" w:line="276" w:lineRule="auto"/>
      </w:pPr>
      <w:r>
        <w:rPr>
          <w:rFonts w:ascii="Times New Roman" w:hAnsi="Times New Roman" w:cs="Times New Roman"/>
          <w:sz w:val="20"/>
          <w:szCs w:val="20"/>
        </w:rPr>
        <w:t xml:space="preserve">8. In a small, randomized study in 28 women with PCOS, the percentage of oocytes reaching the MII stage was significantly higher in women who had undergone FSH priming (150 IU recombinant FSH for 3 days, starting on day 3 of the cycle), compared with the non-primed group [39].</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39. Mikkelsen AL, Høst E, Blaabjerg J, Lindenberg S. Time interval between FSH priming and aspiration of immature human oocytes for in-vitro maturation: a prospective randomized study. Reprod Biomed Online. 2003;6:416–20. doi: 10.1016/S1472-6483(10)62160-8. </w:t>
      </w:r>
      <w:hyperlink r:id="rId18" w:history="1">
        <w:r>
          <w:rPr>
            <w:rStyle w:val="Hyperlink"/>
            <w:rFonts w:ascii="Times New Roman" w:hAnsi="Times New Roman" w:cs="Times New Roman"/>
            <w:color w:val="0563C1"/>
            <w:u w:val="single"/>
            <w:sz w:val="20"/>
            <w:szCs w:val="20"/>
          </w:rPr>
          <w:t xml:space="preserve">https://doi.org/10.1016/S1472-6483(10)62160-8</w:t>
        </w:r>
      </w:hyperlink>
    </w:p>
    <w:p>
      <w:pPr>
        <w:spacing w:before="0" w:after="20" w:line="276" w:lineRule="auto"/>
      </w:pPr>
      <w:r>
        <w:rPr>
          <w:rFonts w:ascii="Times New Roman" w:hAnsi="Times New Roman" w:cs="Times New Roman"/>
          <w:sz w:val="20"/>
          <w:szCs w:val="20"/>
        </w:rPr>
        <w:t xml:space="preserve">9. Other authors have also reported using 150 IU FSH daily for 2–3 days, starting from day 2 or 3 of the cycles or after a progestin withdrawal bleed [40].</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40. De Vos M, Ortega-Hrepich C, Albuz FK, Guzman L, Polyzos NP, Smitz J, Devroey P. Clinical outcome of non-hCG-primed oocyte in vitro maturation treatment in patients with polycystic ovaries and polycystic ovary syndrome. Fertil Steril. 2011;96:860–864. doi: 10.1016/j.fertnstert.2011.07.1108. </w:t>
      </w:r>
      <w:hyperlink r:id="rId19" w:history="1">
        <w:r>
          <w:rPr>
            <w:rStyle w:val="Hyperlink"/>
            <w:rFonts w:ascii="Times New Roman" w:hAnsi="Times New Roman" w:cs="Times New Roman"/>
            <w:color w:val="0563C1"/>
            <w:u w:val="single"/>
            <w:sz w:val="20"/>
            <w:szCs w:val="20"/>
          </w:rPr>
          <w:t xml:space="preserve">https://doi.org/10.1016/j.fertnstert.2011.07.1108</w:t>
        </w:r>
      </w:hyperlink>
    </w:p>
    <w:p>
      <w:pPr>
        <w:spacing w:before="0" w:after="20" w:line="276" w:lineRule="auto"/>
      </w:pPr>
      <w:r>
        <w:rPr>
          <w:rFonts w:ascii="Times New Roman" w:hAnsi="Times New Roman" w:cs="Times New Roman"/>
          <w:sz w:val="20"/>
          <w:szCs w:val="20"/>
        </w:rPr>
        <w:t xml:space="preserve">10. Despite the rationale of FSH priming in IVM, FSH priming alone without hCG did not result in improved clinical outcomes in women without PCOS [41].</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41. Fadini R, Canto MBD, Renzini MM, Brambillasca F, Comi R, Fumagalli D, et al. Effect of different gonadotrophin priming on IVM of oocytes from women with normal ovaries: a prospective randomized study. Reprod Bio Med Online. 2009;19:343–351. doi: 10.1016/S1472-6483(10)60168-X. </w:t>
      </w:r>
      <w:hyperlink r:id="rId20" w:history="1">
        <w:r>
          <w:rPr>
            <w:rStyle w:val="Hyperlink"/>
            <w:rFonts w:ascii="Times New Roman" w:hAnsi="Times New Roman" w:cs="Times New Roman"/>
            <w:color w:val="0563C1"/>
            <w:u w:val="single"/>
            <w:sz w:val="20"/>
            <w:szCs w:val="20"/>
          </w:rPr>
          <w:t xml:space="preserve">https://doi.org/10.1016/S1472-6483(10)60168-X</w:t>
        </w:r>
      </w:hyperlink>
    </w:p>
    <w:p>
      <w:pPr>
        <w:spacing w:before="0" w:after="20" w:line="276" w:lineRule="auto"/>
      </w:pPr>
      <w:r>
        <w:rPr>
          <w:rFonts w:ascii="Times New Roman" w:hAnsi="Times New Roman" w:cs="Times New Roman"/>
          <w:sz w:val="20"/>
          <w:szCs w:val="20"/>
        </w:rPr>
        <w:t xml:space="preserve">11. Likewise, Mikkelsen et al. [42] found that FSH priming did not improve the maturation potential of in vitro matured human oocytes.</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42. Mikkelsen AL, Smith SD, Lindenberg S. In-vitro maturation of human oocytes from regularly menstruating women may be successful without follicle stimulating hormone priming. Hum Reprod. 1999;14:1847–1851. doi: 10.1093/humrep/14.7.1847. </w:t>
      </w:r>
      <w:hyperlink r:id="rId21" w:history="1">
        <w:r>
          <w:rPr>
            <w:rStyle w:val="Hyperlink"/>
            <w:rFonts w:ascii="Times New Roman" w:hAnsi="Times New Roman" w:cs="Times New Roman"/>
            <w:color w:val="0563C1"/>
            <w:u w:val="single"/>
            <w:sz w:val="20"/>
            <w:szCs w:val="20"/>
          </w:rPr>
          <w:t xml:space="preserve">https://doi.org/10.1093/humrep/14.7.1847</w:t>
        </w:r>
      </w:hyperlink>
    </w:p>
    <w:p>
      <w:pPr>
        <w:spacing w:before="0" w:after="20" w:line="276" w:lineRule="auto"/>
      </w:pPr>
      <w:r>
        <w:rPr>
          <w:rFonts w:ascii="Times New Roman" w:hAnsi="Times New Roman" w:cs="Times New Roman"/>
          <w:sz w:val="20"/>
          <w:szCs w:val="20"/>
        </w:rPr>
        <w:t xml:space="preserve">12. In PCOS patients, Mikkelsen and Lindenberg [43] suggested that FSH priming may improve the oocyte developmental competence whereas other authors did not find any significant differences [44, 45].</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43. Mikkelsen AL, Lindenberg S. Benefit of FSH priming of women with PCOS to the in vitro maturation procedure and the outcome: a randomized prospective study. Reproduction. 2001;122:587–592. doi: 10.1530/rep.0.1220587. </w:t>
      </w:r>
      <w:hyperlink r:id="rId22" w:history="1">
        <w:r>
          <w:rPr>
            <w:rStyle w:val="Hyperlink"/>
            <w:rFonts w:ascii="Times New Roman" w:hAnsi="Times New Roman" w:cs="Times New Roman"/>
            <w:color w:val="0563C1"/>
            <w:u w:val="single"/>
            <w:sz w:val="20"/>
            <w:szCs w:val="20"/>
          </w:rPr>
          <w:t xml:space="preserve">https://doi.org/10.1530/rep.0.1220587</w:t>
        </w:r>
      </w:hyperlink>
      <w:r>
        <w:rPr>
          <w:rFonts w:ascii="Times New Roman" w:hAnsi="Times New Roman" w:cs="Times New Roman"/>
          <w:sz w:val="20"/>
          <w:szCs w:val="20"/>
        </w:rPr>
        <w:t xml:space="preserve">; </w:t>
      </w:r>
      <w:r>
        <w:rPr>
          <w:rFonts w:ascii="Times New Roman" w:hAnsi="Times New Roman" w:cs="Times New Roman"/>
          <w:sz w:val="20"/>
          <w:szCs w:val="20"/>
        </w:rPr>
        <w:t xml:space="preserve">44. Trounson A, Anderiesz C, Jones GM, Kausche A, Lolatgis N, Wood C. Oocyte maturation. Hum Reprod. 1998;13(Suppl 3):52–62. doi: 10.1093/humrep/13.suppl_3.52. </w:t>
      </w:r>
      <w:hyperlink r:id="rId23" w:history="1">
        <w:r>
          <w:rPr>
            <w:rStyle w:val="Hyperlink"/>
            <w:rFonts w:ascii="Times New Roman" w:hAnsi="Times New Roman" w:cs="Times New Roman"/>
            <w:color w:val="0563C1"/>
            <w:u w:val="single"/>
            <w:sz w:val="20"/>
            <w:szCs w:val="20"/>
          </w:rPr>
          <w:t xml:space="preserve">https://doi.org/10.1093/humrep/13.suppl_3.52</w:t>
        </w:r>
      </w:hyperlink>
      <w:r>
        <w:rPr>
          <w:rFonts w:ascii="Times New Roman" w:hAnsi="Times New Roman" w:cs="Times New Roman"/>
          <w:sz w:val="20"/>
          <w:szCs w:val="20"/>
        </w:rPr>
        <w:t xml:space="preserve">; </w:t>
      </w:r>
      <w:r>
        <w:rPr>
          <w:rFonts w:ascii="Times New Roman" w:hAnsi="Times New Roman" w:cs="Times New Roman"/>
          <w:sz w:val="20"/>
          <w:szCs w:val="20"/>
        </w:rPr>
        <w:t xml:space="preserve">45. Son WY, Yoon SH, Lim JH. Effect of gonadotrophin priming on in-vitro maturation of oocytes collected from women at risk of OHSS. Reprod Biomed Online. 2006;13:340–348. doi: 10.1016/S1472-6483(10)61438-1. </w:t>
      </w:r>
      <w:hyperlink r:id="rId24" w:history="1">
        <w:r>
          <w:rPr>
            <w:rStyle w:val="Hyperlink"/>
            <w:rFonts w:ascii="Times New Roman" w:hAnsi="Times New Roman" w:cs="Times New Roman"/>
            <w:color w:val="0563C1"/>
            <w:u w:val="single"/>
            <w:sz w:val="20"/>
            <w:szCs w:val="20"/>
          </w:rPr>
          <w:t xml:space="preserve">https://doi.org/10.1016/S1472-6483(10)61438-1</w:t>
        </w:r>
      </w:hyperlink>
    </w:p>
    <w:p>
      <w:pPr>
        <w:spacing w:before="160" w:after="40" w:line="276" w:lineRule="auto"/>
      </w:pPr>
      <w:r>
        <w:rPr>
          <w:rFonts w:ascii="Times New Roman" w:hAnsi="Times New Roman" w:cs="Times New Roman"/>
          <w:b/>
          <w:sz w:val="24"/>
          <w:szCs w:val="24"/>
        </w:rPr>
        <w:t xml:space="preserve">Как сделать hCG priming</w:t>
      </w:r>
    </w:p>
    <w:p>
      <w:pPr>
        <w:spacing w:before="0" w:after="80" w:line="276" w:lineRule="auto"/>
      </w:pPr>
      <w:r>
        <w:rPr>
          <w:rFonts w:ascii="Times New Roman" w:hAnsi="Times New Roman" w:cs="Times New Roman"/>
          <w:sz w:val="22"/>
          <w:szCs w:val="22"/>
        </w:rPr>
        <w:t xml:space="preserve">Перед пункцией вводят ХГЧ, чтобы начать созревание in vivo и повысить долю ооцитов, которые дозреют in vitro. У женщин со СПКЯ доля зрелых к 48 часам была выше; без СПКЯ один только ХГЧ исход не улучшал.</w:t>
      </w:r>
    </w:p>
    <w:p>
      <w:pPr>
        <w:spacing w:before="0" w:after="20" w:line="276" w:lineRule="auto"/>
      </w:pPr>
      <w:r>
        <w:rPr>
          <w:rFonts w:ascii="Times New Roman" w:hAnsi="Times New Roman" w:cs="Times New Roman"/>
          <w:sz w:val="20"/>
          <w:szCs w:val="20"/>
        </w:rPr>
        <w:t xml:space="preserve">1. Researchers have suggested that hCG may promote the initiation of oocyte maturation in vivo and improve the maturation rate of IVM oocytes, thereby improving pregnancy rates.</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2. The integration of hCG priming in IVM cycles aims to mimic the conditions seen in conventional IVF cycles, where expanded CCs correlate with better maturation rates.</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3. In a prospective randomized study in patients with PCOS, the percentage of oocytes achieving maturation at 48 h was significantly higher in the hCG primed group than in the non-hCG primed group [46].</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46. Chian RC, Buckett WM, Tulandi T, Tan SL. Prospective randomized study of human chorionic gonadotrophin priming before immature oocyte retrieval from unstimulated women with polycystic ovarian syndrome. Hum Reprod. 2000;15:165–170. doi: 10.1093/humrep/15.1.165. </w:t>
      </w:r>
      <w:hyperlink r:id="rId25" w:history="1">
        <w:r>
          <w:rPr>
            <w:rStyle w:val="Hyperlink"/>
            <w:rFonts w:ascii="Times New Roman" w:hAnsi="Times New Roman" w:cs="Times New Roman"/>
            <w:color w:val="0563C1"/>
            <w:u w:val="single"/>
            <w:sz w:val="20"/>
            <w:szCs w:val="20"/>
          </w:rPr>
          <w:t xml:space="preserve">https://doi.org/10.1093/humrep/15.1.165</w:t>
        </w:r>
      </w:hyperlink>
    </w:p>
    <w:p>
      <w:pPr>
        <w:spacing w:before="0" w:after="20" w:line="276" w:lineRule="auto"/>
      </w:pPr>
      <w:r>
        <w:rPr>
          <w:rFonts w:ascii="Times New Roman" w:hAnsi="Times New Roman" w:cs="Times New Roman"/>
          <w:sz w:val="20"/>
          <w:szCs w:val="20"/>
        </w:rPr>
        <w:t xml:space="preserve">4. Additionally, Fadini et al. [41] reported that hCG priming alone has no beneficial effect on the clinical outcome in patients without PCOS.</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41. Fadini R, Canto MBD, Renzini MM, Brambillasca F, Comi R, Fumagalli D, et al. Effect of different gonadotrophin priming on IVM of oocytes from women with normal ovaries: a prospective randomized study. Reprod Bio Med Online. 2009;19:343–351. doi: 10.1016/S1472-6483(10)60168-X. </w:t>
      </w:r>
      <w:hyperlink r:id="rId20" w:history="1">
        <w:r>
          <w:rPr>
            <w:rStyle w:val="Hyperlink"/>
            <w:rFonts w:ascii="Times New Roman" w:hAnsi="Times New Roman" w:cs="Times New Roman"/>
            <w:color w:val="0563C1"/>
            <w:u w:val="single"/>
            <w:sz w:val="20"/>
            <w:szCs w:val="20"/>
          </w:rPr>
          <w:t xml:space="preserve">https://doi.org/10.1016/S1472-6483(10)60168-X</w:t>
        </w:r>
      </w:hyperlink>
    </w:p>
    <w:p>
      <w:pPr>
        <w:spacing w:before="0" w:after="20" w:line="276" w:lineRule="auto"/>
      </w:pPr>
      <w:r>
        <w:rPr>
          <w:rFonts w:ascii="Times New Roman" w:hAnsi="Times New Roman" w:cs="Times New Roman"/>
          <w:sz w:val="20"/>
          <w:szCs w:val="20"/>
        </w:rPr>
        <w:t xml:space="preserve">5. Several studies have described hCG triggering combined with FSH priming in IVM cycles with variable outcomes.</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6. Lin et al. [48] did not observe any additional benefit from FSH priming in hCG-primed IVM cycles in PCOS women.</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48. Lin YH, Hwang JL, Huang LW, Mu SC, Seow KM, Chung J, Hsieh BC, Huang SC, Chen CY, Chen PH. Combination of FSH priming and hCG priming for in-vitro maturation of human oocytes. Hum Reprod. 2003;18:1632–1636. doi: 10.1093/humrep/deg335. </w:t>
      </w:r>
      <w:hyperlink r:id="rId26" w:history="1">
        <w:r>
          <w:rPr>
            <w:rStyle w:val="Hyperlink"/>
            <w:rFonts w:ascii="Times New Roman" w:hAnsi="Times New Roman" w:cs="Times New Roman"/>
            <w:color w:val="0563C1"/>
            <w:u w:val="single"/>
            <w:sz w:val="20"/>
            <w:szCs w:val="20"/>
          </w:rPr>
          <w:t xml:space="preserve">https://doi.org/10.1093/humrep/deg335</w:t>
        </w:r>
      </w:hyperlink>
    </w:p>
    <w:p>
      <w:pPr>
        <w:spacing w:before="0" w:after="20" w:line="276" w:lineRule="auto"/>
      </w:pPr>
      <w:r>
        <w:rPr>
          <w:rFonts w:ascii="Times New Roman" w:hAnsi="Times New Roman" w:cs="Times New Roman"/>
          <w:sz w:val="20"/>
          <w:szCs w:val="20"/>
        </w:rPr>
        <w:t xml:space="preserve">7. However, Fadiniet al. [41] in a prospective randomized study, reported a significantly higher clinical pregnancy rate in FSH plus hCG primed cycles, although FSH priming and hCG priming alone showed no significant differences in clinical outcomes.</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41. Fadini R, Canto MBD, Renzini MM, Brambillasca F, Comi R, Fumagalli D, et al. Effect of different gonadotrophin priming on IVM of oocytes from women with normal ovaries: a prospective randomized study. Reprod Bio Med Online. 2009;19:343–351. doi: 10.1016/S1472-6483(10)60168-X. </w:t>
      </w:r>
      <w:hyperlink r:id="rId20" w:history="1">
        <w:r>
          <w:rPr>
            <w:rStyle w:val="Hyperlink"/>
            <w:rFonts w:ascii="Times New Roman" w:hAnsi="Times New Roman" w:cs="Times New Roman"/>
            <w:color w:val="0563C1"/>
            <w:u w:val="single"/>
            <w:sz w:val="20"/>
            <w:szCs w:val="20"/>
          </w:rPr>
          <w:t xml:space="preserve">https://doi.org/10.1016/S1472-6483(10)60168-X</w:t>
        </w:r>
      </w:hyperlink>
    </w:p>
    <w:p>
      <w:pPr>
        <w:spacing w:before="0" w:after="20" w:line="276" w:lineRule="auto"/>
      </w:pPr>
      <w:r>
        <w:rPr>
          <w:rFonts w:ascii="Times New Roman" w:hAnsi="Times New Roman" w:cs="Times New Roman"/>
          <w:sz w:val="20"/>
          <w:szCs w:val="20"/>
        </w:rPr>
        <w:t xml:space="preserve">8. In a large retrospective cohort study of 921 women with PCOS who underwent IVM cycles with FSH priming with hCG triggering, the authors reported a cumulative live birth rate of 33.7% after one IVM cycle [49].</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49. Ho VNA, Pham TD, Le AH, Ho TM, Vuong LN. Live birth rate after human chorionic gonadotropin priming in vitro maturation in women with polycystic ovary syndrome. J Ovarian Res. 2018;11:70. doi: 10.1186/s13048-018-0445-5. </w:t>
      </w:r>
      <w:hyperlink r:id="rId27" w:history="1">
        <w:r>
          <w:rPr>
            <w:rStyle w:val="Hyperlink"/>
            <w:rFonts w:ascii="Times New Roman" w:hAnsi="Times New Roman" w:cs="Times New Roman"/>
            <w:color w:val="0563C1"/>
            <w:u w:val="single"/>
            <w:sz w:val="20"/>
            <w:szCs w:val="20"/>
          </w:rPr>
          <w:t xml:space="preserve">https://doi.org/10.1186/s13048-018-0445-5</w:t>
        </w:r>
      </w:hyperlink>
    </w:p>
    <w:p>
      <w:pPr>
        <w:spacing w:before="0" w:after="20" w:line="276" w:lineRule="auto"/>
      </w:pPr>
      <w:r>
        <w:rPr>
          <w:rFonts w:ascii="Times New Roman" w:hAnsi="Times New Roman" w:cs="Times New Roman"/>
          <w:sz w:val="20"/>
          <w:szCs w:val="20"/>
        </w:rPr>
        <w:t xml:space="preserve">9. Son et al. [45] observed that in vivo matured oocytes can be collected from small follicles measuring &lt; 10 mm at the time of oocyte retrieval (Fig. 2) and sometimes more than one in vivo matured oocyte can be retrieved in hCG-primed IVM cycles of PCO patients [50].</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45. Son WY, Yoon SH, Lim JH. Effect of gonadotrophin priming on in-vitro maturation of oocytes collected from women at risk of OHSS. Reprod Biomed Online. 2006;13:340–348. doi: 10.1016/S1472-6483(10)61438-1. </w:t>
      </w:r>
      <w:hyperlink r:id="rId24" w:history="1">
        <w:r>
          <w:rPr>
            <w:rStyle w:val="Hyperlink"/>
            <w:rFonts w:ascii="Times New Roman" w:hAnsi="Times New Roman" w:cs="Times New Roman"/>
            <w:color w:val="0563C1"/>
            <w:u w:val="single"/>
            <w:sz w:val="20"/>
            <w:szCs w:val="20"/>
          </w:rPr>
          <w:t xml:space="preserve">https://doi.org/10.1016/S1472-6483(10)61438-1</w:t>
        </w:r>
      </w:hyperlink>
      <w:r>
        <w:rPr>
          <w:rFonts w:ascii="Times New Roman" w:hAnsi="Times New Roman" w:cs="Times New Roman"/>
          <w:sz w:val="20"/>
          <w:szCs w:val="20"/>
        </w:rPr>
        <w:t xml:space="preserve">; </w:t>
      </w:r>
      <w:r>
        <w:rPr>
          <w:rFonts w:ascii="Times New Roman" w:hAnsi="Times New Roman" w:cs="Times New Roman"/>
          <w:sz w:val="20"/>
          <w:szCs w:val="20"/>
        </w:rPr>
        <w:t xml:space="preserve">50. Son WY, Chung JT, Herrero B, Dean N, Demirtas E, Holzer H, Elizur S, Chian RC, Tan SL. Selection of the optimal day for oocyte retrieval based on the diameter of the dominant follicle in hCG-primed in vitro maturation cycles. Hum Reprod. 2008;23:2680–2685. doi: 10.1093/humrep/den332. </w:t>
      </w:r>
      <w:hyperlink r:id="rId28" w:history="1">
        <w:r>
          <w:rPr>
            <w:rStyle w:val="Hyperlink"/>
            <w:rFonts w:ascii="Times New Roman" w:hAnsi="Times New Roman" w:cs="Times New Roman"/>
            <w:color w:val="0563C1"/>
            <w:u w:val="single"/>
            <w:sz w:val="20"/>
            <w:szCs w:val="20"/>
          </w:rPr>
          <w:t xml:space="preserve">https://doi.org/10.1093/humrep/den332</w:t>
        </w:r>
      </w:hyperlink>
    </w:p>
    <w:p>
      <w:pPr>
        <w:spacing w:before="0" w:after="20" w:line="276" w:lineRule="auto"/>
      </w:pPr>
      <w:r>
        <w:rPr>
          <w:rFonts w:ascii="Times New Roman" w:hAnsi="Times New Roman" w:cs="Times New Roman"/>
          <w:sz w:val="20"/>
          <w:szCs w:val="20"/>
        </w:rPr>
        <w:t xml:space="preserve">10. Furthermore, the authors reported that the matured oocytes retrieved from small follicles (&lt; 10 mm) generated embryos of similar developmental potential to oocytes derived from larger follicles (≥ 10 mm), resulting in better pregnancy rates.</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11. However, a recent Cochrane review found no conclusive evidence that hCG triggering before oocyte retrieval in IVM cycles influenced live birth, pregnancy or miscarriage rates, although the quality of evidence was low [51].</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51. Reavey J, Vincent K, Child T, Granne IE. Human chorionic gonadotrophin priming for fertility treatment with in vitro maturation. Cochrane Database Syst Rev. 2016;11:CD008720. doi: 10.1002/14651858.CD008720.pub2. </w:t>
      </w:r>
      <w:hyperlink r:id="rId29" w:history="1">
        <w:r>
          <w:rPr>
            <w:rStyle w:val="Hyperlink"/>
            <w:rFonts w:ascii="Times New Roman" w:hAnsi="Times New Roman" w:cs="Times New Roman"/>
            <w:color w:val="0563C1"/>
            <w:u w:val="single"/>
            <w:sz w:val="20"/>
            <w:szCs w:val="20"/>
          </w:rPr>
          <w:t xml:space="preserve">https://doi.org/10.1002/14651858.CD008720.pub2</w:t>
        </w:r>
      </w:hyperlink>
    </w:p>
    <w:p>
      <w:pPr>
        <w:spacing w:before="0" w:after="20" w:line="276" w:lineRule="auto"/>
      </w:pPr>
      <w:r>
        <w:rPr>
          <w:rFonts w:ascii="Times New Roman" w:hAnsi="Times New Roman" w:cs="Times New Roman"/>
          <w:sz w:val="20"/>
          <w:szCs w:val="20"/>
        </w:rPr>
        <w:t xml:space="preserve">12. Initially, since antral follicles are mostly under 12 mm, assessing in vivo matured oocytes on collection day was omitted [46].</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46. Chian RC, Buckett WM, Tulandi T, Tan SL. Prospective randomized study of human chorionic gonadotrophin priming before immature oocyte retrieval from unstimulated women with polycystic ovarian syndrome. Hum Reprod. 2000;15:165–170. doi: 10.1093/humrep/15.1.165. </w:t>
      </w:r>
      <w:hyperlink r:id="rId25" w:history="1">
        <w:r>
          <w:rPr>
            <w:rStyle w:val="Hyperlink"/>
            <w:rFonts w:ascii="Times New Roman" w:hAnsi="Times New Roman" w:cs="Times New Roman"/>
            <w:color w:val="0563C1"/>
            <w:u w:val="single"/>
            <w:sz w:val="20"/>
            <w:szCs w:val="20"/>
          </w:rPr>
          <w:t xml:space="preserve">https://doi.org/10.1093/humrep/15.1.165</w:t>
        </w:r>
      </w:hyperlink>
    </w:p>
    <w:p>
      <w:pPr>
        <w:spacing w:before="0" w:after="20" w:line="276" w:lineRule="auto"/>
      </w:pPr>
      <w:r>
        <w:rPr>
          <w:rFonts w:ascii="Times New Roman" w:hAnsi="Times New Roman" w:cs="Times New Roman"/>
          <w:sz w:val="20"/>
          <w:szCs w:val="20"/>
        </w:rPr>
        <w:t xml:space="preserve">13. Granulosa cells lacked LH receptors, signalling incomplete in vivo maturation.</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14. Yet, Son et al. [45, 53] identified in vivo mature oocytes via hCG priming, highlighting their high reproductive capacity [34, 45, 53].</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45. Son WY, Yoon SH, Lim JH. Effect of gonadotrophin priming on in-vitro maturation of oocytes collected from women at risk of OHSS. Reprod Biomed Online. 2006;13:340–348. doi: 10.1016/S1472-6483(10)61438-1. </w:t>
      </w:r>
      <w:hyperlink r:id="rId24" w:history="1">
        <w:r>
          <w:rPr>
            <w:rStyle w:val="Hyperlink"/>
            <w:rFonts w:ascii="Times New Roman" w:hAnsi="Times New Roman" w:cs="Times New Roman"/>
            <w:color w:val="0563C1"/>
            <w:u w:val="single"/>
            <w:sz w:val="20"/>
            <w:szCs w:val="20"/>
          </w:rPr>
          <w:t xml:space="preserve">https://doi.org/10.1016/S1472-6483(10)61438-1</w:t>
        </w:r>
      </w:hyperlink>
      <w:r>
        <w:rPr>
          <w:rFonts w:ascii="Times New Roman" w:hAnsi="Times New Roman" w:cs="Times New Roman"/>
          <w:sz w:val="20"/>
          <w:szCs w:val="20"/>
        </w:rPr>
        <w:t xml:space="preserve">; </w:t>
      </w:r>
      <w:r>
        <w:rPr>
          <w:rFonts w:ascii="Times New Roman" w:hAnsi="Times New Roman" w:cs="Times New Roman"/>
          <w:sz w:val="20"/>
          <w:szCs w:val="20"/>
        </w:rPr>
        <w:t xml:space="preserve">53. Son WY, Yoon SH, Lee SW, Ko Y, Yoon HG, Lim JH. Blastocyst development and pregnancies after in vitro fertilization of mature oocytes retrieved from unstimulated patients with PCOS after in vivo HCG priming. Hum Reprod. 2002;17:134–136. doi: 10.1093/humrep/17.1.134. </w:t>
      </w:r>
      <w:hyperlink r:id="rId30" w:history="1">
        <w:r>
          <w:rPr>
            <w:rStyle w:val="Hyperlink"/>
            <w:rFonts w:ascii="Times New Roman" w:hAnsi="Times New Roman" w:cs="Times New Roman"/>
            <w:color w:val="0563C1"/>
            <w:u w:val="single"/>
            <w:sz w:val="20"/>
            <w:szCs w:val="20"/>
          </w:rPr>
          <w:t xml:space="preserve">https://doi.org/10.1093/humrep/17.1.134</w:t>
        </w:r>
      </w:hyperlink>
      <w:r>
        <w:rPr>
          <w:rFonts w:ascii="Times New Roman" w:hAnsi="Times New Roman" w:cs="Times New Roman"/>
          <w:sz w:val="20"/>
          <w:szCs w:val="20"/>
        </w:rPr>
        <w:t xml:space="preserve">; </w:t>
      </w:r>
      <w:r>
        <w:rPr>
          <w:rFonts w:ascii="Times New Roman" w:hAnsi="Times New Roman" w:cs="Times New Roman"/>
          <w:sz w:val="20"/>
          <w:szCs w:val="20"/>
        </w:rPr>
        <w:t xml:space="preserve">34. Son WY, Tan SL. Laboratory and embryological aspects of hCG-primed in vitro maturation cycles for patients with polycystic ovaries. Hum Reprod Update. 2010;16:675–689. doi: 10.1093/humupd/dmq014. </w:t>
      </w:r>
      <w:hyperlink r:id="rId13" w:history="1">
        <w:r>
          <w:rPr>
            <w:rStyle w:val="Hyperlink"/>
            <w:rFonts w:ascii="Times New Roman" w:hAnsi="Times New Roman" w:cs="Times New Roman"/>
            <w:color w:val="0563C1"/>
            <w:u w:val="single"/>
            <w:sz w:val="20"/>
            <w:szCs w:val="20"/>
          </w:rPr>
          <w:t xml:space="preserve">https://doi.org/10.1093/humupd/dmq014</w:t>
        </w:r>
      </w:hyperlink>
    </w:p>
    <w:p>
      <w:pPr>
        <w:spacing w:before="0" w:after="20" w:line="276" w:lineRule="auto"/>
      </w:pPr>
      <w:r>
        <w:rPr>
          <w:rFonts w:ascii="Times New Roman" w:hAnsi="Times New Roman" w:cs="Times New Roman"/>
          <w:sz w:val="20"/>
          <w:szCs w:val="20"/>
        </w:rPr>
        <w:t xml:space="preserve">15. This finding has led to debate among scientists about the role of hCG in IVM programs [54, 55].</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54. Dahan MH, Tan SL, Chung J, Son WY. Clinical definition paper on in vitro maturation of human oocytes. Hum Reprod. 2016;31:1383–1386. doi: 10.1093/humrep/dew109. </w:t>
      </w:r>
      <w:hyperlink r:id="rId31" w:history="1">
        <w:r>
          <w:rPr>
            <w:rStyle w:val="Hyperlink"/>
            <w:rFonts w:ascii="Times New Roman" w:hAnsi="Times New Roman" w:cs="Times New Roman"/>
            <w:color w:val="0563C1"/>
            <w:u w:val="single"/>
            <w:sz w:val="20"/>
            <w:szCs w:val="20"/>
          </w:rPr>
          <w:t xml:space="preserve">https://doi.org/10.1093/humrep/dew109</w:t>
        </w:r>
      </w:hyperlink>
      <w:r>
        <w:rPr>
          <w:rFonts w:ascii="Times New Roman" w:hAnsi="Times New Roman" w:cs="Times New Roman"/>
          <w:sz w:val="20"/>
          <w:szCs w:val="20"/>
        </w:rPr>
        <w:t xml:space="preserve">; </w:t>
      </w:r>
      <w:r>
        <w:rPr>
          <w:rFonts w:ascii="Times New Roman" w:hAnsi="Times New Roman" w:cs="Times New Roman"/>
          <w:sz w:val="20"/>
          <w:szCs w:val="20"/>
        </w:rPr>
        <w:t xml:space="preserve">55. De Vos M, Smitz J, Thompson JG, Gilchrist RB. The definition of IVM is clear-variations need defining. Hum Reprod. 2016;31:2411–2415. doi: 10.1093/humrep/dew208. </w:t>
      </w:r>
      <w:hyperlink r:id="rId32" w:history="1">
        <w:r>
          <w:rPr>
            <w:rStyle w:val="Hyperlink"/>
            <w:rFonts w:ascii="Times New Roman" w:hAnsi="Times New Roman" w:cs="Times New Roman"/>
            <w:color w:val="0563C1"/>
            <w:u w:val="single"/>
            <w:sz w:val="20"/>
            <w:szCs w:val="20"/>
          </w:rPr>
          <w:t xml:space="preserve">https://doi.org/10.1093/humrep/dew208</w:t>
        </w:r>
      </w:hyperlink>
    </w:p>
    <w:p>
      <w:pPr>
        <w:spacing w:before="160" w:after="40" w:line="276" w:lineRule="auto"/>
      </w:pPr>
      <w:r>
        <w:rPr>
          <w:rFonts w:ascii="Times New Roman" w:hAnsi="Times New Roman" w:cs="Times New Roman"/>
          <w:b/>
          <w:sz w:val="24"/>
          <w:szCs w:val="24"/>
        </w:rPr>
        <w:t xml:space="preserve">Как сделать выбор срока пункции</w:t>
      </w:r>
    </w:p>
    <w:p>
      <w:pPr>
        <w:spacing w:before="0" w:after="80" w:line="276" w:lineRule="auto"/>
      </w:pPr>
      <w:r>
        <w:rPr>
          <w:rFonts w:ascii="Times New Roman" w:hAnsi="Times New Roman" w:cs="Times New Roman"/>
          <w:sz w:val="22"/>
          <w:szCs w:val="22"/>
        </w:rPr>
        <w:t xml:space="preserve">Одни ждут лидирующий фолликул 10 мм, другие считают это поводом отменить цикл. Son и соавторы забирают ооциты, пока доминантный фолликул не больше 14 мм, а интервал после ХГЧ удлиняют с 35 до 38 часов.</w:t>
      </w:r>
    </w:p>
    <w:p>
      <w:pPr>
        <w:spacing w:before="0" w:after="20" w:line="276" w:lineRule="auto"/>
      </w:pPr>
      <w:r>
        <w:rPr>
          <w:rFonts w:ascii="Times New Roman" w:hAnsi="Times New Roman" w:cs="Times New Roman"/>
          <w:sz w:val="20"/>
          <w:szCs w:val="20"/>
        </w:rPr>
        <w:t xml:space="preserve">1. While some investigators have proposed waiting for the leading follicle to reach 10 mm [42, 56], others believed that this would be detrimental and suggested cancelling the cycle [57, 58].</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42. Mikkelsen AL, Smith SD, Lindenberg S. In-vitro maturation of human oocytes from regularly menstruating women may be successful without follicle stimulating hormone priming. Hum Reprod. 1999;14:1847–1851. doi: 10.1093/humrep/14.7.1847. </w:t>
      </w:r>
      <w:hyperlink r:id="rId21" w:history="1">
        <w:r>
          <w:rPr>
            <w:rStyle w:val="Hyperlink"/>
            <w:rFonts w:ascii="Times New Roman" w:hAnsi="Times New Roman" w:cs="Times New Roman"/>
            <w:color w:val="0563C1"/>
            <w:u w:val="single"/>
            <w:sz w:val="20"/>
            <w:szCs w:val="20"/>
          </w:rPr>
          <w:t xml:space="preserve">https://doi.org/10.1093/humrep/14.7.1847</w:t>
        </w:r>
      </w:hyperlink>
      <w:r>
        <w:rPr>
          <w:rFonts w:ascii="Times New Roman" w:hAnsi="Times New Roman" w:cs="Times New Roman"/>
          <w:sz w:val="20"/>
          <w:szCs w:val="20"/>
        </w:rPr>
        <w:t xml:space="preserve">; </w:t>
      </w:r>
      <w:r>
        <w:rPr>
          <w:rFonts w:ascii="Times New Roman" w:hAnsi="Times New Roman" w:cs="Times New Roman"/>
          <w:sz w:val="20"/>
          <w:szCs w:val="20"/>
        </w:rPr>
        <w:t xml:space="preserve">56. Russell JB. Immature oocyte retrieval combined with in-vitro oocyte maturation. Hum Reprod. 1998;13(Suppl 3):63–70. doi: 10.1093/humrep/13.suppl_3.63. </w:t>
      </w:r>
      <w:hyperlink r:id="rId33" w:history="1">
        <w:r>
          <w:rPr>
            <w:rStyle w:val="Hyperlink"/>
            <w:rFonts w:ascii="Times New Roman" w:hAnsi="Times New Roman" w:cs="Times New Roman"/>
            <w:color w:val="0563C1"/>
            <w:u w:val="single"/>
            <w:sz w:val="20"/>
            <w:szCs w:val="20"/>
          </w:rPr>
          <w:t xml:space="preserve">https://doi.org/10.1093/humrep/13.suppl_3.63</w:t>
        </w:r>
      </w:hyperlink>
      <w:r>
        <w:rPr>
          <w:rFonts w:ascii="Times New Roman" w:hAnsi="Times New Roman" w:cs="Times New Roman"/>
          <w:sz w:val="20"/>
          <w:szCs w:val="20"/>
        </w:rPr>
        <w:t xml:space="preserve">; </w:t>
      </w:r>
      <w:r>
        <w:rPr>
          <w:rFonts w:ascii="Times New Roman" w:hAnsi="Times New Roman" w:cs="Times New Roman"/>
          <w:sz w:val="20"/>
          <w:szCs w:val="20"/>
        </w:rPr>
        <w:t xml:space="preserve">57. Cobo AC, Requena A, Neuspiller F, Aragon SM, Mercader A, Navarro J, Simón C, Remohí J, Pellicer A. Maturation in vitro of human oocytes from unstimulated cycles: selection of the optimal day for ovum retrieval based on follicular size. Hum Reprod. 1999;14:1864–8. doi: 10.1093/humrep/14.7.1864. </w:t>
      </w:r>
      <w:hyperlink r:id="rId34" w:history="1">
        <w:r>
          <w:rPr>
            <w:rStyle w:val="Hyperlink"/>
            <w:rFonts w:ascii="Times New Roman" w:hAnsi="Times New Roman" w:cs="Times New Roman"/>
            <w:color w:val="0563C1"/>
            <w:u w:val="single"/>
            <w:sz w:val="20"/>
            <w:szCs w:val="20"/>
          </w:rPr>
          <w:t xml:space="preserve">https://doi.org/10.1093/humrep/14.7.1864</w:t>
        </w:r>
      </w:hyperlink>
      <w:r>
        <w:rPr>
          <w:rFonts w:ascii="Times New Roman" w:hAnsi="Times New Roman" w:cs="Times New Roman"/>
          <w:sz w:val="20"/>
          <w:szCs w:val="20"/>
        </w:rPr>
        <w:t xml:space="preserve">; </w:t>
      </w:r>
      <w:r>
        <w:rPr>
          <w:rFonts w:ascii="Times New Roman" w:hAnsi="Times New Roman" w:cs="Times New Roman"/>
          <w:sz w:val="20"/>
          <w:szCs w:val="20"/>
        </w:rPr>
        <w:t xml:space="preserve">58. Le Du A, Kadoch IJ, Bourcigaux N, Doumerc S, Bourrier MC, Chevalier N, Fanchin R, Chian RC, Tachdjian G, Frydman R, Frydman N. In vitro oocyte maturation for the treatment of infertility associated with polycystic ovarian syndrome: the French experience. Hum Reprod. 2005;20:420–424. doi: 10.1093/humrep/deh603. </w:t>
      </w:r>
      <w:hyperlink r:id="rId35" w:history="1">
        <w:r>
          <w:rPr>
            <w:rStyle w:val="Hyperlink"/>
            <w:rFonts w:ascii="Times New Roman" w:hAnsi="Times New Roman" w:cs="Times New Roman"/>
            <w:color w:val="0563C1"/>
            <w:u w:val="single"/>
            <w:sz w:val="20"/>
            <w:szCs w:val="20"/>
          </w:rPr>
          <w:t xml:space="preserve">https://doi.org/10.1093/humrep/deh603</w:t>
        </w:r>
      </w:hyperlink>
    </w:p>
    <w:p>
      <w:pPr>
        <w:spacing w:before="0" w:after="20" w:line="276" w:lineRule="auto"/>
      </w:pPr>
      <w:r>
        <w:rPr>
          <w:rFonts w:ascii="Times New Roman" w:hAnsi="Times New Roman" w:cs="Times New Roman"/>
          <w:sz w:val="20"/>
          <w:szCs w:val="20"/>
        </w:rPr>
        <w:t xml:space="preserve">2. In a study involving 160 women with polycystic ovaries, Son et al. [50]concluded that oocyte collection in IVM cycles should be performed when the dominant follicle is 14 mm in a diameter or less as sibling immature oocytes may be affected adversely if a dominant follicle &gt; 14 mm is present at the time of oocyte retrieval.</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50. Son WY, Chung JT, Herrero B, Dean N, Demirtas E, Holzer H, Elizur S, Chian RC, Tan SL. Selection of the optimal day for oocyte retrieval based on the diameter of the dominant follicle in hCG-primed in vitro maturation cycles. Hum Reprod. 2008;23:2680–2685. doi: 10.1093/humrep/den332. </w:t>
      </w:r>
      <w:hyperlink r:id="rId28" w:history="1">
        <w:r>
          <w:rPr>
            <w:rStyle w:val="Hyperlink"/>
            <w:rFonts w:ascii="Times New Roman" w:hAnsi="Times New Roman" w:cs="Times New Roman"/>
            <w:color w:val="0563C1"/>
            <w:u w:val="single"/>
            <w:sz w:val="20"/>
            <w:szCs w:val="20"/>
          </w:rPr>
          <w:t xml:space="preserve">https://doi.org/10.1093/humrep/den332</w:t>
        </w:r>
      </w:hyperlink>
    </w:p>
    <w:p>
      <w:pPr>
        <w:spacing w:before="0" w:after="20" w:line="276" w:lineRule="auto"/>
      </w:pPr>
      <w:r>
        <w:rPr>
          <w:rFonts w:ascii="Times New Roman" w:hAnsi="Times New Roman" w:cs="Times New Roman"/>
          <w:sz w:val="20"/>
          <w:szCs w:val="20"/>
        </w:rPr>
        <w:t xml:space="preserve">3. Researchers have also suggested that extending the period of hCG priming time from 35 to 38 h for immature oocyte retrieval promotes oocyte maturation in vivo and increases the IVM rate of immature oocytes [59].</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59. Son WY, Chung JT, Chian RC, Herrero B, Demirtas E, Elizur S, Gidoni Y, Sylvestre C, Dean N, Tan SL. A 38 h interval between hCG priming and oocyte retrieval increases in vivo and in vitro oocyte maturation rate in programmed IVM cycles. Hum Reprod. 2008;23:2010–2016. doi: 10.1093/humrep/den210. </w:t>
      </w:r>
      <w:hyperlink r:id="rId36" w:history="1">
        <w:r>
          <w:rPr>
            <w:rStyle w:val="Hyperlink"/>
            <w:rFonts w:ascii="Times New Roman" w:hAnsi="Times New Roman" w:cs="Times New Roman"/>
            <w:color w:val="0563C1"/>
            <w:u w:val="single"/>
            <w:sz w:val="20"/>
            <w:szCs w:val="20"/>
          </w:rPr>
          <w:t xml:space="preserve">https://doi.org/10.1093/humrep/den210</w:t>
        </w:r>
      </w:hyperlink>
    </w:p>
    <w:p>
      <w:pPr>
        <w:spacing w:before="0" w:after="20" w:line="276" w:lineRule="auto"/>
      </w:pPr>
      <w:r>
        <w:rPr>
          <w:rFonts w:ascii="Times New Roman" w:hAnsi="Times New Roman" w:cs="Times New Roman"/>
          <w:sz w:val="20"/>
          <w:szCs w:val="20"/>
        </w:rPr>
        <w:t xml:space="preserve">4. Clearly, further evidence from well-designed RCTs is needed to confirm the benefits of priming with gonadotropins on small follicles in IVM cycles, and the optimal dose and timing.</w:t>
      </w:r>
    </w:p>
    <w:p>
      <w:pPr>
        <w:spacing w:before="0" w:after="80" w:line="276" w:lineRule="auto"/>
      </w:pPr>
      <w:r>
        <w:rPr>
          <w:rFonts w:ascii="Times New Roman" w:hAnsi="Times New Roman" w:cs="Times New Roman"/>
          <w:sz w:val="18"/>
          <w:szCs w:val="18"/>
        </w:rPr>
        <w:t xml:space="preserve">Ссылки: —</w:t>
      </w:r>
    </w:p>
    <w:p>
      <w:pPr>
        <w:spacing w:before="160" w:after="40" w:line="276" w:lineRule="auto"/>
      </w:pPr>
      <w:r>
        <w:rPr>
          <w:rFonts w:ascii="Times New Roman" w:hAnsi="Times New Roman" w:cs="Times New Roman"/>
          <w:b/>
          <w:sz w:val="24"/>
          <w:szCs w:val="24"/>
        </w:rPr>
        <w:t xml:space="preserve">Как сделать пункцию</w:t>
      </w:r>
    </w:p>
    <w:p>
      <w:pPr>
        <w:spacing w:before="0" w:after="80" w:line="276" w:lineRule="auto"/>
      </w:pPr>
      <w:r>
        <w:rPr>
          <w:rFonts w:ascii="Times New Roman" w:hAnsi="Times New Roman" w:cs="Times New Roman"/>
          <w:sz w:val="22"/>
          <w:szCs w:val="22"/>
        </w:rPr>
        <w:t xml:space="preserve">Фолликулы мелкие, примерно 2–12 мм, комплекс сидит на стенке плотнее, чем в ЭКО. Игла обычно 16–21 gauge, в части клиник система из двух игл.</w:t>
      </w:r>
    </w:p>
    <w:p>
      <w:pPr>
        <w:spacing w:before="0" w:after="20" w:line="276" w:lineRule="auto"/>
      </w:pPr>
      <w:r>
        <w:rPr>
          <w:rFonts w:ascii="Times New Roman" w:hAnsi="Times New Roman" w:cs="Times New Roman"/>
          <w:sz w:val="20"/>
          <w:szCs w:val="20"/>
        </w:rPr>
        <w:t xml:space="preserve">1. Unlike in standard IVF collections, oocyte retrieval in IVM cycles can be more challenging, due to smaller follicle sizes and stronger attachment of immature COCs to the follicle wall, especially without an ovulatory dose of hCG or GnRH agonist.</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2. Emphasizing the importance of correctly timed ovulating hCG injections in IVF cycles is vital, as retrieval may fail even from larger follicles without them.</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3. In the majority of IVF centers, the standard needle diameter for puncturing small follicles, which can range from 2 to 12 mm in size, is typically between 16 and 21 gauge.</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4. However, some clinics employ a two-needle system for follicle aspiration in IVM cycles.</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5. The reported aspiration pressure varies from 80 to 120 mmHg [2].Using a thin needle for multiple punctures on small follicles, along with lower aspiration pressure, may occasionally result in needle blockage during the procedure [34].</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2. Walls ML, Hart RJ. In vitro maturation. Best Pract Res Clin Obstet Gynaecol. 2018;53:60–72. doi: 10.1016/j.bpobgyn.2018.06.004. </w:t>
      </w:r>
      <w:hyperlink r:id="rId3" w:history="1">
        <w:r>
          <w:rPr>
            <w:rStyle w:val="Hyperlink"/>
            <w:rFonts w:ascii="Times New Roman" w:hAnsi="Times New Roman" w:cs="Times New Roman"/>
            <w:color w:val="0563C1"/>
            <w:u w:val="single"/>
            <w:sz w:val="20"/>
            <w:szCs w:val="20"/>
          </w:rPr>
          <w:t xml:space="preserve">https://doi.org/10.1016/j.bpobgyn.2018.06.004</w:t>
        </w:r>
      </w:hyperlink>
      <w:r>
        <w:rPr>
          <w:rFonts w:ascii="Times New Roman" w:hAnsi="Times New Roman" w:cs="Times New Roman"/>
          <w:sz w:val="20"/>
          <w:szCs w:val="20"/>
        </w:rPr>
        <w:t xml:space="preserve">; </w:t>
      </w:r>
      <w:r>
        <w:rPr>
          <w:rFonts w:ascii="Times New Roman" w:hAnsi="Times New Roman" w:cs="Times New Roman"/>
          <w:sz w:val="20"/>
          <w:szCs w:val="20"/>
        </w:rPr>
        <w:t xml:space="preserve">34. Son WY, Tan SL. Laboratory and embryological aspects of hCG-primed in vitro maturation cycles for patients with polycystic ovaries. Hum Reprod Update. 2010;16:675–689. doi: 10.1093/humupd/dmq014. </w:t>
      </w:r>
      <w:hyperlink r:id="rId13" w:history="1">
        <w:r>
          <w:rPr>
            <w:rStyle w:val="Hyperlink"/>
            <w:rFonts w:ascii="Times New Roman" w:hAnsi="Times New Roman" w:cs="Times New Roman"/>
            <w:color w:val="0563C1"/>
            <w:u w:val="single"/>
            <w:sz w:val="20"/>
            <w:szCs w:val="20"/>
          </w:rPr>
          <w:t xml:space="preserve">https://doi.org/10.1093/humupd/dmq014</w:t>
        </w:r>
      </w:hyperlink>
    </w:p>
    <w:p>
      <w:pPr>
        <w:spacing w:before="0" w:after="20" w:line="276" w:lineRule="auto"/>
      </w:pPr>
      <w:r>
        <w:rPr>
          <w:rFonts w:ascii="Times New Roman" w:hAnsi="Times New Roman" w:cs="Times New Roman"/>
          <w:sz w:val="20"/>
          <w:szCs w:val="20"/>
        </w:rPr>
        <w:t xml:space="preserve">6. To prevent the formation of blood clots inside the aspiration needle, regular flushing with flushing media or adding 2 U/mL of heparin is necessary.</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7. This precaution helps maintain the patency of the needle and ensures smooth aspiration without interruptions caused by clot formation.</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8. The tissues or ovaries are held with one hand, while a 5 to 20 mL syringe filled with buffered IVF media containing proteins is used with a 21- or 22-gauge needle for the aspiration process [62, 63].</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62. Ben-Haroush A, Sapir O, Fisch B. Aspiration of immature oocytes during cesarean section for fertility preservation and future surrogacy. Am J Obstet Gynecol. 2010;203:e12–e14. doi: 10.1016/j.ajog.2010.04.011. </w:t>
      </w:r>
      <w:hyperlink r:id="rId38" w:history="1">
        <w:r>
          <w:rPr>
            <w:rStyle w:val="Hyperlink"/>
            <w:rFonts w:ascii="Times New Roman" w:hAnsi="Times New Roman" w:cs="Times New Roman"/>
            <w:color w:val="0563C1"/>
            <w:u w:val="single"/>
            <w:sz w:val="20"/>
            <w:szCs w:val="20"/>
          </w:rPr>
          <w:t xml:space="preserve">https://doi.org/10.1016/j.ajog.2010.04.011</w:t>
        </w:r>
      </w:hyperlink>
      <w:r>
        <w:rPr>
          <w:rFonts w:ascii="Times New Roman" w:hAnsi="Times New Roman" w:cs="Times New Roman"/>
          <w:sz w:val="20"/>
          <w:szCs w:val="20"/>
        </w:rPr>
        <w:t xml:space="preserve">; </w:t>
      </w:r>
      <w:r>
        <w:rPr>
          <w:rFonts w:ascii="Times New Roman" w:hAnsi="Times New Roman" w:cs="Times New Roman"/>
          <w:sz w:val="20"/>
          <w:szCs w:val="20"/>
        </w:rPr>
        <w:t xml:space="preserve">63. Huang JY, Tulandi T, Holzer H, Tan SL, Chian RC. Combining ovarian tissue cryobanking with retrieval of immature oocytes followed by in vitro maturation and vitrification: an additional strategy of fertility preservation. Fertil Steril. 2008;89:567–572. doi: 10.1016/j.fertnstert.2007.03.090. </w:t>
      </w:r>
      <w:hyperlink r:id="rId39" w:history="1">
        <w:r>
          <w:rPr>
            <w:rStyle w:val="Hyperlink"/>
            <w:rFonts w:ascii="Times New Roman" w:hAnsi="Times New Roman" w:cs="Times New Roman"/>
            <w:color w:val="0563C1"/>
            <w:u w:val="single"/>
            <w:sz w:val="20"/>
            <w:szCs w:val="20"/>
          </w:rPr>
          <w:t xml:space="preserve">https://doi.org/10.1016/j.fertnstert.2007.03.090</w:t>
        </w:r>
      </w:hyperlink>
    </w:p>
    <w:p>
      <w:pPr>
        <w:spacing w:before="0" w:after="20" w:line="276" w:lineRule="auto"/>
      </w:pPr>
      <w:r>
        <w:rPr>
          <w:rFonts w:ascii="Times New Roman" w:hAnsi="Times New Roman" w:cs="Times New Roman"/>
          <w:sz w:val="20"/>
          <w:szCs w:val="20"/>
        </w:rPr>
        <w:t xml:space="preserve">9. In the direct identification method, the follicular aspirate is transferred to a Petri dish and examined under a stereomicroscope to detect COCs, similar to the process in conventional IVF cycles.</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10. This approach is employed in both hCG-primed cycles, with or without priming with FSH, as many of the retrieved oocytes have expanded CCs [34](Fig. 1B).</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34. Son WY, Tan SL. Laboratory and embryological aspects of hCG-primed in vitro maturation cycles for patients with polycystic ovaries. Hum Reprod Update. 2010;16:675–689. doi: 10.1093/humupd/dmq014. </w:t>
      </w:r>
      <w:hyperlink r:id="rId13" w:history="1">
        <w:r>
          <w:rPr>
            <w:rStyle w:val="Hyperlink"/>
            <w:rFonts w:ascii="Times New Roman" w:hAnsi="Times New Roman" w:cs="Times New Roman"/>
            <w:color w:val="0563C1"/>
            <w:u w:val="single"/>
            <w:sz w:val="20"/>
            <w:szCs w:val="20"/>
          </w:rPr>
          <w:t xml:space="preserve">https://doi.org/10.1093/humupd/dmq014</w:t>
        </w:r>
      </w:hyperlink>
    </w:p>
    <w:p>
      <w:pPr>
        <w:spacing w:before="0" w:after="20" w:line="276" w:lineRule="auto"/>
      </w:pPr>
      <w:r>
        <w:rPr>
          <w:rFonts w:ascii="Times New Roman" w:hAnsi="Times New Roman" w:cs="Times New Roman"/>
          <w:sz w:val="20"/>
          <w:szCs w:val="20"/>
        </w:rPr>
        <w:t xml:space="preserve">11. However, since identifying immature oocytes lacking an expanded cumulus mass in non-hCG primed IVM cycles can be more challenging than in IVF cycles, the filter method is commonly used in many IVF laboratories.</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12. The filter method involves using a cell strainer device with 70-μm pores, usually composed of a nylon mesh (such as Falcon® 70 μm mesh size from BD Biosciences) [34].</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34. Son WY, Tan SL. Laboratory and embryological aspects of hCG-primed in vitro maturation cycles for patients with polycystic ovaries. Hum Reprod Update. 2010;16:675–689. doi: 10.1093/humupd/dmq014. </w:t>
      </w:r>
      <w:hyperlink r:id="rId13" w:history="1">
        <w:r>
          <w:rPr>
            <w:rStyle w:val="Hyperlink"/>
            <w:rFonts w:ascii="Times New Roman" w:hAnsi="Times New Roman" w:cs="Times New Roman"/>
            <w:color w:val="0563C1"/>
            <w:u w:val="single"/>
            <w:sz w:val="20"/>
            <w:szCs w:val="20"/>
          </w:rPr>
          <w:t xml:space="preserve">https://doi.org/10.1093/humupd/dmq014</w:t>
        </w:r>
      </w:hyperlink>
    </w:p>
    <w:p>
      <w:pPr>
        <w:spacing w:before="0" w:after="20" w:line="276" w:lineRule="auto"/>
      </w:pPr>
      <w:r>
        <w:rPr>
          <w:rFonts w:ascii="Times New Roman" w:hAnsi="Times New Roman" w:cs="Times New Roman"/>
          <w:sz w:val="20"/>
          <w:szCs w:val="20"/>
        </w:rPr>
        <w:t xml:space="preserve">13. Once the aspiration is complete, the collected aspirates on the device are rinsed with fresh buffered medium to eliminate red blood cells and small cells.</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14. The oocytes, along with other components like granulosa cells, are then transferred to a new Petri dish for examination under a stereomicroscope to identify and isolate the COCs.</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15. Clinicians often want to know the number of oocytes obtained during the egg retrieval procedure to assess the progress of the aspiration process.</w:t>
      </w:r>
    </w:p>
    <w:p>
      <w:pPr>
        <w:spacing w:before="0" w:after="80" w:line="276" w:lineRule="auto"/>
      </w:pPr>
      <w:r>
        <w:rPr>
          <w:rFonts w:ascii="Times New Roman" w:hAnsi="Times New Roman" w:cs="Times New Roman"/>
          <w:sz w:val="18"/>
          <w:szCs w:val="18"/>
        </w:rPr>
        <w:t xml:space="preserve">Ссылки: —</w:t>
      </w:r>
    </w:p>
    <w:p>
      <w:pPr>
        <w:spacing w:before="160" w:after="40" w:line="276" w:lineRule="auto"/>
      </w:pPr>
      <w:r>
        <w:rPr>
          <w:rFonts w:ascii="Times New Roman" w:hAnsi="Times New Roman" w:cs="Times New Roman"/>
          <w:b/>
          <w:sz w:val="24"/>
          <w:szCs w:val="24"/>
        </w:rPr>
        <w:t xml:space="preserve">Как сделать культуру незрелых ооцитов</w:t>
      </w:r>
    </w:p>
    <w:p>
      <w:pPr>
        <w:spacing w:before="0" w:after="80" w:line="276" w:lineRule="auto"/>
      </w:pPr>
      <w:r>
        <w:rPr>
          <w:rFonts w:ascii="Times New Roman" w:hAnsi="Times New Roman" w:cs="Times New Roman"/>
          <w:sz w:val="22"/>
          <w:szCs w:val="22"/>
        </w:rPr>
        <w:t xml:space="preserve">В pre-IVM примерно на 2 часа удерживают ооцит от спонтанного созревания аналогами cAMP, ингибиторами киназ или ФДЭ. В схеме с CNP герминальный пузырёк держат 24 часа, щелевые контакты сохраняются дольше.</w:t>
      </w:r>
    </w:p>
    <w:p>
      <w:pPr>
        <w:spacing w:before="0" w:after="20" w:line="276" w:lineRule="auto"/>
      </w:pPr>
      <w:r>
        <w:rPr>
          <w:rFonts w:ascii="Times New Roman" w:hAnsi="Times New Roman" w:cs="Times New Roman"/>
          <w:sz w:val="20"/>
          <w:szCs w:val="20"/>
        </w:rPr>
        <w:t xml:space="preserve">1. In the pre-IVM phase, chemicals such as cAMP analogues, kinase inhibitors, or PDE inhibitors are used to delay or temporarily prevent spontaneous oocyte maturation for a short period (usually around 2 h) [64].</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64. Nogueira D, Ron-El R, Friedler S, Schachter M, Raziel A, Cortvrindt R, Smitz J. Meiotic arrest in vitro by phosphodiesterase 3-inhibitor enhances maturation capacity of human oocytes and allows subsequent embryonic development. Biol Reprod. 2006;74:177–184. doi: 10.1095/biolreprod.105.040485. </w:t>
      </w:r>
      <w:hyperlink r:id="rId40" w:history="1">
        <w:r>
          <w:rPr>
            <w:rStyle w:val="Hyperlink"/>
            <w:rFonts w:ascii="Times New Roman" w:hAnsi="Times New Roman" w:cs="Times New Roman"/>
            <w:color w:val="0563C1"/>
            <w:u w:val="single"/>
            <w:sz w:val="20"/>
            <w:szCs w:val="20"/>
          </w:rPr>
          <w:t xml:space="preserve">https://doi.org/10.1095/biolreprod.105.040485</w:t>
        </w:r>
      </w:hyperlink>
    </w:p>
    <w:p>
      <w:pPr>
        <w:spacing w:before="0" w:after="20" w:line="276" w:lineRule="auto"/>
      </w:pPr>
      <w:r>
        <w:rPr>
          <w:rFonts w:ascii="Times New Roman" w:hAnsi="Times New Roman" w:cs="Times New Roman"/>
          <w:sz w:val="20"/>
          <w:szCs w:val="20"/>
        </w:rPr>
        <w:t xml:space="preserve">2. In this method, CNP is utilized to maintain GV arrest for 24 h in the pre-IVM phase.</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3. As mentioned earlier, CNP regulates cGMP levels in granulosa cells inside the follicle.</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4. COCs treated with CNP sustain gap-junctional communication between the oocyte and CCs for a longer duration, supplying the cGMP produced to the oocytes, even in in vitro conditions [65].</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65. Franciosi F, Coticchio G, Lodde V, Tessaro I, Modina SC, Fadini R, Dal Canto M, Renzini MM, Albertini DF, Luciano AM. Natriuretic peptide precursor C delays meiotic resumption and sustains gap junction-mediated communication in bovine cumulus-enclosed oocytes. Biol Reprod. 2014;91:61. doi: 10.1095/biolreprod.114.118869. </w:t>
      </w:r>
      <w:hyperlink r:id="rId41" w:history="1">
        <w:r>
          <w:rPr>
            <w:rStyle w:val="Hyperlink"/>
            <w:rFonts w:ascii="Times New Roman" w:hAnsi="Times New Roman" w:cs="Times New Roman"/>
            <w:color w:val="0563C1"/>
            <w:u w:val="single"/>
            <w:sz w:val="20"/>
            <w:szCs w:val="20"/>
          </w:rPr>
          <w:t xml:space="preserve">https://doi.org/10.1095/biolreprod.114.118869</w:t>
        </w:r>
      </w:hyperlink>
    </w:p>
    <w:p>
      <w:pPr>
        <w:spacing w:before="0" w:after="20" w:line="276" w:lineRule="auto"/>
      </w:pPr>
      <w:r>
        <w:rPr>
          <w:rFonts w:ascii="Times New Roman" w:hAnsi="Times New Roman" w:cs="Times New Roman"/>
          <w:sz w:val="20"/>
          <w:szCs w:val="20"/>
        </w:rPr>
        <w:t xml:space="preserve">5. Indeed, the majority of clinics perform IVM without utilizing the pre-IVM phase, and there is no consensus on the most suitable medium formulation for IVM [66, 67].</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66. Sanchez F, Le AH, Ho VNA, Romero S, Van Ranst H, De Vos M, Gilchrist RB, Ho TM, Vuong LN, Smitz J. Biphasic in vitro maturation (CAPA-IVM) specifically improves the developmental capacity of oocytes from small antral follicles. Assist Reprod Genet. 2019;36:2135–2144. doi: 10.1007/s10815-019-01551-5. </w:t>
      </w:r>
      <w:hyperlink r:id="rId42" w:history="1">
        <w:r>
          <w:rPr>
            <w:rStyle w:val="Hyperlink"/>
            <w:rFonts w:ascii="Times New Roman" w:hAnsi="Times New Roman" w:cs="Times New Roman"/>
            <w:color w:val="0563C1"/>
            <w:u w:val="single"/>
            <w:sz w:val="20"/>
            <w:szCs w:val="20"/>
          </w:rPr>
          <w:t xml:space="preserve">https://doi.org/10.1007/s10815-019-01551-5</w:t>
        </w:r>
      </w:hyperlink>
      <w:r>
        <w:rPr>
          <w:rFonts w:ascii="Times New Roman" w:hAnsi="Times New Roman" w:cs="Times New Roman"/>
          <w:sz w:val="20"/>
          <w:szCs w:val="20"/>
        </w:rPr>
        <w:t xml:space="preserve">; </w:t>
      </w:r>
      <w:r>
        <w:rPr>
          <w:rFonts w:ascii="Times New Roman" w:hAnsi="Times New Roman" w:cs="Times New Roman"/>
          <w:sz w:val="20"/>
          <w:szCs w:val="20"/>
        </w:rPr>
        <w:t xml:space="preserve">67. Vuong LN, Ho VNA, Ho TM, Dang VQ, Phung TH, Giang NH, Le AH, Pham TD, Wang R, Smitz J, Gilchrist RB, Norman RJ, Mol BW. In-vitro maturation of oocytes versus conventional IVF in women with infertility and a high antral follicle count: a randomized non-inferiority controlled trial. Hum Reprod. 2020;35:2537–2547. doi: 10.1093/humrep/deaa240. </w:t>
      </w:r>
      <w:hyperlink r:id="rId43" w:history="1">
        <w:r>
          <w:rPr>
            <w:rStyle w:val="Hyperlink"/>
            <w:rFonts w:ascii="Times New Roman" w:hAnsi="Times New Roman" w:cs="Times New Roman"/>
            <w:color w:val="0563C1"/>
            <w:u w:val="single"/>
            <w:sz w:val="20"/>
            <w:szCs w:val="20"/>
          </w:rPr>
          <w:t xml:space="preserve">https://doi.org/10.1093/humrep/deaa240</w:t>
        </w:r>
      </w:hyperlink>
    </w:p>
    <w:p>
      <w:pPr>
        <w:spacing w:before="0" w:after="20" w:line="276" w:lineRule="auto"/>
      </w:pPr>
      <w:r>
        <w:rPr>
          <w:rFonts w:ascii="Times New Roman" w:hAnsi="Times New Roman" w:cs="Times New Roman"/>
          <w:sz w:val="20"/>
          <w:szCs w:val="20"/>
        </w:rPr>
        <w:t xml:space="preserve">6. Although basic human IVM culture media are commercially available, the developmental competency of immature oocytes was not significantly different when using complex culture medium or regular IVF media such as blastocyst media which has a high concentration of glucose [68, 69].</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68. Pongsuthirak P, Songveeratham S, Vutyavanich T. Comparison of blastocyst and Sage media for in vitro maturation of human immature oocytes. Reprod Sci. 2015;22:343–346. doi: 10.1177/1933719114542027. </w:t>
      </w:r>
      <w:hyperlink r:id="rId44" w:history="1">
        <w:r>
          <w:rPr>
            <w:rStyle w:val="Hyperlink"/>
            <w:rFonts w:ascii="Times New Roman" w:hAnsi="Times New Roman" w:cs="Times New Roman"/>
            <w:color w:val="0563C1"/>
            <w:u w:val="single"/>
            <w:sz w:val="20"/>
            <w:szCs w:val="20"/>
          </w:rPr>
          <w:t xml:space="preserve">https://doi.org/10.1177/1933719114542027</w:t>
        </w:r>
      </w:hyperlink>
      <w:r>
        <w:rPr>
          <w:rFonts w:ascii="Times New Roman" w:hAnsi="Times New Roman" w:cs="Times New Roman"/>
          <w:sz w:val="20"/>
          <w:szCs w:val="20"/>
        </w:rPr>
        <w:t xml:space="preserve">; </w:t>
      </w:r>
      <w:r>
        <w:rPr>
          <w:rFonts w:ascii="Times New Roman" w:hAnsi="Times New Roman" w:cs="Times New Roman"/>
          <w:sz w:val="20"/>
          <w:szCs w:val="20"/>
        </w:rPr>
        <w:t xml:space="preserve">69. Filali M, Hesters L, Fanchin R, Tachdjian G, Frydman R, Frydman N. Retrospective comparison of two media for in-vitro maturation of oocytes. Reprod Biomed Online. 2008;16:250–256. doi: 10.1016/S1472-6483(10)60582-2. </w:t>
      </w:r>
      <w:hyperlink r:id="rId45" w:history="1">
        <w:r>
          <w:rPr>
            <w:rStyle w:val="Hyperlink"/>
            <w:rFonts w:ascii="Times New Roman" w:hAnsi="Times New Roman" w:cs="Times New Roman"/>
            <w:color w:val="0563C1"/>
            <w:u w:val="single"/>
            <w:sz w:val="20"/>
            <w:szCs w:val="20"/>
          </w:rPr>
          <w:t xml:space="preserve">https://doi.org/10.1016/S1472-6483(10)60582-2</w:t>
        </w:r>
      </w:hyperlink>
    </w:p>
    <w:p>
      <w:pPr>
        <w:spacing w:before="0" w:after="20" w:line="276" w:lineRule="auto"/>
      </w:pPr>
      <w:r>
        <w:rPr>
          <w:rFonts w:ascii="Times New Roman" w:hAnsi="Times New Roman" w:cs="Times New Roman"/>
          <w:sz w:val="20"/>
          <w:szCs w:val="20"/>
        </w:rPr>
        <w:t xml:space="preserve">7. Currently, many IVM protocols involve adding serum, FSH, LH/hCG, or EGF-like growth factors to the culture medium based on their role in oocyte maturation in vivo.</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8. FSH is commonly included in the culture media during IVM to support oocyte maturation.</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9. In vivo, FSH is crucial for the development of preovulatory follicles, the induction of LH receptors, and the stimulation of EGF-like growth factors [71, 72].</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71. Anderiesz C, Ferraretti A, Magli C, Fiorentino A, Fortini D, Gianaroli L, Jones GM, Trounson AO. Effect of recombinant human gonadotrophins on human, bovine and murine oocyte meiosis, fertilization and embryonic development in vitro. Hum Reprod. 2000;15:1140–1148. doi: 10.1093/humrep/15.5.1140. </w:t>
      </w:r>
      <w:hyperlink r:id="rId46" w:history="1">
        <w:r>
          <w:rPr>
            <w:rStyle w:val="Hyperlink"/>
            <w:rFonts w:ascii="Times New Roman" w:hAnsi="Times New Roman" w:cs="Times New Roman"/>
            <w:color w:val="0563C1"/>
            <w:u w:val="single"/>
            <w:sz w:val="20"/>
            <w:szCs w:val="20"/>
          </w:rPr>
          <w:t xml:space="preserve">https://doi.org/10.1093/humrep/15.5.1140</w:t>
        </w:r>
      </w:hyperlink>
      <w:r>
        <w:rPr>
          <w:rFonts w:ascii="Times New Roman" w:hAnsi="Times New Roman" w:cs="Times New Roman"/>
          <w:sz w:val="20"/>
          <w:szCs w:val="20"/>
        </w:rPr>
        <w:t xml:space="preserve">; </w:t>
      </w:r>
      <w:r>
        <w:rPr>
          <w:rFonts w:ascii="Times New Roman" w:hAnsi="Times New Roman" w:cs="Times New Roman"/>
          <w:sz w:val="20"/>
          <w:szCs w:val="20"/>
        </w:rPr>
        <w:t xml:space="preserve">72. Durinzi KL, Wentz AC, Saniga EM, Johnson DE, Lanzendorf SE. Follicle stimulating hormone effects on immature human oocytes: in vitro maturation and hormone production. J Assist Reprod Genet. 1997;14:199–204. doi: 10.1007/BF02766110. </w:t>
      </w:r>
      <w:hyperlink r:id="rId47" w:history="1">
        <w:r>
          <w:rPr>
            <w:rStyle w:val="Hyperlink"/>
            <w:rFonts w:ascii="Times New Roman" w:hAnsi="Times New Roman" w:cs="Times New Roman"/>
            <w:color w:val="0563C1"/>
            <w:u w:val="single"/>
            <w:sz w:val="20"/>
            <w:szCs w:val="20"/>
          </w:rPr>
          <w:t xml:space="preserve">https://doi.org/10.1007/BF02766110</w:t>
        </w:r>
      </w:hyperlink>
    </w:p>
    <w:p>
      <w:pPr>
        <w:spacing w:before="0" w:after="20" w:line="276" w:lineRule="auto"/>
      </w:pPr>
      <w:r>
        <w:rPr>
          <w:rFonts w:ascii="Times New Roman" w:hAnsi="Times New Roman" w:cs="Times New Roman"/>
          <w:sz w:val="20"/>
          <w:szCs w:val="20"/>
        </w:rPr>
        <w:t xml:space="preserve">10. Similarly, LH and hCG are essential in IVM media to mimic the natural process of meiotic resumption and final maturation after LH surge and ovulation in vivo [73–75].</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73. Hreinsson J, Rosenlund B, Friden B, Levkov L, Ek I, Suikkari AM, Hovatta O, Fridström M. Recombinant LH is equally effective as recombinant hCG in promoting oocyte maturation in a clinical in-vitro maturation programme: a randomized study. Hum Reprod. 2003;18:2131–2136. doi: 10.1093/humrep/deg422. </w:t>
      </w:r>
      <w:hyperlink r:id="rId48" w:history="1">
        <w:r>
          <w:rPr>
            <w:rStyle w:val="Hyperlink"/>
            <w:rFonts w:ascii="Times New Roman" w:hAnsi="Times New Roman" w:cs="Times New Roman"/>
            <w:color w:val="0563C1"/>
            <w:u w:val="single"/>
            <w:sz w:val="20"/>
            <w:szCs w:val="20"/>
          </w:rPr>
          <w:t xml:space="preserve">https://doi.org/10.1093/humrep/deg422</w:t>
        </w:r>
      </w:hyperlink>
      <w:r>
        <w:rPr>
          <w:rFonts w:ascii="Times New Roman" w:hAnsi="Times New Roman" w:cs="Times New Roman"/>
          <w:sz w:val="20"/>
          <w:szCs w:val="20"/>
        </w:rPr>
        <w:t xml:space="preserve">; </w:t>
      </w:r>
      <w:r>
        <w:rPr>
          <w:rFonts w:ascii="Times New Roman" w:hAnsi="Times New Roman" w:cs="Times New Roman"/>
          <w:sz w:val="20"/>
          <w:szCs w:val="20"/>
        </w:rPr>
        <w:t xml:space="preserve">74. Tantitham C, Panunumpa S, Satirapod C. The effect of human chorionic gonadotropin on the In vitro development of immature to mature human oocytes: a randomized controlled study. J Hum Reprod Sci. 2020;13:133–137. doi: 10.4103/jhrs.JHRS_1_20. </w:t>
      </w:r>
      <w:hyperlink r:id="rId49" w:history="1">
        <w:r>
          <w:rPr>
            <w:rStyle w:val="Hyperlink"/>
            <w:rFonts w:ascii="Times New Roman" w:hAnsi="Times New Roman" w:cs="Times New Roman"/>
            <w:color w:val="0563C1"/>
            <w:u w:val="single"/>
            <w:sz w:val="20"/>
            <w:szCs w:val="20"/>
          </w:rPr>
          <w:t xml:space="preserve">https://doi.org/10.4103/jhrs.JHRS_1_20</w:t>
        </w:r>
      </w:hyperlink>
      <w:r>
        <w:rPr>
          <w:rFonts w:ascii="Times New Roman" w:hAnsi="Times New Roman" w:cs="Times New Roman"/>
          <w:sz w:val="20"/>
          <w:szCs w:val="20"/>
        </w:rPr>
        <w:t xml:space="preserve">; </w:t>
      </w:r>
      <w:r>
        <w:rPr>
          <w:rFonts w:ascii="Times New Roman" w:hAnsi="Times New Roman" w:cs="Times New Roman"/>
          <w:sz w:val="20"/>
          <w:szCs w:val="20"/>
        </w:rPr>
        <w:t xml:space="preserve">75. Ge HS, Huang XF, Zhang W, Zhao JZ, Lin JJ, Zhou W. Exposure to human chorionic gonadotropin during in vitro maturation does not improve the maturation rate and developmental potential of immature oocytes from patients with polycystic ovary syndrome. Fertil Steril. 2008;89:98–103. doi: 10.1016/j.fertnstert.2007.02.021. </w:t>
      </w:r>
      <w:hyperlink r:id="rId50" w:history="1">
        <w:r>
          <w:rPr>
            <w:rStyle w:val="Hyperlink"/>
            <w:rFonts w:ascii="Times New Roman" w:hAnsi="Times New Roman" w:cs="Times New Roman"/>
            <w:color w:val="0563C1"/>
            <w:u w:val="single"/>
            <w:sz w:val="20"/>
            <w:szCs w:val="20"/>
          </w:rPr>
          <w:t xml:space="preserve">https://doi.org/10.1016/j.fertnstert.2007.02.021</w:t>
        </w:r>
      </w:hyperlink>
    </w:p>
    <w:p>
      <w:pPr>
        <w:spacing w:before="0" w:after="20" w:line="276" w:lineRule="auto"/>
      </w:pPr>
      <w:r>
        <w:rPr>
          <w:rFonts w:ascii="Times New Roman" w:hAnsi="Times New Roman" w:cs="Times New Roman"/>
          <w:sz w:val="20"/>
          <w:szCs w:val="20"/>
        </w:rPr>
        <w:t xml:space="preserve">11. However, it is essential to note that the role of gonadotropins in vitro may differ from in vivo due to the absence of mural cells, which mediate LH/hCG signals and EGF-like growth factors, in immature COCs collected in vitro.</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12. Therefore, one study suggested using high FSH levels (70 IU/L) in IVM to stimulate the somatic cells of COCs, which have relatively low levels of FSHR expression, to sufficiently secure LHR expression, thereby enabling oocytes to resume meiosis [76].</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76. Cadenas J, la CourPoulsen L, Mamsen LS, Andersen CY. Future potential of in vitro maturation including fertility preservation. Fertil Steril. 2023;119:550–559. doi: 10.1016/j.fertnstert.2023.01.027. </w:t>
      </w:r>
      <w:hyperlink r:id="rId51" w:history="1">
        <w:r>
          <w:rPr>
            <w:rStyle w:val="Hyperlink"/>
            <w:rFonts w:ascii="Times New Roman" w:hAnsi="Times New Roman" w:cs="Times New Roman"/>
            <w:color w:val="0563C1"/>
            <w:u w:val="single"/>
            <w:sz w:val="20"/>
            <w:szCs w:val="20"/>
          </w:rPr>
          <w:t xml:space="preserve">https://doi.org/10.1016/j.fertnstert.2023.01.027</w:t>
        </w:r>
      </w:hyperlink>
    </w:p>
    <w:p>
      <w:pPr>
        <w:spacing w:before="0" w:after="20" w:line="276" w:lineRule="auto"/>
      </w:pPr>
      <w:r>
        <w:rPr>
          <w:rFonts w:ascii="Times New Roman" w:hAnsi="Times New Roman" w:cs="Times New Roman"/>
          <w:sz w:val="20"/>
          <w:szCs w:val="20"/>
        </w:rPr>
        <w:t xml:space="preserve">13. However, further extensive research is necessary to determine the optimal combination and concentrations of these supplements in the culture medium to achieve enhanced IVM outcomes.</w:t>
      </w:r>
    </w:p>
    <w:p>
      <w:pPr>
        <w:spacing w:before="0" w:after="80" w:line="276" w:lineRule="auto"/>
      </w:pPr>
      <w:r>
        <w:rPr>
          <w:rFonts w:ascii="Times New Roman" w:hAnsi="Times New Roman" w:cs="Times New Roman"/>
          <w:sz w:val="18"/>
          <w:szCs w:val="18"/>
        </w:rPr>
        <w:t xml:space="preserve">Ссылки: —</w:t>
      </w:r>
    </w:p>
    <w:p>
      <w:pPr>
        <w:spacing w:before="160" w:after="40" w:line="276" w:lineRule="auto"/>
      </w:pPr>
      <w:r>
        <w:rPr>
          <w:rFonts w:ascii="Times New Roman" w:hAnsi="Times New Roman" w:cs="Times New Roman"/>
          <w:b/>
          <w:sz w:val="24"/>
          <w:szCs w:val="24"/>
        </w:rPr>
        <w:t xml:space="preserve">Как сделать оценку зрелости и осеменение</w:t>
      </w:r>
    </w:p>
    <w:p>
      <w:pPr>
        <w:spacing w:before="0" w:after="80" w:line="276" w:lineRule="auto"/>
      </w:pPr>
      <w:r>
        <w:rPr>
          <w:rFonts w:ascii="Times New Roman" w:hAnsi="Times New Roman" w:cs="Times New Roman"/>
          <w:sz w:val="22"/>
          <w:szCs w:val="22"/>
        </w:rPr>
        <w:t xml:space="preserve">В циклах с ХГЧ зрелые in vivo ищут в день пункции и на следующий день. В ранних работах зрелость смотрели через 48 или 56 часов культуры.</w:t>
      </w:r>
    </w:p>
    <w:p>
      <w:pPr>
        <w:spacing w:before="0" w:after="20" w:line="276" w:lineRule="auto"/>
      </w:pPr>
      <w:r>
        <w:rPr>
          <w:rFonts w:ascii="Times New Roman" w:hAnsi="Times New Roman" w:cs="Times New Roman"/>
          <w:sz w:val="20"/>
          <w:szCs w:val="20"/>
        </w:rPr>
        <w:t xml:space="preserve">1. A critical aspect of the hCG-primed IVM cycles is the identification of in vivo mature oocytes on the day of collection, attributed to their significant reproductive potential (Fig. 2).</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2. Consequently, in hCG-primed cycles, it is crucial to assess oocyte maturity multiple times, encompassing both the collection day and the subsequent day.</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3. This is in contrast to other non-hCG primed IVM programs, where in vivo matured oocytes are not present on the collection day.</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4. In the early IVM studies, oocyte maturity was typically assessed after 48 or 56 h of culture [1, 85, 86].</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1. Cha KY, Koo JJ, Ko JJ, Choi DH, Han SY, Yoon TK. Pregnancy after in vitro fertilization of human follicular oocytes collected from nonstimulated cycles, their culture in vitro and their transfer in a donor oocyte program. Fertil Steril. 1991;55:109–13. doi: 10.1016/S0015-0282(16)54068-0. </w:t>
      </w:r>
      <w:hyperlink r:id="rId2" w:history="1">
        <w:r>
          <w:rPr>
            <w:rStyle w:val="Hyperlink"/>
            <w:rFonts w:ascii="Times New Roman" w:hAnsi="Times New Roman" w:cs="Times New Roman"/>
            <w:color w:val="0563C1"/>
            <w:u w:val="single"/>
            <w:sz w:val="20"/>
            <w:szCs w:val="20"/>
          </w:rPr>
          <w:t xml:space="preserve">https://doi.org/10.1016/S0015-0282(16)54068-0</w:t>
        </w:r>
      </w:hyperlink>
      <w:r>
        <w:rPr>
          <w:rFonts w:ascii="Times New Roman" w:hAnsi="Times New Roman" w:cs="Times New Roman"/>
          <w:sz w:val="20"/>
          <w:szCs w:val="20"/>
        </w:rPr>
        <w:t xml:space="preserve">; </w:t>
      </w:r>
      <w:r>
        <w:rPr>
          <w:rFonts w:ascii="Times New Roman" w:hAnsi="Times New Roman" w:cs="Times New Roman"/>
          <w:sz w:val="20"/>
          <w:szCs w:val="20"/>
        </w:rPr>
        <w:t xml:space="preserve">85. Trounson AO, Wood C, Kausche A. In-vitro maturation and the fertilization and developmental competence of oocytes recovered from untreated polycystic ovarian patients. Fertil Steril. 1994;62:353–362. doi: 10.1016/S0015-0282(16)56891-5. </w:t>
      </w:r>
      <w:hyperlink r:id="rId52" w:history="1">
        <w:r>
          <w:rPr>
            <w:rStyle w:val="Hyperlink"/>
            <w:rFonts w:ascii="Times New Roman" w:hAnsi="Times New Roman" w:cs="Times New Roman"/>
            <w:color w:val="0563C1"/>
            <w:u w:val="single"/>
            <w:sz w:val="20"/>
            <w:szCs w:val="20"/>
          </w:rPr>
          <w:t xml:space="preserve">https://doi.org/10.1016/S0015-0282(16)56891-5</w:t>
        </w:r>
      </w:hyperlink>
      <w:r>
        <w:rPr>
          <w:rFonts w:ascii="Times New Roman" w:hAnsi="Times New Roman" w:cs="Times New Roman"/>
          <w:sz w:val="20"/>
          <w:szCs w:val="20"/>
        </w:rPr>
        <w:t xml:space="preserve">; </w:t>
      </w:r>
      <w:r>
        <w:rPr>
          <w:rFonts w:ascii="Times New Roman" w:hAnsi="Times New Roman" w:cs="Times New Roman"/>
          <w:sz w:val="20"/>
          <w:szCs w:val="20"/>
        </w:rPr>
        <w:t xml:space="preserve">86. Son WY, Park SE, Lee KA, Lee WS, Ko JJ, Yoon TK, Cha KY. Effect of 1,2-propanediol and freezing-thawing on the in vitro developmental capacity of human immature oocytes. Fertil Steril. 1996;66:995–999. doi: 10.1016/S0015-0282(16)58696-8. </w:t>
      </w:r>
      <w:hyperlink r:id="rId53" w:history="1">
        <w:r>
          <w:rPr>
            <w:rStyle w:val="Hyperlink"/>
            <w:rFonts w:ascii="Times New Roman" w:hAnsi="Times New Roman" w:cs="Times New Roman"/>
            <w:color w:val="0563C1"/>
            <w:u w:val="single"/>
            <w:sz w:val="20"/>
            <w:szCs w:val="20"/>
          </w:rPr>
          <w:t xml:space="preserve">https://doi.org/10.1016/S0015-0282(16)58696-8</w:t>
        </w:r>
      </w:hyperlink>
    </w:p>
    <w:p>
      <w:pPr>
        <w:spacing w:before="0" w:after="20" w:line="276" w:lineRule="auto"/>
      </w:pPr>
      <w:r>
        <w:rPr>
          <w:rFonts w:ascii="Times New Roman" w:hAnsi="Times New Roman" w:cs="Times New Roman"/>
          <w:sz w:val="20"/>
          <w:szCs w:val="20"/>
        </w:rPr>
        <w:t xml:space="preserve">5. However, recent researchers have shown that a significant number of MII stage oocytes (approximately 40–60%) can be obtained after just one day of culture (approximately 24–30 h) from GV stage oocytes collected in IVM cycles [34].</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34. Son WY, Tan SL. Laboratory and embryological aspects of hCG-primed in vitro maturation cycles for patients with polycystic ovaries. Hum Reprod Update. 2010;16:675–689. doi: 10.1093/humupd/dmq014. </w:t>
      </w:r>
      <w:hyperlink r:id="rId13" w:history="1">
        <w:r>
          <w:rPr>
            <w:rStyle w:val="Hyperlink"/>
            <w:rFonts w:ascii="Times New Roman" w:hAnsi="Times New Roman" w:cs="Times New Roman"/>
            <w:color w:val="0563C1"/>
            <w:u w:val="single"/>
            <w:sz w:val="20"/>
            <w:szCs w:val="20"/>
          </w:rPr>
          <w:t xml:space="preserve">https://doi.org/10.1093/humupd/dmq014</w:t>
        </w:r>
      </w:hyperlink>
    </w:p>
    <w:p>
      <w:pPr>
        <w:spacing w:before="0" w:after="20" w:line="276" w:lineRule="auto"/>
      </w:pPr>
      <w:r>
        <w:rPr>
          <w:rFonts w:ascii="Times New Roman" w:hAnsi="Times New Roman" w:cs="Times New Roman"/>
          <w:sz w:val="20"/>
          <w:szCs w:val="20"/>
        </w:rPr>
        <w:t xml:space="preserve">6. Historically, intracytoplasmic sperm injection (ICSI) has been the preferred method of insemination in IVM studies [60, 87].</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60. Hyun CS, Cha JH, Son WY, Yoon SH, Kim KA, Lim JH. Optimal ICSI timing after the first polar body extrusion in in vitro matured human oocytes. Hum Reprod. 2007;22:1991–1995. doi: 10.1093/humrep/dem124. </w:t>
      </w:r>
      <w:hyperlink r:id="rId54" w:history="1">
        <w:r>
          <w:rPr>
            <w:rStyle w:val="Hyperlink"/>
            <w:rFonts w:ascii="Times New Roman" w:hAnsi="Times New Roman" w:cs="Times New Roman"/>
            <w:color w:val="0563C1"/>
            <w:u w:val="single"/>
            <w:sz w:val="20"/>
            <w:szCs w:val="20"/>
          </w:rPr>
          <w:t xml:space="preserve">https://doi.org/10.1093/humrep/dem124</w:t>
        </w:r>
      </w:hyperlink>
      <w:r>
        <w:rPr>
          <w:rFonts w:ascii="Times New Roman" w:hAnsi="Times New Roman" w:cs="Times New Roman"/>
          <w:sz w:val="20"/>
          <w:szCs w:val="20"/>
        </w:rPr>
        <w:t xml:space="preserve">; </w:t>
      </w:r>
      <w:r>
        <w:rPr>
          <w:rFonts w:ascii="Times New Roman" w:hAnsi="Times New Roman" w:cs="Times New Roman"/>
          <w:sz w:val="20"/>
          <w:szCs w:val="20"/>
        </w:rPr>
        <w:t xml:space="preserve">87. Nagy ZP, Cecile J, Liu J, Loccufier A, Devroey P, Van Steirteghem A. Pregnancy and birth after intracytoplasmic sperm injection of in vitro matured germinal-vesicle stage oocytes: case report. Fertil Steril. 1996;65:1047–1050. doi: 10.1016/S0015-0282(16)58285-5. </w:t>
      </w:r>
      <w:hyperlink r:id="rId55" w:history="1">
        <w:r>
          <w:rPr>
            <w:rStyle w:val="Hyperlink"/>
            <w:rFonts w:ascii="Times New Roman" w:hAnsi="Times New Roman" w:cs="Times New Roman"/>
            <w:color w:val="0563C1"/>
            <w:u w:val="single"/>
            <w:sz w:val="20"/>
            <w:szCs w:val="20"/>
          </w:rPr>
          <w:t xml:space="preserve">https://doi.org/10.1016/S0015-0282(16)58285-5</w:t>
        </w:r>
      </w:hyperlink>
    </w:p>
    <w:p>
      <w:pPr>
        <w:spacing w:before="0" w:after="20" w:line="276" w:lineRule="auto"/>
      </w:pPr>
      <w:r>
        <w:rPr>
          <w:rFonts w:ascii="Times New Roman" w:hAnsi="Times New Roman" w:cs="Times New Roman"/>
          <w:sz w:val="20"/>
          <w:szCs w:val="20"/>
        </w:rPr>
        <w:t xml:space="preserve">7. While IVF fertilization methods can be used in IVM [88, 89], ICSI is commonly used to increase fertilization rates, regardless of the presence of a male factor, and to mitigate the risk of unexpected fertilization failure.</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88. Hwang JL, Lin YH, Tsai YL. In vitro maturation and fertilization of immature oocytes: a comprehensive study of fertilization techniques. J Assist Reprod Genet. 2000;17:39–43. doi: 10.1023/A:1009450014064. </w:t>
      </w:r>
      <w:hyperlink r:id="rId56" w:history="1">
        <w:r>
          <w:rPr>
            <w:rStyle w:val="Hyperlink"/>
            <w:rFonts w:ascii="Times New Roman" w:hAnsi="Times New Roman" w:cs="Times New Roman"/>
            <w:color w:val="0563C1"/>
            <w:u w:val="single"/>
            <w:sz w:val="20"/>
            <w:szCs w:val="20"/>
          </w:rPr>
          <w:t xml:space="preserve">https://doi.org/10.1023/A:1009450014064</w:t>
        </w:r>
      </w:hyperlink>
      <w:r>
        <w:rPr>
          <w:rFonts w:ascii="Times New Roman" w:hAnsi="Times New Roman" w:cs="Times New Roman"/>
          <w:sz w:val="20"/>
          <w:szCs w:val="20"/>
        </w:rPr>
        <w:t xml:space="preserve">; </w:t>
      </w:r>
      <w:r>
        <w:rPr>
          <w:rFonts w:ascii="Times New Roman" w:hAnsi="Times New Roman" w:cs="Times New Roman"/>
          <w:sz w:val="20"/>
          <w:szCs w:val="20"/>
        </w:rPr>
        <w:t xml:space="preserve">89. Walls M, Junk S, Ryan JP, Hart R. IVF versus ICSI for the fertilization of in-vitro matured human oocytes. Reprod Biomed Online. 2012;25(6):603–607. doi: 10.1016/j.rbmo.2012.08.001. </w:t>
      </w:r>
      <w:hyperlink r:id="rId57" w:history="1">
        <w:r>
          <w:rPr>
            <w:rStyle w:val="Hyperlink"/>
            <w:rFonts w:ascii="Times New Roman" w:hAnsi="Times New Roman" w:cs="Times New Roman"/>
            <w:color w:val="0563C1"/>
            <w:u w:val="single"/>
            <w:sz w:val="20"/>
            <w:szCs w:val="20"/>
          </w:rPr>
          <w:t xml:space="preserve">https://doi.org/10.1016/j.rbmo.2012.08.001</w:t>
        </w:r>
      </w:hyperlink>
    </w:p>
    <w:p>
      <w:pPr>
        <w:spacing w:before="160" w:after="40" w:line="276" w:lineRule="auto"/>
      </w:pPr>
      <w:r>
        <w:rPr>
          <w:rFonts w:ascii="Times New Roman" w:hAnsi="Times New Roman" w:cs="Times New Roman"/>
          <w:b/>
          <w:sz w:val="24"/>
          <w:szCs w:val="24"/>
        </w:rPr>
        <w:t xml:space="preserve">Как сделать культуру эмбрионов, перенос и криоконсервацию</w:t>
      </w:r>
    </w:p>
    <w:p>
      <w:pPr>
        <w:spacing w:before="0" w:after="80" w:line="276" w:lineRule="auto"/>
      </w:pPr>
      <w:r>
        <w:rPr>
          <w:rFonts w:ascii="Times New Roman" w:hAnsi="Times New Roman" w:cs="Times New Roman"/>
          <w:sz w:val="22"/>
          <w:szCs w:val="22"/>
        </w:rPr>
        <w:t xml:space="preserve">После оплодотворения эмбрионы ведут так же, как в обычном ЭКО. Витрифицируют и дробящиеся эмбрионы, и бластоцисты.</w:t>
      </w:r>
    </w:p>
    <w:p>
      <w:pPr>
        <w:spacing w:before="0" w:after="20" w:line="276" w:lineRule="auto"/>
      </w:pPr>
      <w:r>
        <w:rPr>
          <w:rFonts w:ascii="Times New Roman" w:hAnsi="Times New Roman" w:cs="Times New Roman"/>
          <w:sz w:val="20"/>
          <w:szCs w:val="20"/>
        </w:rPr>
        <w:t xml:space="preserve">1. After zygotes (fertilized oocytes) are generated through IVF fertilization or ICSI within an IVM cycle, the subsequent embryological tasks and procedures for ET and cryopreservation closely resemble those employed in traditional IVF cycles [34].</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34. Son WY, Tan SL. Laboratory and embryological aspects of hCG-primed in vitro maturation cycles for patients with polycystic ovaries. Hum Reprod Update. 2010;16:675–689. doi: 10.1093/humupd/dmq014. </w:t>
      </w:r>
      <w:hyperlink r:id="rId13" w:history="1">
        <w:r>
          <w:rPr>
            <w:rStyle w:val="Hyperlink"/>
            <w:rFonts w:ascii="Times New Roman" w:hAnsi="Times New Roman" w:cs="Times New Roman"/>
            <w:color w:val="0563C1"/>
            <w:u w:val="single"/>
            <w:sz w:val="20"/>
            <w:szCs w:val="20"/>
          </w:rPr>
          <w:t xml:space="preserve">https://doi.org/10.1093/humupd/dmq014</w:t>
        </w:r>
      </w:hyperlink>
    </w:p>
    <w:p>
      <w:pPr>
        <w:spacing w:before="0" w:after="20" w:line="276" w:lineRule="auto"/>
      </w:pPr>
      <w:r>
        <w:rPr>
          <w:rFonts w:ascii="Times New Roman" w:hAnsi="Times New Roman" w:cs="Times New Roman"/>
          <w:sz w:val="20"/>
          <w:szCs w:val="20"/>
        </w:rPr>
        <w:t xml:space="preserve">2. In terms of cryopreservation, investigations have revealed favourable survival rates and reasonable clinical outcomes when employing vitrification to freeze both cleavage-stage and blastocyst-stage embryos derived from clinical IVM programs [92–94].</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92. Son WY, Chung JT, Gidoni Y, Holzer H, Levin D, Chian RC, Tan SL. Comparison of survival rate of cleavage stage embryos produced from in vitro maturation cycles after slow freezing and after vitrification. FertilSteril. 2009;92:956–958. doi: 10.1016/j.fertnstert.2009.01.070. </w:t>
      </w:r>
      <w:hyperlink r:id="rId58" w:history="1">
        <w:r>
          <w:rPr>
            <w:rStyle w:val="Hyperlink"/>
            <w:rFonts w:ascii="Times New Roman" w:hAnsi="Times New Roman" w:cs="Times New Roman"/>
            <w:color w:val="0563C1"/>
            <w:u w:val="single"/>
            <w:sz w:val="20"/>
            <w:szCs w:val="20"/>
          </w:rPr>
          <w:t xml:space="preserve">https://doi.org/10.1016/j.fertnstert.2009.01.070</w:t>
        </w:r>
      </w:hyperlink>
      <w:r>
        <w:rPr>
          <w:rFonts w:ascii="Times New Roman" w:hAnsi="Times New Roman" w:cs="Times New Roman"/>
          <w:sz w:val="20"/>
          <w:szCs w:val="20"/>
        </w:rPr>
        <w:t xml:space="preserve">; </w:t>
      </w:r>
      <w:r>
        <w:rPr>
          <w:rFonts w:ascii="Times New Roman" w:hAnsi="Times New Roman" w:cs="Times New Roman"/>
          <w:sz w:val="20"/>
          <w:szCs w:val="20"/>
        </w:rPr>
        <w:t xml:space="preserve">93. Lee SY, Son WY, Yoon SH, Lim JH. Clinical-pregnancy outcome after vitrification of blastocysts produced from in vitro maturation cycles. Fertil Steril. 2007;88:1449–1451. doi: 10.1016/j.fertnstert.2007.01.018. </w:t>
      </w:r>
      <w:hyperlink r:id="rId59" w:history="1">
        <w:r>
          <w:rPr>
            <w:rStyle w:val="Hyperlink"/>
            <w:rFonts w:ascii="Times New Roman" w:hAnsi="Times New Roman" w:cs="Times New Roman"/>
            <w:color w:val="0563C1"/>
            <w:u w:val="single"/>
            <w:sz w:val="20"/>
            <w:szCs w:val="20"/>
          </w:rPr>
          <w:t xml:space="preserve">https://doi.org/10.1016/j.fertnstert.2007.01.018</w:t>
        </w:r>
      </w:hyperlink>
      <w:r>
        <w:rPr>
          <w:rFonts w:ascii="Times New Roman" w:hAnsi="Times New Roman" w:cs="Times New Roman"/>
          <w:sz w:val="20"/>
          <w:szCs w:val="20"/>
        </w:rPr>
        <w:t xml:space="preserve">; </w:t>
      </w:r>
      <w:r>
        <w:rPr>
          <w:rFonts w:ascii="Times New Roman" w:hAnsi="Times New Roman" w:cs="Times New Roman"/>
          <w:sz w:val="20"/>
          <w:szCs w:val="20"/>
        </w:rPr>
        <w:t xml:space="preserve">94. Walls ML, Hunter T, Ryan JP, Keelan JA, Nathan E, Hart RJ. In vitro maturation as an alternative to standard in vitro fertilization for patients diagnosed with polycystic ovaries: a comparative analysis of fresh, frozen and cumulative cycle outcomes. Hum Reprod. 2015;30:88–96. doi: 10.1093/humrep/deu248. </w:t>
      </w:r>
      <w:hyperlink r:id="rId60" w:history="1">
        <w:r>
          <w:rPr>
            <w:rStyle w:val="Hyperlink"/>
            <w:rFonts w:ascii="Times New Roman" w:hAnsi="Times New Roman" w:cs="Times New Roman"/>
            <w:color w:val="0563C1"/>
            <w:u w:val="single"/>
            <w:sz w:val="20"/>
            <w:szCs w:val="20"/>
          </w:rPr>
          <w:t xml:space="preserve">https://doi.org/10.1093/humrep/deu248</w:t>
        </w:r>
      </w:hyperlink>
    </w:p>
    <w:p>
      <w:pPr>
        <w:spacing w:before="160" w:after="40" w:line="276" w:lineRule="auto"/>
      </w:pPr>
      <w:r>
        <w:rPr>
          <w:rFonts w:ascii="Times New Roman" w:hAnsi="Times New Roman" w:cs="Times New Roman"/>
          <w:b/>
          <w:sz w:val="24"/>
          <w:szCs w:val="24"/>
        </w:rPr>
        <w:t xml:space="preserve">Как сделать подготовку эндометрия</w:t>
      </w:r>
    </w:p>
    <w:p>
      <w:pPr>
        <w:spacing w:before="0" w:after="80" w:line="276" w:lineRule="auto"/>
      </w:pPr>
      <w:r>
        <w:rPr>
          <w:rFonts w:ascii="Times New Roman" w:hAnsi="Times New Roman" w:cs="Times New Roman"/>
          <w:sz w:val="22"/>
          <w:szCs w:val="22"/>
        </w:rPr>
        <w:t xml:space="preserve">Если к 6–10 дню эндометрий тоньше 6 мм, сравнивали низкие дозы чМГ и микронизированный эстроген 6–12 мг/сут. Эстроген с середины фолликулярной фазы давал лучшее созревание, чем ранний старт.</w:t>
      </w:r>
    </w:p>
    <w:p>
      <w:pPr>
        <w:spacing w:before="0" w:after="20" w:line="276" w:lineRule="auto"/>
      </w:pPr>
      <w:r>
        <w:rPr>
          <w:rFonts w:ascii="Times New Roman" w:hAnsi="Times New Roman" w:cs="Times New Roman"/>
          <w:sz w:val="20"/>
          <w:szCs w:val="20"/>
        </w:rPr>
        <w:t xml:space="preserve">1. In a retrospective study, Elizur et al. [96] compared low-dose hMG to micronized estrogen (6 to 12 mg/day) to thicken the endometrial lining in IVM cycles when the endometrial thickness was below 6 mm on day 6–10.</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96. Elizur SE, Son WY, Yap R, Gidoni Y, Levin D, Demirtas E, Tan SL. Comparison of low-dose human menopausal gonadotropin and micronized 17beta-estradiol supplementation in in vitro maturation cycles with thin endometrial lining. Fertil Steril. 2009;92:907–912. doi: 10.1016/j.fertnstert.2008.07.1750. </w:t>
      </w:r>
      <w:hyperlink r:id="rId61" w:history="1">
        <w:r>
          <w:rPr>
            <w:rStyle w:val="Hyperlink"/>
            <w:rFonts w:ascii="Times New Roman" w:hAnsi="Times New Roman" w:cs="Times New Roman"/>
            <w:color w:val="0563C1"/>
            <w:u w:val="single"/>
            <w:sz w:val="20"/>
            <w:szCs w:val="20"/>
          </w:rPr>
          <w:t xml:space="preserve">https://doi.org/10.1016/j.fertnstert.2008.07.1750</w:t>
        </w:r>
      </w:hyperlink>
    </w:p>
    <w:p>
      <w:pPr>
        <w:spacing w:before="0" w:after="20" w:line="276" w:lineRule="auto"/>
      </w:pPr>
      <w:r>
        <w:rPr>
          <w:rFonts w:ascii="Times New Roman" w:hAnsi="Times New Roman" w:cs="Times New Roman"/>
          <w:sz w:val="20"/>
          <w:szCs w:val="20"/>
        </w:rPr>
        <w:t xml:space="preserve">2. They observed that both hMG and micronized estrogen treatmentsignificantly improved endometrial thickness but hMG treatment was associated with higher numbers of in-vivo matured oocytes found at oocyte retrieval and higher maturation rates at 24 h.</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3. Russell et al. [96] reported improved oocyte maturation rates and embryo development when exogenous estrogen priming was initiated in the mid-follicular phase versus when estrogen was initiated early in the follicular phase.</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96. Elizur SE, Son WY, Yap R, Gidoni Y, Levin D, Demirtas E, Tan SL. Comparison of low-dose human menopausal gonadotropin and micronized 17beta-estradiol supplementation in in vitro maturation cycles with thin endometrial lining. Fertil Steril. 2009;92:907–912. doi: 10.1016/j.fertnstert.2008.07.1750. </w:t>
      </w:r>
      <w:hyperlink r:id="rId61" w:history="1">
        <w:r>
          <w:rPr>
            <w:rStyle w:val="Hyperlink"/>
            <w:rFonts w:ascii="Times New Roman" w:hAnsi="Times New Roman" w:cs="Times New Roman"/>
            <w:color w:val="0563C1"/>
            <w:u w:val="single"/>
            <w:sz w:val="20"/>
            <w:szCs w:val="20"/>
          </w:rPr>
          <w:t xml:space="preserve">https://doi.org/10.1016/j.fertnstert.2008.07.1750</w:t>
        </w:r>
      </w:hyperlink>
    </w:p>
    <w:p>
      <w:pPr>
        <w:spacing w:before="160" w:after="40" w:line="276" w:lineRule="auto"/>
      </w:pPr>
      <w:r>
        <w:rPr>
          <w:rFonts w:ascii="Times New Roman" w:hAnsi="Times New Roman" w:cs="Times New Roman"/>
          <w:b/>
          <w:sz w:val="24"/>
          <w:szCs w:val="24"/>
        </w:rPr>
        <w:t xml:space="preserve">Как сделать freeze-all</w:t>
      </w:r>
    </w:p>
    <w:p>
      <w:pPr>
        <w:spacing w:before="0" w:after="80" w:line="276" w:lineRule="auto"/>
      </w:pPr>
      <w:r>
        <w:rPr>
          <w:rFonts w:ascii="Times New Roman" w:hAnsi="Times New Roman" w:cs="Times New Roman"/>
          <w:sz w:val="22"/>
          <w:szCs w:val="22"/>
        </w:rPr>
        <w:t xml:space="preserve">После IVM эмбрионы витрифицируют и переносят в криоцикле. В статье это серия пациенток со СПКЯ и перенос на стадии дробления.</w:t>
      </w:r>
    </w:p>
    <w:p>
      <w:pPr>
        <w:spacing w:before="0" w:after="20" w:line="276" w:lineRule="auto"/>
      </w:pPr>
      <w:r>
        <w:rPr>
          <w:rFonts w:ascii="Times New Roman" w:hAnsi="Times New Roman" w:cs="Times New Roman"/>
          <w:sz w:val="20"/>
          <w:szCs w:val="20"/>
        </w:rPr>
        <w:t xml:space="preserve">1. In a retrospective case series of 79 consecutive PCOS patients undergoing IVM followed by vitrified-warmed ET at cleavage stage over a 2-year period, the cumulative live birth rate (LBR) per embryo transfer was 16.2%, the cumulative LBR per patient was 21.8% and the LBR per retrieved immature oocyte was 1.1% [99].</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99. Ortega-Hrepich C, Stoop D, Guzmán L, Van Landuyt L, Tournaye H, Smitz J, De Vos M. A "freeze-all" embryo strategy after in vitro maturation: a novel approach in women with polycystic ovary syndrome? Fertil Steril. 2013;100:1002–1007. doi: 10.1016/j.fertnstert.2013.06.018. </w:t>
      </w:r>
      <w:hyperlink r:id="rId62" w:history="1">
        <w:r>
          <w:rPr>
            <w:rStyle w:val="Hyperlink"/>
            <w:rFonts w:ascii="Times New Roman" w:hAnsi="Times New Roman" w:cs="Times New Roman"/>
            <w:color w:val="0563C1"/>
            <w:u w:val="single"/>
            <w:sz w:val="20"/>
            <w:szCs w:val="20"/>
          </w:rPr>
          <w:t xml:space="preserve">https://doi.org/10.1016/j.fertnstert.2013.06.018</w:t>
        </w:r>
      </w:hyperlink>
    </w:p>
    <w:p>
      <w:pPr>
        <w:spacing w:before="160" w:after="40" w:line="276" w:lineRule="auto"/>
      </w:pPr>
      <w:r>
        <w:rPr>
          <w:rFonts w:ascii="Times New Roman" w:hAnsi="Times New Roman" w:cs="Times New Roman"/>
          <w:b/>
          <w:sz w:val="24"/>
          <w:szCs w:val="24"/>
        </w:rPr>
        <w:t xml:space="preserve">Как сделать IVM при СПКЯ</w:t>
      </w:r>
    </w:p>
    <w:p>
      <w:pPr>
        <w:spacing w:before="0" w:after="80" w:line="276" w:lineRule="auto"/>
      </w:pPr>
      <w:r>
        <w:rPr>
          <w:rFonts w:ascii="Times New Roman" w:hAnsi="Times New Roman" w:cs="Times New Roman"/>
          <w:sz w:val="22"/>
          <w:szCs w:val="22"/>
        </w:rPr>
        <w:t xml:space="preserve">В цитируемом РКИ делают один цикл без гонадотропинов и переносят одну витрифицированную бластоцисту.</w:t>
      </w:r>
    </w:p>
    <w:p>
      <w:pPr>
        <w:spacing w:before="0" w:after="20" w:line="276" w:lineRule="auto"/>
      </w:pPr>
      <w:r>
        <w:rPr>
          <w:rFonts w:ascii="Times New Roman" w:hAnsi="Times New Roman" w:cs="Times New Roman"/>
          <w:sz w:val="20"/>
          <w:szCs w:val="20"/>
        </w:rPr>
        <w:t xml:space="preserve">1. A non-inferiority randomized controlled trial comparing IVM versus standard IVF in women with PCOS, found that one cycle of IVM without gonadotropins, resulted in lower 6-month cumulative live birth rates, when undergoing single vitrified-warmed blastocyst transfer.</w:t>
      </w:r>
    </w:p>
    <w:p>
      <w:pPr>
        <w:spacing w:before="0" w:after="80" w:line="276" w:lineRule="auto"/>
      </w:pPr>
      <w:r>
        <w:rPr>
          <w:rFonts w:ascii="Times New Roman" w:hAnsi="Times New Roman" w:cs="Times New Roman"/>
          <w:sz w:val="18"/>
          <w:szCs w:val="18"/>
        </w:rPr>
        <w:t xml:space="preserve">Ссылки: —</w:t>
      </w:r>
    </w:p>
    <w:p>
      <w:pPr>
        <w:spacing w:before="160" w:after="40" w:line="276" w:lineRule="auto"/>
      </w:pPr>
      <w:r>
        <w:rPr>
          <w:rFonts w:ascii="Times New Roman" w:hAnsi="Times New Roman" w:cs="Times New Roman"/>
          <w:b/>
          <w:sz w:val="24"/>
          <w:szCs w:val="24"/>
        </w:rPr>
        <w:t xml:space="preserve">Как сделать сохранение фертильности</w:t>
      </w:r>
    </w:p>
    <w:p>
      <w:pPr>
        <w:spacing w:before="0" w:after="80" w:line="276" w:lineRule="auto"/>
      </w:pPr>
      <w:r>
        <w:rPr>
          <w:rFonts w:ascii="Times New Roman" w:hAnsi="Times New Roman" w:cs="Times New Roman"/>
          <w:sz w:val="22"/>
          <w:szCs w:val="22"/>
        </w:rPr>
        <w:t xml:space="preserve">Незрелые ооциты забирают в любой фазе цикла. Для хотя бы 10 ооцитов в статье называют AFC больше 20 и АМГ 3,7 нг/мл. Культура 48 часов, затем витрификация.</w:t>
      </w:r>
    </w:p>
    <w:p>
      <w:pPr>
        <w:spacing w:before="0" w:after="20" w:line="276" w:lineRule="auto"/>
      </w:pPr>
      <w:r>
        <w:rPr>
          <w:rFonts w:ascii="Times New Roman" w:hAnsi="Times New Roman" w:cs="Times New Roman"/>
          <w:sz w:val="20"/>
          <w:szCs w:val="20"/>
        </w:rPr>
        <w:t xml:space="preserve">1. Grynberg et al. [109] observed that in breast cancer patients undergoing urgent fertility preservation, there were no differences in the number of COCs recovered or their IVM rates whatever the phase of the cycle at which oocytes were collected.</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109. Grynberg M, Poulain M, le Parco S, Sifer C, Fanchin R, Frydman N. Similar in vitro maturation rates of oocytes retrieved during the follicular or luteal phase offer flexible options for urgent fertility preservation in breast cancer patients. Hum Reprod. 2016;31:623–629. doi: 10.1093/humrep/dev325. </w:t>
      </w:r>
      <w:hyperlink r:id="rId63" w:history="1">
        <w:r>
          <w:rPr>
            <w:rStyle w:val="Hyperlink"/>
            <w:rFonts w:ascii="Times New Roman" w:hAnsi="Times New Roman" w:cs="Times New Roman"/>
            <w:color w:val="0563C1"/>
            <w:u w:val="single"/>
            <w:sz w:val="20"/>
            <w:szCs w:val="20"/>
          </w:rPr>
          <w:t xml:space="preserve">https://doi.org/10.1093/humrep/dev325</w:t>
        </w:r>
      </w:hyperlink>
    </w:p>
    <w:p>
      <w:pPr>
        <w:spacing w:before="0" w:after="20" w:line="276" w:lineRule="auto"/>
      </w:pPr>
      <w:r>
        <w:rPr>
          <w:rFonts w:ascii="Times New Roman" w:hAnsi="Times New Roman" w:cs="Times New Roman"/>
          <w:sz w:val="20"/>
          <w:szCs w:val="20"/>
        </w:rPr>
        <w:t xml:space="preserve">2. In support of these findings, Creux et al. [107] evaluated the efficacy of IVM when immature oocyte retrieval was performed in the early follicular, late follicular, or luteal phases in cancer patients undergoing urgent fertility preservation.</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107. Creux H, Monnier P, Son WY, et al. Immature oocyte retrieval and in vitro oocyte maturation at different phases of the menstrual cycle in women with cancer who require urgent gonadotoxic treatment. Fertil Steril. 2017;107:198–204. doi: 10.1016/j.fertnstert.2016.09.041. </w:t>
      </w:r>
      <w:hyperlink r:id="rId64" w:history="1">
        <w:r>
          <w:rPr>
            <w:rStyle w:val="Hyperlink"/>
            <w:rFonts w:ascii="Times New Roman" w:hAnsi="Times New Roman" w:cs="Times New Roman"/>
            <w:color w:val="0563C1"/>
            <w:u w:val="single"/>
            <w:sz w:val="20"/>
            <w:szCs w:val="20"/>
          </w:rPr>
          <w:t xml:space="preserve">https://doi.org/10.1016/j.fertnstert.2016.09.041</w:t>
        </w:r>
      </w:hyperlink>
    </w:p>
    <w:p>
      <w:pPr>
        <w:spacing w:before="0" w:after="20" w:line="276" w:lineRule="auto"/>
      </w:pPr>
      <w:r>
        <w:rPr>
          <w:rFonts w:ascii="Times New Roman" w:hAnsi="Times New Roman" w:cs="Times New Roman"/>
          <w:sz w:val="20"/>
          <w:szCs w:val="20"/>
        </w:rPr>
        <w:t xml:space="preserve">3. There was no significant difference in the number of oocytes retrieved, maturation rates after 48 h of culture, fertilization rates, or the total number of oocytes and embryos cryopreserved when immature oocyte retrieval was performed at various times in the menstrual cycle.</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4. It has been proposed that an antral follicle count of &gt; 20 follicles and serum AMH values of 3.7 ng/ml are required for obtaining at least 10 IVM oocytes for cryopreservation in cancer patients seeking fertility preservation [110].</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110. Sonigo C, Simon C, Boubaya M, Benoit A, Sifer C, Sermondade N, Grynberg M. What threshold values of antral follicle count and serum AMH levels should be considered for oocyte cryopreservation after in vitro maturation? Hum Reprod. 2016;31:1493–1500. doi: 10.1093/humrep/dew102. </w:t>
      </w:r>
      <w:hyperlink r:id="rId65" w:history="1">
        <w:r>
          <w:rPr>
            <w:rStyle w:val="Hyperlink"/>
            <w:rFonts w:ascii="Times New Roman" w:hAnsi="Times New Roman" w:cs="Times New Roman"/>
            <w:color w:val="0563C1"/>
            <w:u w:val="single"/>
            <w:sz w:val="20"/>
            <w:szCs w:val="20"/>
          </w:rPr>
          <w:t xml:space="preserve">https://doi.org/10.1093/humrep/dew102</w:t>
        </w:r>
      </w:hyperlink>
    </w:p>
    <w:p>
      <w:pPr>
        <w:spacing w:before="0" w:after="20" w:line="276" w:lineRule="auto"/>
      </w:pPr>
      <w:r>
        <w:rPr>
          <w:rFonts w:ascii="Times New Roman" w:hAnsi="Times New Roman" w:cs="Times New Roman"/>
          <w:sz w:val="20"/>
          <w:szCs w:val="20"/>
        </w:rPr>
        <w:t xml:space="preserve">5. In 17 women with breast cancer who underwent 2 cycles of IVM followed by oocyte vitrification, no difference was observed between the first and second IVM outcomes, and the number of cryopreserved oocytes were comparable [111].</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111. Sermondade N, Grynberg M, Comtet M, Valdelievre C, Sifer C, Sonigo C. Double-in vitro maturation increases the number of vitrified oocytes available for fertility preservation when ovarian stimulation is unfeasible. Sci Rep. 2020;10:18555. doi: 10.1038/s41598-020-75699-x. </w:t>
      </w:r>
      <w:hyperlink r:id="rId66" w:history="1">
        <w:r>
          <w:rPr>
            <w:rStyle w:val="Hyperlink"/>
            <w:rFonts w:ascii="Times New Roman" w:hAnsi="Times New Roman" w:cs="Times New Roman"/>
            <w:color w:val="0563C1"/>
            <w:u w:val="single"/>
            <w:sz w:val="20"/>
            <w:szCs w:val="20"/>
          </w:rPr>
          <w:t xml:space="preserve">https://doi.org/10.1038/s41598-020-75699-x</w:t>
        </w:r>
      </w:hyperlink>
    </w:p>
    <w:p>
      <w:pPr>
        <w:spacing w:before="0" w:after="20" w:line="276" w:lineRule="auto"/>
      </w:pPr>
      <w:r>
        <w:rPr>
          <w:rFonts w:ascii="Times New Roman" w:hAnsi="Times New Roman" w:cs="Times New Roman"/>
          <w:sz w:val="20"/>
          <w:szCs w:val="20"/>
        </w:rPr>
        <w:t xml:space="preserve">6. Segers et al. [113] recently reported three live births after ovarian tissue oocyte IVM, intra-cytoplasmic sperm injection (ICSI) and embryo transfer among patients who underwent unilateral oophorectomy for ovarian tissue cryopreservation.</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113. Segers I, Bardhi E, Mateizel I, et al. Live births following fertility preservation using in-vitro maturation of ovarian tissue oocytes. Hum Reprod. 2020;35:2026–2036. doi: 10.1093/humrep/deaa175. </w:t>
      </w:r>
      <w:hyperlink r:id="rId67" w:history="1">
        <w:r>
          <w:rPr>
            <w:rStyle w:val="Hyperlink"/>
            <w:rFonts w:ascii="Times New Roman" w:hAnsi="Times New Roman" w:cs="Times New Roman"/>
            <w:color w:val="0563C1"/>
            <w:u w:val="single"/>
            <w:sz w:val="20"/>
            <w:szCs w:val="20"/>
          </w:rPr>
          <w:t xml:space="preserve">https://doi.org/10.1093/humrep/deaa175</w:t>
        </w:r>
      </w:hyperlink>
    </w:p>
    <w:p>
      <w:pPr>
        <w:spacing w:before="0" w:after="20" w:line="276" w:lineRule="auto"/>
      </w:pPr>
      <w:r>
        <w:rPr>
          <w:rFonts w:ascii="Times New Roman" w:hAnsi="Times New Roman" w:cs="Times New Roman"/>
          <w:sz w:val="20"/>
          <w:szCs w:val="20"/>
        </w:rPr>
        <w:t xml:space="preserve">7. Several studies have indicated that vitrified-warmed IVM oocytes exhibit reduced survival rates and less favourable embryological as well as clinical outcomes compared with fresh IVM oocytes [108, 115].</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108. Son WY, Henderson S, Cohen Y, Dahan M, Buckett W. Immature oocyte for fertility preservation. Front Endocrinol (Lausanne) 2019;10:464. doi: 10.3389/fendo.2019.00464. </w:t>
      </w:r>
      <w:hyperlink r:id="rId68" w:history="1">
        <w:r>
          <w:rPr>
            <w:rStyle w:val="Hyperlink"/>
            <w:rFonts w:ascii="Times New Roman" w:hAnsi="Times New Roman" w:cs="Times New Roman"/>
            <w:color w:val="0563C1"/>
            <w:u w:val="single"/>
            <w:sz w:val="20"/>
            <w:szCs w:val="20"/>
          </w:rPr>
          <w:t xml:space="preserve">https://doi.org/10.3389/fendo.2019.00464</w:t>
        </w:r>
      </w:hyperlink>
      <w:r>
        <w:rPr>
          <w:rFonts w:ascii="Times New Roman" w:hAnsi="Times New Roman" w:cs="Times New Roman"/>
          <w:sz w:val="20"/>
          <w:szCs w:val="20"/>
        </w:rPr>
        <w:t xml:space="preserve">; </w:t>
      </w:r>
      <w:r>
        <w:rPr>
          <w:rFonts w:ascii="Times New Roman" w:hAnsi="Times New Roman" w:cs="Times New Roman"/>
          <w:sz w:val="20"/>
          <w:szCs w:val="20"/>
        </w:rPr>
        <w:t xml:space="preserve">115. Cohen Y, St-Onge-St-Hilaire A, Tannus S, Younes G, Dahan MH, Buckett W, Son WY. Decreased pregnancy and live birth rates after vitrification of in vitro matured oocytes. J Assist Reprod Genet. 2018;35:1683–1689. doi: 10.1007/s10815-018-1216-3. </w:t>
      </w:r>
      <w:hyperlink r:id="rId69" w:history="1">
        <w:r>
          <w:rPr>
            <w:rStyle w:val="Hyperlink"/>
            <w:rFonts w:ascii="Times New Roman" w:hAnsi="Times New Roman" w:cs="Times New Roman"/>
            <w:color w:val="0563C1"/>
            <w:u w:val="single"/>
            <w:sz w:val="20"/>
            <w:szCs w:val="20"/>
          </w:rPr>
          <w:t xml:space="preserve">https://doi.org/10.1007/s10815-018-1216-3</w:t>
        </w:r>
      </w:hyperlink>
    </w:p>
    <w:p>
      <w:pPr>
        <w:spacing w:before="160" w:after="40" w:line="276" w:lineRule="auto"/>
      </w:pPr>
      <w:r>
        <w:rPr>
          <w:rFonts w:ascii="Times New Roman" w:hAnsi="Times New Roman" w:cs="Times New Roman"/>
          <w:b/>
          <w:sz w:val="24"/>
          <w:szCs w:val="24"/>
        </w:rPr>
        <w:t xml:space="preserve">Как сделать natural cycle IVF/IVM</w:t>
      </w:r>
    </w:p>
    <w:p>
      <w:pPr>
        <w:spacing w:before="0" w:after="80" w:line="276" w:lineRule="auto"/>
      </w:pPr>
      <w:r>
        <w:rPr>
          <w:rFonts w:ascii="Times New Roman" w:hAnsi="Times New Roman" w:cs="Times New Roman"/>
          <w:sz w:val="22"/>
          <w:szCs w:val="22"/>
        </w:rPr>
        <w:t xml:space="preserve">Вводят 10 000 МЕ ХГЧ, когда доминантный фолликул больше 12 мм, и доводят также ооциты из меньших фолликулов. Сравнивают фолликулы до 10 мм и больше 11 мм.</w:t>
      </w:r>
    </w:p>
    <w:p>
      <w:pPr>
        <w:spacing w:before="0" w:after="20" w:line="276" w:lineRule="auto"/>
      </w:pPr>
      <w:r>
        <w:rPr>
          <w:rFonts w:ascii="Times New Roman" w:hAnsi="Times New Roman" w:cs="Times New Roman"/>
          <w:sz w:val="20"/>
          <w:szCs w:val="20"/>
        </w:rPr>
        <w:t xml:space="preserve">1. Son et al. [122] reported the results from natural cycle IVF/IVM cycles using an hCG trigger of 10,000 IU, when the diameter of the dominant follicle was over 12 mm.</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122. Son WY, Chung JT, Das M, Buckett W, Demirtas E, Holzer H. Fertilization, embryo development, and clinical outcome of immature oocytes obtained from natural cycle in vitro fertilization. J Assist Reprod Genet. 2013;30:43–47. doi: 10.1007/s10815-012-9889-5. </w:t>
      </w:r>
      <w:hyperlink r:id="rId70" w:history="1">
        <w:r>
          <w:rPr>
            <w:rStyle w:val="Hyperlink"/>
            <w:rFonts w:ascii="Times New Roman" w:hAnsi="Times New Roman" w:cs="Times New Roman"/>
            <w:color w:val="0563C1"/>
            <w:u w:val="single"/>
            <w:sz w:val="20"/>
            <w:szCs w:val="20"/>
          </w:rPr>
          <w:t xml:space="preserve">https://doi.org/10.1007/s10815-012-9889-5</w:t>
        </w:r>
      </w:hyperlink>
    </w:p>
    <w:p>
      <w:pPr>
        <w:spacing w:before="0" w:after="20" w:line="276" w:lineRule="auto"/>
      </w:pPr>
      <w:r>
        <w:rPr>
          <w:rFonts w:ascii="Times New Roman" w:hAnsi="Times New Roman" w:cs="Times New Roman"/>
          <w:sz w:val="20"/>
          <w:szCs w:val="20"/>
        </w:rPr>
        <w:t xml:space="preserve">2. Similarly, a recent study on natural cycle IVF/IVM concluded that a significant portion of the COCs from subordinate follicles have the capacity to develop into normal embryos.</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3. The outcome was not influenced by the retrievalof a dominant follicle (12–14 mm diameter) and the developmental and implantation potential of immature oocytes retrieved from the smaller follicles were not affected [123].</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123. Li JH, Sun TC, Zhang SW, Jiao TT, Cheng YB, Dong P, Chian RC, Xu Y. Effect of dominant follicle status at the time of retrieval on the clinical outcomes in natural cycle IVF combined with immature oocyte treatment. Aging (Albany NY) 2022;14:4728–4738. doi: 10.18632/aging.204106. </w:t>
      </w:r>
      <w:hyperlink r:id="rId71" w:history="1">
        <w:r>
          <w:rPr>
            <w:rStyle w:val="Hyperlink"/>
            <w:rFonts w:ascii="Times New Roman" w:hAnsi="Times New Roman" w:cs="Times New Roman"/>
            <w:color w:val="0563C1"/>
            <w:u w:val="single"/>
            <w:sz w:val="20"/>
            <w:szCs w:val="20"/>
          </w:rPr>
          <w:t xml:space="preserve">https://doi.org/10.18632/aging.204106</w:t>
        </w:r>
      </w:hyperlink>
    </w:p>
    <w:p>
      <w:pPr>
        <w:spacing w:before="0" w:after="20" w:line="276" w:lineRule="auto"/>
      </w:pPr>
      <w:r>
        <w:rPr>
          <w:rFonts w:ascii="Times New Roman" w:hAnsi="Times New Roman" w:cs="Times New Roman"/>
          <w:sz w:val="20"/>
          <w:szCs w:val="20"/>
        </w:rPr>
        <w:t xml:space="preserve">4. In a retrospective cohort study of 1,072 patients, Teramoto et al. [124] compared the efficacy and safety of blastocyst transfers derived from small follicles (≤ 10 mm) and large follicles (&gt; 11 mm).</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124. Teramoto S, Osada H, Sato Y, Shozu M. Pregnancy and neonatal outcomes of small follicle-derived blastocyst transfer in modified natural cycle in vitro fertilization. Fertil Steril. 2019;111:747–752. doi: 10.1016/j.fertnstert.2018.11.038. </w:t>
      </w:r>
      <w:hyperlink r:id="rId72" w:history="1">
        <w:r>
          <w:rPr>
            <w:rStyle w:val="Hyperlink"/>
            <w:rFonts w:ascii="Times New Roman" w:hAnsi="Times New Roman" w:cs="Times New Roman"/>
            <w:color w:val="0563C1"/>
            <w:u w:val="single"/>
            <w:sz w:val="20"/>
            <w:szCs w:val="20"/>
          </w:rPr>
          <w:t xml:space="preserve">https://doi.org/10.1016/j.fertnstert.2018.11.038</w:t>
        </w:r>
      </w:hyperlink>
    </w:p>
    <w:p>
      <w:pPr>
        <w:spacing w:before="160" w:after="40" w:line="276" w:lineRule="auto"/>
      </w:pPr>
      <w:r>
        <w:rPr>
          <w:rFonts w:ascii="Times New Roman" w:hAnsi="Times New Roman" w:cs="Times New Roman"/>
          <w:b/>
          <w:sz w:val="24"/>
          <w:szCs w:val="24"/>
        </w:rPr>
        <w:t xml:space="preserve">Как сделать IVM у бедных ответчиц</w:t>
      </w:r>
    </w:p>
    <w:p>
      <w:pPr>
        <w:spacing w:before="0" w:after="80" w:line="276" w:lineRule="auto"/>
      </w:pPr>
      <w:r>
        <w:rPr>
          <w:rFonts w:ascii="Times New Roman" w:hAnsi="Times New Roman" w:cs="Times New Roman"/>
          <w:sz w:val="22"/>
          <w:szCs w:val="22"/>
        </w:rPr>
        <w:t xml:space="preserve">Если зрелых MII меньше пяти и есть хотя бы один незрелый, его оставляют в культуре до спонтанного созревания и делают ИКСИ.</w:t>
      </w:r>
    </w:p>
    <w:p>
      <w:pPr>
        <w:spacing w:before="0" w:after="20" w:line="276" w:lineRule="auto"/>
      </w:pPr>
      <w:r>
        <w:rPr>
          <w:rFonts w:ascii="Times New Roman" w:hAnsi="Times New Roman" w:cs="Times New Roman"/>
          <w:sz w:val="20"/>
          <w:szCs w:val="20"/>
        </w:rPr>
        <w:t xml:space="preserve">1. In another study which included 440 poor responder patients, undergoing ICSI cycles in which fewer than five MII oocytes and at least one immature oocyte was retrieved, patients were divided into two groups based on the injected oocytes' nuclear maturation status.</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2. The group where only embryos derived from mature oocytes were injected were compared with cycles in which least one immature oocyte remained in culture for spontaneous maturation and ICSI.</w:t>
      </w:r>
    </w:p>
    <w:p>
      <w:pPr>
        <w:spacing w:before="0" w:after="80" w:line="276" w:lineRule="auto"/>
      </w:pPr>
      <w:r>
        <w:rPr>
          <w:rFonts w:ascii="Times New Roman" w:hAnsi="Times New Roman" w:cs="Times New Roman"/>
          <w:sz w:val="18"/>
          <w:szCs w:val="18"/>
        </w:rPr>
        <w:t xml:space="preserve">Ссылки: —</w:t>
      </w:r>
    </w:p>
    <w:p>
      <w:pPr>
        <w:spacing w:before="160" w:after="40" w:line="276" w:lineRule="auto"/>
      </w:pPr>
      <w:r>
        <w:rPr>
          <w:rFonts w:ascii="Times New Roman" w:hAnsi="Times New Roman" w:cs="Times New Roman"/>
          <w:b/>
          <w:sz w:val="24"/>
          <w:szCs w:val="24"/>
        </w:rPr>
        <w:t xml:space="preserve">Как сделать витрификацию ооцитов после IVM</w:t>
      </w:r>
    </w:p>
    <w:p>
      <w:pPr>
        <w:spacing w:before="0" w:after="80" w:line="276" w:lineRule="auto"/>
      </w:pPr>
      <w:r>
        <w:rPr>
          <w:rFonts w:ascii="Times New Roman" w:hAnsi="Times New Roman" w:cs="Times New Roman"/>
          <w:sz w:val="22"/>
          <w:szCs w:val="22"/>
        </w:rPr>
        <w:t xml:space="preserve">Cohen и соавторы описывают пять живорождений после витрификации и отогрева ооцитов, созревших in vitro, у женщин со СПКЯ.</w:t>
      </w:r>
    </w:p>
    <w:p>
      <w:pPr>
        <w:spacing w:before="0" w:after="20" w:line="276" w:lineRule="auto"/>
      </w:pPr>
      <w:r>
        <w:rPr>
          <w:rFonts w:ascii="Times New Roman" w:hAnsi="Times New Roman" w:cs="Times New Roman"/>
          <w:sz w:val="20"/>
          <w:szCs w:val="20"/>
        </w:rPr>
        <w:t xml:space="preserve">1. Cohen et al. [115] reported five live births after vitrification and warming of oocytes matured in vitro in women diagnosed with polycystic ovary syndrome.</w:t>
      </w:r>
    </w:p>
    <w:p>
      <w:pPr>
        <w:spacing w:before="0" w:after="80" w:line="240" w:lineRule="auto"/>
        <w:ind w:left="360"/>
      </w:pPr>
      <w:r>
        <w:rPr>
          <w:rFonts w:ascii="Times New Roman" w:hAnsi="Times New Roman" w:cs="Times New Roman"/>
          <w:sz w:val="20"/>
          <w:szCs w:val="20"/>
        </w:rPr>
        <w:t xml:space="preserve">Ссылки: </w:t>
      </w:r>
      <w:r>
        <w:rPr>
          <w:rFonts w:ascii="Times New Roman" w:hAnsi="Times New Roman" w:cs="Times New Roman"/>
          <w:sz w:val="20"/>
          <w:szCs w:val="20"/>
        </w:rPr>
        <w:t xml:space="preserve">115. Cohen Y, St-Onge-St-Hilaire A, Tannus S, Younes G, Dahan MH, Buckett W, Son WY. Decreased pregnancy and live birth rates after vitrification of in vitro matured oocytes. J Assist Reprod Genet. 2018;35:1683–1689. doi: 10.1007/s10815-018-1216-3. </w:t>
      </w:r>
      <w:hyperlink r:id="rId69" w:history="1">
        <w:r>
          <w:rPr>
            <w:rStyle w:val="Hyperlink"/>
            <w:rFonts w:ascii="Times New Roman" w:hAnsi="Times New Roman" w:cs="Times New Roman"/>
            <w:color w:val="0563C1"/>
            <w:u w:val="single"/>
            <w:sz w:val="20"/>
            <w:szCs w:val="20"/>
          </w:rPr>
          <w:t xml:space="preserve">https://doi.org/10.1007/s10815-018-1216-3</w:t>
        </w:r>
      </w:hyperlink>
    </w:p>
    <w:p>
      <w:pPr>
        <w:spacing w:before="160" w:after="40" w:line="276" w:lineRule="auto"/>
      </w:pPr>
      <w:r>
        <w:rPr>
          <w:rFonts w:ascii="Times New Roman" w:hAnsi="Times New Roman" w:cs="Times New Roman"/>
          <w:b/>
          <w:sz w:val="24"/>
          <w:szCs w:val="24"/>
        </w:rPr>
        <w:t xml:space="preserve">Как сделать поиск незрелых комплексов</w:t>
      </w:r>
    </w:p>
    <w:p>
      <w:pPr>
        <w:spacing w:before="0" w:after="80" w:line="276" w:lineRule="auto"/>
      </w:pPr>
      <w:r>
        <w:rPr>
          <w:rFonts w:ascii="Times New Roman" w:hAnsi="Times New Roman" w:cs="Times New Roman"/>
          <w:sz w:val="22"/>
          <w:szCs w:val="22"/>
        </w:rPr>
        <w:t xml:space="preserve">В аспирате комплексы ищут дольше: кумулюс не расширен и по цвету похож на гранулёзу. Среду каждая лаборатория готовит сама.</w:t>
      </w:r>
    </w:p>
    <w:p>
      <w:pPr>
        <w:spacing w:before="0" w:after="20" w:line="276" w:lineRule="auto"/>
      </w:pPr>
      <w:r>
        <w:rPr>
          <w:rFonts w:ascii="Times New Roman" w:hAnsi="Times New Roman" w:cs="Times New Roman"/>
          <w:sz w:val="20"/>
          <w:szCs w:val="20"/>
        </w:rPr>
        <w:t xml:space="preserve">1. Furthermore, various pre-treatment methods, such as FSH- or hCG-priming before oocyte retrieval, have been employed.</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2. Identifying COCs in follicular aspirates at the time of collection takes more time since immature oocytes lack the typical expanded CCs observed in IVF cycles (Fig. 1A).</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3. Additionally, COCs have a similar colour to granulosa cells, making it more challenging to distinguish immature oocytes from other cell types in the follicular fluid.</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4. As a result, each laboratory must prepare its own culture medium, leading to variations in the composition of the medium between different laboratories.</w:t>
      </w:r>
    </w:p>
    <w:p>
      <w:pPr>
        <w:spacing w:before="0" w:after="80" w:line="276" w:lineRule="auto"/>
      </w:pPr>
      <w:r>
        <w:rPr>
          <w:rFonts w:ascii="Times New Roman" w:hAnsi="Times New Roman" w:cs="Times New Roman"/>
          <w:sz w:val="18"/>
          <w:szCs w:val="18"/>
        </w:rPr>
        <w:t xml:space="preserve">Ссылки: —</w:t>
      </w:r>
    </w:p>
    <w:p>
      <w:pPr>
        <w:spacing w:before="0" w:after="20" w:line="276" w:lineRule="auto"/>
      </w:pPr>
      <w:r>
        <w:rPr>
          <w:rFonts w:ascii="Times New Roman" w:hAnsi="Times New Roman" w:cs="Times New Roman"/>
          <w:sz w:val="20"/>
          <w:szCs w:val="20"/>
        </w:rPr>
        <w:t xml:space="preserve">5. These factors encompass the composition of the culture medium, the timing and duration of culture, as well as the presence of supportive factors.</w:t>
      </w:r>
    </w:p>
    <w:p>
      <w:pPr>
        <w:spacing w:before="0" w:after="80" w:line="276" w:lineRule="auto"/>
      </w:pPr>
      <w:r>
        <w:rPr>
          <w:rFonts w:ascii="Times New Roman" w:hAnsi="Times New Roman" w:cs="Times New Roman"/>
          <w:sz w:val="18"/>
          <w:szCs w:val="18"/>
        </w:rPr>
        <w:t xml:space="preserve">Ссылки: —</w:t>
      </w:r>
    </w:p>
    <w:sectPr>
      <w:pgSz w:w="16838" w:h="11906" w:orient="landscape"/>
      <w:pgMar w:top="851" w:right="851" w:bottom="851" w:left="851" w:header="400" w:footer="400" w:gutter="0"/>
    </w:sectPr>
  </w:body>
</w:document>
</file>

<file path=word/styles.xml><?xml version="1.0" encoding="utf-8"?>
<w:styles xmlns:w="http://schemas.openxmlformats.org/wordprocessingml/2006/main">
  <w:style w:type="paragraph" w:default="1" w:styleId="Normal">
    <w:name w:val="Normal"/>
    <w:qFormat/>
    <w:rPr>
      <w:rFonts w:ascii="Times New Roman" w:hAnsi="Times New Roman" w:cs="Times New Roman"/>
      <w:sz w:val="22"/>
      <w:szCs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016/S0015-0282(16)54068-0" TargetMode="External"/><Relationship Id="rId3" Type="http://schemas.openxmlformats.org/officeDocument/2006/relationships/hyperlink" Target="https://doi.org/10.1016/j.bpobgyn.2018.06.004" TargetMode="External"/><Relationship Id="rId4" Type="http://schemas.openxmlformats.org/officeDocument/2006/relationships/hyperlink" Target="https://doi.org/10.1007/s00404-014-3371-9" TargetMode="External"/><Relationship Id="rId5" Type="http://schemas.openxmlformats.org/officeDocument/2006/relationships/hyperlink" Target="https://doi.org/10.1007/s10815-013-0079-x" TargetMode="External"/><Relationship Id="rId6" Type="http://schemas.openxmlformats.org/officeDocument/2006/relationships/hyperlink" Target="https://doi.org/10.1007/s10815-018-1317-z" TargetMode="External"/><Relationship Id="rId7" Type="http://schemas.openxmlformats.org/officeDocument/2006/relationships/hyperlink" Target="https://doi.org/10.1016/j.fertnstert.2020.11.018" TargetMode="External"/><Relationship Id="rId8" Type="http://schemas.openxmlformats.org/officeDocument/2006/relationships/hyperlink" Target="https://doi.org/10.1016/j.fertnstert.2012.06.055" TargetMode="External"/><Relationship Id="rId9" Type="http://schemas.openxmlformats.org/officeDocument/2006/relationships/hyperlink" Target="https://doi.org/10.1016/j.rbmo.2014.07.019" TargetMode="External"/><Relationship Id="rId10" Type="http://schemas.openxmlformats.org/officeDocument/2006/relationships/hyperlink" Target="https://doi.org/10.1007/s10815-019-01677-6" TargetMode="External"/><Relationship Id="rId11" Type="http://schemas.openxmlformats.org/officeDocument/2006/relationships/hyperlink" Target="https://doi.org/10.1016/j.fertnstert.2023.02.010" TargetMode="External"/><Relationship Id="rId12" Type="http://schemas.openxmlformats.org/officeDocument/2006/relationships/hyperlink" Target="https://doi.org/10.1242/dev.025494" TargetMode="External"/><Relationship Id="rId13" Type="http://schemas.openxmlformats.org/officeDocument/2006/relationships/hyperlink" Target="https://doi.org/10.1093/humupd/dmq014" TargetMode="External"/><Relationship Id="rId14" Type="http://schemas.openxmlformats.org/officeDocument/2006/relationships/hyperlink" Target="https://doi.org/10.1530/jrf.0.0950119" TargetMode="External"/><Relationship Id="rId15" Type="http://schemas.openxmlformats.org/officeDocument/2006/relationships/hyperlink" Target="https://doi.org/10.1095/biolreprod56.1.238" TargetMode="External"/><Relationship Id="rId16" Type="http://schemas.openxmlformats.org/officeDocument/2006/relationships/hyperlink" Target="https://doi.org/10.1007/s10815-021-02263-5" TargetMode="External"/><Relationship Id="rId17" Type="http://schemas.openxmlformats.org/officeDocument/2006/relationships/hyperlink" Target="https://doi.org/10.1093/humrep/13.11.3132" TargetMode="External"/><Relationship Id="rId18" Type="http://schemas.openxmlformats.org/officeDocument/2006/relationships/hyperlink" Target="https://doi.org/10.1016/S1472-6483(10)62160-8" TargetMode="External"/><Relationship Id="rId19" Type="http://schemas.openxmlformats.org/officeDocument/2006/relationships/hyperlink" Target="https://doi.org/10.1016/j.fertnstert.2011.07.1108" TargetMode="External"/><Relationship Id="rId20" Type="http://schemas.openxmlformats.org/officeDocument/2006/relationships/hyperlink" Target="https://doi.org/10.1016/S1472-6483(10)60168-X" TargetMode="External"/><Relationship Id="rId21" Type="http://schemas.openxmlformats.org/officeDocument/2006/relationships/hyperlink" Target="https://doi.org/10.1093/humrep/14.7.1847" TargetMode="External"/><Relationship Id="rId22" Type="http://schemas.openxmlformats.org/officeDocument/2006/relationships/hyperlink" Target="https://doi.org/10.1530/rep.0.1220587" TargetMode="External"/><Relationship Id="rId23" Type="http://schemas.openxmlformats.org/officeDocument/2006/relationships/hyperlink" Target="https://doi.org/10.1093/humrep/13.suppl_3.52" TargetMode="External"/><Relationship Id="rId24" Type="http://schemas.openxmlformats.org/officeDocument/2006/relationships/hyperlink" Target="https://doi.org/10.1016/S1472-6483(10)61438-1" TargetMode="External"/><Relationship Id="rId25" Type="http://schemas.openxmlformats.org/officeDocument/2006/relationships/hyperlink" Target="https://doi.org/10.1093/humrep/15.1.165" TargetMode="External"/><Relationship Id="rId26" Type="http://schemas.openxmlformats.org/officeDocument/2006/relationships/hyperlink" Target="https://doi.org/10.1093/humrep/deg335" TargetMode="External"/><Relationship Id="rId27" Type="http://schemas.openxmlformats.org/officeDocument/2006/relationships/hyperlink" Target="https://doi.org/10.1186/s13048-018-0445-5" TargetMode="External"/><Relationship Id="rId28" Type="http://schemas.openxmlformats.org/officeDocument/2006/relationships/hyperlink" Target="https://doi.org/10.1093/humrep/den332" TargetMode="External"/><Relationship Id="rId29" Type="http://schemas.openxmlformats.org/officeDocument/2006/relationships/hyperlink" Target="https://doi.org/10.1002/14651858.CD008720.pub2" TargetMode="External"/><Relationship Id="rId30" Type="http://schemas.openxmlformats.org/officeDocument/2006/relationships/hyperlink" Target="https://doi.org/10.1093/humrep/17.1.134" TargetMode="External"/><Relationship Id="rId31" Type="http://schemas.openxmlformats.org/officeDocument/2006/relationships/hyperlink" Target="https://doi.org/10.1093/humrep/dew109" TargetMode="External"/><Relationship Id="rId32" Type="http://schemas.openxmlformats.org/officeDocument/2006/relationships/hyperlink" Target="https://doi.org/10.1093/humrep/dew208" TargetMode="External"/><Relationship Id="rId33" Type="http://schemas.openxmlformats.org/officeDocument/2006/relationships/hyperlink" Target="https://doi.org/10.1093/humrep/13.suppl_3.63" TargetMode="External"/><Relationship Id="rId34" Type="http://schemas.openxmlformats.org/officeDocument/2006/relationships/hyperlink" Target="https://doi.org/10.1093/humrep/14.7.1864" TargetMode="External"/><Relationship Id="rId35" Type="http://schemas.openxmlformats.org/officeDocument/2006/relationships/hyperlink" Target="https://doi.org/10.1093/humrep/deh603" TargetMode="External"/><Relationship Id="rId36" Type="http://schemas.openxmlformats.org/officeDocument/2006/relationships/hyperlink" Target="https://doi.org/10.1093/humrep/den210" TargetMode="External"/><Relationship Id="rId37" Type="http://schemas.openxmlformats.org/officeDocument/2006/relationships/hyperlink" Target="https://doi.org/10.1016/j.fertnstert.2013.12.011" TargetMode="External"/><Relationship Id="rId38" Type="http://schemas.openxmlformats.org/officeDocument/2006/relationships/hyperlink" Target="https://doi.org/10.1016/j.ajog.2010.04.011" TargetMode="External"/><Relationship Id="rId39" Type="http://schemas.openxmlformats.org/officeDocument/2006/relationships/hyperlink" Target="https://doi.org/10.1016/j.fertnstert.2007.03.090" TargetMode="External"/><Relationship Id="rId40" Type="http://schemas.openxmlformats.org/officeDocument/2006/relationships/hyperlink" Target="https://doi.org/10.1095/biolreprod.105.040485" TargetMode="External"/><Relationship Id="rId41" Type="http://schemas.openxmlformats.org/officeDocument/2006/relationships/hyperlink" Target="https://doi.org/10.1095/biolreprod.114.118869" TargetMode="External"/><Relationship Id="rId42" Type="http://schemas.openxmlformats.org/officeDocument/2006/relationships/hyperlink" Target="https://doi.org/10.1007/s10815-019-01551-5" TargetMode="External"/><Relationship Id="rId43" Type="http://schemas.openxmlformats.org/officeDocument/2006/relationships/hyperlink" Target="https://doi.org/10.1093/humrep/deaa240" TargetMode="External"/><Relationship Id="rId44" Type="http://schemas.openxmlformats.org/officeDocument/2006/relationships/hyperlink" Target="https://doi.org/10.1177/1933719114542027" TargetMode="External"/><Relationship Id="rId45" Type="http://schemas.openxmlformats.org/officeDocument/2006/relationships/hyperlink" Target="https://doi.org/10.1016/S1472-6483(10)60582-2" TargetMode="External"/><Relationship Id="rId46" Type="http://schemas.openxmlformats.org/officeDocument/2006/relationships/hyperlink" Target="https://doi.org/10.1093/humrep/15.5.1140" TargetMode="External"/><Relationship Id="rId47" Type="http://schemas.openxmlformats.org/officeDocument/2006/relationships/hyperlink" Target="https://doi.org/10.1007/BF02766110" TargetMode="External"/><Relationship Id="rId48" Type="http://schemas.openxmlformats.org/officeDocument/2006/relationships/hyperlink" Target="https://doi.org/10.1093/humrep/deg422" TargetMode="External"/><Relationship Id="rId49" Type="http://schemas.openxmlformats.org/officeDocument/2006/relationships/hyperlink" Target="https://doi.org/10.4103/jhrs.JHRS_1_20" TargetMode="External"/><Relationship Id="rId50" Type="http://schemas.openxmlformats.org/officeDocument/2006/relationships/hyperlink" Target="https://doi.org/10.1016/j.fertnstert.2007.02.021" TargetMode="External"/><Relationship Id="rId51" Type="http://schemas.openxmlformats.org/officeDocument/2006/relationships/hyperlink" Target="https://doi.org/10.1016/j.fertnstert.2023.01.027" TargetMode="External"/><Relationship Id="rId52" Type="http://schemas.openxmlformats.org/officeDocument/2006/relationships/hyperlink" Target="https://doi.org/10.1016/S0015-0282(16)56891-5" TargetMode="External"/><Relationship Id="rId53" Type="http://schemas.openxmlformats.org/officeDocument/2006/relationships/hyperlink" Target="https://doi.org/10.1016/S0015-0282(16)58696-8" TargetMode="External"/><Relationship Id="rId54" Type="http://schemas.openxmlformats.org/officeDocument/2006/relationships/hyperlink" Target="https://doi.org/10.1093/humrep/dem124" TargetMode="External"/><Relationship Id="rId55" Type="http://schemas.openxmlformats.org/officeDocument/2006/relationships/hyperlink" Target="https://doi.org/10.1016/S0015-0282(16)58285-5" TargetMode="External"/><Relationship Id="rId56" Type="http://schemas.openxmlformats.org/officeDocument/2006/relationships/hyperlink" Target="https://doi.org/10.1023/A:1009450014064" TargetMode="External"/><Relationship Id="rId57" Type="http://schemas.openxmlformats.org/officeDocument/2006/relationships/hyperlink" Target="https://doi.org/10.1016/j.rbmo.2012.08.001" TargetMode="External"/><Relationship Id="rId58" Type="http://schemas.openxmlformats.org/officeDocument/2006/relationships/hyperlink" Target="https://doi.org/10.1016/j.fertnstert.2009.01.070" TargetMode="External"/><Relationship Id="rId59" Type="http://schemas.openxmlformats.org/officeDocument/2006/relationships/hyperlink" Target="https://doi.org/10.1016/j.fertnstert.2007.01.018" TargetMode="External"/><Relationship Id="rId60" Type="http://schemas.openxmlformats.org/officeDocument/2006/relationships/hyperlink" Target="https://doi.org/10.1093/humrep/deu248" TargetMode="External"/><Relationship Id="rId61" Type="http://schemas.openxmlformats.org/officeDocument/2006/relationships/hyperlink" Target="https://doi.org/10.1016/j.fertnstert.2008.07.1750" TargetMode="External"/><Relationship Id="rId62" Type="http://schemas.openxmlformats.org/officeDocument/2006/relationships/hyperlink" Target="https://doi.org/10.1016/j.fertnstert.2013.06.018" TargetMode="External"/><Relationship Id="rId63" Type="http://schemas.openxmlformats.org/officeDocument/2006/relationships/hyperlink" Target="https://doi.org/10.1093/humrep/dev325" TargetMode="External"/><Relationship Id="rId64" Type="http://schemas.openxmlformats.org/officeDocument/2006/relationships/hyperlink" Target="https://doi.org/10.1016/j.fertnstert.2016.09.041" TargetMode="External"/><Relationship Id="rId65" Type="http://schemas.openxmlformats.org/officeDocument/2006/relationships/hyperlink" Target="https://doi.org/10.1093/humrep/dew102" TargetMode="External"/><Relationship Id="rId66" Type="http://schemas.openxmlformats.org/officeDocument/2006/relationships/hyperlink" Target="https://doi.org/10.1038/s41598-020-75699-x" TargetMode="External"/><Relationship Id="rId67" Type="http://schemas.openxmlformats.org/officeDocument/2006/relationships/hyperlink" Target="https://doi.org/10.1093/humrep/deaa175" TargetMode="External"/><Relationship Id="rId68" Type="http://schemas.openxmlformats.org/officeDocument/2006/relationships/hyperlink" Target="https://doi.org/10.3389/fendo.2019.00464" TargetMode="External"/><Relationship Id="rId69" Type="http://schemas.openxmlformats.org/officeDocument/2006/relationships/hyperlink" Target="https://doi.org/10.1007/s10815-018-1216-3" TargetMode="External"/><Relationship Id="rId70" Type="http://schemas.openxmlformats.org/officeDocument/2006/relationships/hyperlink" Target="https://doi.org/10.1007/s10815-012-9889-5" TargetMode="External"/><Relationship Id="rId71" Type="http://schemas.openxmlformats.org/officeDocument/2006/relationships/hyperlink" Target="https://doi.org/10.18632/aging.204106" TargetMode="External"/><Relationship Id="rId72" Type="http://schemas.openxmlformats.org/officeDocument/2006/relationships/hyperlink" Target="https://doi.org/10.1016/j.fertnstert.2018.11.038" TargetMode="External"/></Relationships>
</file>