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jc w:val="center"/>
        <w:spacing w:before="0" w:after="80" w:line="276" w:lineRule="auto"/>
      </w:pPr>
      <w:r>
        <w:rPr>
          <w:rFonts w:ascii="Times New Roman" w:hAnsi="Times New Roman" w:cs="Times New Roman"/>
          <w:b/>
          <w:sz w:val="32"/>
          <w:szCs w:val="32"/>
        </w:rPr>
        <w:t xml:space="preserve">Прозектор: Development of human induced pluripotent stem cell-derived ovarian support cells as a clinical-grade product for in vitro fertilization</w:t>
      </w:r>
    </w:p>
    <w:p>
      <w:pPr>
        <w:spacing w:before="0" w:after="40" w:line="276" w:lineRule="auto"/>
      </w:pPr>
      <w:r>
        <w:rPr>
          <w:rFonts w:ascii="Times New Roman" w:hAnsi="Times New Roman" w:cs="Times New Roman"/>
          <w:sz w:val="22"/>
          <w:szCs w:val="22"/>
        </w:rPr>
        <w:t xml:space="preserve">Цитаты дословные и на языке статьи. Английский не переводится.</w:t>
      </w:r>
    </w:p>
    <w:p>
      <w:pPr>
        <w:spacing w:before="0" w:after="160" w:line="276" w:lineRule="auto"/>
      </w:pPr>
      <w:r>
        <w:rPr>
          <w:rFonts w:ascii="Times New Roman" w:hAnsi="Times New Roman" w:cs="Times New Roman"/>
          <w:sz w:val="22"/>
          <w:szCs w:val="22"/>
        </w:rPr>
        <w:t xml:space="preserve">В столбце «Ссылки» стоят пункты списка литературы этой статьи, на которые опирается фраза.</w:t>
      </w:r>
    </w:p>
    <w:p>
      <w:pPr>
        <w:spacing w:before="0" w:after="40" w:line="276" w:lineRule="auto"/>
      </w:pPr>
      <w:r>
        <w:rPr>
          <w:rFonts w:ascii="Times New Roman" w:hAnsi="Times New Roman" w:cs="Times New Roman"/>
          <w:sz w:val="22"/>
          <w:szCs w:val="22"/>
        </w:rPr>
        <w:t xml:space="preserve">Авторы: Paulsen B, Barrachina F, Piechota S, Noblett AD, Johnson M, Kats S, Lew C, Marchante M, Figueroa AB, Garcia Granada I, Ingalls Lopez E, Martinez E, Ricra P, Carlos C, Meza J, Montanchez W, Pino P, Reategui C, Noriega E, Elias A, Noriega-Portella L, Haddad G, Radenkovic D, Moran E, Villanueva P, Guiterrez J, Guzman L, Bortolleto P, Albertini DF, De Vos M, Kramme CC</w:t>
      </w:r>
    </w:p>
    <w:p>
      <w:pPr>
        <w:spacing w:before="0" w:after="40" w:line="276" w:lineRule="auto"/>
      </w:pPr>
      <w:r>
        <w:rPr>
          <w:rFonts w:ascii="Times New Roman" w:hAnsi="Times New Roman" w:cs="Times New Roman"/>
          <w:sz w:val="22"/>
          <w:szCs w:val="22"/>
        </w:rPr>
        <w:t xml:space="preserve">Год: 2026</w:t>
      </w:r>
    </w:p>
    <w:p>
      <w:pPr>
        <w:spacing w:before="0" w:after="40" w:line="276" w:lineRule="auto"/>
      </w:pPr>
      <w:r>
        <w:rPr>
          <w:rFonts w:ascii="Times New Roman" w:hAnsi="Times New Roman" w:cs="Times New Roman"/>
          <w:sz w:val="22"/>
          <w:szCs w:val="22"/>
        </w:rPr>
        <w:t xml:space="preserve">DOI: 10.1016/j.stem.2025.12.020</w:t>
      </w:r>
    </w:p>
    <w:p>
      <w:pPr>
        <w:spacing w:before="0" w:after="40" w:line="276" w:lineRule="auto"/>
      </w:pPr>
      <w:r>
        <w:rPr>
          <w:rFonts w:ascii="Times New Roman" w:hAnsi="Times New Roman" w:cs="Times New Roman"/>
          <w:sz w:val="22"/>
          <w:szCs w:val="22"/>
        </w:rPr>
        <w:t xml:space="preserve">Источник: PIIS1934590925004540.pdf</w:t>
      </w:r>
    </w:p>
    <w:p>
      <w:pPr>
        <w:spacing w:before="0" w:after="40" w:line="276" w:lineRule="auto"/>
      </w:pPr>
      <w:r>
        <w:rPr>
          <w:rFonts w:ascii="Times New Roman" w:hAnsi="Times New Roman" w:cs="Times New Roman"/>
          <w:sz w:val="22"/>
          <w:szCs w:val="22"/>
        </w:rPr>
        <w:t xml:space="preserve">Язык цитат: английский</w:t>
      </w:r>
    </w:p>
    <w:p>
      <w:pPr>
        <w:spacing w:before="0" w:after="40" w:line="276" w:lineRule="auto"/>
      </w:pPr>
      <w:r>
        <w:rPr>
          <w:rFonts w:ascii="Times New Roman" w:hAnsi="Times New Roman" w:cs="Times New Roman"/>
          <w:sz w:val="22"/>
          <w:szCs w:val="22"/>
        </w:rPr>
        <w:t xml:space="preserve">Охват: полный текст</w:t>
      </w:r>
    </w:p>
    <w:p>
      <w:pPr>
        <w:spacing w:before="0" w:after="200" w:line="276" w:lineRule="auto"/>
      </w:pPr>
      <w:r>
        <w:rPr>
          <w:rFonts w:ascii="Times New Roman" w:hAnsi="Times New Roman" w:cs="Times New Roman"/>
          <w:sz w:val="22"/>
          <w:szCs w:val="22"/>
        </w:rPr>
        <w:t xml:space="preserve">Прочитано предложений: 635</w:t>
      </w:r>
    </w:p>
    <w:p>
      <w:pPr>
        <w:spacing w:before="240" w:after="60" w:line="276" w:lineRule="auto"/>
      </w:pPr>
      <w:r>
        <w:rPr>
          <w:rFonts w:ascii="Times New Roman" w:hAnsi="Times New Roman" w:cs="Times New Roman"/>
          <w:b/>
          <w:sz w:val="28"/>
          <w:szCs w:val="28"/>
        </w:rPr>
        <w:t xml:space="preserve">Структура эксперимента</w:t>
      </w:r>
    </w:p>
    <w:p>
      <w:pPr>
        <w:spacing w:before="0" w:after="80" w:line="276" w:lineRule="auto"/>
      </w:pPr>
      <w:r>
        <w:rPr>
          <w:rFonts w:ascii="Times New Roman" w:hAnsi="Times New Roman" w:cs="Times New Roman"/>
          <w:i/>
          <w:sz w:val="22"/>
          <w:szCs w:val="22"/>
        </w:rPr>
        <w:t xml:space="preserve">Как авторы устроили свою работу: дизайн, кто вошёл, группы, какие исходы заданы, чем сравнивали на уровне плана.</w:t>
      </w:r>
    </w:p>
    <w:tbl>
      <w:tblPr>
        <w:tblW w:w="15136" w:type="dxa"/>
        <w:tblLayout w:type="fixed"/>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top w:w="40" w:type="dxa"/>
          <w:left w:w="80" w:type="dxa"/>
          <w:bottom w:w="40" w:type="dxa"/>
          <w:right w:w="80" w:type="dxa"/>
        </w:tblCellMar>
      </w:tblPr>
      <w:tblGrid>
        <w:gridCol w:w="700"/>
        <w:gridCol w:w="2200"/>
        <w:gridCol w:w="7200"/>
        <w:gridCol w:w="5036"/>
      </w:tblGrid>
      <w:tr>
        <w:trPr>
          <w:tblHeader/>
        </w:trPr>
        <w:tc>
          <w:tcPr>
            <w:tcW w:w="700" w:type="dxa"/>
            <w:shd w:val="clear" w:color="auto" w:fill="1F4E79"/>
          </w:tcPr>
          <w:p>
            <w:pPr>
              <w:spacing w:before="20" w:after="20" w:line="240" w:lineRule="auto"/>
            </w:pPr>
            <w:r>
              <w:rPr>
                <w:rFonts w:ascii="Times New Roman" w:hAnsi="Times New Roman" w:cs="Times New Roman"/>
                <w:b/>
                <w:color w:val="FFFFFF"/>
                <w:sz w:val="20"/>
                <w:szCs w:val="20"/>
              </w:rPr>
              <w:t xml:space="preserve">#</w:t>
            </w:r>
          </w:p>
        </w:tc>
        <w:tc>
          <w:tcPr>
            <w:tcW w:w="2200" w:type="dxa"/>
            <w:shd w:val="clear" w:color="auto" w:fill="1F4E79"/>
          </w:tcPr>
          <w:p>
            <w:pPr>
              <w:spacing w:before="20" w:after="20" w:line="240" w:lineRule="auto"/>
            </w:pPr>
            <w:r>
              <w:rPr>
                <w:rFonts w:ascii="Times New Roman" w:hAnsi="Times New Roman" w:cs="Times New Roman"/>
                <w:b/>
                <w:color w:val="FFFFFF"/>
                <w:sz w:val="20"/>
                <w:szCs w:val="20"/>
              </w:rPr>
              <w:t xml:space="preserve">Раздел</w:t>
            </w:r>
          </w:p>
        </w:tc>
        <w:tc>
          <w:tcPr>
            <w:tcW w:w="7200" w:type="dxa"/>
            <w:shd w:val="clear" w:color="auto" w:fill="1F4E79"/>
          </w:tcPr>
          <w:p>
            <w:pPr>
              <w:spacing w:before="20" w:after="20" w:line="240" w:lineRule="auto"/>
            </w:pPr>
            <w:r>
              <w:rPr>
                <w:rFonts w:ascii="Times New Roman" w:hAnsi="Times New Roman" w:cs="Times New Roman"/>
                <w:b/>
                <w:color w:val="FFFFFF"/>
                <w:sz w:val="20"/>
                <w:szCs w:val="20"/>
              </w:rPr>
              <w:t xml:space="preserve">Цитата</w:t>
            </w:r>
          </w:p>
        </w:tc>
        <w:tc>
          <w:tcPr>
            <w:tcW w:w="5036" w:type="dxa"/>
            <w:shd w:val="clear" w:color="auto" w:fill="1F4E79"/>
          </w:tcPr>
          <w:p>
            <w:pPr>
              <w:spacing w:before="20" w:after="20" w:line="240" w:lineRule="auto"/>
            </w:pPr>
            <w:r>
              <w:rPr>
                <w:rFonts w:ascii="Times New Roman" w:hAnsi="Times New Roman" w:cs="Times New Roman"/>
                <w:b/>
                <w:color w:val="FFFFFF"/>
                <w:sz w:val="20"/>
                <w:szCs w:val="20"/>
              </w:rPr>
              <w:t xml:space="preserve">Ссылки</w:t>
            </w:r>
          </w:p>
        </w:tc>
      </w:tr>
      <w:tr>
        <w:tc>
          <w:tcPr>
            <w:tcW w:w="700" w:type="dxa"/>
          </w:tcPr>
          <w:p>
            <w:pPr>
              <w:spacing w:before="20" w:after="20" w:line="240" w:lineRule="auto"/>
            </w:pPr>
            <w:r>
              <w:rPr>
                <w:rFonts w:ascii="Times New Roman" w:hAnsi="Times New Roman" w:cs="Times New Roman"/>
                <w:sz w:val="20"/>
                <w:szCs w:val="20"/>
              </w:rPr>
              <w:t xml:space="preserve">1</w:t>
            </w:r>
          </w:p>
        </w:tc>
        <w:tc>
          <w:tcPr>
            <w:tcW w:w="2200" w:type="dxa"/>
          </w:tcPr>
          <w:p>
            <w:pPr>
              <w:spacing w:before="20" w:after="20" w:line="240" w:lineRule="auto"/>
            </w:pPr>
            <w:r>
              <w:rPr>
                <w:rFonts w:ascii="Times New Roman" w:hAnsi="Times New Roman" w:cs="Times New Roman"/>
                <w:sz w:val="20"/>
                <w:szCs w:val="20"/>
              </w:rPr>
              <w:t xml:space="preserve">Introduction</w:t>
            </w:r>
          </w:p>
        </w:tc>
        <w:tc>
          <w:tcPr>
            <w:tcW w:w="7200" w:type="dxa"/>
          </w:tcPr>
          <w:p>
            <w:pPr>
              <w:spacing w:before="20" w:after="20" w:line="240" w:lineRule="auto"/>
            </w:pPr>
            <w:r>
              <w:rPr>
                <w:rFonts w:ascii="Times New Roman" w:hAnsi="Times New Roman" w:cs="Times New Roman"/>
                <w:sz w:val="20"/>
                <w:szCs w:val="20"/>
              </w:rPr>
              <w:t xml:space="preserve">This study is the first to demonstrate the end-to-end manufacturing, product release, and application of a clinical product developed from hiPSCs.</w:t>
            </w:r>
          </w:p>
        </w:tc>
        <w:tc>
          <w:tcPr>
            <w:tcW w:w="5036" w:type="dxa"/>
          </w:tcPr>
          <w:p>
            <w:pPr>
              <w:spacing w:before="20" w:after="20" w:line="240" w:lineRule="auto"/>
            </w:pPr>
            <w:r>
              <w:rPr>
                <w:rFonts w:ascii="Times New Roman" w:hAnsi="Times New Roman" w:cs="Times New Roman"/>
                <w:sz w:val="20"/>
                <w:szCs w:val="20"/>
              </w:rPr>
              <w:t xml:space="preserve">—</w:t>
            </w:r>
          </w:p>
        </w:tc>
      </w:tr>
      <w:tr>
        <w:tc>
          <w:tcPr>
            <w:tcW w:w="700" w:type="dxa"/>
          </w:tcPr>
          <w:p>
            <w:pPr>
              <w:spacing w:before="20" w:after="20" w:line="240" w:lineRule="auto"/>
            </w:pPr>
            <w:r>
              <w:rPr>
                <w:rFonts w:ascii="Times New Roman" w:hAnsi="Times New Roman" w:cs="Times New Roman"/>
                <w:sz w:val="20"/>
                <w:szCs w:val="20"/>
              </w:rPr>
              <w:t xml:space="preserve">2</w:t>
            </w:r>
          </w:p>
        </w:tc>
        <w:tc>
          <w:tcPr>
            <w:tcW w:w="2200" w:type="dxa"/>
          </w:tcPr>
          <w:p>
            <w:pPr>
              <w:spacing w:before="20" w:after="20" w:line="240" w:lineRule="auto"/>
            </w:pPr>
            <w:r>
              <w:rPr>
                <w:rFonts w:ascii="Times New Roman" w:hAnsi="Times New Roman" w:cs="Times New Roman"/>
                <w:sz w:val="20"/>
                <w:szCs w:val="20"/>
              </w:rPr>
              <w:t xml:space="preserve">Results → Application of CG-OSCs significantly improves IVM outcomes</w:t>
            </w:r>
          </w:p>
        </w:tc>
        <w:tc>
          <w:tcPr>
            <w:tcW w:w="7200" w:type="dxa"/>
          </w:tcPr>
          <w:p>
            <w:pPr>
              <w:spacing w:before="20" w:after="20" w:line="240" w:lineRule="auto"/>
            </w:pPr>
            <w:r>
              <w:rPr>
                <w:rFonts w:ascii="Times New Roman" w:hAnsi="Times New Roman" w:cs="Times New Roman"/>
                <w:sz w:val="20"/>
                <w:szCs w:val="20"/>
              </w:rPr>
              <w:t xml:space="preserve">To evaluate the clinical outcomes of Fertilo in humans, a first-inhuman observational, longitudinal, cohort study was performed; this study enabled investigation of the safety and efficacy of Fertilo application.</w:t>
            </w:r>
          </w:p>
        </w:tc>
        <w:tc>
          <w:tcPr>
            <w:tcW w:w="5036" w:type="dxa"/>
          </w:tcPr>
          <w:p>
            <w:pPr>
              <w:spacing w:before="20" w:after="20" w:line="240" w:lineRule="auto"/>
            </w:pPr>
            <w:r>
              <w:rPr>
                <w:rFonts w:ascii="Times New Roman" w:hAnsi="Times New Roman" w:cs="Times New Roman"/>
                <w:sz w:val="20"/>
                <w:szCs w:val="20"/>
              </w:rPr>
              <w:t xml:space="preserve">—</w:t>
            </w:r>
          </w:p>
        </w:tc>
      </w:tr>
      <w:tr>
        <w:tc>
          <w:tcPr>
            <w:tcW w:w="700" w:type="dxa"/>
          </w:tcPr>
          <w:p>
            <w:pPr>
              <w:spacing w:before="20" w:after="20" w:line="240" w:lineRule="auto"/>
            </w:pPr>
            <w:r>
              <w:rPr>
                <w:rFonts w:ascii="Times New Roman" w:hAnsi="Times New Roman" w:cs="Times New Roman"/>
                <w:sz w:val="20"/>
                <w:szCs w:val="20"/>
              </w:rPr>
              <w:t xml:space="preserve">3</w:t>
            </w:r>
          </w:p>
        </w:tc>
        <w:tc>
          <w:tcPr>
            <w:tcW w:w="2200" w:type="dxa"/>
          </w:tcPr>
          <w:p>
            <w:pPr>
              <w:spacing w:before="20" w:after="20" w:line="240" w:lineRule="auto"/>
            </w:pPr>
            <w:r>
              <w:rPr>
                <w:rFonts w:ascii="Times New Roman" w:hAnsi="Times New Roman" w:cs="Times New Roman"/>
                <w:sz w:val="20"/>
                <w:szCs w:val="20"/>
              </w:rPr>
              <w:t xml:space="preserve">Results → Application of CG-OSCs significantly improves IVM outcomes</w:t>
            </w:r>
          </w:p>
        </w:tc>
        <w:tc>
          <w:tcPr>
            <w:tcW w:w="7200" w:type="dxa"/>
          </w:tcPr>
          <w:p>
            <w:pPr>
              <w:spacing w:before="20" w:after="20" w:line="240" w:lineRule="auto"/>
            </w:pPr>
            <w:r>
              <w:rPr>
                <w:rFonts w:ascii="Times New Roman" w:hAnsi="Times New Roman" w:cs="Times New Roman"/>
                <w:sz w:val="20"/>
                <w:szCs w:val="20"/>
              </w:rPr>
              <w:t xml:space="preserve">This study was performed in two phases; the first phase consisted of a multi-center, single arm observational evaluation in 20 patients with the primary purpose of safety evaluation and the establishment of clinical success metrics.</w:t>
            </w:r>
          </w:p>
        </w:tc>
        <w:tc>
          <w:tcPr>
            <w:tcW w:w="5036" w:type="dxa"/>
          </w:tcPr>
          <w:p>
            <w:pPr>
              <w:spacing w:before="20" w:after="20" w:line="240" w:lineRule="auto"/>
            </w:pPr>
            <w:r>
              <w:rPr>
                <w:rFonts w:ascii="Times New Roman" w:hAnsi="Times New Roman" w:cs="Times New Roman"/>
                <w:sz w:val="20"/>
                <w:szCs w:val="20"/>
              </w:rPr>
              <w:t xml:space="preserve">—</w:t>
            </w:r>
          </w:p>
        </w:tc>
      </w:tr>
      <w:tr>
        <w:tc>
          <w:tcPr>
            <w:tcW w:w="700" w:type="dxa"/>
          </w:tcPr>
          <w:p>
            <w:pPr>
              <w:spacing w:before="20" w:after="20" w:line="240" w:lineRule="auto"/>
            </w:pPr>
            <w:r>
              <w:rPr>
                <w:rFonts w:ascii="Times New Roman" w:hAnsi="Times New Roman" w:cs="Times New Roman"/>
                <w:sz w:val="20"/>
                <w:szCs w:val="20"/>
              </w:rPr>
              <w:t xml:space="preserve">4</w:t>
            </w:r>
          </w:p>
        </w:tc>
        <w:tc>
          <w:tcPr>
            <w:tcW w:w="2200" w:type="dxa"/>
          </w:tcPr>
          <w:p>
            <w:pPr>
              <w:spacing w:before="20" w:after="20" w:line="240" w:lineRule="auto"/>
            </w:pPr>
            <w:r>
              <w:rPr>
                <w:rFonts w:ascii="Times New Roman" w:hAnsi="Times New Roman" w:cs="Times New Roman"/>
                <w:sz w:val="20"/>
                <w:szCs w:val="20"/>
              </w:rPr>
              <w:t xml:space="preserve">Results → Application of CG-OSCs significantly improves IVM outcomes</w:t>
            </w:r>
          </w:p>
        </w:tc>
        <w:tc>
          <w:tcPr>
            <w:tcW w:w="7200" w:type="dxa"/>
          </w:tcPr>
          <w:p>
            <w:pPr>
              <w:spacing w:before="20" w:after="20" w:line="240" w:lineRule="auto"/>
            </w:pPr>
            <w:r>
              <w:rPr>
                <w:rFonts w:ascii="Times New Roman" w:hAnsi="Times New Roman" w:cs="Times New Roman"/>
                <w:sz w:val="20"/>
                <w:szCs w:val="20"/>
              </w:rPr>
              <w:t xml:space="preserve">Since then, there have been five additional healthy live births in this study, with additional pregnancies ongoing.</w:t>
            </w:r>
          </w:p>
        </w:tc>
        <w:tc>
          <w:tcPr>
            <w:tcW w:w="5036" w:type="dxa"/>
          </w:tcPr>
          <w:p>
            <w:pPr>
              <w:spacing w:before="20" w:after="20" w:line="240" w:lineRule="auto"/>
            </w:pPr>
            <w:r>
              <w:rPr>
                <w:rFonts w:ascii="Times New Roman" w:hAnsi="Times New Roman" w:cs="Times New Roman"/>
                <w:sz w:val="20"/>
                <w:szCs w:val="20"/>
              </w:rPr>
              <w:t xml:space="preserve">—</w:t>
            </w:r>
          </w:p>
        </w:tc>
      </w:tr>
      <w:tr>
        <w:tc>
          <w:tcPr>
            <w:tcW w:w="700" w:type="dxa"/>
          </w:tcPr>
          <w:p>
            <w:pPr>
              <w:spacing w:before="20" w:after="20" w:line="240" w:lineRule="auto"/>
            </w:pPr>
            <w:r>
              <w:rPr>
                <w:rFonts w:ascii="Times New Roman" w:hAnsi="Times New Roman" w:cs="Times New Roman"/>
                <w:sz w:val="20"/>
                <w:szCs w:val="20"/>
              </w:rPr>
              <w:t xml:space="preserve">5</w:t>
            </w:r>
          </w:p>
        </w:tc>
        <w:tc>
          <w:tcPr>
            <w:tcW w:w="2200" w:type="dxa"/>
          </w:tcPr>
          <w:p>
            <w:pPr>
              <w:spacing w:before="20" w:after="20" w:line="240" w:lineRule="auto"/>
            </w:pPr>
            <w:r>
              <w:rPr>
                <w:rFonts w:ascii="Times New Roman" w:hAnsi="Times New Roman" w:cs="Times New Roman"/>
                <w:sz w:val="20"/>
                <w:szCs w:val="20"/>
              </w:rPr>
              <w:t xml:space="preserve">Results → Application of CG-OSCs significantly improves IVM outcomes</w:t>
            </w:r>
          </w:p>
        </w:tc>
        <w:tc>
          <w:tcPr>
            <w:tcW w:w="7200" w:type="dxa"/>
          </w:tcPr>
          <w:p>
            <w:pPr>
              <w:spacing w:before="20" w:after="20" w:line="240" w:lineRule="auto"/>
            </w:pPr>
            <w:r>
              <w:rPr>
                <w:rFonts w:ascii="Times New Roman" w:hAnsi="Times New Roman" w:cs="Times New Roman"/>
                <w:sz w:val="20"/>
                <w:szCs w:val="20"/>
              </w:rPr>
              <w:t xml:space="preserve">After verifying the safety and initial efficacy of Fertilo with a minimal stimulation regimen, an expansion of this study was IVM outcomes (A) Clinical outcomes of a single arm, multi-site observational evaluation following OSC co-culture for IVM.</w:t>
            </w:r>
          </w:p>
        </w:tc>
        <w:tc>
          <w:tcPr>
            <w:tcW w:w="5036" w:type="dxa"/>
          </w:tcPr>
          <w:p>
            <w:pPr>
              <w:spacing w:before="20" w:after="20" w:line="240" w:lineRule="auto"/>
            </w:pPr>
            <w:r>
              <w:rPr>
                <w:rFonts w:ascii="Times New Roman" w:hAnsi="Times New Roman" w:cs="Times New Roman"/>
                <w:sz w:val="20"/>
                <w:szCs w:val="20"/>
              </w:rPr>
              <w:t xml:space="preserve">—</w:t>
            </w:r>
          </w:p>
        </w:tc>
      </w:tr>
      <w:tr>
        <w:tc>
          <w:tcPr>
            <w:tcW w:w="700" w:type="dxa"/>
          </w:tcPr>
          <w:p>
            <w:pPr>
              <w:spacing w:before="20" w:after="20" w:line="240" w:lineRule="auto"/>
            </w:pPr>
            <w:r>
              <w:rPr>
                <w:rFonts w:ascii="Times New Roman" w:hAnsi="Times New Roman" w:cs="Times New Roman"/>
                <w:sz w:val="20"/>
                <w:szCs w:val="20"/>
              </w:rPr>
              <w:t xml:space="preserve">6</w:t>
            </w:r>
          </w:p>
        </w:tc>
        <w:tc>
          <w:tcPr>
            <w:tcW w:w="2200" w:type="dxa"/>
          </w:tcPr>
          <w:p>
            <w:pPr>
              <w:spacing w:before="20" w:after="20" w:line="240" w:lineRule="auto"/>
            </w:pPr>
            <w:r>
              <w:rPr>
                <w:rFonts w:ascii="Times New Roman" w:hAnsi="Times New Roman" w:cs="Times New Roman"/>
                <w:sz w:val="20"/>
                <w:szCs w:val="20"/>
              </w:rPr>
              <w:t xml:space="preserve">Methods → Mouse oocytes for the MOMA</w:t>
            </w:r>
          </w:p>
        </w:tc>
        <w:tc>
          <w:tcPr>
            <w:tcW w:w="7200" w:type="dxa"/>
          </w:tcPr>
          <w:p>
            <w:pPr>
              <w:spacing w:before="20" w:after="20" w:line="240" w:lineRule="auto"/>
            </w:pPr>
            <w:r>
              <w:rPr>
                <w:rFonts w:ascii="Times New Roman" w:hAnsi="Times New Roman" w:cs="Times New Roman"/>
                <w:sz w:val="20"/>
                <w:szCs w:val="20"/>
              </w:rPr>
              <w:t xml:space="preserve">All procedures involving mice, e.g., handling, administration of hormones for superovulation of females were conducted at the PRAAL Animal Facility.</w:t>
            </w:r>
          </w:p>
        </w:tc>
        <w:tc>
          <w:tcPr>
            <w:tcW w:w="5036" w:type="dxa"/>
          </w:tcPr>
          <w:p>
            <w:pPr>
              <w:spacing w:before="20" w:after="20" w:line="240" w:lineRule="auto"/>
            </w:pPr>
            <w:r>
              <w:rPr>
                <w:rFonts w:ascii="Times New Roman" w:hAnsi="Times New Roman" w:cs="Times New Roman"/>
                <w:sz w:val="20"/>
                <w:szCs w:val="20"/>
              </w:rPr>
              <w:t xml:space="preserve">—</w:t>
            </w:r>
          </w:p>
        </w:tc>
      </w:tr>
      <w:tr>
        <w:tc>
          <w:tcPr>
            <w:tcW w:w="700" w:type="dxa"/>
          </w:tcPr>
          <w:p>
            <w:pPr>
              <w:spacing w:before="20" w:after="20" w:line="240" w:lineRule="auto"/>
            </w:pPr>
            <w:r>
              <w:rPr>
                <w:rFonts w:ascii="Times New Roman" w:hAnsi="Times New Roman" w:cs="Times New Roman"/>
                <w:sz w:val="20"/>
                <w:szCs w:val="20"/>
              </w:rPr>
              <w:t xml:space="preserve">7</w:t>
            </w:r>
          </w:p>
        </w:tc>
        <w:tc>
          <w:tcPr>
            <w:tcW w:w="2200" w:type="dxa"/>
          </w:tcPr>
          <w:p>
            <w:pPr>
              <w:spacing w:before="20" w:after="20" w:line="240" w:lineRule="auto"/>
            </w:pPr>
            <w:r>
              <w:rPr>
                <w:rFonts w:ascii="Times New Roman" w:hAnsi="Times New Roman" w:cs="Times New Roman"/>
                <w:sz w:val="20"/>
                <w:szCs w:val="20"/>
              </w:rPr>
              <w:t xml:space="preserve">Methods → Human subjects in the clinical evaluation</w:t>
            </w:r>
          </w:p>
        </w:tc>
        <w:tc>
          <w:tcPr>
            <w:tcW w:w="7200" w:type="dxa"/>
          </w:tcPr>
          <w:p>
            <w:pPr>
              <w:spacing w:before="20" w:after="20" w:line="240" w:lineRule="auto"/>
            </w:pPr>
            <w:r>
              <w:rPr>
                <w:rFonts w:ascii="Times New Roman" w:hAnsi="Times New Roman" w:cs="Times New Roman"/>
                <w:sz w:val="20"/>
                <w:szCs w:val="20"/>
              </w:rPr>
              <w:t xml:space="preserve">Inclusion criteria for female patients was as follows: 1.</w:t>
            </w:r>
          </w:p>
        </w:tc>
        <w:tc>
          <w:tcPr>
            <w:tcW w:w="5036" w:type="dxa"/>
          </w:tcPr>
          <w:p>
            <w:pPr>
              <w:spacing w:before="20" w:after="20" w:line="240" w:lineRule="auto"/>
            </w:pPr>
            <w:r>
              <w:rPr>
                <w:rFonts w:ascii="Times New Roman" w:hAnsi="Times New Roman" w:cs="Times New Roman"/>
                <w:sz w:val="20"/>
                <w:szCs w:val="20"/>
              </w:rPr>
              <w:t xml:space="preserve">—</w:t>
            </w:r>
          </w:p>
        </w:tc>
      </w:tr>
      <w:tr>
        <w:tc>
          <w:tcPr>
            <w:tcW w:w="700" w:type="dxa"/>
          </w:tcPr>
          <w:p>
            <w:pPr>
              <w:spacing w:before="20" w:after="20" w:line="240" w:lineRule="auto"/>
            </w:pPr>
            <w:r>
              <w:rPr>
                <w:rFonts w:ascii="Times New Roman" w:hAnsi="Times New Roman" w:cs="Times New Roman"/>
                <w:sz w:val="20"/>
                <w:szCs w:val="20"/>
              </w:rPr>
              <w:t xml:space="preserve">8</w:t>
            </w:r>
          </w:p>
        </w:tc>
        <w:tc>
          <w:tcPr>
            <w:tcW w:w="2200" w:type="dxa"/>
          </w:tcPr>
          <w:p>
            <w:pPr>
              <w:spacing w:before="20" w:after="20" w:line="240" w:lineRule="auto"/>
            </w:pPr>
            <w:r>
              <w:rPr>
                <w:rFonts w:ascii="Times New Roman" w:hAnsi="Times New Roman" w:cs="Times New Roman"/>
                <w:sz w:val="20"/>
                <w:szCs w:val="20"/>
              </w:rPr>
              <w:t xml:space="preserve">Methods → Human subjects in the clinical evaluation</w:t>
            </w:r>
          </w:p>
        </w:tc>
        <w:tc>
          <w:tcPr>
            <w:tcW w:w="7200" w:type="dxa"/>
          </w:tcPr>
          <w:p>
            <w:pPr>
              <w:spacing w:before="20" w:after="20" w:line="240" w:lineRule="auto"/>
            </w:pPr>
            <w:r>
              <w:rPr>
                <w:rFonts w:ascii="Times New Roman" w:hAnsi="Times New Roman" w:cs="Times New Roman"/>
                <w:sz w:val="20"/>
                <w:szCs w:val="20"/>
              </w:rPr>
              <w:t xml:space="preserve">The exclusion criteria for female patients was as follows: 1.</w:t>
            </w:r>
          </w:p>
        </w:tc>
        <w:tc>
          <w:tcPr>
            <w:tcW w:w="5036" w:type="dxa"/>
          </w:tcPr>
          <w:p>
            <w:pPr>
              <w:spacing w:before="20" w:after="20" w:line="240" w:lineRule="auto"/>
            </w:pPr>
            <w:r>
              <w:rPr>
                <w:rFonts w:ascii="Times New Roman" w:hAnsi="Times New Roman" w:cs="Times New Roman"/>
                <w:sz w:val="20"/>
                <w:szCs w:val="20"/>
              </w:rPr>
              <w:t xml:space="preserve">—</w:t>
            </w:r>
          </w:p>
        </w:tc>
      </w:tr>
      <w:tr>
        <w:tc>
          <w:tcPr>
            <w:tcW w:w="700" w:type="dxa"/>
          </w:tcPr>
          <w:p>
            <w:pPr>
              <w:spacing w:before="20" w:after="20" w:line="240" w:lineRule="auto"/>
            </w:pPr>
            <w:r>
              <w:rPr>
                <w:rFonts w:ascii="Times New Roman" w:hAnsi="Times New Roman" w:cs="Times New Roman"/>
                <w:sz w:val="20"/>
                <w:szCs w:val="20"/>
              </w:rPr>
              <w:t xml:space="preserve">9</w:t>
            </w:r>
          </w:p>
        </w:tc>
        <w:tc>
          <w:tcPr>
            <w:tcW w:w="2200" w:type="dxa"/>
          </w:tcPr>
          <w:p>
            <w:pPr>
              <w:spacing w:before="20" w:after="20" w:line="240" w:lineRule="auto"/>
            </w:pPr>
            <w:r>
              <w:rPr>
                <w:rFonts w:ascii="Times New Roman" w:hAnsi="Times New Roman" w:cs="Times New Roman"/>
                <w:sz w:val="20"/>
                <w:szCs w:val="20"/>
              </w:rPr>
              <w:t xml:space="preserve">Methods → Human subjects in the clinical evaluation</w:t>
            </w:r>
          </w:p>
        </w:tc>
        <w:tc>
          <w:tcPr>
            <w:tcW w:w="7200" w:type="dxa"/>
          </w:tcPr>
          <w:p>
            <w:pPr>
              <w:spacing w:before="20" w:after="20" w:line="240" w:lineRule="auto"/>
            </w:pPr>
            <w:r>
              <w:rPr>
                <w:rFonts w:ascii="Times New Roman" w:hAnsi="Times New Roman" w:cs="Times New Roman"/>
                <w:sz w:val="20"/>
                <w:szCs w:val="20"/>
              </w:rPr>
              <w:t xml:space="preserve">Recurrent pregnancy loss (defined as ≥2 clinical pregnancies without live birth); 2.</w:t>
            </w:r>
          </w:p>
        </w:tc>
        <w:tc>
          <w:tcPr>
            <w:tcW w:w="5036" w:type="dxa"/>
          </w:tcPr>
          <w:p>
            <w:pPr>
              <w:spacing w:before="20" w:after="20" w:line="240" w:lineRule="auto"/>
            </w:pPr>
            <w:r>
              <w:rPr>
                <w:rFonts w:ascii="Times New Roman" w:hAnsi="Times New Roman" w:cs="Times New Roman"/>
                <w:sz w:val="20"/>
                <w:szCs w:val="20"/>
              </w:rPr>
              <w:t xml:space="preserve">—</w:t>
            </w:r>
          </w:p>
        </w:tc>
      </w:tr>
      <w:tr>
        <w:tc>
          <w:tcPr>
            <w:tcW w:w="700" w:type="dxa"/>
          </w:tcPr>
          <w:p>
            <w:pPr>
              <w:spacing w:before="20" w:after="20" w:line="240" w:lineRule="auto"/>
            </w:pPr>
            <w:r>
              <w:rPr>
                <w:rFonts w:ascii="Times New Roman" w:hAnsi="Times New Roman" w:cs="Times New Roman"/>
                <w:sz w:val="20"/>
                <w:szCs w:val="20"/>
              </w:rPr>
              <w:t xml:space="preserve">10</w:t>
            </w:r>
          </w:p>
        </w:tc>
        <w:tc>
          <w:tcPr>
            <w:tcW w:w="2200" w:type="dxa"/>
          </w:tcPr>
          <w:p>
            <w:pPr>
              <w:spacing w:before="20" w:after="20" w:line="240" w:lineRule="auto"/>
            </w:pPr>
            <w:r>
              <w:rPr>
                <w:rFonts w:ascii="Times New Roman" w:hAnsi="Times New Roman" w:cs="Times New Roman"/>
                <w:sz w:val="20"/>
                <w:szCs w:val="20"/>
              </w:rPr>
              <w:t xml:space="preserve">Methods → Human subjects in the clinical evaluation</w:t>
            </w:r>
          </w:p>
        </w:tc>
        <w:tc>
          <w:tcPr>
            <w:tcW w:w="7200" w:type="dxa"/>
          </w:tcPr>
          <w:p>
            <w:pPr>
              <w:spacing w:before="20" w:after="20" w:line="240" w:lineRule="auto"/>
            </w:pPr>
            <w:r>
              <w:rPr>
                <w:rFonts w:ascii="Times New Roman" w:hAnsi="Times New Roman" w:cs="Times New Roman"/>
                <w:sz w:val="20"/>
                <w:szCs w:val="20"/>
              </w:rPr>
              <w:t xml:space="preserve">Contraindications to being pregnant or to any of the IVF hormonal medications to be used in this study; 4.</w:t>
            </w:r>
          </w:p>
        </w:tc>
        <w:tc>
          <w:tcPr>
            <w:tcW w:w="5036" w:type="dxa"/>
          </w:tcPr>
          <w:p>
            <w:pPr>
              <w:spacing w:before="20" w:after="20" w:line="240" w:lineRule="auto"/>
            </w:pPr>
            <w:r>
              <w:rPr>
                <w:rFonts w:ascii="Times New Roman" w:hAnsi="Times New Roman" w:cs="Times New Roman"/>
                <w:sz w:val="20"/>
                <w:szCs w:val="20"/>
              </w:rPr>
              <w:t xml:space="preserve">—</w:t>
            </w:r>
          </w:p>
        </w:tc>
      </w:tr>
      <w:tr>
        <w:tc>
          <w:tcPr>
            <w:tcW w:w="700" w:type="dxa"/>
          </w:tcPr>
          <w:p>
            <w:pPr>
              <w:spacing w:before="20" w:after="20" w:line="240" w:lineRule="auto"/>
            </w:pPr>
            <w:r>
              <w:rPr>
                <w:rFonts w:ascii="Times New Roman" w:hAnsi="Times New Roman" w:cs="Times New Roman"/>
                <w:sz w:val="20"/>
                <w:szCs w:val="20"/>
              </w:rPr>
              <w:t xml:space="preserve">11</w:t>
            </w:r>
          </w:p>
        </w:tc>
        <w:tc>
          <w:tcPr>
            <w:tcW w:w="2200" w:type="dxa"/>
          </w:tcPr>
          <w:p>
            <w:pPr>
              <w:spacing w:before="20" w:after="20" w:line="240" w:lineRule="auto"/>
            </w:pPr>
            <w:r>
              <w:rPr>
                <w:rFonts w:ascii="Times New Roman" w:hAnsi="Times New Roman" w:cs="Times New Roman"/>
                <w:sz w:val="20"/>
                <w:szCs w:val="20"/>
              </w:rPr>
              <w:t xml:space="preserve">Methods → Human subjects in the clinical evaluation</w:t>
            </w:r>
          </w:p>
        </w:tc>
        <w:tc>
          <w:tcPr>
            <w:tcW w:w="7200" w:type="dxa"/>
          </w:tcPr>
          <w:p>
            <w:pPr>
              <w:spacing w:before="20" w:after="20" w:line="240" w:lineRule="auto"/>
            </w:pPr>
            <w:r>
              <w:rPr>
                <w:rFonts w:ascii="Times New Roman" w:hAnsi="Times New Roman" w:cs="Times New Roman"/>
                <w:sz w:val="20"/>
                <w:szCs w:val="20"/>
              </w:rPr>
              <w:t xml:space="preserve">Exclusion criteria for male subjects was as follows: 1.</w:t>
            </w:r>
          </w:p>
        </w:tc>
        <w:tc>
          <w:tcPr>
            <w:tcW w:w="5036" w:type="dxa"/>
          </w:tcPr>
          <w:p>
            <w:pPr>
              <w:spacing w:before="20" w:after="20" w:line="240" w:lineRule="auto"/>
            </w:pPr>
            <w:r>
              <w:rPr>
                <w:rFonts w:ascii="Times New Roman" w:hAnsi="Times New Roman" w:cs="Times New Roman"/>
                <w:sz w:val="20"/>
                <w:szCs w:val="20"/>
              </w:rPr>
              <w:t xml:space="preserve">—</w:t>
            </w:r>
          </w:p>
        </w:tc>
      </w:tr>
      <w:tr>
        <w:tc>
          <w:tcPr>
            <w:tcW w:w="700" w:type="dxa"/>
          </w:tcPr>
          <w:p>
            <w:pPr>
              <w:spacing w:before="20" w:after="20" w:line="240" w:lineRule="auto"/>
            </w:pPr>
            <w:r>
              <w:rPr>
                <w:rFonts w:ascii="Times New Roman" w:hAnsi="Times New Roman" w:cs="Times New Roman"/>
                <w:sz w:val="20"/>
                <w:szCs w:val="20"/>
              </w:rPr>
              <w:t xml:space="preserve">12</w:t>
            </w:r>
          </w:p>
        </w:tc>
        <w:tc>
          <w:tcPr>
            <w:tcW w:w="2200" w:type="dxa"/>
          </w:tcPr>
          <w:p>
            <w:pPr>
              <w:spacing w:before="20" w:after="20" w:line="240" w:lineRule="auto"/>
            </w:pPr>
            <w:r>
              <w:rPr>
                <w:rFonts w:ascii="Times New Roman" w:hAnsi="Times New Roman" w:cs="Times New Roman"/>
                <w:sz w:val="20"/>
                <w:szCs w:val="20"/>
              </w:rPr>
              <w:t xml:space="preserve">Methods → Human subjects in the clinical evaluation</w:t>
            </w:r>
          </w:p>
        </w:tc>
        <w:tc>
          <w:tcPr>
            <w:tcW w:w="7200" w:type="dxa"/>
          </w:tcPr>
          <w:p>
            <w:pPr>
              <w:spacing w:before="20" w:after="20" w:line="240" w:lineRule="auto"/>
            </w:pPr>
            <w:r>
              <w:rPr>
                <w:rFonts w:ascii="Times New Roman" w:hAnsi="Times New Roman" w:cs="Times New Roman"/>
                <w:sz w:val="20"/>
                <w:szCs w:val="20"/>
              </w:rPr>
              <w:t xml:space="preserve">Eligible subjects that met all of the inclusion criteria were started on oral contraceptive pills (OCPs) for 10-15 days with a 5-day washout period.</w:t>
            </w:r>
          </w:p>
        </w:tc>
        <w:tc>
          <w:tcPr>
            <w:tcW w:w="5036" w:type="dxa"/>
          </w:tcPr>
          <w:p>
            <w:pPr>
              <w:spacing w:before="20" w:after="20" w:line="240" w:lineRule="auto"/>
            </w:pPr>
            <w:r>
              <w:rPr>
                <w:rFonts w:ascii="Times New Roman" w:hAnsi="Times New Roman" w:cs="Times New Roman"/>
                <w:sz w:val="20"/>
                <w:szCs w:val="20"/>
              </w:rPr>
              <w:t xml:space="preserve">—</w:t>
            </w:r>
          </w:p>
        </w:tc>
      </w:tr>
      <w:tr>
        <w:tc>
          <w:tcPr>
            <w:tcW w:w="700" w:type="dxa"/>
          </w:tcPr>
          <w:p>
            <w:pPr>
              <w:spacing w:before="20" w:after="20" w:line="240" w:lineRule="auto"/>
            </w:pPr>
            <w:r>
              <w:rPr>
                <w:rFonts w:ascii="Times New Roman" w:hAnsi="Times New Roman" w:cs="Times New Roman"/>
                <w:sz w:val="20"/>
                <w:szCs w:val="20"/>
              </w:rPr>
              <w:t xml:space="preserve">13</w:t>
            </w:r>
          </w:p>
        </w:tc>
        <w:tc>
          <w:tcPr>
            <w:tcW w:w="2200" w:type="dxa"/>
          </w:tcPr>
          <w:p>
            <w:pPr>
              <w:spacing w:before="20" w:after="20" w:line="240" w:lineRule="auto"/>
            </w:pPr>
            <w:r>
              <w:rPr>
                <w:rFonts w:ascii="Times New Roman" w:hAnsi="Times New Roman" w:cs="Times New Roman"/>
                <w:sz w:val="20"/>
                <w:szCs w:val="20"/>
              </w:rPr>
              <w:t xml:space="preserve">Methods → Human subjects in the clinical evaluation</w:t>
            </w:r>
          </w:p>
        </w:tc>
        <w:tc>
          <w:tcPr>
            <w:tcW w:w="7200" w:type="dxa"/>
          </w:tcPr>
          <w:p>
            <w:pPr>
              <w:spacing w:before="20" w:after="20" w:line="240" w:lineRule="auto"/>
            </w:pPr>
            <w:r>
              <w:rPr>
                <w:rFonts w:ascii="Times New Roman" w:hAnsi="Times New Roman" w:cs="Times New Roman"/>
                <w:sz w:val="20"/>
                <w:szCs w:val="20"/>
              </w:rPr>
              <w:t xml:space="preserve">For the control comparator phase, patients were randomized at a 1:1 ratio to OSC-IVM (Fertilo) or Traditional IVM (Media Only IVM) on the day of hCG trigger.</w:t>
            </w:r>
          </w:p>
        </w:tc>
        <w:tc>
          <w:tcPr>
            <w:tcW w:w="5036" w:type="dxa"/>
          </w:tcPr>
          <w:p>
            <w:pPr>
              <w:spacing w:before="20" w:after="20" w:line="240" w:lineRule="auto"/>
            </w:pPr>
            <w:r>
              <w:rPr>
                <w:rFonts w:ascii="Times New Roman" w:hAnsi="Times New Roman" w:cs="Times New Roman"/>
                <w:sz w:val="20"/>
                <w:szCs w:val="20"/>
              </w:rPr>
              <w:t xml:space="preserve">—</w:t>
            </w:r>
          </w:p>
        </w:tc>
      </w:tr>
      <w:tr>
        <w:tc>
          <w:tcPr>
            <w:tcW w:w="700" w:type="dxa"/>
          </w:tcPr>
          <w:p>
            <w:pPr>
              <w:spacing w:before="20" w:after="20" w:line="240" w:lineRule="auto"/>
            </w:pPr>
            <w:r>
              <w:rPr>
                <w:rFonts w:ascii="Times New Roman" w:hAnsi="Times New Roman" w:cs="Times New Roman"/>
                <w:sz w:val="20"/>
                <w:szCs w:val="20"/>
              </w:rPr>
              <w:t xml:space="preserve">14</w:t>
            </w:r>
          </w:p>
        </w:tc>
        <w:tc>
          <w:tcPr>
            <w:tcW w:w="2200" w:type="dxa"/>
          </w:tcPr>
          <w:p>
            <w:pPr>
              <w:spacing w:before="20" w:after="20" w:line="240" w:lineRule="auto"/>
            </w:pPr>
            <w:r>
              <w:rPr>
                <w:rFonts w:ascii="Times New Roman" w:hAnsi="Times New Roman" w:cs="Times New Roman"/>
                <w:sz w:val="20"/>
                <w:szCs w:val="20"/>
              </w:rPr>
              <w:t xml:space="preserve">Methods → Design of Experiments (DOE)</w:t>
            </w:r>
          </w:p>
        </w:tc>
        <w:tc>
          <w:tcPr>
            <w:tcW w:w="7200" w:type="dxa"/>
          </w:tcPr>
          <w:p>
            <w:pPr>
              <w:spacing w:before="20" w:after="20" w:line="240" w:lineRule="auto"/>
            </w:pPr>
            <w:r>
              <w:rPr>
                <w:rFonts w:ascii="Times New Roman" w:hAnsi="Times New Roman" w:cs="Times New Roman"/>
                <w:sz w:val="20"/>
                <w:szCs w:val="20"/>
              </w:rPr>
              <w:t xml:space="preserve">Experimental groups exhibiting less than 50% viability were excluded prior to statistical modeling.</w:t>
            </w:r>
          </w:p>
        </w:tc>
        <w:tc>
          <w:tcPr>
            <w:tcW w:w="5036" w:type="dxa"/>
          </w:tcPr>
          <w:p>
            <w:pPr>
              <w:spacing w:before="20" w:after="20" w:line="240" w:lineRule="auto"/>
            </w:pPr>
            <w:r>
              <w:rPr>
                <w:rFonts w:ascii="Times New Roman" w:hAnsi="Times New Roman" w:cs="Times New Roman"/>
                <w:sz w:val="20"/>
                <w:szCs w:val="20"/>
              </w:rPr>
              <w:t xml:space="preserve">—</w:t>
            </w:r>
          </w:p>
        </w:tc>
      </w:tr>
      <w:tr>
        <w:tc>
          <w:tcPr>
            <w:tcW w:w="700" w:type="dxa"/>
          </w:tcPr>
          <w:p>
            <w:pPr>
              <w:spacing w:before="20" w:after="20" w:line="240" w:lineRule="auto"/>
            </w:pPr>
            <w:r>
              <w:rPr>
                <w:rFonts w:ascii="Times New Roman" w:hAnsi="Times New Roman" w:cs="Times New Roman"/>
                <w:sz w:val="20"/>
                <w:szCs w:val="20"/>
              </w:rPr>
              <w:t xml:space="preserve">15</w:t>
            </w:r>
          </w:p>
        </w:tc>
        <w:tc>
          <w:tcPr>
            <w:tcW w:w="2200" w:type="dxa"/>
          </w:tcPr>
          <w:p>
            <w:pPr>
              <w:spacing w:before="20" w:after="20" w:line="240" w:lineRule="auto"/>
            </w:pPr>
            <w:r>
              <w:rPr>
                <w:rFonts w:ascii="Times New Roman" w:hAnsi="Times New Roman" w:cs="Times New Roman"/>
                <w:sz w:val="20"/>
                <w:szCs w:val="20"/>
              </w:rPr>
              <w:t xml:space="preserve">Methods → Design of Experiments (DOE)</w:t>
            </w:r>
          </w:p>
        </w:tc>
        <w:tc>
          <w:tcPr>
            <w:tcW w:w="7200" w:type="dxa"/>
          </w:tcPr>
          <w:p>
            <w:pPr>
              <w:spacing w:before="20" w:after="20" w:line="240" w:lineRule="auto"/>
            </w:pPr>
            <w:r>
              <w:rPr>
                <w:rFonts w:ascii="Times New Roman" w:hAnsi="Times New Roman" w:cs="Times New Roman"/>
                <w:sz w:val="20"/>
                <w:szCs w:val="20"/>
              </w:rPr>
              <w:t xml:space="preserve">Continuous factors were modeled as numeric variables, and center points were included to allow assessment of curvature.</w:t>
            </w:r>
          </w:p>
        </w:tc>
        <w:tc>
          <w:tcPr>
            <w:tcW w:w="5036" w:type="dxa"/>
          </w:tcPr>
          <w:p>
            <w:pPr>
              <w:spacing w:before="20" w:after="20" w:line="240" w:lineRule="auto"/>
            </w:pPr>
            <w:r>
              <w:rPr>
                <w:rFonts w:ascii="Times New Roman" w:hAnsi="Times New Roman" w:cs="Times New Roman"/>
                <w:sz w:val="20"/>
                <w:szCs w:val="20"/>
              </w:rPr>
              <w:t xml:space="preserve">—</w:t>
            </w:r>
          </w:p>
        </w:tc>
      </w:tr>
      <w:tr>
        <w:tc>
          <w:tcPr>
            <w:tcW w:w="700" w:type="dxa"/>
          </w:tcPr>
          <w:p>
            <w:pPr>
              <w:spacing w:before="20" w:after="20" w:line="240" w:lineRule="auto"/>
            </w:pPr>
            <w:r>
              <w:rPr>
                <w:rFonts w:ascii="Times New Roman" w:hAnsi="Times New Roman" w:cs="Times New Roman"/>
                <w:sz w:val="20"/>
                <w:szCs w:val="20"/>
              </w:rPr>
              <w:t xml:space="preserve">16</w:t>
            </w:r>
          </w:p>
        </w:tc>
        <w:tc>
          <w:tcPr>
            <w:tcW w:w="2200" w:type="dxa"/>
          </w:tcPr>
          <w:p>
            <w:pPr>
              <w:spacing w:before="20" w:after="20" w:line="240" w:lineRule="auto"/>
            </w:pPr>
            <w:r>
              <w:rPr>
                <w:rFonts w:ascii="Times New Roman" w:hAnsi="Times New Roman" w:cs="Times New Roman"/>
                <w:sz w:val="20"/>
                <w:szCs w:val="20"/>
              </w:rPr>
              <w:t xml:space="preserve">Methods → Design of Experiments (DOE)</w:t>
            </w:r>
          </w:p>
        </w:tc>
        <w:tc>
          <w:tcPr>
            <w:tcW w:w="7200" w:type="dxa"/>
          </w:tcPr>
          <w:p>
            <w:pPr>
              <w:spacing w:before="20" w:after="20" w:line="240" w:lineRule="auto"/>
            </w:pPr>
            <w:r>
              <w:rPr>
                <w:rFonts w:ascii="Times New Roman" w:hAnsi="Times New Roman" w:cs="Times New Roman"/>
                <w:sz w:val="20"/>
                <w:szCs w:val="20"/>
              </w:rPr>
              <w:t xml:space="preserve">Technical replicates present within the design were included in model fitting but were not treated as separate block or batch terms.</w:t>
            </w:r>
          </w:p>
        </w:tc>
        <w:tc>
          <w:tcPr>
            <w:tcW w:w="5036" w:type="dxa"/>
          </w:tcPr>
          <w:p>
            <w:pPr>
              <w:spacing w:before="20" w:after="20" w:line="240" w:lineRule="auto"/>
            </w:pPr>
            <w:r>
              <w:rPr>
                <w:rFonts w:ascii="Times New Roman" w:hAnsi="Times New Roman" w:cs="Times New Roman"/>
                <w:sz w:val="20"/>
                <w:szCs w:val="20"/>
              </w:rPr>
              <w:t xml:space="preserve">—</w:t>
            </w:r>
          </w:p>
        </w:tc>
      </w:tr>
      <w:tr>
        <w:tc>
          <w:tcPr>
            <w:tcW w:w="700" w:type="dxa"/>
          </w:tcPr>
          <w:p>
            <w:pPr>
              <w:spacing w:before="20" w:after="20" w:line="240" w:lineRule="auto"/>
            </w:pPr>
            <w:r>
              <w:rPr>
                <w:rFonts w:ascii="Times New Roman" w:hAnsi="Times New Roman" w:cs="Times New Roman"/>
                <w:sz w:val="20"/>
                <w:szCs w:val="20"/>
              </w:rPr>
              <w:t xml:space="preserve">17</w:t>
            </w:r>
          </w:p>
        </w:tc>
        <w:tc>
          <w:tcPr>
            <w:tcW w:w="2200" w:type="dxa"/>
          </w:tcPr>
          <w:p>
            <w:pPr>
              <w:spacing w:before="20" w:after="20" w:line="240" w:lineRule="auto"/>
            </w:pPr>
            <w:r>
              <w:rPr>
                <w:rFonts w:ascii="Times New Roman" w:hAnsi="Times New Roman" w:cs="Times New Roman"/>
                <w:sz w:val="20"/>
                <w:szCs w:val="20"/>
              </w:rPr>
              <w:t xml:space="preserve">Methods → Proteomics</w:t>
            </w:r>
          </w:p>
        </w:tc>
        <w:tc>
          <w:tcPr>
            <w:tcW w:w="7200" w:type="dxa"/>
          </w:tcPr>
          <w:p>
            <w:pPr>
              <w:spacing w:before="20" w:after="20" w:line="240" w:lineRule="auto"/>
            </w:pPr>
            <w:r>
              <w:rPr>
                <w:rFonts w:ascii="Times New Roman" w:hAnsi="Times New Roman" w:cs="Times New Roman"/>
                <w:sz w:val="20"/>
                <w:szCs w:val="20"/>
              </w:rPr>
              <w:t xml:space="preserve">Conditioned media derived from RUO-OSC-M lot 56 (n=1) and CG-OSC-L lot 88 (n=1) were also analyzed.</w:t>
            </w:r>
          </w:p>
        </w:tc>
        <w:tc>
          <w:tcPr>
            <w:tcW w:w="5036" w:type="dxa"/>
          </w:tcPr>
          <w:p>
            <w:pPr>
              <w:spacing w:before="20" w:after="20" w:line="240" w:lineRule="auto"/>
            </w:pPr>
            <w:r>
              <w:rPr>
                <w:rFonts w:ascii="Times New Roman" w:hAnsi="Times New Roman" w:cs="Times New Roman"/>
                <w:sz w:val="20"/>
                <w:szCs w:val="20"/>
              </w:rPr>
              <w:t xml:space="preserve">—</w:t>
            </w:r>
          </w:p>
        </w:tc>
      </w:tr>
      <w:tr>
        <w:tc>
          <w:tcPr>
            <w:tcW w:w="700" w:type="dxa"/>
          </w:tcPr>
          <w:p>
            <w:pPr>
              <w:spacing w:before="20" w:after="20" w:line="240" w:lineRule="auto"/>
            </w:pPr>
            <w:r>
              <w:rPr>
                <w:rFonts w:ascii="Times New Roman" w:hAnsi="Times New Roman" w:cs="Times New Roman"/>
                <w:sz w:val="20"/>
                <w:szCs w:val="20"/>
              </w:rPr>
              <w:t xml:space="preserve">18</w:t>
            </w:r>
          </w:p>
        </w:tc>
        <w:tc>
          <w:tcPr>
            <w:tcW w:w="2200" w:type="dxa"/>
          </w:tcPr>
          <w:p>
            <w:pPr>
              <w:spacing w:before="20" w:after="20" w:line="240" w:lineRule="auto"/>
            </w:pPr>
            <w:r>
              <w:rPr>
                <w:rFonts w:ascii="Times New Roman" w:hAnsi="Times New Roman" w:cs="Times New Roman"/>
                <w:sz w:val="20"/>
                <w:szCs w:val="20"/>
              </w:rPr>
              <w:t xml:space="preserve">Methods → Proteomics</w:t>
            </w:r>
          </w:p>
        </w:tc>
        <w:tc>
          <w:tcPr>
            <w:tcW w:w="7200" w:type="dxa"/>
          </w:tcPr>
          <w:p>
            <w:pPr>
              <w:spacing w:before="20" w:after="20" w:line="240" w:lineRule="auto"/>
            </w:pPr>
            <w:r>
              <w:rPr>
                <w:rFonts w:ascii="Times New Roman" w:hAnsi="Times New Roman" w:cs="Times New Roman"/>
                <w:sz w:val="20"/>
                <w:szCs w:val="20"/>
              </w:rPr>
              <w:t xml:space="preserve">Proteomic analyses were conducted at the Proteomics and Metabolomics Core Facility at Weill Cornell Medicine (New York, USA).</w:t>
            </w:r>
          </w:p>
        </w:tc>
        <w:tc>
          <w:tcPr>
            <w:tcW w:w="5036" w:type="dxa"/>
          </w:tcPr>
          <w:p>
            <w:pPr>
              <w:spacing w:before="20" w:after="20" w:line="240" w:lineRule="auto"/>
            </w:pPr>
            <w:r>
              <w:rPr>
                <w:rFonts w:ascii="Times New Roman" w:hAnsi="Times New Roman" w:cs="Times New Roman"/>
                <w:sz w:val="20"/>
                <w:szCs w:val="20"/>
              </w:rPr>
              <w:t xml:space="preserve">—</w:t>
            </w:r>
          </w:p>
        </w:tc>
      </w:tr>
      <w:tr>
        <w:tc>
          <w:tcPr>
            <w:tcW w:w="700" w:type="dxa"/>
          </w:tcPr>
          <w:p>
            <w:pPr>
              <w:spacing w:before="20" w:after="20" w:line="240" w:lineRule="auto"/>
            </w:pPr>
            <w:r>
              <w:rPr>
                <w:rFonts w:ascii="Times New Roman" w:hAnsi="Times New Roman" w:cs="Times New Roman"/>
                <w:sz w:val="20"/>
                <w:szCs w:val="20"/>
              </w:rPr>
              <w:t xml:space="preserve">19</w:t>
            </w:r>
          </w:p>
        </w:tc>
        <w:tc>
          <w:tcPr>
            <w:tcW w:w="2200" w:type="dxa"/>
          </w:tcPr>
          <w:p>
            <w:pPr>
              <w:spacing w:before="20" w:after="20" w:line="240" w:lineRule="auto"/>
            </w:pPr>
            <w:r>
              <w:rPr>
                <w:rFonts w:ascii="Times New Roman" w:hAnsi="Times New Roman" w:cs="Times New Roman"/>
                <w:sz w:val="20"/>
                <w:szCs w:val="20"/>
              </w:rPr>
              <w:t xml:space="preserve">Methods → Murine oocyte maturation assay (MOMA)</w:t>
            </w:r>
          </w:p>
        </w:tc>
        <w:tc>
          <w:tcPr>
            <w:tcW w:w="7200" w:type="dxa"/>
          </w:tcPr>
          <w:p>
            <w:pPr>
              <w:spacing w:before="20" w:after="20" w:line="240" w:lineRule="auto"/>
            </w:pPr>
            <w:r>
              <w:rPr>
                <w:rFonts w:ascii="Times New Roman" w:hAnsi="Times New Roman" w:cs="Times New Roman"/>
                <w:sz w:val="20"/>
                <w:szCs w:val="20"/>
              </w:rPr>
              <w:t xml:space="preserve">All procedures involving mice, e.g., handling, administration of hormones for superovulation of females were conducted at the PRAAL Animal Facility, while procedures involving oocyte manipulation, e.g., oocyte collection, oocyte insemination and embryo culture up to blastocyst were performed at Embryotools’ laboratories.</w:t>
            </w:r>
          </w:p>
        </w:tc>
        <w:tc>
          <w:tcPr>
            <w:tcW w:w="5036" w:type="dxa"/>
          </w:tcPr>
          <w:p>
            <w:pPr>
              <w:spacing w:before="20" w:after="20" w:line="240" w:lineRule="auto"/>
            </w:pPr>
            <w:r>
              <w:rPr>
                <w:rFonts w:ascii="Times New Roman" w:hAnsi="Times New Roman" w:cs="Times New Roman"/>
                <w:sz w:val="20"/>
                <w:szCs w:val="20"/>
              </w:rPr>
              <w:t xml:space="preserve">—</w:t>
            </w:r>
          </w:p>
        </w:tc>
      </w:tr>
      <w:tr>
        <w:tc>
          <w:tcPr>
            <w:tcW w:w="700" w:type="dxa"/>
          </w:tcPr>
          <w:p>
            <w:pPr>
              <w:spacing w:before="20" w:after="20" w:line="240" w:lineRule="auto"/>
            </w:pPr>
            <w:r>
              <w:rPr>
                <w:rFonts w:ascii="Times New Roman" w:hAnsi="Times New Roman" w:cs="Times New Roman"/>
                <w:sz w:val="20"/>
                <w:szCs w:val="20"/>
              </w:rPr>
              <w:t xml:space="preserve">20</w:t>
            </w:r>
          </w:p>
        </w:tc>
        <w:tc>
          <w:tcPr>
            <w:tcW w:w="2200" w:type="dxa"/>
          </w:tcPr>
          <w:p>
            <w:pPr>
              <w:spacing w:before="20" w:after="20" w:line="240" w:lineRule="auto"/>
            </w:pPr>
            <w:r>
              <w:rPr>
                <w:rFonts w:ascii="Times New Roman" w:hAnsi="Times New Roman" w:cs="Times New Roman"/>
                <w:sz w:val="20"/>
                <w:szCs w:val="20"/>
              </w:rPr>
              <w:t xml:space="preserve">Methods → Clinical evaluation</w:t>
            </w:r>
          </w:p>
        </w:tc>
        <w:tc>
          <w:tcPr>
            <w:tcW w:w="7200" w:type="dxa"/>
          </w:tcPr>
          <w:p>
            <w:pPr>
              <w:spacing w:before="20" w:after="20" w:line="240" w:lineRule="auto"/>
            </w:pPr>
            <w:r>
              <w:rPr>
                <w:rFonts w:ascii="Times New Roman" w:hAnsi="Times New Roman" w:cs="Times New Roman"/>
                <w:sz w:val="20"/>
                <w:szCs w:val="20"/>
              </w:rPr>
              <w:t xml:space="preserve">Transvaginal ultrasounds were performed at 4-6 weeks gestation to establish the presence of a gestational sac, indicating clinical pregnancy, and a follow-up ultrasound was performed at 8-12 weeks of gestation to confirm ongoing pregnancy with a normal, healthy heartbeat.</w:t>
            </w:r>
          </w:p>
        </w:tc>
        <w:tc>
          <w:tcPr>
            <w:tcW w:w="5036" w:type="dxa"/>
          </w:tcPr>
          <w:p>
            <w:pPr>
              <w:spacing w:before="20" w:after="20" w:line="240" w:lineRule="auto"/>
            </w:pPr>
            <w:r>
              <w:rPr>
                <w:rFonts w:ascii="Times New Roman" w:hAnsi="Times New Roman" w:cs="Times New Roman"/>
                <w:sz w:val="20"/>
                <w:szCs w:val="20"/>
              </w:rPr>
              <w:t xml:space="preserve">—</w:t>
            </w:r>
          </w:p>
        </w:tc>
      </w:tr>
    </w:tbl>
    <w:p>
      <w:pPr>
        <w:spacing w:before="240" w:after="60" w:line="276" w:lineRule="auto"/>
      </w:pPr>
      <w:r>
        <w:rPr>
          <w:rFonts w:ascii="Times New Roman" w:hAnsi="Times New Roman" w:cs="Times New Roman"/>
          <w:b/>
          <w:sz w:val="28"/>
          <w:szCs w:val="28"/>
        </w:rPr>
        <w:t xml:space="preserve">Контроль</w:t>
      </w:r>
    </w:p>
    <w:p>
      <w:pPr>
        <w:spacing w:before="0" w:after="80" w:line="276" w:lineRule="auto"/>
      </w:pPr>
      <w:r>
        <w:rPr>
          <w:rFonts w:ascii="Times New Roman" w:hAnsi="Times New Roman" w:cs="Times New Roman"/>
          <w:i/>
          <w:sz w:val="22"/>
          <w:szCs w:val="22"/>
        </w:rPr>
        <w:t xml:space="preserve">Чем задано сравнение: контрольная группа, подобранные контроли, группа сопоставления.</w:t>
      </w:r>
    </w:p>
    <w:tbl>
      <w:tblPr>
        <w:tblW w:w="15136" w:type="dxa"/>
        <w:tblLayout w:type="fixed"/>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top w:w="40" w:type="dxa"/>
          <w:left w:w="80" w:type="dxa"/>
          <w:bottom w:w="40" w:type="dxa"/>
          <w:right w:w="80" w:type="dxa"/>
        </w:tblCellMar>
      </w:tblPr>
      <w:tblGrid>
        <w:gridCol w:w="700"/>
        <w:gridCol w:w="2200"/>
        <w:gridCol w:w="7200"/>
        <w:gridCol w:w="5036"/>
      </w:tblGrid>
      <w:tr>
        <w:trPr>
          <w:tblHeader/>
        </w:trPr>
        <w:tc>
          <w:tcPr>
            <w:tcW w:w="700" w:type="dxa"/>
            <w:shd w:val="clear" w:color="auto" w:fill="1F4E79"/>
          </w:tcPr>
          <w:p>
            <w:pPr>
              <w:spacing w:before="20" w:after="20" w:line="240" w:lineRule="auto"/>
            </w:pPr>
            <w:r>
              <w:rPr>
                <w:rFonts w:ascii="Times New Roman" w:hAnsi="Times New Roman" w:cs="Times New Roman"/>
                <w:b/>
                <w:color w:val="FFFFFF"/>
                <w:sz w:val="20"/>
                <w:szCs w:val="20"/>
              </w:rPr>
              <w:t xml:space="preserve">#</w:t>
            </w:r>
          </w:p>
        </w:tc>
        <w:tc>
          <w:tcPr>
            <w:tcW w:w="2200" w:type="dxa"/>
            <w:shd w:val="clear" w:color="auto" w:fill="1F4E79"/>
          </w:tcPr>
          <w:p>
            <w:pPr>
              <w:spacing w:before="20" w:after="20" w:line="240" w:lineRule="auto"/>
            </w:pPr>
            <w:r>
              <w:rPr>
                <w:rFonts w:ascii="Times New Roman" w:hAnsi="Times New Roman" w:cs="Times New Roman"/>
                <w:b/>
                <w:color w:val="FFFFFF"/>
                <w:sz w:val="20"/>
                <w:szCs w:val="20"/>
              </w:rPr>
              <w:t xml:space="preserve">Раздел</w:t>
            </w:r>
          </w:p>
        </w:tc>
        <w:tc>
          <w:tcPr>
            <w:tcW w:w="7200" w:type="dxa"/>
            <w:shd w:val="clear" w:color="auto" w:fill="1F4E79"/>
          </w:tcPr>
          <w:p>
            <w:pPr>
              <w:spacing w:before="20" w:after="20" w:line="240" w:lineRule="auto"/>
            </w:pPr>
            <w:r>
              <w:rPr>
                <w:rFonts w:ascii="Times New Roman" w:hAnsi="Times New Roman" w:cs="Times New Roman"/>
                <w:b/>
                <w:color w:val="FFFFFF"/>
                <w:sz w:val="20"/>
                <w:szCs w:val="20"/>
              </w:rPr>
              <w:t xml:space="preserve">Цитата</w:t>
            </w:r>
          </w:p>
        </w:tc>
        <w:tc>
          <w:tcPr>
            <w:tcW w:w="5036" w:type="dxa"/>
            <w:shd w:val="clear" w:color="auto" w:fill="1F4E79"/>
          </w:tcPr>
          <w:p>
            <w:pPr>
              <w:spacing w:before="20" w:after="20" w:line="240" w:lineRule="auto"/>
            </w:pPr>
            <w:r>
              <w:rPr>
                <w:rFonts w:ascii="Times New Roman" w:hAnsi="Times New Roman" w:cs="Times New Roman"/>
                <w:b/>
                <w:color w:val="FFFFFF"/>
                <w:sz w:val="20"/>
                <w:szCs w:val="20"/>
              </w:rPr>
              <w:t xml:space="preserve">Ссылки</w:t>
            </w:r>
          </w:p>
        </w:tc>
      </w:tr>
      <w:tr>
        <w:tc>
          <w:tcPr>
            <w:tcW w:w="700" w:type="dxa"/>
          </w:tcPr>
          <w:p>
            <w:pPr>
              <w:spacing w:before="20" w:after="20" w:line="240" w:lineRule="auto"/>
            </w:pPr>
            <w:r>
              <w:rPr>
                <w:rFonts w:ascii="Times New Roman" w:hAnsi="Times New Roman" w:cs="Times New Roman"/>
                <w:sz w:val="20"/>
                <w:szCs w:val="20"/>
              </w:rPr>
              <w:t xml:space="preserve">1</w:t>
            </w:r>
          </w:p>
        </w:tc>
        <w:tc>
          <w:tcPr>
            <w:tcW w:w="2200" w:type="dxa"/>
          </w:tcPr>
          <w:p>
            <w:pPr>
              <w:spacing w:before="20" w:after="20" w:line="240" w:lineRule="auto"/>
            </w:pPr>
            <w:r>
              <w:rPr>
                <w:rFonts w:ascii="Times New Roman" w:hAnsi="Times New Roman" w:cs="Times New Roman"/>
                <w:sz w:val="20"/>
                <w:szCs w:val="20"/>
              </w:rPr>
              <w:t xml:space="preserve">Methods → EXPERIMENTAL MODEL AND STUDY PARTICIPANT DETAILS hiPSC source material</w:t>
            </w:r>
          </w:p>
        </w:tc>
        <w:tc>
          <w:tcPr>
            <w:tcW w:w="7200" w:type="dxa"/>
          </w:tcPr>
          <w:p>
            <w:pPr>
              <w:spacing w:before="20" w:after="20" w:line="240" w:lineRule="auto"/>
            </w:pPr>
            <w:r>
              <w:rPr>
                <w:rFonts w:ascii="Times New Roman" w:hAnsi="Times New Roman" w:cs="Times New Roman"/>
                <w:sz w:val="20"/>
                <w:szCs w:val="20"/>
              </w:rPr>
              <w:t xml:space="preserve">Regarding specific stages in the manufacturing process, proper controls were implemented for fibroblast derivation according to established guidelines, while reprogramming and cell expansion took place under fully GMP conditions in compliance with regulatory standards and guidelines of the FDA, EMA, and PMDA.</w:t>
            </w:r>
          </w:p>
        </w:tc>
        <w:tc>
          <w:tcPr>
            <w:tcW w:w="5036" w:type="dxa"/>
          </w:tcPr>
          <w:p>
            <w:pPr>
              <w:spacing w:before="20" w:after="20" w:line="240" w:lineRule="auto"/>
            </w:pPr>
            <w:r>
              <w:rPr>
                <w:rFonts w:ascii="Times New Roman" w:hAnsi="Times New Roman" w:cs="Times New Roman"/>
                <w:sz w:val="20"/>
                <w:szCs w:val="20"/>
              </w:rPr>
              <w:t xml:space="preserve">—</w:t>
            </w:r>
          </w:p>
        </w:tc>
      </w:tr>
      <w:tr>
        <w:tc>
          <w:tcPr>
            <w:tcW w:w="700" w:type="dxa"/>
          </w:tcPr>
          <w:p>
            <w:pPr>
              <w:spacing w:before="20" w:after="20" w:line="240" w:lineRule="auto"/>
            </w:pPr>
            <w:r>
              <w:rPr>
                <w:rFonts w:ascii="Times New Roman" w:hAnsi="Times New Roman" w:cs="Times New Roman"/>
                <w:sz w:val="20"/>
                <w:szCs w:val="20"/>
              </w:rPr>
              <w:t xml:space="preserve">2</w:t>
            </w:r>
          </w:p>
        </w:tc>
        <w:tc>
          <w:tcPr>
            <w:tcW w:w="2200" w:type="dxa"/>
          </w:tcPr>
          <w:p>
            <w:pPr>
              <w:spacing w:before="20" w:after="20" w:line="240" w:lineRule="auto"/>
            </w:pPr>
            <w:r>
              <w:rPr>
                <w:rFonts w:ascii="Times New Roman" w:hAnsi="Times New Roman" w:cs="Times New Roman"/>
                <w:sz w:val="20"/>
                <w:szCs w:val="20"/>
              </w:rPr>
              <w:t xml:space="preserve">Methods → Barcode-Seq of residual OSC presence</w:t>
            </w:r>
          </w:p>
        </w:tc>
        <w:tc>
          <w:tcPr>
            <w:tcW w:w="7200" w:type="dxa"/>
          </w:tcPr>
          <w:p>
            <w:pPr>
              <w:spacing w:before="20" w:after="20" w:line="240" w:lineRule="auto"/>
            </w:pPr>
            <w:r>
              <w:rPr>
                <w:rFonts w:ascii="Times New Roman" w:hAnsi="Times New Roman" w:cs="Times New Roman"/>
                <w:sz w:val="20"/>
                <w:szCs w:val="20"/>
              </w:rPr>
              <w:t xml:space="preserve">Two reference positive control samples of RUO-OSCs were directly sequenced to serve as controls, using the same library preparation and sequencing kit.</w:t>
            </w:r>
          </w:p>
        </w:tc>
        <w:tc>
          <w:tcPr>
            <w:tcW w:w="5036" w:type="dxa"/>
          </w:tcPr>
          <w:p>
            <w:pPr>
              <w:spacing w:before="20" w:after="20" w:line="240" w:lineRule="auto"/>
            </w:pPr>
            <w:r>
              <w:rPr>
                <w:rFonts w:ascii="Times New Roman" w:hAnsi="Times New Roman" w:cs="Times New Roman"/>
                <w:sz w:val="20"/>
                <w:szCs w:val="20"/>
              </w:rPr>
              <w:t xml:space="preserve">—</w:t>
            </w:r>
          </w:p>
        </w:tc>
      </w:tr>
      <w:tr>
        <w:tc>
          <w:tcPr>
            <w:tcW w:w="700" w:type="dxa"/>
          </w:tcPr>
          <w:p>
            <w:pPr>
              <w:spacing w:before="20" w:after="20" w:line="240" w:lineRule="auto"/>
            </w:pPr>
            <w:r>
              <w:rPr>
                <w:rFonts w:ascii="Times New Roman" w:hAnsi="Times New Roman" w:cs="Times New Roman"/>
                <w:sz w:val="20"/>
                <w:szCs w:val="20"/>
              </w:rPr>
              <w:t xml:space="preserve">3</w:t>
            </w:r>
          </w:p>
        </w:tc>
        <w:tc>
          <w:tcPr>
            <w:tcW w:w="2200" w:type="dxa"/>
          </w:tcPr>
          <w:p>
            <w:pPr>
              <w:spacing w:before="20" w:after="20" w:line="240" w:lineRule="auto"/>
            </w:pPr>
            <w:r>
              <w:rPr>
                <w:rFonts w:ascii="Times New Roman" w:hAnsi="Times New Roman" w:cs="Times New Roman"/>
                <w:sz w:val="20"/>
                <w:szCs w:val="20"/>
              </w:rPr>
              <w:t xml:space="preserve">Methods → Murine oocyte maturation assay (MOMA)</w:t>
            </w:r>
          </w:p>
        </w:tc>
        <w:tc>
          <w:tcPr>
            <w:tcW w:w="7200" w:type="dxa"/>
          </w:tcPr>
          <w:p>
            <w:pPr>
              <w:spacing w:before="20" w:after="20" w:line="240" w:lineRule="auto"/>
            </w:pPr>
            <w:r>
              <w:rPr>
                <w:rFonts w:ascii="Times New Roman" w:hAnsi="Times New Roman" w:cs="Times New Roman"/>
                <w:sz w:val="20"/>
                <w:szCs w:val="20"/>
              </w:rPr>
              <w:t xml:space="preserve">GVs with cumulus cells were then randomly split between the Fertilo IVM group or the IVM control group.</w:t>
            </w:r>
          </w:p>
        </w:tc>
        <w:tc>
          <w:tcPr>
            <w:tcW w:w="5036" w:type="dxa"/>
          </w:tcPr>
          <w:p>
            <w:pPr>
              <w:spacing w:before="20" w:after="20" w:line="240" w:lineRule="auto"/>
            </w:pPr>
            <w:r>
              <w:rPr>
                <w:rFonts w:ascii="Times New Roman" w:hAnsi="Times New Roman" w:cs="Times New Roman"/>
                <w:sz w:val="20"/>
                <w:szCs w:val="20"/>
              </w:rPr>
              <w:t xml:space="preserve">—</w:t>
            </w:r>
          </w:p>
        </w:tc>
      </w:tr>
    </w:tbl>
    <w:p>
      <w:pPr>
        <w:spacing w:before="240" w:after="60" w:line="276" w:lineRule="auto"/>
      </w:pPr>
      <w:r>
        <w:rPr>
          <w:rFonts w:ascii="Times New Roman" w:hAnsi="Times New Roman" w:cs="Times New Roman"/>
          <w:b/>
          <w:sz w:val="28"/>
          <w:szCs w:val="28"/>
        </w:rPr>
        <w:t xml:space="preserve">Данные литобзора</w:t>
      </w:r>
    </w:p>
    <w:p>
      <w:pPr>
        <w:spacing w:before="0" w:after="80" w:line="276" w:lineRule="auto"/>
      </w:pPr>
      <w:r>
        <w:rPr>
          <w:rFonts w:ascii="Times New Roman" w:hAnsi="Times New Roman" w:cs="Times New Roman"/>
          <w:i/>
          <w:sz w:val="22"/>
          <w:szCs w:val="22"/>
        </w:rPr>
        <w:t xml:space="preserve">Положения, которые опираются на чужие работы. Это фразы из введения и обсуждения, а не список литературы в конце статьи.</w:t>
      </w:r>
    </w:p>
    <w:tbl>
      <w:tblPr>
        <w:tblW w:w="15136" w:type="dxa"/>
        <w:tblLayout w:type="fixed"/>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top w:w="40" w:type="dxa"/>
          <w:left w:w="80" w:type="dxa"/>
          <w:bottom w:w="40" w:type="dxa"/>
          <w:right w:w="80" w:type="dxa"/>
        </w:tblCellMar>
      </w:tblPr>
      <w:tblGrid>
        <w:gridCol w:w="700"/>
        <w:gridCol w:w="2200"/>
        <w:gridCol w:w="7200"/>
        <w:gridCol w:w="5036"/>
      </w:tblGrid>
      <w:tr>
        <w:trPr>
          <w:tblHeader/>
        </w:trPr>
        <w:tc>
          <w:tcPr>
            <w:tcW w:w="700" w:type="dxa"/>
            <w:shd w:val="clear" w:color="auto" w:fill="1F4E79"/>
          </w:tcPr>
          <w:p>
            <w:pPr>
              <w:spacing w:before="20" w:after="20" w:line="240" w:lineRule="auto"/>
            </w:pPr>
            <w:r>
              <w:rPr>
                <w:rFonts w:ascii="Times New Roman" w:hAnsi="Times New Roman" w:cs="Times New Roman"/>
                <w:b/>
                <w:color w:val="FFFFFF"/>
                <w:sz w:val="20"/>
                <w:szCs w:val="20"/>
              </w:rPr>
              <w:t xml:space="preserve">#</w:t>
            </w:r>
          </w:p>
        </w:tc>
        <w:tc>
          <w:tcPr>
            <w:tcW w:w="2200" w:type="dxa"/>
            <w:shd w:val="clear" w:color="auto" w:fill="1F4E79"/>
          </w:tcPr>
          <w:p>
            <w:pPr>
              <w:spacing w:before="20" w:after="20" w:line="240" w:lineRule="auto"/>
            </w:pPr>
            <w:r>
              <w:rPr>
                <w:rFonts w:ascii="Times New Roman" w:hAnsi="Times New Roman" w:cs="Times New Roman"/>
                <w:b/>
                <w:color w:val="FFFFFF"/>
                <w:sz w:val="20"/>
                <w:szCs w:val="20"/>
              </w:rPr>
              <w:t xml:space="preserve">Раздел</w:t>
            </w:r>
          </w:p>
        </w:tc>
        <w:tc>
          <w:tcPr>
            <w:tcW w:w="7200" w:type="dxa"/>
            <w:shd w:val="clear" w:color="auto" w:fill="1F4E79"/>
          </w:tcPr>
          <w:p>
            <w:pPr>
              <w:spacing w:before="20" w:after="20" w:line="240" w:lineRule="auto"/>
            </w:pPr>
            <w:r>
              <w:rPr>
                <w:rFonts w:ascii="Times New Roman" w:hAnsi="Times New Roman" w:cs="Times New Roman"/>
                <w:b/>
                <w:color w:val="FFFFFF"/>
                <w:sz w:val="20"/>
                <w:szCs w:val="20"/>
              </w:rPr>
              <w:t xml:space="preserve">Цитата</w:t>
            </w:r>
          </w:p>
        </w:tc>
        <w:tc>
          <w:tcPr>
            <w:tcW w:w="5036" w:type="dxa"/>
            <w:shd w:val="clear" w:color="auto" w:fill="1F4E79"/>
          </w:tcPr>
          <w:p>
            <w:pPr>
              <w:spacing w:before="20" w:after="20" w:line="240" w:lineRule="auto"/>
            </w:pPr>
            <w:r>
              <w:rPr>
                <w:rFonts w:ascii="Times New Roman" w:hAnsi="Times New Roman" w:cs="Times New Roman"/>
                <w:b/>
                <w:color w:val="FFFFFF"/>
                <w:sz w:val="20"/>
                <w:szCs w:val="20"/>
              </w:rPr>
              <w:t xml:space="preserve">Ссылки</w:t>
            </w:r>
          </w:p>
        </w:tc>
      </w:tr>
      <w:tr>
        <w:tc>
          <w:tcPr>
            <w:tcW w:w="700" w:type="dxa"/>
          </w:tcPr>
          <w:p>
            <w:pPr>
              <w:spacing w:before="20" w:after="20" w:line="240" w:lineRule="auto"/>
            </w:pPr>
            <w:r>
              <w:rPr>
                <w:rFonts w:ascii="Times New Roman" w:hAnsi="Times New Roman" w:cs="Times New Roman"/>
                <w:sz w:val="20"/>
                <w:szCs w:val="20"/>
              </w:rPr>
              <w:t xml:space="preserve">1</w:t>
            </w:r>
          </w:p>
        </w:tc>
        <w:tc>
          <w:tcPr>
            <w:tcW w:w="2200" w:type="dxa"/>
          </w:tcPr>
          <w:p>
            <w:pPr>
              <w:spacing w:before="20" w:after="20" w:line="240" w:lineRule="auto"/>
            </w:pPr>
            <w:r>
              <w:rPr>
                <w:rFonts w:ascii="Times New Roman" w:hAnsi="Times New Roman" w:cs="Times New Roman"/>
                <w:sz w:val="20"/>
                <w:szCs w:val="20"/>
              </w:rPr>
              <w:t xml:space="preserve">Introduction</w:t>
            </w:r>
          </w:p>
        </w:tc>
        <w:tc>
          <w:tcPr>
            <w:tcW w:w="7200" w:type="dxa"/>
          </w:tcPr>
          <w:p>
            <w:pPr>
              <w:spacing w:before="20" w:after="20" w:line="240" w:lineRule="auto"/>
            </w:pPr>
            <w:r>
              <w:rPr>
                <w:rFonts w:ascii="Times New Roman" w:hAnsi="Times New Roman" w:cs="Times New Roman"/>
                <w:sz w:val="20"/>
                <w:szCs w:val="20"/>
              </w:rPr>
              <w:t xml:space="preserve">Reproductive diseases such as endometriosis, polycystic ovary syndrome (PCOS), and infertility affect over 10% of the population and impose substantial healthcare and economic burdens [1–4].</w:t>
            </w:r>
          </w:p>
        </w:tc>
        <w:tc>
          <w:tcPr>
            <w:tcW w:w="5036" w:type="dxa"/>
          </w:tcPr>
          <w:p>
            <w:pPr>
              <w:spacing w:before="0" w:after="80" w:line="240" w:lineRule="auto"/>
              <w:ind w:left="360"/>
            </w:pPr>
            <w:r>
              <w:rPr>
                <w:rFonts w:ascii="Times New Roman" w:hAnsi="Times New Roman" w:cs="Times New Roman"/>
                <w:sz w:val="20"/>
                <w:szCs w:val="20"/>
              </w:rPr>
              <w:t xml:space="preserve">1. Cox, C.M., Thoma, M.E., Tchangalova, N., Mburu, G., Bornstein, M.J., Johnson, C.L., and Kiarie, J. (2022). Infertility prevalence and the methods of estimation from 1990 to 2021: a systematic review and meta-analysis. Hum. Reprod. Open 2022, hoac051. https://doi.org/10.1093/hropen/hoac051. </w:t>
            </w:r>
            <w:hyperlink r:id="rId2" w:history="1">
              <w:r>
                <w:rPr>
                  <w:rStyle w:val="Hyperlink"/>
                  <w:rFonts w:ascii="Times New Roman" w:hAnsi="Times New Roman" w:cs="Times New Roman"/>
                  <w:color w:val="0563C1"/>
                  <w:u w:val="single"/>
                  <w:sz w:val="20"/>
                  <w:szCs w:val="20"/>
                </w:rPr>
                <w:t xml:space="preserve">https://doi.org/10.1093/hropen/hoac051</w:t>
              </w:r>
            </w:hyperlink>
            <w:r>
              <w:rPr>
                <w:rFonts w:ascii="Times New Roman" w:hAnsi="Times New Roman" w:cs="Times New Roman"/>
                <w:sz w:val="20"/>
                <w:szCs w:val="20"/>
              </w:rPr>
              <w:t xml:space="preserve">; </w:t>
            </w:r>
            <w:r>
              <w:rPr>
                <w:rFonts w:ascii="Times New Roman" w:hAnsi="Times New Roman" w:cs="Times New Roman"/>
                <w:sz w:val="20"/>
                <w:szCs w:val="20"/>
              </w:rPr>
              <w:t xml:space="preserve">2. Moradi, Y., Shams-Beyranvand, M., Khateri, S., Gharahjeh, S., Tehrani, S., Varse, F., Tiyuri, A., and Najmi, Z. (2021). A systematic review on the prevalence of endometriosis in women. Indian J. Med. Res. 154, 446–454. https://doi.org/10.4103/ijmr.IJMR_817_18. </w:t>
            </w:r>
            <w:hyperlink r:id="rId3" w:history="1">
              <w:r>
                <w:rPr>
                  <w:rStyle w:val="Hyperlink"/>
                  <w:rFonts w:ascii="Times New Roman" w:hAnsi="Times New Roman" w:cs="Times New Roman"/>
                  <w:color w:val="0563C1"/>
                  <w:u w:val="single"/>
                  <w:sz w:val="20"/>
                  <w:szCs w:val="20"/>
                </w:rPr>
                <w:t xml:space="preserve">https://doi.org/10.4103/ijmr.IJMR_817_18</w:t>
              </w:r>
            </w:hyperlink>
            <w:r>
              <w:rPr>
                <w:rFonts w:ascii="Times New Roman" w:hAnsi="Times New Roman" w:cs="Times New Roman"/>
                <w:sz w:val="20"/>
                <w:szCs w:val="20"/>
              </w:rPr>
              <w:t xml:space="preserve">; </w:t>
            </w:r>
            <w:r>
              <w:rPr>
                <w:rFonts w:ascii="Times New Roman" w:hAnsi="Times New Roman" w:cs="Times New Roman"/>
                <w:sz w:val="20"/>
                <w:szCs w:val="20"/>
              </w:rPr>
              <w:t xml:space="preserve">3. Shrivastava, S., and Conigliaro, R.L. (2023). Polycystic Ovarian Syndrome. Med. Clin. North Am. 107, 227–234. https://doi.org/10.1016/j.mcna.2022.10.004. </w:t>
            </w:r>
            <w:hyperlink r:id="rId4" w:history="1">
              <w:r>
                <w:rPr>
                  <w:rStyle w:val="Hyperlink"/>
                  <w:rFonts w:ascii="Times New Roman" w:hAnsi="Times New Roman" w:cs="Times New Roman"/>
                  <w:color w:val="0563C1"/>
                  <w:u w:val="single"/>
                  <w:sz w:val="20"/>
                  <w:szCs w:val="20"/>
                </w:rPr>
                <w:t xml:space="preserve">https://doi.org/10.1016/j.mcna.2022.10.004</w:t>
              </w:r>
            </w:hyperlink>
            <w:r>
              <w:rPr>
                <w:rFonts w:ascii="Times New Roman" w:hAnsi="Times New Roman" w:cs="Times New Roman"/>
                <w:sz w:val="20"/>
                <w:szCs w:val="20"/>
              </w:rPr>
              <w:t xml:space="preserve">; </w:t>
            </w:r>
            <w:r>
              <w:rPr>
                <w:rFonts w:ascii="Times New Roman" w:hAnsi="Times New Roman" w:cs="Times New Roman"/>
                <w:sz w:val="20"/>
                <w:szCs w:val="20"/>
              </w:rPr>
              <w:t xml:space="preserve">4. Ballard, K.D., Seaman, H.E., de Vries, C.S., and Wright, J.T. (2008). Can symptomatology help in the diagnosis of endometriosis? Findings from a national case-control study–Part 1. BJOG 115, 1382–1391. https://doi.org/10.1111/j.1471-0528.2008.01878.x. </w:t>
            </w:r>
            <w:hyperlink r:id="rId5" w:history="1">
              <w:r>
                <w:rPr>
                  <w:rStyle w:val="Hyperlink"/>
                  <w:rFonts w:ascii="Times New Roman" w:hAnsi="Times New Roman" w:cs="Times New Roman"/>
                  <w:color w:val="0563C1"/>
                  <w:u w:val="single"/>
                  <w:sz w:val="20"/>
                  <w:szCs w:val="20"/>
                </w:rPr>
                <w:t xml:space="preserve">https://doi.org/10.1111/j.1471-0528.2008.01878.x</w:t>
              </w:r>
            </w:hyperlink>
          </w:p>
        </w:tc>
      </w:tr>
      <w:tr>
        <w:tc>
          <w:tcPr>
            <w:tcW w:w="700" w:type="dxa"/>
          </w:tcPr>
          <w:p>
            <w:pPr>
              <w:spacing w:before="20" w:after="20" w:line="240" w:lineRule="auto"/>
            </w:pPr>
            <w:r>
              <w:rPr>
                <w:rFonts w:ascii="Times New Roman" w:hAnsi="Times New Roman" w:cs="Times New Roman"/>
                <w:sz w:val="20"/>
                <w:szCs w:val="20"/>
              </w:rPr>
              <w:t xml:space="preserve">2</w:t>
            </w:r>
          </w:p>
        </w:tc>
        <w:tc>
          <w:tcPr>
            <w:tcW w:w="2200" w:type="dxa"/>
          </w:tcPr>
          <w:p>
            <w:pPr>
              <w:spacing w:before="20" w:after="20" w:line="240" w:lineRule="auto"/>
            </w:pPr>
            <w:r>
              <w:rPr>
                <w:rFonts w:ascii="Times New Roman" w:hAnsi="Times New Roman" w:cs="Times New Roman"/>
                <w:sz w:val="20"/>
                <w:szCs w:val="20"/>
              </w:rPr>
              <w:t xml:space="preserve">Introduction</w:t>
            </w:r>
          </w:p>
        </w:tc>
        <w:tc>
          <w:tcPr>
            <w:tcW w:w="7200" w:type="dxa"/>
          </w:tcPr>
          <w:p>
            <w:pPr>
              <w:spacing w:before="20" w:after="20" w:line="240" w:lineRule="auto"/>
            </w:pPr>
            <w:r>
              <w:rPr>
                <w:rFonts w:ascii="Times New Roman" w:hAnsi="Times New Roman" w:cs="Times New Roman"/>
                <w:sz w:val="20"/>
                <w:szCs w:val="20"/>
              </w:rPr>
              <w:t xml:space="preserve">Despite the prevalence and clinical significance of these diseases, therapeutic development in reproductive medicine has lagged [5,6] contributing to healthcare disparities and hindering innovation.</w:t>
            </w:r>
          </w:p>
        </w:tc>
        <w:tc>
          <w:tcPr>
            <w:tcW w:w="5036" w:type="dxa"/>
          </w:tcPr>
          <w:p>
            <w:pPr>
              <w:spacing w:before="0" w:after="80" w:line="240" w:lineRule="auto"/>
              <w:ind w:left="360"/>
            </w:pPr>
            <w:r>
              <w:rPr>
                <w:rFonts w:ascii="Times New Roman" w:hAnsi="Times New Roman" w:cs="Times New Roman"/>
                <w:sz w:val="20"/>
                <w:szCs w:val="20"/>
              </w:rPr>
              <w:t xml:space="preserve">5. Mercuri, N.D., and Cox, B.J. (2022). The need for more research into reproductive health and disease. eLife 11, e75061. https://doi.org/10.7554/eLife.75061. </w:t>
            </w:r>
            <w:hyperlink r:id="rId6" w:history="1">
              <w:r>
                <w:rPr>
                  <w:rStyle w:val="Hyperlink"/>
                  <w:rFonts w:ascii="Times New Roman" w:hAnsi="Times New Roman" w:cs="Times New Roman"/>
                  <w:color w:val="0563C1"/>
                  <w:u w:val="single"/>
                  <w:sz w:val="20"/>
                  <w:szCs w:val="20"/>
                </w:rPr>
                <w:t xml:space="preserve">https://doi.org/10.7554/eLife.75061</w:t>
              </w:r>
            </w:hyperlink>
            <w:r>
              <w:rPr>
                <w:rFonts w:ascii="Times New Roman" w:hAnsi="Times New Roman" w:cs="Times New Roman"/>
                <w:sz w:val="20"/>
                <w:szCs w:val="20"/>
              </w:rPr>
              <w:t xml:space="preserve">; </w:t>
            </w:r>
            <w:r>
              <w:rPr>
                <w:rFonts w:ascii="Times New Roman" w:hAnsi="Times New Roman" w:cs="Times New Roman"/>
                <w:sz w:val="20"/>
                <w:szCs w:val="20"/>
              </w:rPr>
              <w:t xml:space="preserve">6. Smith, K. (2023). Women’s health research lacks funding – in a series of charts. Nature 617, 28–29. https://doi.org/10.1038/d41586-023-01475-2. </w:t>
            </w:r>
            <w:hyperlink r:id="rId7" w:history="1">
              <w:r>
                <w:rPr>
                  <w:rStyle w:val="Hyperlink"/>
                  <w:rFonts w:ascii="Times New Roman" w:hAnsi="Times New Roman" w:cs="Times New Roman"/>
                  <w:color w:val="0563C1"/>
                  <w:u w:val="single"/>
                  <w:sz w:val="20"/>
                  <w:szCs w:val="20"/>
                </w:rPr>
                <w:t xml:space="preserve">https://doi.org/10.1038/d41586-023-01475-2</w:t>
              </w:r>
            </w:hyperlink>
          </w:p>
        </w:tc>
      </w:tr>
      <w:tr>
        <w:tc>
          <w:tcPr>
            <w:tcW w:w="700" w:type="dxa"/>
          </w:tcPr>
          <w:p>
            <w:pPr>
              <w:spacing w:before="20" w:after="20" w:line="240" w:lineRule="auto"/>
            </w:pPr>
            <w:r>
              <w:rPr>
                <w:rFonts w:ascii="Times New Roman" w:hAnsi="Times New Roman" w:cs="Times New Roman"/>
                <w:sz w:val="20"/>
                <w:szCs w:val="20"/>
              </w:rPr>
              <w:t xml:space="preserve">3</w:t>
            </w:r>
          </w:p>
        </w:tc>
        <w:tc>
          <w:tcPr>
            <w:tcW w:w="2200" w:type="dxa"/>
          </w:tcPr>
          <w:p>
            <w:pPr>
              <w:spacing w:before="20" w:after="20" w:line="240" w:lineRule="auto"/>
            </w:pPr>
            <w:r>
              <w:rPr>
                <w:rFonts w:ascii="Times New Roman" w:hAnsi="Times New Roman" w:cs="Times New Roman"/>
                <w:sz w:val="20"/>
                <w:szCs w:val="20"/>
              </w:rPr>
              <w:t xml:space="preserve">Introduction</w:t>
            </w:r>
          </w:p>
        </w:tc>
        <w:tc>
          <w:tcPr>
            <w:tcW w:w="7200" w:type="dxa"/>
          </w:tcPr>
          <w:p>
            <w:pPr>
              <w:spacing w:before="20" w:after="20" w:line="240" w:lineRule="auto"/>
            </w:pPr>
            <w:r>
              <w:rPr>
                <w:rFonts w:ascii="Times New Roman" w:hAnsi="Times New Roman" w:cs="Times New Roman"/>
                <w:sz w:val="20"/>
                <w:szCs w:val="20"/>
              </w:rPr>
              <w:t xml:space="preserve">Human induced pluripotent stem cells (hiPSCs) offer new opportunities for reproductive health based on their potential to be differentiated into any cell type in the body, including ovarian support cells (OSCs) with phenotypic and functional similarities to somatic granulosa cells within the ovarian follicle [7–10].</w:t>
            </w:r>
          </w:p>
        </w:tc>
        <w:tc>
          <w:tcPr>
            <w:tcW w:w="5036" w:type="dxa"/>
          </w:tcPr>
          <w:p>
            <w:pPr>
              <w:spacing w:before="0" w:after="80" w:line="240" w:lineRule="auto"/>
              <w:ind w:left="360"/>
            </w:pPr>
            <w:r>
              <w:rPr>
                <w:rFonts w:ascii="Times New Roman" w:hAnsi="Times New Roman" w:cs="Times New Roman"/>
                <w:sz w:val="20"/>
                <w:szCs w:val="20"/>
              </w:rPr>
              <w:t xml:space="preserve">7. Lipskind, S., Lindsey, J.S., Gerami-Naini, B., Eaton, J.L., O’Connell, D., Kiezun, A., Ho, J.W.K., Ng, N., Parasar, P., Ng, M., et al. (2018). An Embryonic and Induced Pluripotent Stem Cell Model for Ovarian Granulosa Cell Development and Steroidogenesis. Reprod. Sci. 25, 712–726. https://doi.org/10.1177/1933719117725814. </w:t>
            </w:r>
            <w:hyperlink r:id="rId8" w:history="1">
              <w:r>
                <w:rPr>
                  <w:rStyle w:val="Hyperlink"/>
                  <w:rFonts w:ascii="Times New Roman" w:hAnsi="Times New Roman" w:cs="Times New Roman"/>
                  <w:color w:val="0563C1"/>
                  <w:u w:val="single"/>
                  <w:sz w:val="20"/>
                  <w:szCs w:val="20"/>
                </w:rPr>
                <w:t xml:space="preserve">https://doi.org/10.1177/1933719117725814</w:t>
              </w:r>
            </w:hyperlink>
            <w:r>
              <w:rPr>
                <w:rFonts w:ascii="Times New Roman" w:hAnsi="Times New Roman" w:cs="Times New Roman"/>
                <w:sz w:val="20"/>
                <w:szCs w:val="20"/>
              </w:rPr>
              <w:t xml:space="preserve">; </w:t>
            </w:r>
            <w:r>
              <w:rPr>
                <w:rFonts w:ascii="Times New Roman" w:hAnsi="Times New Roman" w:cs="Times New Roman"/>
                <w:sz w:val="20"/>
                <w:szCs w:val="20"/>
              </w:rPr>
              <w:t xml:space="preserve">8. Pierson Smela, M.D., Kramme, C.C., Fortuna, P.R.J., Adams, J.L., Su, R., Dong, E., Kobayashi, M., Brixi, G., Kavirayuni, V.S., Tysinger, E., et al. (2023). Directed differentiation of human iPSCs to functional ovarian granulosa-like cells via transcription factor overexpression. eLife 12, e83291. https://doi.org/10.7554/eLife.83291. </w:t>
            </w:r>
            <w:hyperlink r:id="rId9" w:history="1">
              <w:r>
                <w:rPr>
                  <w:rStyle w:val="Hyperlink"/>
                  <w:rFonts w:ascii="Times New Roman" w:hAnsi="Times New Roman" w:cs="Times New Roman"/>
                  <w:color w:val="0563C1"/>
                  <w:u w:val="single"/>
                  <w:sz w:val="20"/>
                  <w:szCs w:val="20"/>
                </w:rPr>
                <w:t xml:space="preserve">https://doi.org/10.7554/eLife.83291</w:t>
              </w:r>
            </w:hyperlink>
            <w:r>
              <w:rPr>
                <w:rFonts w:ascii="Times New Roman" w:hAnsi="Times New Roman" w:cs="Times New Roman"/>
                <w:sz w:val="20"/>
                <w:szCs w:val="20"/>
              </w:rPr>
              <w:t xml:space="preserve">; </w:t>
            </w:r>
            <w:r>
              <w:rPr>
                <w:rFonts w:ascii="Times New Roman" w:hAnsi="Times New Roman" w:cs="Times New Roman"/>
                <w:sz w:val="20"/>
                <w:szCs w:val="20"/>
              </w:rPr>
              <w:t xml:space="preserve">9. Wu, G.M.J., Chen, A.C.H., Yeung, W.S.B., and Lee, Y.L. (2023). Current progress on in vitro differentiation of ovarian follicles from pluripotent stem cells. Front. Cell Dev. Biol. 11, 1166351. https://doi.org/10.3389/fcell.2023.1166351. </w:t>
            </w:r>
            <w:hyperlink r:id="rId10" w:history="1">
              <w:r>
                <w:rPr>
                  <w:rStyle w:val="Hyperlink"/>
                  <w:rFonts w:ascii="Times New Roman" w:hAnsi="Times New Roman" w:cs="Times New Roman"/>
                  <w:color w:val="0563C1"/>
                  <w:u w:val="single"/>
                  <w:sz w:val="20"/>
                  <w:szCs w:val="20"/>
                </w:rPr>
                <w:t xml:space="preserve">https://doi.org/10.3389/fcell.2023.1166351</w:t>
              </w:r>
            </w:hyperlink>
            <w:r>
              <w:rPr>
                <w:rFonts w:ascii="Times New Roman" w:hAnsi="Times New Roman" w:cs="Times New Roman"/>
                <w:sz w:val="20"/>
                <w:szCs w:val="20"/>
              </w:rPr>
              <w:t xml:space="preserve">; </w:t>
            </w:r>
            <w:r>
              <w:rPr>
                <w:rFonts w:ascii="Times New Roman" w:hAnsi="Times New Roman" w:cs="Times New Roman"/>
                <w:sz w:val="20"/>
                <w:szCs w:val="20"/>
              </w:rPr>
              <w:t xml:space="preserve">10. Jung, D., Xiong, J., Ye, M., Qin, X., Li, L., Cheng, S., Luo, M., Peng, J., Dong, J., Tang, F., et al. (2017). In vitro differentiation of human embryonic stem cells into ovarian follicle-like cells. Nat. Commun. 8, 15680. https://doi.org/10.1038/ncomms15680. </w:t>
            </w:r>
            <w:hyperlink r:id="rId11" w:history="1">
              <w:r>
                <w:rPr>
                  <w:rStyle w:val="Hyperlink"/>
                  <w:rFonts w:ascii="Times New Roman" w:hAnsi="Times New Roman" w:cs="Times New Roman"/>
                  <w:color w:val="0563C1"/>
                  <w:u w:val="single"/>
                  <w:sz w:val="20"/>
                  <w:szCs w:val="20"/>
                </w:rPr>
                <w:t xml:space="preserve">https://doi.org/10.1038/ncomms15680</w:t>
              </w:r>
            </w:hyperlink>
          </w:p>
        </w:tc>
      </w:tr>
      <w:tr>
        <w:tc>
          <w:tcPr>
            <w:tcW w:w="700" w:type="dxa"/>
          </w:tcPr>
          <w:p>
            <w:pPr>
              <w:spacing w:before="20" w:after="20" w:line="240" w:lineRule="auto"/>
            </w:pPr>
            <w:r>
              <w:rPr>
                <w:rFonts w:ascii="Times New Roman" w:hAnsi="Times New Roman" w:cs="Times New Roman"/>
                <w:sz w:val="20"/>
                <w:szCs w:val="20"/>
              </w:rPr>
              <w:t xml:space="preserve">4</w:t>
            </w:r>
          </w:p>
        </w:tc>
        <w:tc>
          <w:tcPr>
            <w:tcW w:w="2200" w:type="dxa"/>
          </w:tcPr>
          <w:p>
            <w:pPr>
              <w:spacing w:before="20" w:after="20" w:line="240" w:lineRule="auto"/>
            </w:pPr>
            <w:r>
              <w:rPr>
                <w:rFonts w:ascii="Times New Roman" w:hAnsi="Times New Roman" w:cs="Times New Roman"/>
                <w:sz w:val="20"/>
                <w:szCs w:val="20"/>
              </w:rPr>
              <w:t xml:space="preserve">Introduction</w:t>
            </w:r>
          </w:p>
        </w:tc>
        <w:tc>
          <w:tcPr>
            <w:tcW w:w="7200" w:type="dxa"/>
          </w:tcPr>
          <w:p>
            <w:pPr>
              <w:spacing w:before="20" w:after="20" w:line="240" w:lineRule="auto"/>
            </w:pPr>
            <w:r>
              <w:rPr>
                <w:rFonts w:ascii="Times New Roman" w:hAnsi="Times New Roman" w:cs="Times New Roman"/>
                <w:sz w:val="20"/>
                <w:szCs w:val="20"/>
              </w:rPr>
              <w:t xml:space="preserve">Modulation of the expression of key transcription factors (TFs) involved in granulosa cell specification enables the efficient differentiation of hiPSCs into mature OSCs [8].</w:t>
            </w:r>
          </w:p>
        </w:tc>
        <w:tc>
          <w:tcPr>
            <w:tcW w:w="5036" w:type="dxa"/>
          </w:tcPr>
          <w:p>
            <w:pPr>
              <w:spacing w:before="0" w:after="80" w:line="240" w:lineRule="auto"/>
              <w:ind w:left="360"/>
            </w:pPr>
            <w:r>
              <w:rPr>
                <w:rFonts w:ascii="Times New Roman" w:hAnsi="Times New Roman" w:cs="Times New Roman"/>
                <w:sz w:val="20"/>
                <w:szCs w:val="20"/>
              </w:rPr>
              <w:t xml:space="preserve">8. Pierson Smela, M.D., Kramme, C.C., Fortuna, P.R.J., Adams, J.L., Su, R., Dong, E., Kobayashi, M., Brixi, G., Kavirayuni, V.S., Tysinger, E., et al. (2023). Directed differentiation of human iPSCs to functional ovarian granulosa-like cells via transcription factor overexpression. eLife 12, e83291. https://doi.org/10.7554/eLife.83291. </w:t>
            </w:r>
            <w:hyperlink r:id="rId9" w:history="1">
              <w:r>
                <w:rPr>
                  <w:rStyle w:val="Hyperlink"/>
                  <w:rFonts w:ascii="Times New Roman" w:hAnsi="Times New Roman" w:cs="Times New Roman"/>
                  <w:color w:val="0563C1"/>
                  <w:u w:val="single"/>
                  <w:sz w:val="20"/>
                  <w:szCs w:val="20"/>
                </w:rPr>
                <w:t xml:space="preserve">https://doi.org/10.7554/eLife.83291</w:t>
              </w:r>
            </w:hyperlink>
          </w:p>
        </w:tc>
      </w:tr>
      <w:tr>
        <w:tc>
          <w:tcPr>
            <w:tcW w:w="700" w:type="dxa"/>
          </w:tcPr>
          <w:p>
            <w:pPr>
              <w:spacing w:before="20" w:after="20" w:line="240" w:lineRule="auto"/>
            </w:pPr>
            <w:r>
              <w:rPr>
                <w:rFonts w:ascii="Times New Roman" w:hAnsi="Times New Roman" w:cs="Times New Roman"/>
                <w:sz w:val="20"/>
                <w:szCs w:val="20"/>
              </w:rPr>
              <w:t xml:space="preserve">5</w:t>
            </w:r>
          </w:p>
        </w:tc>
        <w:tc>
          <w:tcPr>
            <w:tcW w:w="2200" w:type="dxa"/>
          </w:tcPr>
          <w:p>
            <w:pPr>
              <w:spacing w:before="20" w:after="20" w:line="240" w:lineRule="auto"/>
            </w:pPr>
            <w:r>
              <w:rPr>
                <w:rFonts w:ascii="Times New Roman" w:hAnsi="Times New Roman" w:cs="Times New Roman"/>
                <w:sz w:val="20"/>
                <w:szCs w:val="20"/>
              </w:rPr>
              <w:t xml:space="preserve">Introduction</w:t>
            </w:r>
          </w:p>
        </w:tc>
        <w:tc>
          <w:tcPr>
            <w:tcW w:w="7200" w:type="dxa"/>
          </w:tcPr>
          <w:p>
            <w:pPr>
              <w:spacing w:before="20" w:after="20" w:line="240" w:lineRule="auto"/>
            </w:pPr>
            <w:r>
              <w:rPr>
                <w:rFonts w:ascii="Times New Roman" w:hAnsi="Times New Roman" w:cs="Times New Roman"/>
                <w:sz w:val="20"/>
                <w:szCs w:val="20"/>
              </w:rPr>
              <w:t xml:space="preserve">However, despite being less burdensome and painful, compared with conventional IVF [11] IVM has been limited by poor embryological and clinical outcomes [12–14].</w:t>
            </w:r>
          </w:p>
        </w:tc>
        <w:tc>
          <w:tcPr>
            <w:tcW w:w="5036" w:type="dxa"/>
          </w:tcPr>
          <w:p>
            <w:pPr>
              <w:spacing w:before="0" w:after="80" w:line="240" w:lineRule="auto"/>
              <w:ind w:left="360"/>
            </w:pPr>
            <w:r>
              <w:rPr>
                <w:rFonts w:ascii="Times New Roman" w:hAnsi="Times New Roman" w:cs="Times New Roman"/>
                <w:sz w:val="20"/>
                <w:szCs w:val="20"/>
              </w:rPr>
              <w:t xml:space="preserve">11. Marchante, M., Barrachina, F., Piechota, S., Fernandez-Gonza´ lez, M., Giovannini, A., Smith, T., Kats, S., Paulsen, B., Gonza´ lez, E., Calvente, V., et al. (2024). Donor side effects experienced under minimal controlled ovarian stimulation with in vitro maturation vs. conventional controlled ovarian stimulation for in vitro fertilization treatment. F. S. Sci. 5, 242–251. https://doi.org/10.1016/j.xfss.2024.05.002. </w:t>
            </w:r>
            <w:hyperlink r:id="rId12" w:history="1">
              <w:r>
                <w:rPr>
                  <w:rStyle w:val="Hyperlink"/>
                  <w:rFonts w:ascii="Times New Roman" w:hAnsi="Times New Roman" w:cs="Times New Roman"/>
                  <w:color w:val="0563C1"/>
                  <w:u w:val="single"/>
                  <w:sz w:val="20"/>
                  <w:szCs w:val="20"/>
                </w:rPr>
                <w:t xml:space="preserve">https://doi.org/10.1016/j.xfss.2024.05.002</w:t>
              </w:r>
            </w:hyperlink>
            <w:r>
              <w:rPr>
                <w:rFonts w:ascii="Times New Roman" w:hAnsi="Times New Roman" w:cs="Times New Roman"/>
                <w:sz w:val="20"/>
                <w:szCs w:val="20"/>
              </w:rPr>
              <w:t xml:space="preserve">; </w:t>
            </w:r>
            <w:r>
              <w:rPr>
                <w:rFonts w:ascii="Times New Roman" w:hAnsi="Times New Roman" w:cs="Times New Roman"/>
                <w:sz w:val="20"/>
                <w:szCs w:val="20"/>
              </w:rPr>
              <w:t xml:space="preserve">12. Ortega-Hrepich, C., Stoop, D., Guzma´ n, L., Van Landuyt, L., Tournaye, H., Smitz, J., and De Vos, M. (2013). A ‘‘freeze-all’’ embryo strategy after in vitro maturation: a novel approach in women with polycystic ovary syndrome? Fertil. Steril. 100, 1002–1007. https://doi.org/10.1016/j.fertnstert.2013.06.018. </w:t>
            </w:r>
            <w:hyperlink r:id="rId13" w:history="1">
              <w:r>
                <w:rPr>
                  <w:rStyle w:val="Hyperlink"/>
                  <w:rFonts w:ascii="Times New Roman" w:hAnsi="Times New Roman" w:cs="Times New Roman"/>
                  <w:color w:val="0563C1"/>
                  <w:u w:val="single"/>
                  <w:sz w:val="20"/>
                  <w:szCs w:val="20"/>
                </w:rPr>
                <w:t xml:space="preserve">https://doi.org/10.1016/j.fertnstert.2013.06.018</w:t>
              </w:r>
            </w:hyperlink>
            <w:r>
              <w:rPr>
                <w:rFonts w:ascii="Times New Roman" w:hAnsi="Times New Roman" w:cs="Times New Roman"/>
                <w:sz w:val="20"/>
                <w:szCs w:val="20"/>
              </w:rPr>
              <w:t xml:space="preserve">; </w:t>
            </w:r>
            <w:r>
              <w:rPr>
                <w:rFonts w:ascii="Times New Roman" w:hAnsi="Times New Roman" w:cs="Times New Roman"/>
                <w:sz w:val="20"/>
                <w:szCs w:val="20"/>
              </w:rPr>
              <w:t xml:space="preserve">13. Zheng, X., Guo, W., Zeng, L., Zheng, D., Yang, S., Xu, Y., Wang, L., Wang, R., Mol, B.W., Li, R., et al. (2022). In vitro maturation without gonadotropins versus in vitro fertilization with hyperstimulation in women with polycystic ovary syndrome: a non-inferiority randomized controlled trial. Hum. Reprod. 37, 242–253. https://doi.org/10.1093/humrep/deab243. </w:t>
            </w:r>
            <w:hyperlink r:id="rId14" w:history="1">
              <w:r>
                <w:rPr>
                  <w:rStyle w:val="Hyperlink"/>
                  <w:rFonts w:ascii="Times New Roman" w:hAnsi="Times New Roman" w:cs="Times New Roman"/>
                  <w:color w:val="0563C1"/>
                  <w:u w:val="single"/>
                  <w:sz w:val="20"/>
                  <w:szCs w:val="20"/>
                </w:rPr>
                <w:t xml:space="preserve">https://doi.org/10.1093/humrep/deab243</w:t>
              </w:r>
            </w:hyperlink>
            <w:r>
              <w:rPr>
                <w:rFonts w:ascii="Times New Roman" w:hAnsi="Times New Roman" w:cs="Times New Roman"/>
                <w:sz w:val="20"/>
                <w:szCs w:val="20"/>
              </w:rPr>
              <w:t xml:space="preserve">; </w:t>
            </w:r>
            <w:r>
              <w:rPr>
                <w:rFonts w:ascii="Times New Roman" w:hAnsi="Times New Roman" w:cs="Times New Roman"/>
                <w:sz w:val="20"/>
                <w:szCs w:val="20"/>
              </w:rPr>
              <w:t xml:space="preserve">14. Vuong, L.N., Pham, T.D., Ho, T.M., and De Vos, M. (2023). Outcomes of clinical in vitro maturation programs for treating infertility in hyper responders: a systematic review. Fertil. Steril. 119, 540–549. https://doi.org/10.1016/j.fertnstert.2023.01.046. </w:t>
            </w:r>
            <w:hyperlink r:id="rId15" w:history="1">
              <w:r>
                <w:rPr>
                  <w:rStyle w:val="Hyperlink"/>
                  <w:rFonts w:ascii="Times New Roman" w:hAnsi="Times New Roman" w:cs="Times New Roman"/>
                  <w:color w:val="0563C1"/>
                  <w:u w:val="single"/>
                  <w:sz w:val="20"/>
                  <w:szCs w:val="20"/>
                </w:rPr>
                <w:t xml:space="preserve">https://doi.org/10.1016/j.fertnstert.2023.01.046</w:t>
              </w:r>
            </w:hyperlink>
          </w:p>
        </w:tc>
      </w:tr>
      <w:tr>
        <w:tc>
          <w:tcPr>
            <w:tcW w:w="700" w:type="dxa"/>
          </w:tcPr>
          <w:p>
            <w:pPr>
              <w:spacing w:before="20" w:after="20" w:line="240" w:lineRule="auto"/>
            </w:pPr>
            <w:r>
              <w:rPr>
                <w:rFonts w:ascii="Times New Roman" w:hAnsi="Times New Roman" w:cs="Times New Roman"/>
                <w:sz w:val="20"/>
                <w:szCs w:val="20"/>
              </w:rPr>
              <w:t xml:space="preserve">6</w:t>
            </w:r>
          </w:p>
        </w:tc>
        <w:tc>
          <w:tcPr>
            <w:tcW w:w="2200" w:type="dxa"/>
          </w:tcPr>
          <w:p>
            <w:pPr>
              <w:spacing w:before="20" w:after="20" w:line="240" w:lineRule="auto"/>
            </w:pPr>
            <w:r>
              <w:rPr>
                <w:rFonts w:ascii="Times New Roman" w:hAnsi="Times New Roman" w:cs="Times New Roman"/>
                <w:sz w:val="20"/>
                <w:szCs w:val="20"/>
              </w:rPr>
              <w:t xml:space="preserve">Introduction</w:t>
            </w:r>
          </w:p>
        </w:tc>
        <w:tc>
          <w:tcPr>
            <w:tcW w:w="7200" w:type="dxa"/>
          </w:tcPr>
          <w:p>
            <w:pPr>
              <w:spacing w:before="20" w:after="20" w:line="240" w:lineRule="auto"/>
            </w:pPr>
            <w:r>
              <w:rPr>
                <w:rFonts w:ascii="Times New Roman" w:hAnsi="Times New Roman" w:cs="Times New Roman"/>
                <w:sz w:val="20"/>
                <w:szCs w:val="20"/>
              </w:rPr>
              <w:t xml:space="preserve">However, the addition of ovarian cells to IVM culture allows for dynamic signaling and response with the changing needs of the maturing oocyte [15,16].</w:t>
            </w:r>
          </w:p>
        </w:tc>
        <w:tc>
          <w:tcPr>
            <w:tcW w:w="5036" w:type="dxa"/>
          </w:tcPr>
          <w:p>
            <w:pPr>
              <w:spacing w:before="0" w:after="80" w:line="240" w:lineRule="auto"/>
              <w:ind w:left="360"/>
            </w:pPr>
            <w:r>
              <w:rPr>
                <w:rFonts w:ascii="Times New Roman" w:hAnsi="Times New Roman" w:cs="Times New Roman"/>
                <w:sz w:val="20"/>
                <w:szCs w:val="20"/>
              </w:rPr>
              <w:t xml:space="preserve">15. Jahromi, B.N., Mosallanezhad, Z., Matloob, N., Davari, M., and Ghobadifar, M.A. (2015). The potential role of granulosa cells in the maturation rate of immature human oocytes and embryo development: A coculture study. Clin. Exp. Reprod. Med. 42, 111–117. https://doi.org/10.5653/cerm.2015.42.3.111. </w:t>
            </w:r>
            <w:hyperlink r:id="rId16" w:history="1">
              <w:r>
                <w:rPr>
                  <w:rStyle w:val="Hyperlink"/>
                  <w:rFonts w:ascii="Times New Roman" w:hAnsi="Times New Roman" w:cs="Times New Roman"/>
                  <w:color w:val="0563C1"/>
                  <w:u w:val="single"/>
                  <w:sz w:val="20"/>
                  <w:szCs w:val="20"/>
                </w:rPr>
                <w:t xml:space="preserve">https://doi.org/10.5653/cerm.2015.42.3.111</w:t>
              </w:r>
            </w:hyperlink>
            <w:r>
              <w:rPr>
                <w:rFonts w:ascii="Times New Roman" w:hAnsi="Times New Roman" w:cs="Times New Roman"/>
                <w:sz w:val="20"/>
                <w:szCs w:val="20"/>
              </w:rPr>
              <w:t xml:space="preserve">; </w:t>
            </w:r>
            <w:r>
              <w:rPr>
                <w:rFonts w:ascii="Times New Roman" w:hAnsi="Times New Roman" w:cs="Times New Roman"/>
                <w:sz w:val="20"/>
                <w:szCs w:val="20"/>
              </w:rPr>
              <w:t xml:space="preserve">16. Johnson, J.E., Higdon, H.L., 3rd, and Boone, W.R. (2008). Effect of human granulosa cell co-culture using standard culture media on the maturation and fertilization potential of immature human oocytes. Fertil. Steril. 90, 1674–1679. https://doi.org/10.1016/j.fertnstert.2007.06.017. </w:t>
            </w:r>
            <w:hyperlink r:id="rId17" w:history="1">
              <w:r>
                <w:rPr>
                  <w:rStyle w:val="Hyperlink"/>
                  <w:rFonts w:ascii="Times New Roman" w:hAnsi="Times New Roman" w:cs="Times New Roman"/>
                  <w:color w:val="0563C1"/>
                  <w:u w:val="single"/>
                  <w:sz w:val="20"/>
                  <w:szCs w:val="20"/>
                </w:rPr>
                <w:t xml:space="preserve">https://doi.org/10.1016/j.fertnstert.2007.06.017</w:t>
              </w:r>
            </w:hyperlink>
          </w:p>
        </w:tc>
      </w:tr>
      <w:tr>
        <w:tc>
          <w:tcPr>
            <w:tcW w:w="700" w:type="dxa"/>
          </w:tcPr>
          <w:p>
            <w:pPr>
              <w:spacing w:before="20" w:after="20" w:line="240" w:lineRule="auto"/>
            </w:pPr>
            <w:r>
              <w:rPr>
                <w:rFonts w:ascii="Times New Roman" w:hAnsi="Times New Roman" w:cs="Times New Roman"/>
                <w:sz w:val="20"/>
                <w:szCs w:val="20"/>
              </w:rPr>
              <w:t xml:space="preserve">7</w:t>
            </w:r>
          </w:p>
        </w:tc>
        <w:tc>
          <w:tcPr>
            <w:tcW w:w="2200" w:type="dxa"/>
          </w:tcPr>
          <w:p>
            <w:pPr>
              <w:spacing w:before="20" w:after="20" w:line="240" w:lineRule="auto"/>
            </w:pPr>
            <w:r>
              <w:rPr>
                <w:rFonts w:ascii="Times New Roman" w:hAnsi="Times New Roman" w:cs="Times New Roman"/>
                <w:sz w:val="20"/>
                <w:szCs w:val="20"/>
              </w:rPr>
              <w:t xml:space="preserve">Introduction</w:t>
            </w:r>
          </w:p>
        </w:tc>
        <w:tc>
          <w:tcPr>
            <w:tcW w:w="7200" w:type="dxa"/>
          </w:tcPr>
          <w:p>
            <w:pPr>
              <w:spacing w:before="20" w:after="20" w:line="240" w:lineRule="auto"/>
            </w:pPr>
            <w:r>
              <w:rPr>
                <w:rFonts w:ascii="Times New Roman" w:hAnsi="Times New Roman" w:cs="Times New Roman"/>
                <w:sz w:val="20"/>
                <w:szCs w:val="20"/>
              </w:rPr>
              <w:t xml:space="preserve">While primary granulosa cell co-culture can improve IVM outcomes [15,16] there are several barriers to the implementation of this practice in clinical settings.</w:t>
            </w:r>
          </w:p>
        </w:tc>
        <w:tc>
          <w:tcPr>
            <w:tcW w:w="5036" w:type="dxa"/>
          </w:tcPr>
          <w:p>
            <w:pPr>
              <w:spacing w:before="0" w:after="80" w:line="240" w:lineRule="auto"/>
              <w:ind w:left="360"/>
            </w:pPr>
            <w:r>
              <w:rPr>
                <w:rFonts w:ascii="Times New Roman" w:hAnsi="Times New Roman" w:cs="Times New Roman"/>
                <w:sz w:val="20"/>
                <w:szCs w:val="20"/>
              </w:rPr>
              <w:t xml:space="preserve">15. Jahromi, B.N., Mosallanezhad, Z., Matloob, N., Davari, M., and Ghobadifar, M.A. (2015). The potential role of granulosa cells in the maturation rate of immature human oocytes and embryo development: A coculture study. Clin. Exp. Reprod. Med. 42, 111–117. https://doi.org/10.5653/cerm.2015.42.3.111. </w:t>
            </w:r>
            <w:hyperlink r:id="rId16" w:history="1">
              <w:r>
                <w:rPr>
                  <w:rStyle w:val="Hyperlink"/>
                  <w:rFonts w:ascii="Times New Roman" w:hAnsi="Times New Roman" w:cs="Times New Roman"/>
                  <w:color w:val="0563C1"/>
                  <w:u w:val="single"/>
                  <w:sz w:val="20"/>
                  <w:szCs w:val="20"/>
                </w:rPr>
                <w:t xml:space="preserve">https://doi.org/10.5653/cerm.2015.42.3.111</w:t>
              </w:r>
            </w:hyperlink>
            <w:r>
              <w:rPr>
                <w:rFonts w:ascii="Times New Roman" w:hAnsi="Times New Roman" w:cs="Times New Roman"/>
                <w:sz w:val="20"/>
                <w:szCs w:val="20"/>
              </w:rPr>
              <w:t xml:space="preserve">; </w:t>
            </w:r>
            <w:r>
              <w:rPr>
                <w:rFonts w:ascii="Times New Roman" w:hAnsi="Times New Roman" w:cs="Times New Roman"/>
                <w:sz w:val="20"/>
                <w:szCs w:val="20"/>
              </w:rPr>
              <w:t xml:space="preserve">16. Johnson, J.E., Higdon, H.L., 3rd, and Boone, W.R. (2008). Effect of human granulosa cell co-culture using standard culture media on the maturation and fertilization potential of immature human oocytes. Fertil. Steril. 90, 1674–1679. https://doi.org/10.1016/j.fertnstert.2007.06.017. </w:t>
            </w:r>
            <w:hyperlink r:id="rId17" w:history="1">
              <w:r>
                <w:rPr>
                  <w:rStyle w:val="Hyperlink"/>
                  <w:rFonts w:ascii="Times New Roman" w:hAnsi="Times New Roman" w:cs="Times New Roman"/>
                  <w:color w:val="0563C1"/>
                  <w:u w:val="single"/>
                  <w:sz w:val="20"/>
                  <w:szCs w:val="20"/>
                </w:rPr>
                <w:t xml:space="preserve">https://doi.org/10.1016/j.fertnstert.2007.06.017</w:t>
              </w:r>
            </w:hyperlink>
          </w:p>
        </w:tc>
      </w:tr>
      <w:tr>
        <w:tc>
          <w:tcPr>
            <w:tcW w:w="700" w:type="dxa"/>
          </w:tcPr>
          <w:p>
            <w:pPr>
              <w:spacing w:before="20" w:after="20" w:line="240" w:lineRule="auto"/>
            </w:pPr>
            <w:r>
              <w:rPr>
                <w:rFonts w:ascii="Times New Roman" w:hAnsi="Times New Roman" w:cs="Times New Roman"/>
                <w:sz w:val="20"/>
                <w:szCs w:val="20"/>
              </w:rPr>
              <w:t xml:space="preserve">8</w:t>
            </w:r>
          </w:p>
        </w:tc>
        <w:tc>
          <w:tcPr>
            <w:tcW w:w="2200" w:type="dxa"/>
          </w:tcPr>
          <w:p>
            <w:pPr>
              <w:spacing w:before="20" w:after="20" w:line="240" w:lineRule="auto"/>
            </w:pPr>
            <w:r>
              <w:rPr>
                <w:rFonts w:ascii="Times New Roman" w:hAnsi="Times New Roman" w:cs="Times New Roman"/>
                <w:sz w:val="20"/>
                <w:szCs w:val="20"/>
              </w:rPr>
              <w:t xml:space="preserve">Introduction</w:t>
            </w:r>
          </w:p>
        </w:tc>
        <w:tc>
          <w:tcPr>
            <w:tcW w:w="7200" w:type="dxa"/>
          </w:tcPr>
          <w:p>
            <w:pPr>
              <w:spacing w:before="20" w:after="20" w:line="240" w:lineRule="auto"/>
            </w:pPr>
            <w:r>
              <w:rPr>
                <w:rFonts w:ascii="Times New Roman" w:hAnsi="Times New Roman" w:cs="Times New Roman"/>
                <w:sz w:val="20"/>
                <w:szCs w:val="20"/>
              </w:rPr>
              <w:t xml:space="preserve">Specifically, primary granulosa cells are derived and isolated from human tissue, which is a finite and non-renewable resource that has inherent variability. hiPSC- derived OSCs offer a sustainable and feasible alternative to primary granulosa cells, and recent studies have demonstrated that hiPSC-derived OSC co-culture, via a method called OSC-IVM, can improve oocyte maturation and euploid blastocyst formation [17,18].</w:t>
            </w:r>
          </w:p>
        </w:tc>
        <w:tc>
          <w:tcPr>
            <w:tcW w:w="5036" w:type="dxa"/>
          </w:tcPr>
          <w:p>
            <w:pPr>
              <w:spacing w:before="0" w:after="80" w:line="240" w:lineRule="auto"/>
              <w:ind w:left="360"/>
            </w:pPr>
            <w:r>
              <w:rPr>
                <w:rFonts w:ascii="Times New Roman" w:hAnsi="Times New Roman" w:cs="Times New Roman"/>
                <w:sz w:val="20"/>
                <w:szCs w:val="20"/>
              </w:rPr>
              <w:t xml:space="preserve">17. Piechota, S., Marchante, M., Giovannini, A., Paulsen, B., Potts, K.S., Rockwell, G., Aschenberger, C., Noblett, A.D., Figueroa, A.B., Sanchez, M., et al. (2023). Human-induced pluripotent stem cell-derived ovarian support cell co-culture improves oocyte maturation in vitro after abbreviated gonadotropin stimulation. Hum. Reprod. 38, 2456–2469. https://doi.org/10.1093/humrep/dead205. </w:t>
            </w:r>
            <w:hyperlink r:id="rId18" w:history="1">
              <w:r>
                <w:rPr>
                  <w:rStyle w:val="Hyperlink"/>
                  <w:rFonts w:ascii="Times New Roman" w:hAnsi="Times New Roman" w:cs="Times New Roman"/>
                  <w:color w:val="0563C1"/>
                  <w:u w:val="single"/>
                  <w:sz w:val="20"/>
                  <w:szCs w:val="20"/>
                </w:rPr>
                <w:t xml:space="preserve">https://doi.org/10.1093/humrep/dead205</w:t>
              </w:r>
            </w:hyperlink>
            <w:r>
              <w:rPr>
                <w:rFonts w:ascii="Times New Roman" w:hAnsi="Times New Roman" w:cs="Times New Roman"/>
                <w:sz w:val="20"/>
                <w:szCs w:val="20"/>
              </w:rPr>
              <w:t xml:space="preserve">; </w:t>
            </w:r>
            <w:r>
              <w:rPr>
                <w:rFonts w:ascii="Times New Roman" w:hAnsi="Times New Roman" w:cs="Times New Roman"/>
                <w:sz w:val="20"/>
                <w:szCs w:val="20"/>
              </w:rPr>
              <w:t xml:space="preserve">18. Paulsen, B., Piechota, S., Barrachina, F., Giovannini, A., Kats, S., Potts, K.S., Rockwell, G., Marchante, M., Estevez, S.L., Noblett, A.D., et al. (2024). Rescue in vitro maturation using ovarian support cells of human oocytes from conventional stimulation cycles yields oocytes with improved nuclear maturation and transcriptomic resemblance to in vivo matured oocytes. J. Assist. Reprod. Genet. 41, 2021–2036. https://doi.org/10.1007/s10815-024-03143-4. </w:t>
            </w:r>
            <w:hyperlink r:id="rId19" w:history="1">
              <w:r>
                <w:rPr>
                  <w:rStyle w:val="Hyperlink"/>
                  <w:rFonts w:ascii="Times New Roman" w:hAnsi="Times New Roman" w:cs="Times New Roman"/>
                  <w:color w:val="0563C1"/>
                  <w:u w:val="single"/>
                  <w:sz w:val="20"/>
                  <w:szCs w:val="20"/>
                </w:rPr>
                <w:t xml:space="preserve">https://doi.org/10.1007/s10815-024-03143-4</w:t>
              </w:r>
            </w:hyperlink>
          </w:p>
        </w:tc>
      </w:tr>
      <w:tr>
        <w:tc>
          <w:tcPr>
            <w:tcW w:w="700" w:type="dxa"/>
          </w:tcPr>
          <w:p>
            <w:pPr>
              <w:spacing w:before="20" w:after="20" w:line="240" w:lineRule="auto"/>
            </w:pPr>
            <w:r>
              <w:rPr>
                <w:rFonts w:ascii="Times New Roman" w:hAnsi="Times New Roman" w:cs="Times New Roman"/>
                <w:sz w:val="20"/>
                <w:szCs w:val="20"/>
              </w:rPr>
              <w:t xml:space="preserve">9</w:t>
            </w:r>
          </w:p>
        </w:tc>
        <w:tc>
          <w:tcPr>
            <w:tcW w:w="2200" w:type="dxa"/>
          </w:tcPr>
          <w:p>
            <w:pPr>
              <w:spacing w:before="20" w:after="20" w:line="240" w:lineRule="auto"/>
            </w:pPr>
            <w:r>
              <w:rPr>
                <w:rFonts w:ascii="Times New Roman" w:hAnsi="Times New Roman" w:cs="Times New Roman"/>
                <w:sz w:val="20"/>
                <w:szCs w:val="20"/>
              </w:rPr>
              <w:t xml:space="preserve">Introduction</w:t>
            </w:r>
          </w:p>
        </w:tc>
        <w:tc>
          <w:tcPr>
            <w:tcW w:w="7200" w:type="dxa"/>
          </w:tcPr>
          <w:p>
            <w:pPr>
              <w:spacing w:before="20" w:after="20" w:line="240" w:lineRule="auto"/>
            </w:pPr>
            <w:r>
              <w:rPr>
                <w:rFonts w:ascii="Times New Roman" w:hAnsi="Times New Roman" w:cs="Times New Roman"/>
                <w:sz w:val="20"/>
                <w:szCs w:val="20"/>
              </w:rPr>
              <w:t xml:space="preserve">The ability to recreate the ovarian microenvironment in a dish, by direct co-culture of OSCs and oocytes, supports oocyte maturation in vitro and improves IVM outcomes [17–19].</w:t>
            </w:r>
          </w:p>
        </w:tc>
        <w:tc>
          <w:tcPr>
            <w:tcW w:w="5036" w:type="dxa"/>
          </w:tcPr>
          <w:p>
            <w:pPr>
              <w:spacing w:before="0" w:after="80" w:line="240" w:lineRule="auto"/>
              <w:ind w:left="360"/>
            </w:pPr>
            <w:r>
              <w:rPr>
                <w:rFonts w:ascii="Times New Roman" w:hAnsi="Times New Roman" w:cs="Times New Roman"/>
                <w:sz w:val="20"/>
                <w:szCs w:val="20"/>
              </w:rPr>
              <w:t xml:space="preserve">17. Piechota, S., Marchante, M., Giovannini, A., Paulsen, B., Potts, K.S., Rockwell, G., Aschenberger, C., Noblett, A.D., Figueroa, A.B., Sanchez, M., et al. (2023). Human-induced pluripotent stem cell-derived ovarian support cell co-culture improves oocyte maturation in vitro after abbreviated gonadotropin stimulation. Hum. Reprod. 38, 2456–2469. https://doi.org/10.1093/humrep/dead205. </w:t>
            </w:r>
            <w:hyperlink r:id="rId18" w:history="1">
              <w:r>
                <w:rPr>
                  <w:rStyle w:val="Hyperlink"/>
                  <w:rFonts w:ascii="Times New Roman" w:hAnsi="Times New Roman" w:cs="Times New Roman"/>
                  <w:color w:val="0563C1"/>
                  <w:u w:val="single"/>
                  <w:sz w:val="20"/>
                  <w:szCs w:val="20"/>
                </w:rPr>
                <w:t xml:space="preserve">https://doi.org/10.1093/humrep/dead205</w:t>
              </w:r>
            </w:hyperlink>
            <w:r>
              <w:rPr>
                <w:rFonts w:ascii="Times New Roman" w:hAnsi="Times New Roman" w:cs="Times New Roman"/>
                <w:sz w:val="20"/>
                <w:szCs w:val="20"/>
              </w:rPr>
              <w:t xml:space="preserve">; </w:t>
            </w:r>
            <w:r>
              <w:rPr>
                <w:rFonts w:ascii="Times New Roman" w:hAnsi="Times New Roman" w:cs="Times New Roman"/>
                <w:sz w:val="20"/>
                <w:szCs w:val="20"/>
              </w:rPr>
              <w:t xml:space="preserve">18. Paulsen, B., Piechota, S., Barrachina, F., Giovannini, A., Kats, S., Potts, K.S., Rockwell, G., Marchante, M., Estevez, S.L., Noblett, A.D., et al. (2024). Rescue in vitro maturation using ovarian support cells of human oocytes from conventional stimulation cycles yields oocytes with improved nuclear maturation and transcriptomic resemblance to in vivo matured oocytes. J. Assist. Reprod. Genet. 41, 2021–2036. https://doi.org/10.1007/s10815-024-03143-4. </w:t>
            </w:r>
            <w:hyperlink r:id="rId19" w:history="1">
              <w:r>
                <w:rPr>
                  <w:rStyle w:val="Hyperlink"/>
                  <w:rFonts w:ascii="Times New Roman" w:hAnsi="Times New Roman" w:cs="Times New Roman"/>
                  <w:color w:val="0563C1"/>
                  <w:u w:val="single"/>
                  <w:sz w:val="20"/>
                  <w:szCs w:val="20"/>
                </w:rPr>
                <w:t xml:space="preserve">https://doi.org/10.1007/s10815-024-03143-4</w:t>
              </w:r>
            </w:hyperlink>
            <w:r>
              <w:rPr>
                <w:rFonts w:ascii="Times New Roman" w:hAnsi="Times New Roman" w:cs="Times New Roman"/>
                <w:sz w:val="20"/>
                <w:szCs w:val="20"/>
              </w:rPr>
              <w:t xml:space="preserve">; </w:t>
            </w:r>
            <w:r>
              <w:rPr>
                <w:rFonts w:ascii="Times New Roman" w:hAnsi="Times New Roman" w:cs="Times New Roman"/>
                <w:sz w:val="20"/>
                <w:szCs w:val="20"/>
              </w:rPr>
              <w:t xml:space="preserve">19. Sanchez, F., Le, A.H., Ho, V.N.A., Romero, S., Van Ranst, H., De Vos, M., Gilchrist, R.B., Ho, T.M., Vuong, L.N., and Smitz, J. (2019). Biphasic in vitro maturation (CAPA-IVM) specifically improves the developmental capacity of oocytes from small antral follicles. J. Assist. Reprod. Genet. 36, 2135– 2144. https://doi.org/10.1007/s10815-019-01551-5. </w:t>
            </w:r>
            <w:hyperlink r:id="rId20" w:history="1">
              <w:r>
                <w:rPr>
                  <w:rStyle w:val="Hyperlink"/>
                  <w:rFonts w:ascii="Times New Roman" w:hAnsi="Times New Roman" w:cs="Times New Roman"/>
                  <w:color w:val="0563C1"/>
                  <w:u w:val="single"/>
                  <w:sz w:val="20"/>
                  <w:szCs w:val="20"/>
                </w:rPr>
                <w:t xml:space="preserve">https://doi.org/10.1007/s10815-019-01551-5</w:t>
              </w:r>
            </w:hyperlink>
          </w:p>
        </w:tc>
      </w:tr>
      <w:tr>
        <w:tc>
          <w:tcPr>
            <w:tcW w:w="700" w:type="dxa"/>
          </w:tcPr>
          <w:p>
            <w:pPr>
              <w:spacing w:before="20" w:after="20" w:line="240" w:lineRule="auto"/>
            </w:pPr>
            <w:r>
              <w:rPr>
                <w:rFonts w:ascii="Times New Roman" w:hAnsi="Times New Roman" w:cs="Times New Roman"/>
                <w:sz w:val="20"/>
                <w:szCs w:val="20"/>
              </w:rPr>
              <w:t xml:space="preserve">10</w:t>
            </w:r>
          </w:p>
        </w:tc>
        <w:tc>
          <w:tcPr>
            <w:tcW w:w="2200" w:type="dxa"/>
          </w:tcPr>
          <w:p>
            <w:pPr>
              <w:spacing w:before="20" w:after="20" w:line="240" w:lineRule="auto"/>
            </w:pPr>
            <w:r>
              <w:rPr>
                <w:rFonts w:ascii="Times New Roman" w:hAnsi="Times New Roman" w:cs="Times New Roman"/>
                <w:sz w:val="20"/>
                <w:szCs w:val="20"/>
              </w:rPr>
              <w:t xml:space="preserve">Introduction</w:t>
            </w:r>
          </w:p>
        </w:tc>
        <w:tc>
          <w:tcPr>
            <w:tcW w:w="7200" w:type="dxa"/>
          </w:tcPr>
          <w:p>
            <w:pPr>
              <w:spacing w:before="20" w:after="20" w:line="240" w:lineRule="auto"/>
            </w:pPr>
            <w:r>
              <w:rPr>
                <w:rFonts w:ascii="Times New Roman" w:hAnsi="Times New Roman" w:cs="Times New Roman"/>
                <w:sz w:val="20"/>
                <w:szCs w:val="20"/>
              </w:rPr>
              <w:t xml:space="preserve">Not only does OSC-IVM improve oocyte maturation and blastocyst formation rates (BFRs), but resultant mature oocytes demonstrated more transcriptomic similarity to in vivo-maturated oocytes than those matured via traditional IVM, and the epigenetic profiles of blastocysts exhibited the same trend [17,18].</w:t>
            </w:r>
          </w:p>
        </w:tc>
        <w:tc>
          <w:tcPr>
            <w:tcW w:w="5036" w:type="dxa"/>
          </w:tcPr>
          <w:p>
            <w:pPr>
              <w:spacing w:before="0" w:after="80" w:line="240" w:lineRule="auto"/>
              <w:ind w:left="360"/>
            </w:pPr>
            <w:r>
              <w:rPr>
                <w:rFonts w:ascii="Times New Roman" w:hAnsi="Times New Roman" w:cs="Times New Roman"/>
                <w:sz w:val="20"/>
                <w:szCs w:val="20"/>
              </w:rPr>
              <w:t xml:space="preserve">17. Piechota, S., Marchante, M., Giovannini, A., Paulsen, B., Potts, K.S., Rockwell, G., Aschenberger, C., Noblett, A.D., Figueroa, A.B., Sanchez, M., et al. (2023). Human-induced pluripotent stem cell-derived ovarian support cell co-culture improves oocyte maturation in vitro after abbreviated gonadotropin stimulation. Hum. Reprod. 38, 2456–2469. https://doi.org/10.1093/humrep/dead205. </w:t>
            </w:r>
            <w:hyperlink r:id="rId18" w:history="1">
              <w:r>
                <w:rPr>
                  <w:rStyle w:val="Hyperlink"/>
                  <w:rFonts w:ascii="Times New Roman" w:hAnsi="Times New Roman" w:cs="Times New Roman"/>
                  <w:color w:val="0563C1"/>
                  <w:u w:val="single"/>
                  <w:sz w:val="20"/>
                  <w:szCs w:val="20"/>
                </w:rPr>
                <w:t xml:space="preserve">https://doi.org/10.1093/humrep/dead205</w:t>
              </w:r>
            </w:hyperlink>
            <w:r>
              <w:rPr>
                <w:rFonts w:ascii="Times New Roman" w:hAnsi="Times New Roman" w:cs="Times New Roman"/>
                <w:sz w:val="20"/>
                <w:szCs w:val="20"/>
              </w:rPr>
              <w:t xml:space="preserve">; </w:t>
            </w:r>
            <w:r>
              <w:rPr>
                <w:rFonts w:ascii="Times New Roman" w:hAnsi="Times New Roman" w:cs="Times New Roman"/>
                <w:sz w:val="20"/>
                <w:szCs w:val="20"/>
              </w:rPr>
              <w:t xml:space="preserve">18. Paulsen, B., Piechota, S., Barrachina, F., Giovannini, A., Kats, S., Potts, K.S., Rockwell, G., Marchante, M., Estevez, S.L., Noblett, A.D., et al. (2024). Rescue in vitro maturation using ovarian support cells of human oocytes from conventional stimulation cycles yields oocytes with improved nuclear maturation and transcriptomic resemblance to in vivo matured oocytes. J. Assist. Reprod. Genet. 41, 2021–2036. https://doi.org/10.1007/s10815-024-03143-4. </w:t>
            </w:r>
            <w:hyperlink r:id="rId19" w:history="1">
              <w:r>
                <w:rPr>
                  <w:rStyle w:val="Hyperlink"/>
                  <w:rFonts w:ascii="Times New Roman" w:hAnsi="Times New Roman" w:cs="Times New Roman"/>
                  <w:color w:val="0563C1"/>
                  <w:u w:val="single"/>
                  <w:sz w:val="20"/>
                  <w:szCs w:val="20"/>
                </w:rPr>
                <w:t xml:space="preserve">https://doi.org/10.1007/s10815-024-03143-4</w:t>
              </w:r>
            </w:hyperlink>
          </w:p>
        </w:tc>
      </w:tr>
      <w:tr>
        <w:tc>
          <w:tcPr>
            <w:tcW w:w="700" w:type="dxa"/>
          </w:tcPr>
          <w:p>
            <w:pPr>
              <w:spacing w:before="20" w:after="20" w:line="240" w:lineRule="auto"/>
            </w:pPr>
            <w:r>
              <w:rPr>
                <w:rFonts w:ascii="Times New Roman" w:hAnsi="Times New Roman" w:cs="Times New Roman"/>
                <w:sz w:val="20"/>
                <w:szCs w:val="20"/>
              </w:rPr>
              <w:t xml:space="preserve">11</w:t>
            </w:r>
          </w:p>
        </w:tc>
        <w:tc>
          <w:tcPr>
            <w:tcW w:w="2200" w:type="dxa"/>
          </w:tcPr>
          <w:p>
            <w:pPr>
              <w:spacing w:before="20" w:after="20" w:line="240" w:lineRule="auto"/>
            </w:pPr>
            <w:r>
              <w:rPr>
                <w:rFonts w:ascii="Times New Roman" w:hAnsi="Times New Roman" w:cs="Times New Roman"/>
                <w:sz w:val="20"/>
                <w:szCs w:val="20"/>
              </w:rPr>
              <w:t xml:space="preserve">Introduction</w:t>
            </w:r>
          </w:p>
        </w:tc>
        <w:tc>
          <w:tcPr>
            <w:tcW w:w="7200" w:type="dxa"/>
          </w:tcPr>
          <w:p>
            <w:pPr>
              <w:spacing w:before="20" w:after="20" w:line="240" w:lineRule="auto"/>
            </w:pPr>
            <w:r>
              <w:rPr>
                <w:rFonts w:ascii="Times New Roman" w:hAnsi="Times New Roman" w:cs="Times New Roman"/>
                <w:sz w:val="20"/>
                <w:szCs w:val="20"/>
              </w:rPr>
              <w:t xml:space="preserve">In a multigenerational murine study, OSC-IVM did not lead to reprotoxicity, and the implantation of resultant embryos led to healthy live births [20].</w:t>
            </w:r>
          </w:p>
        </w:tc>
        <w:tc>
          <w:tcPr>
            <w:tcW w:w="5036" w:type="dxa"/>
          </w:tcPr>
          <w:p>
            <w:pPr>
              <w:spacing w:before="0" w:after="80" w:line="240" w:lineRule="auto"/>
              <w:ind w:left="360"/>
            </w:pPr>
            <w:r>
              <w:rPr>
                <w:rFonts w:ascii="Times New Roman" w:hAnsi="Times New Roman" w:cs="Times New Roman"/>
                <w:sz w:val="20"/>
                <w:szCs w:val="20"/>
              </w:rPr>
              <w:t xml:space="preserve">20. Marchante, M., Barrachina, F., Mestres, E., Acacio, M., Potts, K.S., Piechota, S., Paulsen, B., Noblett, A.D., Figueroa, A.B., Costa-Borges, N., et al. (2024). Ovarian support cell in vitro maturation (OSC-IVM) results in healthy murine live births with no evidence of reprotoxicology in a multigenerational study. Reprod. Biomed. Online 50, 104695.</w:t>
            </w:r>
          </w:p>
        </w:tc>
      </w:tr>
      <w:tr>
        <w:tc>
          <w:tcPr>
            <w:tcW w:w="700" w:type="dxa"/>
          </w:tcPr>
          <w:p>
            <w:pPr>
              <w:spacing w:before="20" w:after="20" w:line="240" w:lineRule="auto"/>
            </w:pPr>
            <w:r>
              <w:rPr>
                <w:rFonts w:ascii="Times New Roman" w:hAnsi="Times New Roman" w:cs="Times New Roman"/>
                <w:sz w:val="20"/>
                <w:szCs w:val="20"/>
              </w:rPr>
              <w:t xml:space="preserve">12</w:t>
            </w:r>
          </w:p>
        </w:tc>
        <w:tc>
          <w:tcPr>
            <w:tcW w:w="2200" w:type="dxa"/>
          </w:tcPr>
          <w:p>
            <w:pPr>
              <w:spacing w:before="20" w:after="20" w:line="240" w:lineRule="auto"/>
            </w:pPr>
            <w:r>
              <w:rPr>
                <w:rFonts w:ascii="Times New Roman" w:hAnsi="Times New Roman" w:cs="Times New Roman"/>
                <w:sz w:val="20"/>
                <w:szCs w:val="20"/>
              </w:rPr>
              <w:t xml:space="preserve">Introduction</w:t>
            </w:r>
          </w:p>
        </w:tc>
        <w:tc>
          <w:tcPr>
            <w:tcW w:w="7200" w:type="dxa"/>
          </w:tcPr>
          <w:p>
            <w:pPr>
              <w:spacing w:before="20" w:after="20" w:line="240" w:lineRule="auto"/>
            </w:pPr>
            <w:r>
              <w:rPr>
                <w:rFonts w:ascii="Times New Roman" w:hAnsi="Times New Roman" w:cs="Times New Roman"/>
                <w:sz w:val="20"/>
                <w:szCs w:val="20"/>
              </w:rPr>
              <w:t xml:space="preserve">There were also no significant differences in the live birth rates, sex ratio, development, or behavior of F1 and F2 offspring, following OSC-IVM [20].</w:t>
            </w:r>
          </w:p>
        </w:tc>
        <w:tc>
          <w:tcPr>
            <w:tcW w:w="5036" w:type="dxa"/>
          </w:tcPr>
          <w:p>
            <w:pPr>
              <w:spacing w:before="0" w:after="80" w:line="240" w:lineRule="auto"/>
              <w:ind w:left="360"/>
            </w:pPr>
            <w:r>
              <w:rPr>
                <w:rFonts w:ascii="Times New Roman" w:hAnsi="Times New Roman" w:cs="Times New Roman"/>
                <w:sz w:val="20"/>
                <w:szCs w:val="20"/>
              </w:rPr>
              <w:t xml:space="preserve">20. Marchante, M., Barrachina, F., Mestres, E., Acacio, M., Potts, K.S., Piechota, S., Paulsen, B., Noblett, A.D., Figueroa, A.B., Costa-Borges, N., et al. (2024). Ovarian support cell in vitro maturation (OSC-IVM) results in healthy murine live births with no evidence of reprotoxicology in a multigenerational study. Reprod. Biomed. Online 50, 104695.</w:t>
            </w:r>
          </w:p>
        </w:tc>
      </w:tr>
      <w:tr>
        <w:tc>
          <w:tcPr>
            <w:tcW w:w="700" w:type="dxa"/>
          </w:tcPr>
          <w:p>
            <w:pPr>
              <w:spacing w:before="20" w:after="20" w:line="240" w:lineRule="auto"/>
            </w:pPr>
            <w:r>
              <w:rPr>
                <w:rFonts w:ascii="Times New Roman" w:hAnsi="Times New Roman" w:cs="Times New Roman"/>
                <w:sz w:val="20"/>
                <w:szCs w:val="20"/>
              </w:rPr>
              <w:t xml:space="preserve">13</w:t>
            </w:r>
          </w:p>
        </w:tc>
        <w:tc>
          <w:tcPr>
            <w:tcW w:w="2200" w:type="dxa"/>
          </w:tcPr>
          <w:p>
            <w:pPr>
              <w:spacing w:before="20" w:after="20" w:line="240" w:lineRule="auto"/>
            </w:pPr>
            <w:r>
              <w:rPr>
                <w:rFonts w:ascii="Times New Roman" w:hAnsi="Times New Roman" w:cs="Times New Roman"/>
                <w:sz w:val="20"/>
                <w:szCs w:val="20"/>
              </w:rPr>
              <w:t xml:space="preserve">Introduction</w:t>
            </w:r>
          </w:p>
        </w:tc>
        <w:tc>
          <w:tcPr>
            <w:tcW w:w="7200" w:type="dxa"/>
          </w:tcPr>
          <w:p>
            <w:pPr>
              <w:spacing w:before="20" w:after="20" w:line="240" w:lineRule="auto"/>
            </w:pPr>
            <w:r>
              <w:rPr>
                <w:rFonts w:ascii="Times New Roman" w:hAnsi="Times New Roman" w:cs="Times New Roman"/>
                <w:sz w:val="20"/>
                <w:szCs w:val="20"/>
              </w:rPr>
              <w:t xml:space="preserve">Although previous studies demonstrated the promise of OSC-IVM, clinical application of allogeneic OSCs for ex vivo gamete co-culture requires a meticulous approach to address several process challenges.</w:t>
            </w:r>
          </w:p>
        </w:tc>
        <w:tc>
          <w:tcPr>
            <w:tcW w:w="5036" w:type="dxa"/>
          </w:tcPr>
          <w:p>
            <w:pPr>
              <w:spacing w:before="20" w:after="20" w:line="240" w:lineRule="auto"/>
            </w:pPr>
            <w:r>
              <w:rPr>
                <w:rFonts w:ascii="Times New Roman" w:hAnsi="Times New Roman" w:cs="Times New Roman"/>
                <w:sz w:val="20"/>
                <w:szCs w:val="20"/>
              </w:rPr>
              <w:t xml:space="preserve">—</w:t>
            </w:r>
          </w:p>
        </w:tc>
      </w:tr>
      <w:tr>
        <w:tc>
          <w:tcPr>
            <w:tcW w:w="700" w:type="dxa"/>
          </w:tcPr>
          <w:p>
            <w:pPr>
              <w:spacing w:before="20" w:after="20" w:line="240" w:lineRule="auto"/>
            </w:pPr>
            <w:r>
              <w:rPr>
                <w:rFonts w:ascii="Times New Roman" w:hAnsi="Times New Roman" w:cs="Times New Roman"/>
                <w:sz w:val="20"/>
                <w:szCs w:val="20"/>
              </w:rPr>
              <w:t xml:space="preserve">14</w:t>
            </w:r>
          </w:p>
        </w:tc>
        <w:tc>
          <w:tcPr>
            <w:tcW w:w="2200" w:type="dxa"/>
          </w:tcPr>
          <w:p>
            <w:pPr>
              <w:spacing w:before="20" w:after="20" w:line="240" w:lineRule="auto"/>
            </w:pPr>
            <w:r>
              <w:rPr>
                <w:rFonts w:ascii="Times New Roman" w:hAnsi="Times New Roman" w:cs="Times New Roman"/>
                <w:sz w:val="20"/>
                <w:szCs w:val="20"/>
              </w:rPr>
              <w:t xml:space="preserve">Discussion</w:t>
            </w:r>
          </w:p>
        </w:tc>
        <w:tc>
          <w:tcPr>
            <w:tcW w:w="7200" w:type="dxa"/>
          </w:tcPr>
          <w:p>
            <w:pPr>
              <w:spacing w:before="20" w:after="20" w:line="240" w:lineRule="auto"/>
            </w:pPr>
            <w:r>
              <w:rPr>
                <w:rFonts w:ascii="Times New Roman" w:hAnsi="Times New Roman" w:cs="Times New Roman"/>
                <w:sz w:val="20"/>
                <w:szCs w:val="20"/>
              </w:rPr>
              <w:t xml:space="preserve">Oocyte maturation in vivo relies on extensive crosstalk between the developing oocytes and somatic ovarian cells, including granulosa and theca cells [21,32,33].</w:t>
            </w:r>
          </w:p>
        </w:tc>
        <w:tc>
          <w:tcPr>
            <w:tcW w:w="5036" w:type="dxa"/>
          </w:tcPr>
          <w:p>
            <w:pPr>
              <w:spacing w:before="0" w:after="80" w:line="240" w:lineRule="auto"/>
              <w:ind w:left="360"/>
            </w:pPr>
            <w:r>
              <w:rPr>
                <w:rFonts w:ascii="Times New Roman" w:hAnsi="Times New Roman" w:cs="Times New Roman"/>
                <w:sz w:val="20"/>
                <w:szCs w:val="20"/>
              </w:rPr>
              <w:t xml:space="preserve">21. Zhang, Y., Yan, Z., Qin, Q., Nisenblat, V., Chang, H.-M., Yu, Y., Wang, T., Lu, C., Yang, M., Yang, S., et al. (2018). Transcriptome Landscape of Human Folliculogenesis Reveals Oocyte and Granulosa Cell Interactions. Mol. Cell 72, 1021–1034.e4. https://doi.org/10.1016/j.molcel.2018.10.029. </w:t>
            </w:r>
            <w:hyperlink r:id="rId22" w:history="1">
              <w:r>
                <w:rPr>
                  <w:rStyle w:val="Hyperlink"/>
                  <w:rFonts w:ascii="Times New Roman" w:hAnsi="Times New Roman" w:cs="Times New Roman"/>
                  <w:color w:val="0563C1"/>
                  <w:u w:val="single"/>
                  <w:sz w:val="20"/>
                  <w:szCs w:val="20"/>
                </w:rPr>
                <w:t xml:space="preserve">https://doi.org/10.1016/j.molcel.2018.10.029</w:t>
              </w:r>
            </w:hyperlink>
            <w:r>
              <w:rPr>
                <w:rFonts w:ascii="Times New Roman" w:hAnsi="Times New Roman" w:cs="Times New Roman"/>
                <w:sz w:val="20"/>
                <w:szCs w:val="20"/>
              </w:rPr>
              <w:t xml:space="preserve">; </w:t>
            </w:r>
            <w:r>
              <w:rPr>
                <w:rFonts w:ascii="Times New Roman" w:hAnsi="Times New Roman" w:cs="Times New Roman"/>
                <w:sz w:val="20"/>
                <w:szCs w:val="20"/>
              </w:rPr>
              <w:t xml:space="preserve">32. Zhang, H., Lu, S., Xu, R., Tang, Y., Liu, J., Li, C., Wei, J., Yao, R., Zhao, X., Wei, Q., et al. (2020). Mechanisms of estradiol-induced EGF-like factor expression and oocyte maturation via G protein-coupled estrogen receptor. Endocrinology 161, bqaa190. https://doi.org/10.1210/endocr/bqaa190. </w:t>
            </w:r>
            <w:hyperlink r:id="rId23" w:history="1">
              <w:r>
                <w:rPr>
                  <w:rStyle w:val="Hyperlink"/>
                  <w:rFonts w:ascii="Times New Roman" w:hAnsi="Times New Roman" w:cs="Times New Roman"/>
                  <w:color w:val="0563C1"/>
                  <w:u w:val="single"/>
                  <w:sz w:val="20"/>
                  <w:szCs w:val="20"/>
                </w:rPr>
                <w:t xml:space="preserve">https://doi.org/10.1210/endocr/bqaa190</w:t>
              </w:r>
            </w:hyperlink>
            <w:r>
              <w:rPr>
                <w:rFonts w:ascii="Times New Roman" w:hAnsi="Times New Roman" w:cs="Times New Roman"/>
                <w:sz w:val="20"/>
                <w:szCs w:val="20"/>
              </w:rPr>
              <w:t xml:space="preserve">; </w:t>
            </w:r>
            <w:r>
              <w:rPr>
                <w:rFonts w:ascii="Times New Roman" w:hAnsi="Times New Roman" w:cs="Times New Roman"/>
                <w:sz w:val="20"/>
                <w:szCs w:val="20"/>
              </w:rPr>
              <w:t xml:space="preserve">33. Shi, Y., Guo, Y., Zhou, J., Cui, G., Cheng, J.-C., Wu, Y., Zhao, Y.-L., Fang, L., Han, X., Yang, Y.-G., et al. (2023). A spatiotemporal gene expression and cell atlases of the developing rat ovary. Cell Prolif. 56, e13516. https://doi.org/10.1111/cpr.13516. </w:t>
            </w:r>
            <w:hyperlink r:id="rId24" w:history="1">
              <w:r>
                <w:rPr>
                  <w:rStyle w:val="Hyperlink"/>
                  <w:rFonts w:ascii="Times New Roman" w:hAnsi="Times New Roman" w:cs="Times New Roman"/>
                  <w:color w:val="0563C1"/>
                  <w:u w:val="single"/>
                  <w:sz w:val="20"/>
                  <w:szCs w:val="20"/>
                </w:rPr>
                <w:t xml:space="preserve">https://doi.org/10.1111/cpr.13516</w:t>
              </w:r>
            </w:hyperlink>
          </w:p>
        </w:tc>
      </w:tr>
      <w:tr>
        <w:tc>
          <w:tcPr>
            <w:tcW w:w="700" w:type="dxa"/>
          </w:tcPr>
          <w:p>
            <w:pPr>
              <w:spacing w:before="20" w:after="20" w:line="240" w:lineRule="auto"/>
            </w:pPr>
            <w:r>
              <w:rPr>
                <w:rFonts w:ascii="Times New Roman" w:hAnsi="Times New Roman" w:cs="Times New Roman"/>
                <w:sz w:val="20"/>
                <w:szCs w:val="20"/>
              </w:rPr>
              <w:t xml:space="preserve">15</w:t>
            </w:r>
          </w:p>
        </w:tc>
        <w:tc>
          <w:tcPr>
            <w:tcW w:w="2200" w:type="dxa"/>
          </w:tcPr>
          <w:p>
            <w:pPr>
              <w:spacing w:before="20" w:after="20" w:line="240" w:lineRule="auto"/>
            </w:pPr>
            <w:r>
              <w:rPr>
                <w:rFonts w:ascii="Times New Roman" w:hAnsi="Times New Roman" w:cs="Times New Roman"/>
                <w:sz w:val="20"/>
                <w:szCs w:val="20"/>
              </w:rPr>
              <w:t xml:space="preserve">Discussion</w:t>
            </w:r>
          </w:p>
        </w:tc>
        <w:tc>
          <w:tcPr>
            <w:tcW w:w="7200" w:type="dxa"/>
          </w:tcPr>
          <w:p>
            <w:pPr>
              <w:spacing w:before="20" w:after="20" w:line="240" w:lineRule="auto"/>
            </w:pPr>
            <w:r>
              <w:rPr>
                <w:rFonts w:ascii="Times New Roman" w:hAnsi="Times New Roman" w:cs="Times New Roman"/>
                <w:sz w:val="20"/>
                <w:szCs w:val="20"/>
              </w:rPr>
              <w:t xml:space="preserve">This crosstalk is notably absent in traditional IVM, potentially contributing to incomplete or low rates of oocyte maturation [34,35].</w:t>
            </w:r>
          </w:p>
        </w:tc>
        <w:tc>
          <w:tcPr>
            <w:tcW w:w="5036" w:type="dxa"/>
          </w:tcPr>
          <w:p>
            <w:pPr>
              <w:spacing w:before="0" w:after="80" w:line="240" w:lineRule="auto"/>
              <w:ind w:left="360"/>
            </w:pPr>
            <w:r>
              <w:rPr>
                <w:rFonts w:ascii="Times New Roman" w:hAnsi="Times New Roman" w:cs="Times New Roman"/>
                <w:sz w:val="20"/>
                <w:szCs w:val="20"/>
              </w:rPr>
              <w:t xml:space="preserve">34. Gong, X., Li, H., and Zhao, Y. (2022). The improvement and clinical application of human oocyte in vitro maturation (IVM). Reprod. Sci. 29, 2127– 2135. https://doi.org/10.1007/s43032-021-00613-3. </w:t>
            </w:r>
            <w:hyperlink r:id="rId25" w:history="1">
              <w:r>
                <w:rPr>
                  <w:rStyle w:val="Hyperlink"/>
                  <w:rFonts w:ascii="Times New Roman" w:hAnsi="Times New Roman" w:cs="Times New Roman"/>
                  <w:color w:val="0563C1"/>
                  <w:u w:val="single"/>
                  <w:sz w:val="20"/>
                  <w:szCs w:val="20"/>
                </w:rPr>
                <w:t xml:space="preserve">https://doi.org/10.1007/s43032-021-00613-3</w:t>
              </w:r>
            </w:hyperlink>
            <w:r>
              <w:rPr>
                <w:rFonts w:ascii="Times New Roman" w:hAnsi="Times New Roman" w:cs="Times New Roman"/>
                <w:sz w:val="20"/>
                <w:szCs w:val="20"/>
              </w:rPr>
              <w:t xml:space="preserve">; </w:t>
            </w:r>
            <w:r>
              <w:rPr>
                <w:rFonts w:ascii="Times New Roman" w:hAnsi="Times New Roman" w:cs="Times New Roman"/>
                <w:sz w:val="20"/>
                <w:szCs w:val="20"/>
              </w:rPr>
              <w:t xml:space="preserve">35. Das, M., and Son, W.-Y. (2023). In vitro maturation (IVM) of human immature oocytes: is it still relevant? Reprod. Biol. Endocrinol. 21, 110. https://doi.org/10.1186/s12958-023-01162-x. </w:t>
            </w:r>
            <w:hyperlink r:id="rId26" w:history="1">
              <w:r>
                <w:rPr>
                  <w:rStyle w:val="Hyperlink"/>
                  <w:rFonts w:ascii="Times New Roman" w:hAnsi="Times New Roman" w:cs="Times New Roman"/>
                  <w:color w:val="0563C1"/>
                  <w:u w:val="single"/>
                  <w:sz w:val="20"/>
                  <w:szCs w:val="20"/>
                </w:rPr>
                <w:t xml:space="preserve">https://doi.org/10.1186/s12958-023-01162-x</w:t>
              </w:r>
            </w:hyperlink>
          </w:p>
        </w:tc>
      </w:tr>
      <w:tr>
        <w:tc>
          <w:tcPr>
            <w:tcW w:w="700" w:type="dxa"/>
          </w:tcPr>
          <w:p>
            <w:pPr>
              <w:spacing w:before="20" w:after="20" w:line="240" w:lineRule="auto"/>
            </w:pPr>
            <w:r>
              <w:rPr>
                <w:rFonts w:ascii="Times New Roman" w:hAnsi="Times New Roman" w:cs="Times New Roman"/>
                <w:sz w:val="20"/>
                <w:szCs w:val="20"/>
              </w:rPr>
              <w:t xml:space="preserve">16</w:t>
            </w:r>
          </w:p>
        </w:tc>
        <w:tc>
          <w:tcPr>
            <w:tcW w:w="2200" w:type="dxa"/>
          </w:tcPr>
          <w:p>
            <w:pPr>
              <w:spacing w:before="20" w:after="20" w:line="240" w:lineRule="auto"/>
            </w:pPr>
            <w:r>
              <w:rPr>
                <w:rFonts w:ascii="Times New Roman" w:hAnsi="Times New Roman" w:cs="Times New Roman"/>
                <w:sz w:val="20"/>
                <w:szCs w:val="20"/>
              </w:rPr>
              <w:t xml:space="preserve">Discussion</w:t>
            </w:r>
          </w:p>
        </w:tc>
        <w:tc>
          <w:tcPr>
            <w:tcW w:w="7200" w:type="dxa"/>
          </w:tcPr>
          <w:p>
            <w:pPr>
              <w:spacing w:before="20" w:after="20" w:line="240" w:lineRule="auto"/>
            </w:pPr>
            <w:r>
              <w:rPr>
                <w:rFonts w:ascii="Times New Roman" w:hAnsi="Times New Roman" w:cs="Times New Roman"/>
                <w:sz w:val="20"/>
                <w:szCs w:val="20"/>
              </w:rPr>
              <w:t xml:space="preserve">While IVM culture with granulosa cells can improve IVM outcomes [15,16] the broad clinical utilization of primary granulosa cells is not feasible.</w:t>
            </w:r>
          </w:p>
        </w:tc>
        <w:tc>
          <w:tcPr>
            <w:tcW w:w="5036" w:type="dxa"/>
          </w:tcPr>
          <w:p>
            <w:pPr>
              <w:spacing w:before="0" w:after="80" w:line="240" w:lineRule="auto"/>
              <w:ind w:left="360"/>
            </w:pPr>
            <w:r>
              <w:rPr>
                <w:rFonts w:ascii="Times New Roman" w:hAnsi="Times New Roman" w:cs="Times New Roman"/>
                <w:sz w:val="20"/>
                <w:szCs w:val="20"/>
              </w:rPr>
              <w:t xml:space="preserve">15. Jahromi, B.N., Mosallanezhad, Z., Matloob, N., Davari, M., and Ghobadifar, M.A. (2015). The potential role of granulosa cells in the maturation rate of immature human oocytes and embryo development: A coculture study. Clin. Exp. Reprod. Med. 42, 111–117. https://doi.org/10.5653/cerm.2015.42.3.111. </w:t>
            </w:r>
            <w:hyperlink r:id="rId16" w:history="1">
              <w:r>
                <w:rPr>
                  <w:rStyle w:val="Hyperlink"/>
                  <w:rFonts w:ascii="Times New Roman" w:hAnsi="Times New Roman" w:cs="Times New Roman"/>
                  <w:color w:val="0563C1"/>
                  <w:u w:val="single"/>
                  <w:sz w:val="20"/>
                  <w:szCs w:val="20"/>
                </w:rPr>
                <w:t xml:space="preserve">https://doi.org/10.5653/cerm.2015.42.3.111</w:t>
              </w:r>
            </w:hyperlink>
            <w:r>
              <w:rPr>
                <w:rFonts w:ascii="Times New Roman" w:hAnsi="Times New Roman" w:cs="Times New Roman"/>
                <w:sz w:val="20"/>
                <w:szCs w:val="20"/>
              </w:rPr>
              <w:t xml:space="preserve">; </w:t>
            </w:r>
            <w:r>
              <w:rPr>
                <w:rFonts w:ascii="Times New Roman" w:hAnsi="Times New Roman" w:cs="Times New Roman"/>
                <w:sz w:val="20"/>
                <w:szCs w:val="20"/>
              </w:rPr>
              <w:t xml:space="preserve">16. Johnson, J.E., Higdon, H.L., 3rd, and Boone, W.R. (2008). Effect of human granulosa cell co-culture using standard culture media on the maturation and fertilization potential of immature human oocytes. Fertil. Steril. 90, 1674–1679. https://doi.org/10.1016/j.fertnstert.2007.06.017. </w:t>
            </w:r>
            <w:hyperlink r:id="rId17" w:history="1">
              <w:r>
                <w:rPr>
                  <w:rStyle w:val="Hyperlink"/>
                  <w:rFonts w:ascii="Times New Roman" w:hAnsi="Times New Roman" w:cs="Times New Roman"/>
                  <w:color w:val="0563C1"/>
                  <w:u w:val="single"/>
                  <w:sz w:val="20"/>
                  <w:szCs w:val="20"/>
                </w:rPr>
                <w:t xml:space="preserve">https://doi.org/10.1016/j.fertnstert.2007.06.017</w:t>
              </w:r>
            </w:hyperlink>
          </w:p>
        </w:tc>
      </w:tr>
      <w:tr>
        <w:tc>
          <w:tcPr>
            <w:tcW w:w="700" w:type="dxa"/>
          </w:tcPr>
          <w:p>
            <w:pPr>
              <w:spacing w:before="20" w:after="20" w:line="240" w:lineRule="auto"/>
            </w:pPr>
            <w:r>
              <w:rPr>
                <w:rFonts w:ascii="Times New Roman" w:hAnsi="Times New Roman" w:cs="Times New Roman"/>
                <w:sz w:val="20"/>
                <w:szCs w:val="20"/>
              </w:rPr>
              <w:t xml:space="preserve">17</w:t>
            </w:r>
          </w:p>
        </w:tc>
        <w:tc>
          <w:tcPr>
            <w:tcW w:w="2200" w:type="dxa"/>
          </w:tcPr>
          <w:p>
            <w:pPr>
              <w:spacing w:before="20" w:after="20" w:line="240" w:lineRule="auto"/>
            </w:pPr>
            <w:r>
              <w:rPr>
                <w:rFonts w:ascii="Times New Roman" w:hAnsi="Times New Roman" w:cs="Times New Roman"/>
                <w:sz w:val="20"/>
                <w:szCs w:val="20"/>
              </w:rPr>
              <w:t xml:space="preserve">Discussion</w:t>
            </w:r>
          </w:p>
        </w:tc>
        <w:tc>
          <w:tcPr>
            <w:tcW w:w="7200" w:type="dxa"/>
          </w:tcPr>
          <w:p>
            <w:pPr>
              <w:spacing w:before="20" w:after="20" w:line="240" w:lineRule="auto"/>
            </w:pPr>
            <w:r>
              <w:rPr>
                <w:rFonts w:ascii="Times New Roman" w:hAnsi="Times New Roman" w:cs="Times New Roman"/>
                <w:sz w:val="20"/>
                <w:szCs w:val="20"/>
              </w:rPr>
              <w:t xml:space="preserve">To address these concerns, we recently demonstrated that supplementing traditional IVM media with hiPSC-derived OSCs leads to higher oocyte maturation and euploid embryo formation rates [17] likely by restoring key signaling pathways and recapitulating the physiological ovarian environment.</w:t>
            </w:r>
          </w:p>
        </w:tc>
        <w:tc>
          <w:tcPr>
            <w:tcW w:w="5036" w:type="dxa"/>
          </w:tcPr>
          <w:p>
            <w:pPr>
              <w:spacing w:before="0" w:after="80" w:line="240" w:lineRule="auto"/>
              <w:ind w:left="360"/>
            </w:pPr>
            <w:r>
              <w:rPr>
                <w:rFonts w:ascii="Times New Roman" w:hAnsi="Times New Roman" w:cs="Times New Roman"/>
                <w:sz w:val="20"/>
                <w:szCs w:val="20"/>
              </w:rPr>
              <w:t xml:space="preserve">17. Piechota, S., Marchante, M., Giovannini, A., Paulsen, B., Potts, K.S., Rockwell, G., Aschenberger, C., Noblett, A.D., Figueroa, A.B., Sanchez, M., et al. (2023). Human-induced pluripotent stem cell-derived ovarian support cell co-culture improves oocyte maturation in vitro after abbreviated gonadotropin stimulation. Hum. Reprod. 38, 2456–2469. https://doi.org/10.1093/humrep/dead205. </w:t>
            </w:r>
            <w:hyperlink r:id="rId18" w:history="1">
              <w:r>
                <w:rPr>
                  <w:rStyle w:val="Hyperlink"/>
                  <w:rFonts w:ascii="Times New Roman" w:hAnsi="Times New Roman" w:cs="Times New Roman"/>
                  <w:color w:val="0563C1"/>
                  <w:u w:val="single"/>
                  <w:sz w:val="20"/>
                  <w:szCs w:val="20"/>
                </w:rPr>
                <w:t xml:space="preserve">https://doi.org/10.1093/humrep/dead205</w:t>
              </w:r>
            </w:hyperlink>
          </w:p>
        </w:tc>
      </w:tr>
      <w:tr>
        <w:tc>
          <w:tcPr>
            <w:tcW w:w="700" w:type="dxa"/>
          </w:tcPr>
          <w:p>
            <w:pPr>
              <w:spacing w:before="20" w:after="20" w:line="240" w:lineRule="auto"/>
            </w:pPr>
            <w:r>
              <w:rPr>
                <w:rFonts w:ascii="Times New Roman" w:hAnsi="Times New Roman" w:cs="Times New Roman"/>
                <w:sz w:val="20"/>
                <w:szCs w:val="20"/>
              </w:rPr>
              <w:t xml:space="preserve">18</w:t>
            </w:r>
          </w:p>
        </w:tc>
        <w:tc>
          <w:tcPr>
            <w:tcW w:w="2200" w:type="dxa"/>
          </w:tcPr>
          <w:p>
            <w:pPr>
              <w:spacing w:before="20" w:after="20" w:line="240" w:lineRule="auto"/>
            </w:pPr>
            <w:r>
              <w:rPr>
                <w:rFonts w:ascii="Times New Roman" w:hAnsi="Times New Roman" w:cs="Times New Roman"/>
                <w:sz w:val="20"/>
                <w:szCs w:val="20"/>
              </w:rPr>
              <w:t xml:space="preserve">Discussion</w:t>
            </w:r>
          </w:p>
        </w:tc>
        <w:tc>
          <w:tcPr>
            <w:tcW w:w="7200" w:type="dxa"/>
          </w:tcPr>
          <w:p>
            <w:pPr>
              <w:spacing w:before="20" w:after="20" w:line="240" w:lineRule="auto"/>
            </w:pPr>
            <w:r>
              <w:rPr>
                <w:rFonts w:ascii="Times New Roman" w:hAnsi="Times New Roman" w:cs="Times New Roman"/>
                <w:sz w:val="20"/>
                <w:szCs w:val="20"/>
              </w:rPr>
              <w:t xml:space="preserve">As proteins and metabolites exhibit lower intrinsic stability and are therefore regarded as less critical to the long-term safety of the developing embryo, as evidenced by the persistence of stable maternal proteins during the oocyte-to-embryo transition [40] we consider genomic analysis to be sufficient to demonstrate the lack of carryover risk.</w:t>
            </w:r>
          </w:p>
        </w:tc>
        <w:tc>
          <w:tcPr>
            <w:tcW w:w="5036" w:type="dxa"/>
          </w:tcPr>
          <w:p>
            <w:pPr>
              <w:spacing w:before="0" w:after="80" w:line="240" w:lineRule="auto"/>
              <w:ind w:left="360"/>
            </w:pPr>
            <w:r>
              <w:rPr>
                <w:rFonts w:ascii="Times New Roman" w:hAnsi="Times New Roman" w:cs="Times New Roman"/>
                <w:sz w:val="20"/>
                <w:szCs w:val="20"/>
              </w:rPr>
              <w:t xml:space="preserve">40. Zhang, H., Ji, S., Zhang, K., Chen, Y., Ming, J., Kong, F., Wang, L., Wang, S., Zou, Z., Xiong, Z., et al. (2023). Stable maternal proteins underlie distinct transcriptome, translatome, and proteome reprogramming during mouse oocyte-to-embryo transition. Genome Biol. 24, 166. https://doi.org/10.1186/s13059-023-02997-8. </w:t>
            </w:r>
            <w:hyperlink r:id="rId27" w:history="1">
              <w:r>
                <w:rPr>
                  <w:rStyle w:val="Hyperlink"/>
                  <w:rFonts w:ascii="Times New Roman" w:hAnsi="Times New Roman" w:cs="Times New Roman"/>
                  <w:color w:val="0563C1"/>
                  <w:u w:val="single"/>
                  <w:sz w:val="20"/>
                  <w:szCs w:val="20"/>
                </w:rPr>
                <w:t xml:space="preserve">https://doi.org/10.1186/s13059-023-02997-8</w:t>
              </w:r>
            </w:hyperlink>
          </w:p>
        </w:tc>
      </w:tr>
      <w:tr>
        <w:tc>
          <w:tcPr>
            <w:tcW w:w="700" w:type="dxa"/>
          </w:tcPr>
          <w:p>
            <w:pPr>
              <w:spacing w:before="20" w:after="20" w:line="240" w:lineRule="auto"/>
            </w:pPr>
            <w:r>
              <w:rPr>
                <w:rFonts w:ascii="Times New Roman" w:hAnsi="Times New Roman" w:cs="Times New Roman"/>
                <w:sz w:val="20"/>
                <w:szCs w:val="20"/>
              </w:rPr>
              <w:t xml:space="preserve">19</w:t>
            </w:r>
          </w:p>
        </w:tc>
        <w:tc>
          <w:tcPr>
            <w:tcW w:w="2200" w:type="dxa"/>
          </w:tcPr>
          <w:p>
            <w:pPr>
              <w:spacing w:before="20" w:after="20" w:line="240" w:lineRule="auto"/>
            </w:pPr>
            <w:r>
              <w:rPr>
                <w:rFonts w:ascii="Times New Roman" w:hAnsi="Times New Roman" w:cs="Times New Roman"/>
                <w:sz w:val="20"/>
                <w:szCs w:val="20"/>
              </w:rPr>
              <w:t xml:space="preserve">Discussion</w:t>
            </w:r>
          </w:p>
        </w:tc>
        <w:tc>
          <w:tcPr>
            <w:tcW w:w="7200" w:type="dxa"/>
          </w:tcPr>
          <w:p>
            <w:pPr>
              <w:spacing w:before="20" w:after="20" w:line="240" w:lineRule="auto"/>
            </w:pPr>
            <w:r>
              <w:rPr>
                <w:rFonts w:ascii="Times New Roman" w:hAnsi="Times New Roman" w:cs="Times New Roman"/>
                <w:sz w:val="20"/>
                <w:szCs w:val="20"/>
              </w:rPr>
              <w:t xml:space="preserve">Subsequently, a donor hiPSC line was engineered using the same strategy as the RUO-hiPSC line [8].</w:t>
            </w:r>
          </w:p>
        </w:tc>
        <w:tc>
          <w:tcPr>
            <w:tcW w:w="5036" w:type="dxa"/>
          </w:tcPr>
          <w:p>
            <w:pPr>
              <w:spacing w:before="0" w:after="80" w:line="240" w:lineRule="auto"/>
              <w:ind w:left="360"/>
            </w:pPr>
            <w:r>
              <w:rPr>
                <w:rFonts w:ascii="Times New Roman" w:hAnsi="Times New Roman" w:cs="Times New Roman"/>
                <w:sz w:val="20"/>
                <w:szCs w:val="20"/>
              </w:rPr>
              <w:t xml:space="preserve">8. Pierson Smela, M.D., Kramme, C.C., Fortuna, P.R.J., Adams, J.L., Su, R., Dong, E., Kobayashi, M., Brixi, G., Kavirayuni, V.S., Tysinger, E., et al. (2023). Directed differentiation of human iPSCs to functional ovarian granulosa-like cells via transcription factor overexpression. eLife 12, e83291. https://doi.org/10.7554/eLife.83291. </w:t>
            </w:r>
            <w:hyperlink r:id="rId9" w:history="1">
              <w:r>
                <w:rPr>
                  <w:rStyle w:val="Hyperlink"/>
                  <w:rFonts w:ascii="Times New Roman" w:hAnsi="Times New Roman" w:cs="Times New Roman"/>
                  <w:color w:val="0563C1"/>
                  <w:u w:val="single"/>
                  <w:sz w:val="20"/>
                  <w:szCs w:val="20"/>
                </w:rPr>
                <w:t xml:space="preserve">https://doi.org/10.7554/eLife.83291</w:t>
              </w:r>
            </w:hyperlink>
          </w:p>
        </w:tc>
      </w:tr>
      <w:tr>
        <w:tc>
          <w:tcPr>
            <w:tcW w:w="700" w:type="dxa"/>
          </w:tcPr>
          <w:p>
            <w:pPr>
              <w:spacing w:before="20" w:after="20" w:line="240" w:lineRule="auto"/>
            </w:pPr>
            <w:r>
              <w:rPr>
                <w:rFonts w:ascii="Times New Roman" w:hAnsi="Times New Roman" w:cs="Times New Roman"/>
                <w:sz w:val="20"/>
                <w:szCs w:val="20"/>
              </w:rPr>
              <w:t xml:space="preserve">20</w:t>
            </w:r>
          </w:p>
        </w:tc>
        <w:tc>
          <w:tcPr>
            <w:tcW w:w="2200" w:type="dxa"/>
          </w:tcPr>
          <w:p>
            <w:pPr>
              <w:spacing w:before="20" w:after="20" w:line="240" w:lineRule="auto"/>
            </w:pPr>
            <w:r>
              <w:rPr>
                <w:rFonts w:ascii="Times New Roman" w:hAnsi="Times New Roman" w:cs="Times New Roman"/>
                <w:sz w:val="20"/>
                <w:szCs w:val="20"/>
              </w:rPr>
              <w:t xml:space="preserve">Discussion</w:t>
            </w:r>
          </w:p>
        </w:tc>
        <w:tc>
          <w:tcPr>
            <w:tcW w:w="7200" w:type="dxa"/>
          </w:tcPr>
          <w:p>
            <w:pPr>
              <w:spacing w:before="20" w:after="20" w:line="240" w:lineRule="auto"/>
            </w:pPr>
            <w:r>
              <w:rPr>
                <w:rFonts w:ascii="Times New Roman" w:hAnsi="Times New Roman" w:cs="Times New Roman"/>
                <w:sz w:val="20"/>
                <w:szCs w:val="20"/>
              </w:rPr>
              <w:t xml:space="preserve">Implementation of higher-quality raw materials further improved batch consistency and increased the proportion of target GCs, expressing markers such as MDK, CDH2, and ITGB1. scRNA-seq results demonstrated strong expression of MDK across OSC clusters, as well as high expression of BMP, CYP19A, and EGFR, indicating a predominantly mural GC identity [18,41–43].</w:t>
            </w:r>
          </w:p>
        </w:tc>
        <w:tc>
          <w:tcPr>
            <w:tcW w:w="5036" w:type="dxa"/>
          </w:tcPr>
          <w:p>
            <w:pPr>
              <w:spacing w:before="0" w:after="80" w:line="240" w:lineRule="auto"/>
              <w:ind w:left="360"/>
            </w:pPr>
            <w:r>
              <w:rPr>
                <w:rFonts w:ascii="Times New Roman" w:hAnsi="Times New Roman" w:cs="Times New Roman"/>
                <w:sz w:val="20"/>
                <w:szCs w:val="20"/>
              </w:rPr>
              <w:t xml:space="preserve">18. Paulsen, B., Piechota, S., Barrachina, F., Giovannini, A., Kats, S., Potts, K.S., Rockwell, G., Marchante, M., Estevez, S.L., Noblett, A.D., et al. (2024). Rescue in vitro maturation using ovarian support cells of human oocytes from conventional stimulation cycles yields oocytes with improved nuclear maturation and transcriptomic resemblance to in vivo matured oocytes. J. Assist. Reprod. Genet. 41, 2021–2036. https://doi.org/10.1007/s10815-024-03143-4. </w:t>
            </w:r>
            <w:hyperlink r:id="rId19" w:history="1">
              <w:r>
                <w:rPr>
                  <w:rStyle w:val="Hyperlink"/>
                  <w:rFonts w:ascii="Times New Roman" w:hAnsi="Times New Roman" w:cs="Times New Roman"/>
                  <w:color w:val="0563C1"/>
                  <w:u w:val="single"/>
                  <w:sz w:val="20"/>
                  <w:szCs w:val="20"/>
                </w:rPr>
                <w:t xml:space="preserve">https://doi.org/10.1007/s10815-024-03143-4</w:t>
              </w:r>
            </w:hyperlink>
            <w:r>
              <w:rPr>
                <w:rFonts w:ascii="Times New Roman" w:hAnsi="Times New Roman" w:cs="Times New Roman"/>
                <w:sz w:val="20"/>
                <w:szCs w:val="20"/>
              </w:rPr>
              <w:t xml:space="preserve">; </w:t>
            </w:r>
            <w:r>
              <w:rPr>
                <w:rFonts w:ascii="Times New Roman" w:hAnsi="Times New Roman" w:cs="Times New Roman"/>
                <w:sz w:val="20"/>
                <w:szCs w:val="20"/>
              </w:rPr>
              <w:t xml:space="preserve">41. Cadenas, J., la Cour Poulsen, L., Mamsen, L.S., and Andersen, C.Y. (2023). Future potential of in vitro maturation including fertility preservation. Fertil. Steril. 119, 550–559. https://doi.org/10.1016/j.fertnstert.2023.01.027. </w:t>
            </w:r>
            <w:hyperlink r:id="rId28" w:history="1">
              <w:r>
                <w:rPr>
                  <w:rStyle w:val="Hyperlink"/>
                  <w:rFonts w:ascii="Times New Roman" w:hAnsi="Times New Roman" w:cs="Times New Roman"/>
                  <w:color w:val="0563C1"/>
                  <w:u w:val="single"/>
                  <w:sz w:val="20"/>
                  <w:szCs w:val="20"/>
                </w:rPr>
                <w:t xml:space="preserve">https://doi.org/10.1016/j.fertnstert.2023.01.027</w:t>
              </w:r>
            </w:hyperlink>
            <w:r>
              <w:rPr>
                <w:rFonts w:ascii="Times New Roman" w:hAnsi="Times New Roman" w:cs="Times New Roman"/>
                <w:sz w:val="20"/>
                <w:szCs w:val="20"/>
              </w:rPr>
              <w:t xml:space="preserve">; </w:t>
            </w:r>
            <w:r>
              <w:rPr>
                <w:rFonts w:ascii="Times New Roman" w:hAnsi="Times New Roman" w:cs="Times New Roman"/>
                <w:sz w:val="20"/>
                <w:szCs w:val="20"/>
              </w:rPr>
              <w:t xml:space="preserve">42. Wigglesworth, K., Lee, K.-B., Emori, C., Sugiura, K., and Eppig, J.J. (2015). Transcriptomic diversification of developing cumulus and mural granulosa cells in mouse ovarian follicles. Biol. Reprod. 92, 23. https://doi.org/10.1095/biolreprod.114.121756. </w:t>
            </w:r>
            <w:hyperlink r:id="rId29" w:history="1">
              <w:r>
                <w:rPr>
                  <w:rStyle w:val="Hyperlink"/>
                  <w:rFonts w:ascii="Times New Roman" w:hAnsi="Times New Roman" w:cs="Times New Roman"/>
                  <w:color w:val="0563C1"/>
                  <w:u w:val="single"/>
                  <w:sz w:val="20"/>
                  <w:szCs w:val="20"/>
                </w:rPr>
                <w:t xml:space="preserve">https://doi.org/10.1095/biolreprod.114.121756</w:t>
              </w:r>
            </w:hyperlink>
            <w:r>
              <w:rPr>
                <w:rFonts w:ascii="Times New Roman" w:hAnsi="Times New Roman" w:cs="Times New Roman"/>
                <w:sz w:val="20"/>
                <w:szCs w:val="20"/>
              </w:rPr>
              <w:t xml:space="preserve">; </w:t>
            </w:r>
            <w:r>
              <w:rPr>
                <w:rFonts w:ascii="Times New Roman" w:hAnsi="Times New Roman" w:cs="Times New Roman"/>
                <w:sz w:val="20"/>
                <w:szCs w:val="20"/>
              </w:rPr>
              <w:t xml:space="preserve">43. El-Hayek, S., Demeestere, I., and Clarke, H.J. (2014). Follicle-stimulating hormone regulates expression and activity of epidermal growth factor receptor in the murine ovarian follicle. Proc. Natl. Acad. Sci. USA 111, 16778–16783. https://doi.org/10.1073/pnas.1414648111. </w:t>
            </w:r>
            <w:hyperlink r:id="rId30" w:history="1">
              <w:r>
                <w:rPr>
                  <w:rStyle w:val="Hyperlink"/>
                  <w:rFonts w:ascii="Times New Roman" w:hAnsi="Times New Roman" w:cs="Times New Roman"/>
                  <w:color w:val="0563C1"/>
                  <w:u w:val="single"/>
                  <w:sz w:val="20"/>
                  <w:szCs w:val="20"/>
                </w:rPr>
                <w:t xml:space="preserve">https://doi.org/10.1073/pnas.1414648111</w:t>
              </w:r>
            </w:hyperlink>
          </w:p>
        </w:tc>
      </w:tr>
      <w:tr>
        <w:tc>
          <w:tcPr>
            <w:tcW w:w="700" w:type="dxa"/>
          </w:tcPr>
          <w:p>
            <w:pPr>
              <w:spacing w:before="20" w:after="20" w:line="240" w:lineRule="auto"/>
            </w:pPr>
            <w:r>
              <w:rPr>
                <w:rFonts w:ascii="Times New Roman" w:hAnsi="Times New Roman" w:cs="Times New Roman"/>
                <w:sz w:val="20"/>
                <w:szCs w:val="20"/>
              </w:rPr>
              <w:t xml:space="preserve">21</w:t>
            </w:r>
          </w:p>
        </w:tc>
        <w:tc>
          <w:tcPr>
            <w:tcW w:w="2200" w:type="dxa"/>
          </w:tcPr>
          <w:p>
            <w:pPr>
              <w:spacing w:before="20" w:after="20" w:line="240" w:lineRule="auto"/>
            </w:pPr>
            <w:r>
              <w:rPr>
                <w:rFonts w:ascii="Times New Roman" w:hAnsi="Times New Roman" w:cs="Times New Roman"/>
                <w:sz w:val="20"/>
                <w:szCs w:val="20"/>
              </w:rPr>
              <w:t xml:space="preserve">Discussion</w:t>
            </w:r>
          </w:p>
        </w:tc>
        <w:tc>
          <w:tcPr>
            <w:tcW w:w="7200" w:type="dxa"/>
          </w:tcPr>
          <w:p>
            <w:pPr>
              <w:spacing w:before="20" w:after="20" w:line="240" w:lineRule="auto"/>
            </w:pPr>
            <w:r>
              <w:rPr>
                <w:rFonts w:ascii="Times New Roman" w:hAnsi="Times New Roman" w:cs="Times New Roman"/>
                <w:sz w:val="20"/>
                <w:szCs w:val="20"/>
              </w:rPr>
              <w:t xml:space="preserve">This result is consistent with prior data showing significantly upregulated expression of CYP19A1—which is essential for estrogen biosynthesis—in response to FSH challenge, a hallmark of mural granulosa cell biology [18].</w:t>
            </w:r>
          </w:p>
        </w:tc>
        <w:tc>
          <w:tcPr>
            <w:tcW w:w="5036" w:type="dxa"/>
          </w:tcPr>
          <w:p>
            <w:pPr>
              <w:spacing w:before="0" w:after="80" w:line="240" w:lineRule="auto"/>
              <w:ind w:left="360"/>
            </w:pPr>
            <w:r>
              <w:rPr>
                <w:rFonts w:ascii="Times New Roman" w:hAnsi="Times New Roman" w:cs="Times New Roman"/>
                <w:sz w:val="20"/>
                <w:szCs w:val="20"/>
              </w:rPr>
              <w:t xml:space="preserve">18. Paulsen, B., Piechota, S., Barrachina, F., Giovannini, A., Kats, S., Potts, K.S., Rockwell, G., Marchante, M., Estevez, S.L., Noblett, A.D., et al. (2024). Rescue in vitro maturation using ovarian support cells of human oocytes from conventional stimulation cycles yields oocytes with improved nuclear maturation and transcriptomic resemblance to in vivo matured oocytes. J. Assist. Reprod. Genet. 41, 2021–2036. https://doi.org/10.1007/s10815-024-03143-4. </w:t>
            </w:r>
            <w:hyperlink r:id="rId19" w:history="1">
              <w:r>
                <w:rPr>
                  <w:rStyle w:val="Hyperlink"/>
                  <w:rFonts w:ascii="Times New Roman" w:hAnsi="Times New Roman" w:cs="Times New Roman"/>
                  <w:color w:val="0563C1"/>
                  <w:u w:val="single"/>
                  <w:sz w:val="20"/>
                  <w:szCs w:val="20"/>
                </w:rPr>
                <w:t xml:space="preserve">https://doi.org/10.1007/s10815-024-03143-4</w:t>
              </w:r>
            </w:hyperlink>
          </w:p>
        </w:tc>
      </w:tr>
      <w:tr>
        <w:tc>
          <w:tcPr>
            <w:tcW w:w="700" w:type="dxa"/>
          </w:tcPr>
          <w:p>
            <w:pPr>
              <w:spacing w:before="20" w:after="20" w:line="240" w:lineRule="auto"/>
            </w:pPr>
            <w:r>
              <w:rPr>
                <w:rFonts w:ascii="Times New Roman" w:hAnsi="Times New Roman" w:cs="Times New Roman"/>
                <w:sz w:val="20"/>
                <w:szCs w:val="20"/>
              </w:rPr>
              <w:t xml:space="preserve">22</w:t>
            </w:r>
          </w:p>
        </w:tc>
        <w:tc>
          <w:tcPr>
            <w:tcW w:w="2200" w:type="dxa"/>
          </w:tcPr>
          <w:p>
            <w:pPr>
              <w:spacing w:before="20" w:after="20" w:line="240" w:lineRule="auto"/>
            </w:pPr>
            <w:r>
              <w:rPr>
                <w:rFonts w:ascii="Times New Roman" w:hAnsi="Times New Roman" w:cs="Times New Roman"/>
                <w:sz w:val="20"/>
                <w:szCs w:val="20"/>
              </w:rPr>
              <w:t xml:space="preserve">Discussion</w:t>
            </w:r>
          </w:p>
        </w:tc>
        <w:tc>
          <w:tcPr>
            <w:tcW w:w="7200" w:type="dxa"/>
          </w:tcPr>
          <w:p>
            <w:pPr>
              <w:spacing w:before="20" w:after="20" w:line="240" w:lineRule="auto"/>
            </w:pPr>
            <w:r>
              <w:rPr>
                <w:rFonts w:ascii="Times New Roman" w:hAnsi="Times New Roman" w:cs="Times New Roman"/>
                <w:sz w:val="20"/>
                <w:szCs w:val="20"/>
              </w:rPr>
              <w:t xml:space="preserve">The hypothesis of a paracrine mechanism of action is based not only on the expression of growth factors and ligand-receptor genes but also of proteins identified in the conditioned media of OSCs, including TGFB1, EGFR, and IGFBP1/2/3, which are associated with oocyte maturation and developmental competence (Table S5).31,44–47 In addition, previous studies demonstrated that not only are oocytes modulated by OSCs, but the OSC molecular signature is also modulated by oocytes [18].</w:t>
            </w:r>
          </w:p>
        </w:tc>
        <w:tc>
          <w:tcPr>
            <w:tcW w:w="5036" w:type="dxa"/>
          </w:tcPr>
          <w:p>
            <w:pPr>
              <w:spacing w:before="0" w:after="80" w:line="240" w:lineRule="auto"/>
              <w:ind w:left="360"/>
            </w:pPr>
            <w:r>
              <w:rPr>
                <w:rFonts w:ascii="Times New Roman" w:hAnsi="Times New Roman" w:cs="Times New Roman"/>
                <w:sz w:val="20"/>
                <w:szCs w:val="20"/>
              </w:rPr>
              <w:t xml:space="preserve">18. Paulsen, B., Piechota, S., Barrachina, F., Giovannini, A., Kats, S., Potts, K.S., Rockwell, G., Marchante, M., Estevez, S.L., Noblett, A.D., et al. (2024). Rescue in vitro maturation using ovarian support cells of human oocytes from conventional stimulation cycles yields oocytes with improved nuclear maturation and transcriptomic resemblance to in vivo matured oocytes. J. Assist. Reprod. Genet. 41, 2021–2036. https://doi.org/10.1007/s10815-024-03143-4. </w:t>
            </w:r>
            <w:hyperlink r:id="rId19" w:history="1">
              <w:r>
                <w:rPr>
                  <w:rStyle w:val="Hyperlink"/>
                  <w:rFonts w:ascii="Times New Roman" w:hAnsi="Times New Roman" w:cs="Times New Roman"/>
                  <w:color w:val="0563C1"/>
                  <w:u w:val="single"/>
                  <w:sz w:val="20"/>
                  <w:szCs w:val="20"/>
                </w:rPr>
                <w:t xml:space="preserve">https://doi.org/10.1007/s10815-024-03143-4</w:t>
              </w:r>
            </w:hyperlink>
          </w:p>
        </w:tc>
      </w:tr>
      <w:tr>
        <w:tc>
          <w:tcPr>
            <w:tcW w:w="700" w:type="dxa"/>
          </w:tcPr>
          <w:p>
            <w:pPr>
              <w:spacing w:before="20" w:after="20" w:line="240" w:lineRule="auto"/>
            </w:pPr>
            <w:r>
              <w:rPr>
                <w:rFonts w:ascii="Times New Roman" w:hAnsi="Times New Roman" w:cs="Times New Roman"/>
                <w:sz w:val="20"/>
                <w:szCs w:val="20"/>
              </w:rPr>
              <w:t xml:space="preserve">23</w:t>
            </w:r>
          </w:p>
        </w:tc>
        <w:tc>
          <w:tcPr>
            <w:tcW w:w="2200" w:type="dxa"/>
          </w:tcPr>
          <w:p>
            <w:pPr>
              <w:spacing w:before="20" w:after="20" w:line="240" w:lineRule="auto"/>
            </w:pPr>
            <w:r>
              <w:rPr>
                <w:rFonts w:ascii="Times New Roman" w:hAnsi="Times New Roman" w:cs="Times New Roman"/>
                <w:sz w:val="20"/>
                <w:szCs w:val="20"/>
              </w:rPr>
              <w:t xml:space="preserve">Discussion</w:t>
            </w:r>
          </w:p>
        </w:tc>
        <w:tc>
          <w:tcPr>
            <w:tcW w:w="7200" w:type="dxa"/>
          </w:tcPr>
          <w:p>
            <w:pPr>
              <w:spacing w:before="20" w:after="20" w:line="240" w:lineRule="auto"/>
            </w:pPr>
            <w:r>
              <w:rPr>
                <w:rFonts w:ascii="Times New Roman" w:hAnsi="Times New Roman" w:cs="Times New Roman"/>
                <w:sz w:val="20"/>
                <w:szCs w:val="20"/>
              </w:rPr>
              <w:t xml:space="preserve">These findings are also supported by previous transcriptomic analysis showing human oocytes matured with Fertilo exhibited enrichment in pathways related to translation, oocyte maturation, and embryonic development, similar to in vivo matured oocytes18; this enrichment was absent in oocytes matured via traditional IVM, which instead showed enrichment in markers associated with DNA damage and the cell cycle, implying potential stalling of meiotic progression [18].</w:t>
            </w:r>
          </w:p>
        </w:tc>
        <w:tc>
          <w:tcPr>
            <w:tcW w:w="5036" w:type="dxa"/>
          </w:tcPr>
          <w:p>
            <w:pPr>
              <w:spacing w:before="0" w:after="80" w:line="240" w:lineRule="auto"/>
              <w:ind w:left="360"/>
            </w:pPr>
            <w:r>
              <w:rPr>
                <w:rFonts w:ascii="Times New Roman" w:hAnsi="Times New Roman" w:cs="Times New Roman"/>
                <w:sz w:val="20"/>
                <w:szCs w:val="20"/>
              </w:rPr>
              <w:t xml:space="preserve">18. Paulsen, B., Piechota, S., Barrachina, F., Giovannini, A., Kats, S., Potts, K.S., Rockwell, G., Marchante, M., Estevez, S.L., Noblett, A.D., et al. (2024). Rescue in vitro maturation using ovarian support cells of human oocytes from conventional stimulation cycles yields oocytes with improved nuclear maturation and transcriptomic resemblance to in vivo matured oocytes. J. Assist. Reprod. Genet. 41, 2021–2036. https://doi.org/10.1007/s10815-024-03143-4. </w:t>
            </w:r>
            <w:hyperlink r:id="rId19" w:history="1">
              <w:r>
                <w:rPr>
                  <w:rStyle w:val="Hyperlink"/>
                  <w:rFonts w:ascii="Times New Roman" w:hAnsi="Times New Roman" w:cs="Times New Roman"/>
                  <w:color w:val="0563C1"/>
                  <w:u w:val="single"/>
                  <w:sz w:val="20"/>
                  <w:szCs w:val="20"/>
                </w:rPr>
                <w:t xml:space="preserve">https://doi.org/10.1007/s10815-024-03143-4</w:t>
              </w:r>
            </w:hyperlink>
          </w:p>
        </w:tc>
      </w:tr>
      <w:tr>
        <w:tc>
          <w:tcPr>
            <w:tcW w:w="700" w:type="dxa"/>
          </w:tcPr>
          <w:p>
            <w:pPr>
              <w:spacing w:before="20" w:after="20" w:line="240" w:lineRule="auto"/>
            </w:pPr>
            <w:r>
              <w:rPr>
                <w:rFonts w:ascii="Times New Roman" w:hAnsi="Times New Roman" w:cs="Times New Roman"/>
                <w:sz w:val="20"/>
                <w:szCs w:val="20"/>
              </w:rPr>
              <w:t xml:space="preserve">24</w:t>
            </w:r>
          </w:p>
        </w:tc>
        <w:tc>
          <w:tcPr>
            <w:tcW w:w="2200" w:type="dxa"/>
          </w:tcPr>
          <w:p>
            <w:pPr>
              <w:spacing w:before="20" w:after="20" w:line="240" w:lineRule="auto"/>
            </w:pPr>
            <w:r>
              <w:rPr>
                <w:rFonts w:ascii="Times New Roman" w:hAnsi="Times New Roman" w:cs="Times New Roman"/>
                <w:sz w:val="20"/>
                <w:szCs w:val="20"/>
              </w:rPr>
              <w:t xml:space="preserve">Discussion</w:t>
            </w:r>
          </w:p>
        </w:tc>
        <w:tc>
          <w:tcPr>
            <w:tcW w:w="7200" w:type="dxa"/>
          </w:tcPr>
          <w:p>
            <w:pPr>
              <w:spacing w:before="20" w:after="20" w:line="240" w:lineRule="auto"/>
            </w:pPr>
            <w:r>
              <w:rPr>
                <w:rFonts w:ascii="Times New Roman" w:hAnsi="Times New Roman" w:cs="Times New Roman"/>
                <w:sz w:val="20"/>
                <w:szCs w:val="20"/>
              </w:rPr>
              <w:t xml:space="preserve">Previous clinical studies of traditional IVM show ongoing pregnancy rates of approximately 25% per cycle, further confirming that the rate of ongoing pregnancy with Fertilo is greater than that seen with traditional IVM [12,13].</w:t>
            </w:r>
          </w:p>
        </w:tc>
        <w:tc>
          <w:tcPr>
            <w:tcW w:w="5036" w:type="dxa"/>
          </w:tcPr>
          <w:p>
            <w:pPr>
              <w:spacing w:before="0" w:after="80" w:line="240" w:lineRule="auto"/>
              <w:ind w:left="360"/>
            </w:pPr>
            <w:r>
              <w:rPr>
                <w:rFonts w:ascii="Times New Roman" w:hAnsi="Times New Roman" w:cs="Times New Roman"/>
                <w:sz w:val="20"/>
                <w:szCs w:val="20"/>
              </w:rPr>
              <w:t xml:space="preserve">12. Ortega-Hrepich, C., Stoop, D., Guzma´ n, L., Van Landuyt, L., Tournaye, H., Smitz, J., and De Vos, M. (2013). A ‘‘freeze-all’’ embryo strategy after in vitro maturation: a novel approach in women with polycystic ovary syndrome? Fertil. Steril. 100, 1002–1007. https://doi.org/10.1016/j.fertnstert.2013.06.018. </w:t>
            </w:r>
            <w:hyperlink r:id="rId13" w:history="1">
              <w:r>
                <w:rPr>
                  <w:rStyle w:val="Hyperlink"/>
                  <w:rFonts w:ascii="Times New Roman" w:hAnsi="Times New Roman" w:cs="Times New Roman"/>
                  <w:color w:val="0563C1"/>
                  <w:u w:val="single"/>
                  <w:sz w:val="20"/>
                  <w:szCs w:val="20"/>
                </w:rPr>
                <w:t xml:space="preserve">https://doi.org/10.1016/j.fertnstert.2013.06.018</w:t>
              </w:r>
            </w:hyperlink>
            <w:r>
              <w:rPr>
                <w:rFonts w:ascii="Times New Roman" w:hAnsi="Times New Roman" w:cs="Times New Roman"/>
                <w:sz w:val="20"/>
                <w:szCs w:val="20"/>
              </w:rPr>
              <w:t xml:space="preserve">; </w:t>
            </w:r>
            <w:r>
              <w:rPr>
                <w:rFonts w:ascii="Times New Roman" w:hAnsi="Times New Roman" w:cs="Times New Roman"/>
                <w:sz w:val="20"/>
                <w:szCs w:val="20"/>
              </w:rPr>
              <w:t xml:space="preserve">13. Zheng, X., Guo, W., Zeng, L., Zheng, D., Yang, S., Xu, Y., Wang, L., Wang, R., Mol, B.W., Li, R., et al. (2022). In vitro maturation without gonadotropins versus in vitro fertilization with hyperstimulation in women with polycystic ovary syndrome: a non-inferiority randomized controlled trial. Hum. Reprod. 37, 242–253. https://doi.org/10.1093/humrep/deab243. </w:t>
            </w:r>
            <w:hyperlink r:id="rId14" w:history="1">
              <w:r>
                <w:rPr>
                  <w:rStyle w:val="Hyperlink"/>
                  <w:rFonts w:ascii="Times New Roman" w:hAnsi="Times New Roman" w:cs="Times New Roman"/>
                  <w:color w:val="0563C1"/>
                  <w:u w:val="single"/>
                  <w:sz w:val="20"/>
                  <w:szCs w:val="20"/>
                </w:rPr>
                <w:t xml:space="preserve">https://doi.org/10.1093/humrep/deab243</w:t>
              </w:r>
            </w:hyperlink>
          </w:p>
        </w:tc>
      </w:tr>
    </w:tbl>
    <w:p>
      <w:pPr>
        <w:spacing w:before="240" w:after="60" w:line="276" w:lineRule="auto"/>
      </w:pPr>
      <w:r>
        <w:rPr>
          <w:rFonts w:ascii="Times New Roman" w:hAnsi="Times New Roman" w:cs="Times New Roman"/>
          <w:b/>
          <w:sz w:val="28"/>
          <w:szCs w:val="28"/>
        </w:rPr>
        <w:t xml:space="preserve">Результаты</w:t>
      </w:r>
    </w:p>
    <w:p>
      <w:pPr>
        <w:spacing w:before="0" w:after="80" w:line="276" w:lineRule="auto"/>
      </w:pPr>
      <w:r>
        <w:rPr>
          <w:rFonts w:ascii="Times New Roman" w:hAnsi="Times New Roman" w:cs="Times New Roman"/>
          <w:i/>
          <w:sz w:val="22"/>
          <w:szCs w:val="22"/>
        </w:rPr>
        <w:t xml:space="preserve">Что авторы сообщают как наблюдение своей работы: частоты, различия, значения P, случаи.</w:t>
      </w:r>
    </w:p>
    <w:tbl>
      <w:tblPr>
        <w:tblW w:w="15136" w:type="dxa"/>
        <w:tblLayout w:type="fixed"/>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top w:w="40" w:type="dxa"/>
          <w:left w:w="80" w:type="dxa"/>
          <w:bottom w:w="40" w:type="dxa"/>
          <w:right w:w="80" w:type="dxa"/>
        </w:tblCellMar>
      </w:tblPr>
      <w:tblGrid>
        <w:gridCol w:w="700"/>
        <w:gridCol w:w="2200"/>
        <w:gridCol w:w="7200"/>
        <w:gridCol w:w="5036"/>
      </w:tblGrid>
      <w:tr>
        <w:trPr>
          <w:tblHeader/>
        </w:trPr>
        <w:tc>
          <w:tcPr>
            <w:tcW w:w="700" w:type="dxa"/>
            <w:shd w:val="clear" w:color="auto" w:fill="1F4E79"/>
          </w:tcPr>
          <w:p>
            <w:pPr>
              <w:spacing w:before="20" w:after="20" w:line="240" w:lineRule="auto"/>
            </w:pPr>
            <w:r>
              <w:rPr>
                <w:rFonts w:ascii="Times New Roman" w:hAnsi="Times New Roman" w:cs="Times New Roman"/>
                <w:b/>
                <w:color w:val="FFFFFF"/>
                <w:sz w:val="20"/>
                <w:szCs w:val="20"/>
              </w:rPr>
              <w:t xml:space="preserve">#</w:t>
            </w:r>
          </w:p>
        </w:tc>
        <w:tc>
          <w:tcPr>
            <w:tcW w:w="2200" w:type="dxa"/>
            <w:shd w:val="clear" w:color="auto" w:fill="1F4E79"/>
          </w:tcPr>
          <w:p>
            <w:pPr>
              <w:spacing w:before="20" w:after="20" w:line="240" w:lineRule="auto"/>
            </w:pPr>
            <w:r>
              <w:rPr>
                <w:rFonts w:ascii="Times New Roman" w:hAnsi="Times New Roman" w:cs="Times New Roman"/>
                <w:b/>
                <w:color w:val="FFFFFF"/>
                <w:sz w:val="20"/>
                <w:szCs w:val="20"/>
              </w:rPr>
              <w:t xml:space="preserve">Раздел</w:t>
            </w:r>
          </w:p>
        </w:tc>
        <w:tc>
          <w:tcPr>
            <w:tcW w:w="7200" w:type="dxa"/>
            <w:shd w:val="clear" w:color="auto" w:fill="1F4E79"/>
          </w:tcPr>
          <w:p>
            <w:pPr>
              <w:spacing w:before="20" w:after="20" w:line="240" w:lineRule="auto"/>
            </w:pPr>
            <w:r>
              <w:rPr>
                <w:rFonts w:ascii="Times New Roman" w:hAnsi="Times New Roman" w:cs="Times New Roman"/>
                <w:b/>
                <w:color w:val="FFFFFF"/>
                <w:sz w:val="20"/>
                <w:szCs w:val="20"/>
              </w:rPr>
              <w:t xml:space="preserve">Цитата</w:t>
            </w:r>
          </w:p>
        </w:tc>
        <w:tc>
          <w:tcPr>
            <w:tcW w:w="5036" w:type="dxa"/>
            <w:shd w:val="clear" w:color="auto" w:fill="1F4E79"/>
          </w:tcPr>
          <w:p>
            <w:pPr>
              <w:spacing w:before="20" w:after="20" w:line="240" w:lineRule="auto"/>
            </w:pPr>
            <w:r>
              <w:rPr>
                <w:rFonts w:ascii="Times New Roman" w:hAnsi="Times New Roman" w:cs="Times New Roman"/>
                <w:b/>
                <w:color w:val="FFFFFF"/>
                <w:sz w:val="20"/>
                <w:szCs w:val="20"/>
              </w:rPr>
              <w:t xml:space="preserve">Ссылки</w:t>
            </w:r>
          </w:p>
        </w:tc>
      </w:tr>
      <w:tr>
        <w:tc>
          <w:tcPr>
            <w:tcW w:w="700" w:type="dxa"/>
          </w:tcPr>
          <w:p>
            <w:pPr>
              <w:spacing w:before="20" w:after="20" w:line="240" w:lineRule="auto"/>
            </w:pPr>
            <w:r>
              <w:rPr>
                <w:rFonts w:ascii="Times New Roman" w:hAnsi="Times New Roman" w:cs="Times New Roman"/>
                <w:sz w:val="20"/>
                <w:szCs w:val="20"/>
              </w:rPr>
              <w:t xml:space="preserve">1</w:t>
            </w:r>
          </w:p>
        </w:tc>
        <w:tc>
          <w:tcPr>
            <w:tcW w:w="2200" w:type="dxa"/>
          </w:tcPr>
          <w:p>
            <w:pPr>
              <w:spacing w:before="20" w:after="20" w:line="240" w:lineRule="auto"/>
            </w:pPr>
            <w:r>
              <w:rPr>
                <w:rFonts w:ascii="Times New Roman" w:hAnsi="Times New Roman" w:cs="Times New Roman"/>
                <w:sz w:val="20"/>
                <w:szCs w:val="20"/>
              </w:rPr>
              <w:t xml:space="preserve">Results → TF-directed hiPSC differentiation generates OSCs that improve MII oocyte maturation</w:t>
            </w:r>
          </w:p>
        </w:tc>
        <w:tc>
          <w:tcPr>
            <w:tcW w:w="7200" w:type="dxa"/>
          </w:tcPr>
          <w:p>
            <w:pPr>
              <w:spacing w:before="20" w:after="20" w:line="240" w:lineRule="auto"/>
            </w:pPr>
            <w:r>
              <w:rPr>
                <w:rFonts w:ascii="Times New Roman" w:hAnsi="Times New Roman" w:cs="Times New Roman"/>
                <w:sz w:val="20"/>
                <w:szCs w:val="20"/>
              </w:rPr>
              <w:t xml:space="preserve">When applied in IVM co-culture with human oocytes, all RUO-OSC-M batches increased MII oocyte maturation rates, compared with the control group (p = 0.029, lot 6/control: 1.37, lot 8/control: 1.31, lot 56/control: 1.28) (Figures 1C and 1D).</w:t>
            </w:r>
          </w:p>
        </w:tc>
        <w:tc>
          <w:tcPr>
            <w:tcW w:w="5036" w:type="dxa"/>
          </w:tcPr>
          <w:p>
            <w:pPr>
              <w:spacing w:before="20" w:after="20" w:line="240" w:lineRule="auto"/>
            </w:pPr>
            <w:r>
              <w:rPr>
                <w:rFonts w:ascii="Times New Roman" w:hAnsi="Times New Roman" w:cs="Times New Roman"/>
                <w:sz w:val="20"/>
                <w:szCs w:val="20"/>
              </w:rPr>
              <w:t xml:space="preserve">—</w:t>
            </w:r>
          </w:p>
        </w:tc>
      </w:tr>
      <w:tr>
        <w:tc>
          <w:tcPr>
            <w:tcW w:w="700" w:type="dxa"/>
          </w:tcPr>
          <w:p>
            <w:pPr>
              <w:spacing w:before="20" w:after="20" w:line="240" w:lineRule="auto"/>
            </w:pPr>
            <w:r>
              <w:rPr>
                <w:rFonts w:ascii="Times New Roman" w:hAnsi="Times New Roman" w:cs="Times New Roman"/>
                <w:sz w:val="20"/>
                <w:szCs w:val="20"/>
              </w:rPr>
              <w:t xml:space="preserve">2</w:t>
            </w:r>
          </w:p>
        </w:tc>
        <w:tc>
          <w:tcPr>
            <w:tcW w:w="2200" w:type="dxa"/>
          </w:tcPr>
          <w:p>
            <w:pPr>
              <w:spacing w:before="20" w:after="20" w:line="240" w:lineRule="auto"/>
            </w:pPr>
            <w:r>
              <w:rPr>
                <w:rFonts w:ascii="Times New Roman" w:hAnsi="Times New Roman" w:cs="Times New Roman"/>
                <w:sz w:val="20"/>
                <w:szCs w:val="20"/>
              </w:rPr>
              <w:t xml:space="preserve">Results → TF-directed hiPSC differentiation generates OSCs that improve MII oocyte maturation</w:t>
            </w:r>
          </w:p>
        </w:tc>
        <w:tc>
          <w:tcPr>
            <w:tcW w:w="7200" w:type="dxa"/>
          </w:tcPr>
          <w:p>
            <w:pPr>
              <w:spacing w:before="20" w:after="20" w:line="240" w:lineRule="auto"/>
            </w:pPr>
            <w:r>
              <w:rPr>
                <w:rFonts w:ascii="Times New Roman" w:hAnsi="Times New Roman" w:cs="Times New Roman"/>
                <w:sz w:val="20"/>
                <w:szCs w:val="20"/>
              </w:rPr>
              <w:t xml:space="preserve">Data are shown as the mean ± SEM (p = 0.0288, lot 6 vs. control:1.37, lot 8 vs. control: 1.31, lot 56 vs. control: 1.28).</w:t>
            </w:r>
          </w:p>
        </w:tc>
        <w:tc>
          <w:tcPr>
            <w:tcW w:w="5036" w:type="dxa"/>
          </w:tcPr>
          <w:p>
            <w:pPr>
              <w:spacing w:before="20" w:after="20" w:line="240" w:lineRule="auto"/>
            </w:pPr>
            <w:r>
              <w:rPr>
                <w:rFonts w:ascii="Times New Roman" w:hAnsi="Times New Roman" w:cs="Times New Roman"/>
                <w:sz w:val="20"/>
                <w:szCs w:val="20"/>
              </w:rPr>
              <w:t xml:space="preserve">—</w:t>
            </w:r>
          </w:p>
        </w:tc>
      </w:tr>
      <w:tr>
        <w:tc>
          <w:tcPr>
            <w:tcW w:w="700" w:type="dxa"/>
          </w:tcPr>
          <w:p>
            <w:pPr>
              <w:spacing w:before="20" w:after="20" w:line="240" w:lineRule="auto"/>
            </w:pPr>
            <w:r>
              <w:rPr>
                <w:rFonts w:ascii="Times New Roman" w:hAnsi="Times New Roman" w:cs="Times New Roman"/>
                <w:sz w:val="20"/>
                <w:szCs w:val="20"/>
              </w:rPr>
              <w:t xml:space="preserve">3</w:t>
            </w:r>
          </w:p>
        </w:tc>
        <w:tc>
          <w:tcPr>
            <w:tcW w:w="2200" w:type="dxa"/>
          </w:tcPr>
          <w:p>
            <w:pPr>
              <w:spacing w:before="20" w:after="20" w:line="240" w:lineRule="auto"/>
            </w:pPr>
            <w:r>
              <w:rPr>
                <w:rFonts w:ascii="Times New Roman" w:hAnsi="Times New Roman" w:cs="Times New Roman"/>
                <w:sz w:val="20"/>
                <w:szCs w:val="20"/>
              </w:rPr>
              <w:t xml:space="preserve">Results → Translation of the protocol toward clinical manufacturing with HQ clinically suitable raw materials</w:t>
            </w:r>
          </w:p>
        </w:tc>
        <w:tc>
          <w:tcPr>
            <w:tcW w:w="7200" w:type="dxa"/>
          </w:tcPr>
          <w:p>
            <w:pPr>
              <w:spacing w:before="20" w:after="20" w:line="240" w:lineRule="auto"/>
            </w:pPr>
            <w:r>
              <w:rPr>
                <w:rFonts w:ascii="Times New Roman" w:hAnsi="Times New Roman" w:cs="Times New Roman"/>
                <w:sz w:val="20"/>
                <w:szCs w:val="20"/>
              </w:rPr>
              <w:t xml:space="preserve">These results demonstrated that the substrate had a clear and strong influence on FOXL2 expression (Figure 2B, p ≤0.01), exceeding all other factors.</w:t>
            </w:r>
          </w:p>
        </w:tc>
        <w:tc>
          <w:tcPr>
            <w:tcW w:w="5036" w:type="dxa"/>
          </w:tcPr>
          <w:p>
            <w:pPr>
              <w:spacing w:before="20" w:after="20" w:line="240" w:lineRule="auto"/>
            </w:pPr>
            <w:r>
              <w:rPr>
                <w:rFonts w:ascii="Times New Roman" w:hAnsi="Times New Roman" w:cs="Times New Roman"/>
                <w:sz w:val="20"/>
                <w:szCs w:val="20"/>
              </w:rPr>
              <w:t xml:space="preserve">—</w:t>
            </w:r>
          </w:p>
        </w:tc>
      </w:tr>
      <w:tr>
        <w:tc>
          <w:tcPr>
            <w:tcW w:w="700" w:type="dxa"/>
          </w:tcPr>
          <w:p>
            <w:pPr>
              <w:spacing w:before="20" w:after="20" w:line="240" w:lineRule="auto"/>
            </w:pPr>
            <w:r>
              <w:rPr>
                <w:rFonts w:ascii="Times New Roman" w:hAnsi="Times New Roman" w:cs="Times New Roman"/>
                <w:sz w:val="20"/>
                <w:szCs w:val="20"/>
              </w:rPr>
              <w:t xml:space="preserve">4</w:t>
            </w:r>
          </w:p>
        </w:tc>
        <w:tc>
          <w:tcPr>
            <w:tcW w:w="2200" w:type="dxa"/>
          </w:tcPr>
          <w:p>
            <w:pPr>
              <w:spacing w:before="20" w:after="20" w:line="240" w:lineRule="auto"/>
            </w:pPr>
            <w:r>
              <w:rPr>
                <w:rFonts w:ascii="Times New Roman" w:hAnsi="Times New Roman" w:cs="Times New Roman"/>
                <w:sz w:val="20"/>
                <w:szCs w:val="20"/>
              </w:rPr>
              <w:t xml:space="preserve">Results → Translation of the protocol toward clinical manufacturing with HQ clinically suitable raw materials</w:t>
            </w:r>
          </w:p>
        </w:tc>
        <w:tc>
          <w:tcPr>
            <w:tcW w:w="7200" w:type="dxa"/>
          </w:tcPr>
          <w:p>
            <w:pPr>
              <w:spacing w:before="20" w:after="20" w:line="240" w:lineRule="auto"/>
            </w:pPr>
            <w:r>
              <w:rPr>
                <w:rFonts w:ascii="Times New Roman" w:hAnsi="Times New Roman" w:cs="Times New Roman"/>
                <w:sz w:val="20"/>
                <w:szCs w:val="20"/>
              </w:rPr>
              <w:t xml:space="preserve">Analytical testing demonstrated that RUO-OSC-L lots had more cells expressing OSC markers, increased cell viability, and significantly reduced expression of the hiPSC marker, TRA-1-60, compared with RUO-OSC-V lots, indicating improved differentiation efficiency and purity (Table 1).</w:t>
            </w:r>
          </w:p>
        </w:tc>
        <w:tc>
          <w:tcPr>
            <w:tcW w:w="5036" w:type="dxa"/>
          </w:tcPr>
          <w:p>
            <w:pPr>
              <w:spacing w:before="20" w:after="20" w:line="240" w:lineRule="auto"/>
            </w:pPr>
            <w:r>
              <w:rPr>
                <w:rFonts w:ascii="Times New Roman" w:hAnsi="Times New Roman" w:cs="Times New Roman"/>
                <w:sz w:val="20"/>
                <w:szCs w:val="20"/>
              </w:rPr>
              <w:t xml:space="preserve">—</w:t>
            </w:r>
          </w:p>
        </w:tc>
      </w:tr>
      <w:tr>
        <w:tc>
          <w:tcPr>
            <w:tcW w:w="700" w:type="dxa"/>
          </w:tcPr>
          <w:p>
            <w:pPr>
              <w:spacing w:before="20" w:after="20" w:line="240" w:lineRule="auto"/>
            </w:pPr>
            <w:r>
              <w:rPr>
                <w:rFonts w:ascii="Times New Roman" w:hAnsi="Times New Roman" w:cs="Times New Roman"/>
                <w:sz w:val="20"/>
                <w:szCs w:val="20"/>
              </w:rPr>
              <w:t xml:space="preserve">5</w:t>
            </w:r>
          </w:p>
        </w:tc>
        <w:tc>
          <w:tcPr>
            <w:tcW w:w="2200" w:type="dxa"/>
          </w:tcPr>
          <w:p>
            <w:pPr>
              <w:spacing w:before="20" w:after="20" w:line="240" w:lineRule="auto"/>
            </w:pPr>
            <w:r>
              <w:rPr>
                <w:rFonts w:ascii="Times New Roman" w:hAnsi="Times New Roman" w:cs="Times New Roman"/>
                <w:sz w:val="20"/>
                <w:szCs w:val="20"/>
              </w:rPr>
              <w:t xml:space="preserve">Results → Translation of the protocol toward clinical manufacturing with HQ clinically suitable raw materials</w:t>
            </w:r>
          </w:p>
        </w:tc>
        <w:tc>
          <w:tcPr>
            <w:tcW w:w="7200" w:type="dxa"/>
          </w:tcPr>
          <w:p>
            <w:pPr>
              <w:spacing w:before="20" w:after="20" w:line="240" w:lineRule="auto"/>
            </w:pPr>
            <w:r>
              <w:rPr>
                <w:rFonts w:ascii="Times New Roman" w:hAnsi="Times New Roman" w:cs="Times New Roman"/>
                <w:sz w:val="20"/>
                <w:szCs w:val="20"/>
              </w:rPr>
              <w:t xml:space="preserve">Viability at harvest remained high, averaging 97.17% ± 0.56% among the three batches.</w:t>
            </w:r>
          </w:p>
        </w:tc>
        <w:tc>
          <w:tcPr>
            <w:tcW w:w="5036" w:type="dxa"/>
          </w:tcPr>
          <w:p>
            <w:pPr>
              <w:spacing w:before="20" w:after="20" w:line="240" w:lineRule="auto"/>
            </w:pPr>
            <w:r>
              <w:rPr>
                <w:rFonts w:ascii="Times New Roman" w:hAnsi="Times New Roman" w:cs="Times New Roman"/>
                <w:sz w:val="20"/>
                <w:szCs w:val="20"/>
              </w:rPr>
              <w:t xml:space="preserve">—</w:t>
            </w:r>
          </w:p>
        </w:tc>
      </w:tr>
      <w:tr>
        <w:tc>
          <w:tcPr>
            <w:tcW w:w="700" w:type="dxa"/>
          </w:tcPr>
          <w:p>
            <w:pPr>
              <w:spacing w:before="20" w:after="20" w:line="240" w:lineRule="auto"/>
            </w:pPr>
            <w:r>
              <w:rPr>
                <w:rFonts w:ascii="Times New Roman" w:hAnsi="Times New Roman" w:cs="Times New Roman"/>
                <w:sz w:val="20"/>
                <w:szCs w:val="20"/>
              </w:rPr>
              <w:t xml:space="preserve">6</w:t>
            </w:r>
          </w:p>
        </w:tc>
        <w:tc>
          <w:tcPr>
            <w:tcW w:w="2200" w:type="dxa"/>
          </w:tcPr>
          <w:p>
            <w:pPr>
              <w:spacing w:before="20" w:after="20" w:line="240" w:lineRule="auto"/>
            </w:pPr>
            <w:r>
              <w:rPr>
                <w:rFonts w:ascii="Times New Roman" w:hAnsi="Times New Roman" w:cs="Times New Roman"/>
                <w:sz w:val="20"/>
                <w:szCs w:val="20"/>
              </w:rPr>
              <w:t xml:space="preserve">Results → TF-directed hiPSC differentiation, using CG materials, leads to OSCs with consistent cellular outcomes</w:t>
            </w:r>
          </w:p>
        </w:tc>
        <w:tc>
          <w:tcPr>
            <w:tcW w:w="7200" w:type="dxa"/>
          </w:tcPr>
          <w:p>
            <w:pPr>
              <w:spacing w:before="20" w:after="20" w:line="240" w:lineRule="auto"/>
            </w:pPr>
            <w:r>
              <w:rPr>
                <w:rFonts w:ascii="Times New Roman" w:hAnsi="Times New Roman" w:cs="Times New Roman"/>
                <w:sz w:val="20"/>
                <w:szCs w:val="20"/>
              </w:rPr>
              <w:t xml:space="preserve">To evaluate reproducibility and process consistency, single-cell RNA sequencing (scRNA-seq) was performed on RUO-OSC-M, RUO-OSC-V, RUO-OSC-L, and CG-OSC-L lots (Figure 3A). scRNA-seq analysis revealed three distinct clusters: less mature GCs (early GCs), more mature GCs (GCs), and ‘‘others.’’ Early GC and GC clusters robustly expressed markers of granulosa Production lot OSC markers (CD82+, FOXL2+) Viability RUO-OSC-V lot 41 CD82+: 51.1%; FOXL2+: NT 81.7% RUO-OSC-V lot 49 CD82+: 57.7%; FOXL2+: NT 82.8% RUO-OSC-L lot 77 CD82+: 50.8%; FOXL2+: NT 86.5% RUO-OSC-L lot 86 CD82+: 87.4%; FOXL2+: NT 86.2% CG-OSC-L lot 88 CD82+: 78.3%; FOXL2+: 71.2% 90.20% CG-OSC-L lot 90 CD82+: 74.1%; FOXL2+: 92.1% 91.20% CG-OSC-L lot 116 CD82+: 97.4%; FOXL2+: 99.5% 94.63% CG-OSC-L lot 180 CD82+: 94.2%; FOXL2+: 99.2% 94.37% CG-OSC-L lot 182 CD82+: 98.5%; FOXL2+: 90.8% 88.40% Fertilo lot GA03-24-TR001 CD82+: 98.3%; FOXL2+: 96.7% ≥87.4% Fertilo lot GA03-24-TR001; CD82+: 91.3%; FOXL2+: 96.0% 94.0% 5 min pot-thaw Fertilo lot GA03-24-TR001; CD82+: 90.1%; FOXL2+: 95.4% 88.2% 10 min pot-thaw Fertilo lot GA03-24-TR001; CD82+: 92.7%; FOXL2+: 97.2% 90.1% 15 min pot-thaw Fertilo lot GA03-24-TR001; CD82+: 89.1%; FOXL2+: 94.3% 84.5% 30 min in IVM media Fertilo lot GA03-24-TR001; CD82+: 90.3%; FOXL2+: 89.6% 80.2% 1 h in IVM media Fertilo lot GA03-24-TR001; CD82+: 91.0%; FOXL2+: 92.3% 81.3% 2 h in IVM media Fertilo lot GA03-24-TR001; CD82+: 92.7%; FOXL2+: 99.8% ≥86.3% 7 days shipping conditions Fertilo lot GA03-24-TR001; CD82+: 98.3%; FOXL2+: 96.7% ≥82.8% 6 months storage conditions Fertilo lot GA03-24-TR001; CD82+: 91.8%; FOXL2+: 97.1% ≥84.2% 12 months storage conditions NT, not tested. cell fate, with early GCs also expressing pre-defined preGC-I/II marker genes (Figure S3A).23 Cells classified as ‘‘others’’ were enriched in mitochondrial and ribosomal gene expression, typically associated with poor cell quality and a common artifact of scRNA-seq [24].</w:t>
            </w:r>
          </w:p>
        </w:tc>
        <w:tc>
          <w:tcPr>
            <w:tcW w:w="5036" w:type="dxa"/>
          </w:tcPr>
          <w:p>
            <w:pPr>
              <w:spacing w:before="0" w:after="80" w:line="240" w:lineRule="auto"/>
              <w:ind w:left="360"/>
            </w:pPr>
            <w:r>
              <w:rPr>
                <w:rFonts w:ascii="Times New Roman" w:hAnsi="Times New Roman" w:cs="Times New Roman"/>
                <w:sz w:val="20"/>
                <w:szCs w:val="20"/>
              </w:rPr>
              <w:t xml:space="preserve">24. Ilicic, T., Kim, J.K., Kolodziejczyk, A.A., Bagger, F.O., McCarthy, D.J., Marioni, J.C., and Teichmann, S.A. (2016). Classification of low quality cells from single-cell RNA-seq data. Genome Biol. 17, 29. https://doi.org/10.1186/s13059-016-0888-1. </w:t>
            </w:r>
            <w:hyperlink r:id="rId21" w:history="1">
              <w:r>
                <w:rPr>
                  <w:rStyle w:val="Hyperlink"/>
                  <w:rFonts w:ascii="Times New Roman" w:hAnsi="Times New Roman" w:cs="Times New Roman"/>
                  <w:color w:val="0563C1"/>
                  <w:u w:val="single"/>
                  <w:sz w:val="20"/>
                  <w:szCs w:val="20"/>
                </w:rPr>
                <w:t xml:space="preserve">https://doi.org/10.1186/s13059-016-0888-1</w:t>
              </w:r>
            </w:hyperlink>
          </w:p>
        </w:tc>
      </w:tr>
      <w:tr>
        <w:tc>
          <w:tcPr>
            <w:tcW w:w="700" w:type="dxa"/>
          </w:tcPr>
          <w:p>
            <w:pPr>
              <w:spacing w:before="20" w:after="20" w:line="240" w:lineRule="auto"/>
            </w:pPr>
            <w:r>
              <w:rPr>
                <w:rFonts w:ascii="Times New Roman" w:hAnsi="Times New Roman" w:cs="Times New Roman"/>
                <w:sz w:val="20"/>
                <w:szCs w:val="20"/>
              </w:rPr>
              <w:t xml:space="preserve">7</w:t>
            </w:r>
          </w:p>
        </w:tc>
        <w:tc>
          <w:tcPr>
            <w:tcW w:w="2200" w:type="dxa"/>
          </w:tcPr>
          <w:p>
            <w:pPr>
              <w:spacing w:before="20" w:after="20" w:line="240" w:lineRule="auto"/>
            </w:pPr>
            <w:r>
              <w:rPr>
                <w:rFonts w:ascii="Times New Roman" w:hAnsi="Times New Roman" w:cs="Times New Roman"/>
                <w:sz w:val="20"/>
                <w:szCs w:val="20"/>
              </w:rPr>
              <w:t xml:space="preserve">Results → TF-directed hiPSC differentiation, using CG materials, leads to OSCs with consistent cellular outcomes</w:t>
            </w:r>
          </w:p>
        </w:tc>
        <w:tc>
          <w:tcPr>
            <w:tcW w:w="7200" w:type="dxa"/>
          </w:tcPr>
          <w:p>
            <w:pPr>
              <w:spacing w:before="20" w:after="20" w:line="240" w:lineRule="auto"/>
            </w:pPr>
            <w:r>
              <w:rPr>
                <w:rFonts w:ascii="Times New Roman" w:hAnsi="Times New Roman" w:cs="Times New Roman"/>
                <w:sz w:val="20"/>
                <w:szCs w:val="20"/>
              </w:rPr>
              <w:t xml:space="preserve">CG- OSC-L lots had a consistent high proportion of the mature population of GCs (&gt;93%), with a decrease from 22% to &lt;6% lowquality cells (others), compared with initial batches (Figures 3B and S3C).</w:t>
            </w:r>
          </w:p>
        </w:tc>
        <w:tc>
          <w:tcPr>
            <w:tcW w:w="5036" w:type="dxa"/>
          </w:tcPr>
          <w:p>
            <w:pPr>
              <w:spacing w:before="20" w:after="20" w:line="240" w:lineRule="auto"/>
            </w:pPr>
            <w:r>
              <w:rPr>
                <w:rFonts w:ascii="Times New Roman" w:hAnsi="Times New Roman" w:cs="Times New Roman"/>
                <w:sz w:val="20"/>
                <w:szCs w:val="20"/>
              </w:rPr>
              <w:t xml:space="preserve">—</w:t>
            </w:r>
          </w:p>
        </w:tc>
      </w:tr>
      <w:tr>
        <w:tc>
          <w:tcPr>
            <w:tcW w:w="700" w:type="dxa"/>
          </w:tcPr>
          <w:p>
            <w:pPr>
              <w:spacing w:before="20" w:after="20" w:line="240" w:lineRule="auto"/>
            </w:pPr>
            <w:r>
              <w:rPr>
                <w:rFonts w:ascii="Times New Roman" w:hAnsi="Times New Roman" w:cs="Times New Roman"/>
                <w:sz w:val="20"/>
                <w:szCs w:val="20"/>
              </w:rPr>
              <w:t xml:space="preserve">8</w:t>
            </w:r>
          </w:p>
        </w:tc>
        <w:tc>
          <w:tcPr>
            <w:tcW w:w="2200" w:type="dxa"/>
          </w:tcPr>
          <w:p>
            <w:pPr>
              <w:spacing w:before="20" w:after="20" w:line="240" w:lineRule="auto"/>
            </w:pPr>
            <w:r>
              <w:rPr>
                <w:rFonts w:ascii="Times New Roman" w:hAnsi="Times New Roman" w:cs="Times New Roman"/>
                <w:sz w:val="20"/>
                <w:szCs w:val="20"/>
              </w:rPr>
              <w:t xml:space="preserve">Results → TF-directed hiPSC differentiation, using CG materials, leads to OSCs with consistent cellular outcomes</w:t>
            </w:r>
          </w:p>
        </w:tc>
        <w:tc>
          <w:tcPr>
            <w:tcW w:w="7200" w:type="dxa"/>
          </w:tcPr>
          <w:p>
            <w:pPr>
              <w:spacing w:before="20" w:after="20" w:line="240" w:lineRule="auto"/>
            </w:pPr>
            <w:r>
              <w:rPr>
                <w:rFonts w:ascii="Times New Roman" w:hAnsi="Times New Roman" w:cs="Times New Roman"/>
                <w:sz w:val="20"/>
                <w:szCs w:val="20"/>
              </w:rPr>
              <w:t xml:space="preserve">Analysis of key receptor-ligand components revealed consistent enrichment of the receptors TGFBR1, BMPR2, Residual hiPSCs (TRA-1-60+) Cell count BFR 31.1% NT NT 72.5% NT NT 3.5% NT NT 1.3% NT NT 0.01% NT NT 0.03% NT NT 0.08% NT NT 0.46% NT NT 0.87% NT NT ≥3.88 × 105 viable cells/vial NT 82.6% 3.72 × 105 viable cells/vial NT 80.0% 3.66 × 105 viable cells/vial NT 80.8% 3.71 × 105 viable cells/vial NT 87.1% 8.52 × 104 viable cells/100 μL NT 80.0% 8.64 × 104 viable cells/100 μL NT 87.0% 8.10 × 104 viable cells/100 μL NT 90.2% ≥4.09 × 105 viable cells/vial NT 82.5% ≥3.26 × 105 viable cells/vial NT 76.2% ≥3.74 × 105 viable cells/vial NT 78.4% and NOTCH2/3, as well as the ligand EFNB2, across OSC batches (Figure S3D).</w:t>
            </w:r>
          </w:p>
        </w:tc>
        <w:tc>
          <w:tcPr>
            <w:tcW w:w="5036" w:type="dxa"/>
          </w:tcPr>
          <w:p>
            <w:pPr>
              <w:spacing w:before="20" w:after="20" w:line="240" w:lineRule="auto"/>
            </w:pPr>
            <w:r>
              <w:rPr>
                <w:rFonts w:ascii="Times New Roman" w:hAnsi="Times New Roman" w:cs="Times New Roman"/>
                <w:sz w:val="20"/>
                <w:szCs w:val="20"/>
              </w:rPr>
              <w:t xml:space="preserve">—</w:t>
            </w:r>
          </w:p>
        </w:tc>
      </w:tr>
      <w:tr>
        <w:tc>
          <w:tcPr>
            <w:tcW w:w="700" w:type="dxa"/>
          </w:tcPr>
          <w:p>
            <w:pPr>
              <w:spacing w:before="20" w:after="20" w:line="240" w:lineRule="auto"/>
            </w:pPr>
            <w:r>
              <w:rPr>
                <w:rFonts w:ascii="Times New Roman" w:hAnsi="Times New Roman" w:cs="Times New Roman"/>
                <w:sz w:val="20"/>
                <w:szCs w:val="20"/>
              </w:rPr>
              <w:t xml:space="preserve">9</w:t>
            </w:r>
          </w:p>
        </w:tc>
        <w:tc>
          <w:tcPr>
            <w:tcW w:w="2200" w:type="dxa"/>
          </w:tcPr>
          <w:p>
            <w:pPr>
              <w:spacing w:before="20" w:after="20" w:line="240" w:lineRule="auto"/>
            </w:pPr>
            <w:r>
              <w:rPr>
                <w:rFonts w:ascii="Times New Roman" w:hAnsi="Times New Roman" w:cs="Times New Roman"/>
                <w:sz w:val="20"/>
                <w:szCs w:val="20"/>
              </w:rPr>
              <w:t xml:space="preserve">Results → Process robustness following optimization is demonstrated through analytical assessment of the product’s quality, safety, and purity</w:t>
            </w:r>
          </w:p>
        </w:tc>
        <w:tc>
          <w:tcPr>
            <w:tcW w:w="7200" w:type="dxa"/>
          </w:tcPr>
          <w:p>
            <w:pPr>
              <w:spacing w:before="20" w:after="20" w:line="240" w:lineRule="auto"/>
            </w:pPr>
            <w:r>
              <w:rPr>
                <w:rFonts w:ascii="Times New Roman" w:hAnsi="Times New Roman" w:cs="Times New Roman"/>
                <w:sz w:val="20"/>
                <w:szCs w:val="20"/>
              </w:rPr>
              <w:t xml:space="preserve">The BFRs were consistent among these conditions (59%, 58%, and 61%, respectively), indicating that the improvement in BFR with OSC-IVM is a result of the specific activity of viable OSCs (Figure 4B).</w:t>
            </w:r>
          </w:p>
        </w:tc>
        <w:tc>
          <w:tcPr>
            <w:tcW w:w="5036" w:type="dxa"/>
          </w:tcPr>
          <w:p>
            <w:pPr>
              <w:spacing w:before="20" w:after="20" w:line="240" w:lineRule="auto"/>
            </w:pPr>
            <w:r>
              <w:rPr>
                <w:rFonts w:ascii="Times New Roman" w:hAnsi="Times New Roman" w:cs="Times New Roman"/>
                <w:sz w:val="20"/>
                <w:szCs w:val="20"/>
              </w:rPr>
              <w:t xml:space="preserve">—</w:t>
            </w:r>
          </w:p>
        </w:tc>
      </w:tr>
      <w:tr>
        <w:tc>
          <w:tcPr>
            <w:tcW w:w="700" w:type="dxa"/>
          </w:tcPr>
          <w:p>
            <w:pPr>
              <w:spacing w:before="20" w:after="20" w:line="240" w:lineRule="auto"/>
            </w:pPr>
            <w:r>
              <w:rPr>
                <w:rFonts w:ascii="Times New Roman" w:hAnsi="Times New Roman" w:cs="Times New Roman"/>
                <w:sz w:val="20"/>
                <w:szCs w:val="20"/>
              </w:rPr>
              <w:t xml:space="preserve">10</w:t>
            </w:r>
          </w:p>
        </w:tc>
        <w:tc>
          <w:tcPr>
            <w:tcW w:w="2200" w:type="dxa"/>
          </w:tcPr>
          <w:p>
            <w:pPr>
              <w:spacing w:before="20" w:after="20" w:line="240" w:lineRule="auto"/>
            </w:pPr>
            <w:r>
              <w:rPr>
                <w:rFonts w:ascii="Times New Roman" w:hAnsi="Times New Roman" w:cs="Times New Roman"/>
                <w:sz w:val="20"/>
                <w:szCs w:val="20"/>
              </w:rPr>
              <w:t xml:space="preserve">Results → Process robustness following optimization is demonstrated through analytical assessment of the product’s quality, safety, and purity</w:t>
            </w:r>
          </w:p>
        </w:tc>
        <w:tc>
          <w:tcPr>
            <w:tcW w:w="7200" w:type="dxa"/>
          </w:tcPr>
          <w:p>
            <w:pPr>
              <w:spacing w:before="20" w:after="20" w:line="240" w:lineRule="auto"/>
            </w:pPr>
            <w:r>
              <w:rPr>
                <w:rFonts w:ascii="Times New Roman" w:hAnsi="Times New Roman" w:cs="Times New Roman"/>
                <w:sz w:val="20"/>
                <w:szCs w:val="20"/>
              </w:rPr>
              <w:t xml:space="preserve">To evaluate the impact of the dose on OSC-IVM efficacy, in one condition, half of the recommended number of OSCs (50,000 OSCs per 100 μL) was added during IVM 12 months storage CG-OSC product pass pass pass NT NT NT NT NT NT NT NT NT 6 months storage CG-OSC product pass pass pass NT NT NT NT NT NT NT NT NT CG-OSC product pass pass pass pass pass pass pass pass NT NT NT NT production lots CG-OSC pass pass pass pass NT NT NT NT NT NT NT NT CG-hiPSC MCB Pass pass pass pass pass pass pass pass pass NT NT NT blastocyst formation ≥80% NANOG ≤0.1% OCT4 ≤0.1%; no karyotypic abnormalities ≤0.06 μg/mL Specification not detected not detected ≤0.1 EU/mL no growth detected negative negative negative negative Adventitious agents (human test panel) Adventitious agents (speciesspecific) Mouse embryo assay—embryotoxicity Adventitious agents (in vitro) Adventitious agents (in vivo) Residual hiPSC—RT-qPCR Retroviral contamination Residual doxycycline Genomic integrity NT, not tested.</w:t>
            </w:r>
          </w:p>
        </w:tc>
        <w:tc>
          <w:tcPr>
            <w:tcW w:w="5036" w:type="dxa"/>
          </w:tcPr>
          <w:p>
            <w:pPr>
              <w:spacing w:before="20" w:after="20" w:line="240" w:lineRule="auto"/>
            </w:pPr>
            <w:r>
              <w:rPr>
                <w:rFonts w:ascii="Times New Roman" w:hAnsi="Times New Roman" w:cs="Times New Roman"/>
                <w:sz w:val="20"/>
                <w:szCs w:val="20"/>
              </w:rPr>
              <w:t xml:space="preserve">—</w:t>
            </w:r>
          </w:p>
        </w:tc>
      </w:tr>
      <w:tr>
        <w:tc>
          <w:tcPr>
            <w:tcW w:w="700" w:type="dxa"/>
          </w:tcPr>
          <w:p>
            <w:pPr>
              <w:spacing w:before="20" w:after="20" w:line="240" w:lineRule="auto"/>
            </w:pPr>
            <w:r>
              <w:rPr>
                <w:rFonts w:ascii="Times New Roman" w:hAnsi="Times New Roman" w:cs="Times New Roman"/>
                <w:sz w:val="20"/>
                <w:szCs w:val="20"/>
              </w:rPr>
              <w:t xml:space="preserve">11</w:t>
            </w:r>
          </w:p>
        </w:tc>
        <w:tc>
          <w:tcPr>
            <w:tcW w:w="2200" w:type="dxa"/>
          </w:tcPr>
          <w:p>
            <w:pPr>
              <w:spacing w:before="20" w:after="20" w:line="240" w:lineRule="auto"/>
            </w:pPr>
            <w:r>
              <w:rPr>
                <w:rFonts w:ascii="Times New Roman" w:hAnsi="Times New Roman" w:cs="Times New Roman"/>
                <w:sz w:val="20"/>
                <w:szCs w:val="20"/>
              </w:rPr>
              <w:t xml:space="preserve">Results → Application of CG-OSCs significantly improves IVM outcomes</w:t>
            </w:r>
          </w:p>
        </w:tc>
        <w:tc>
          <w:tcPr>
            <w:tcW w:w="7200" w:type="dxa"/>
          </w:tcPr>
          <w:p>
            <w:pPr>
              <w:spacing w:before="20" w:after="20" w:line="240" w:lineRule="auto"/>
            </w:pPr>
            <w:r>
              <w:rPr>
                <w:rFonts w:ascii="Times New Roman" w:hAnsi="Times New Roman" w:cs="Times New Roman"/>
                <w:sz w:val="20"/>
                <w:szCs w:val="20"/>
              </w:rPr>
              <w:t xml:space="preserve">A total of 120 oocytes were evaluated in each condition (n = 120). on the number of samples that proceeded to each step.</w:t>
            </w:r>
          </w:p>
        </w:tc>
        <w:tc>
          <w:tcPr>
            <w:tcW w:w="5036" w:type="dxa"/>
          </w:tcPr>
          <w:p>
            <w:pPr>
              <w:spacing w:before="20" w:after="20" w:line="240" w:lineRule="auto"/>
            </w:pPr>
            <w:r>
              <w:rPr>
                <w:rFonts w:ascii="Times New Roman" w:hAnsi="Times New Roman" w:cs="Times New Roman"/>
                <w:sz w:val="20"/>
                <w:szCs w:val="20"/>
              </w:rPr>
              <w:t xml:space="preserve">—</w:t>
            </w:r>
          </w:p>
        </w:tc>
      </w:tr>
      <w:tr>
        <w:tc>
          <w:tcPr>
            <w:tcW w:w="700" w:type="dxa"/>
          </w:tcPr>
          <w:p>
            <w:pPr>
              <w:spacing w:before="20" w:after="20" w:line="240" w:lineRule="auto"/>
            </w:pPr>
            <w:r>
              <w:rPr>
                <w:rFonts w:ascii="Times New Roman" w:hAnsi="Times New Roman" w:cs="Times New Roman"/>
                <w:sz w:val="20"/>
                <w:szCs w:val="20"/>
              </w:rPr>
              <w:t xml:space="preserve">12</w:t>
            </w:r>
          </w:p>
        </w:tc>
        <w:tc>
          <w:tcPr>
            <w:tcW w:w="2200" w:type="dxa"/>
          </w:tcPr>
          <w:p>
            <w:pPr>
              <w:spacing w:before="20" w:after="20" w:line="240" w:lineRule="auto"/>
            </w:pPr>
            <w:r>
              <w:rPr>
                <w:rFonts w:ascii="Times New Roman" w:hAnsi="Times New Roman" w:cs="Times New Roman"/>
                <w:sz w:val="20"/>
                <w:szCs w:val="20"/>
              </w:rPr>
              <w:t xml:space="preserve">Results → Application of CG-OSCs significantly improves IVM outcomes</w:t>
            </w:r>
          </w:p>
        </w:tc>
        <w:tc>
          <w:tcPr>
            <w:tcW w:w="7200" w:type="dxa"/>
          </w:tcPr>
          <w:p>
            <w:pPr>
              <w:spacing w:before="20" w:after="20" w:line="240" w:lineRule="auto"/>
            </w:pPr>
            <w:r>
              <w:rPr>
                <w:rFonts w:ascii="Times New Roman" w:hAnsi="Times New Roman" w:cs="Times New Roman"/>
                <w:sz w:val="20"/>
                <w:szCs w:val="20"/>
              </w:rPr>
              <w:t xml:space="preserve">The MII maturation rate was 68% per COC retrieved based on the presence of a first polar body (PB1) (Figure 5A).</w:t>
            </w:r>
          </w:p>
        </w:tc>
        <w:tc>
          <w:tcPr>
            <w:tcW w:w="5036" w:type="dxa"/>
          </w:tcPr>
          <w:p>
            <w:pPr>
              <w:spacing w:before="20" w:after="20" w:line="240" w:lineRule="auto"/>
            </w:pPr>
            <w:r>
              <w:rPr>
                <w:rFonts w:ascii="Times New Roman" w:hAnsi="Times New Roman" w:cs="Times New Roman"/>
                <w:sz w:val="20"/>
                <w:szCs w:val="20"/>
              </w:rPr>
              <w:t xml:space="preserve">—</w:t>
            </w:r>
          </w:p>
        </w:tc>
      </w:tr>
      <w:tr>
        <w:tc>
          <w:tcPr>
            <w:tcW w:w="700" w:type="dxa"/>
          </w:tcPr>
          <w:p>
            <w:pPr>
              <w:spacing w:before="20" w:after="20" w:line="240" w:lineRule="auto"/>
            </w:pPr>
            <w:r>
              <w:rPr>
                <w:rFonts w:ascii="Times New Roman" w:hAnsi="Times New Roman" w:cs="Times New Roman"/>
                <w:sz w:val="20"/>
                <w:szCs w:val="20"/>
              </w:rPr>
              <w:t xml:space="preserve">13</w:t>
            </w:r>
          </w:p>
        </w:tc>
        <w:tc>
          <w:tcPr>
            <w:tcW w:w="2200" w:type="dxa"/>
          </w:tcPr>
          <w:p>
            <w:pPr>
              <w:spacing w:before="20" w:after="20" w:line="240" w:lineRule="auto"/>
            </w:pPr>
            <w:r>
              <w:rPr>
                <w:rFonts w:ascii="Times New Roman" w:hAnsi="Times New Roman" w:cs="Times New Roman"/>
                <w:sz w:val="20"/>
                <w:szCs w:val="20"/>
              </w:rPr>
              <w:t xml:space="preserve">Results → Application of CG-OSCs significantly improves IVM outcomes</w:t>
            </w:r>
          </w:p>
        </w:tc>
        <w:tc>
          <w:tcPr>
            <w:tcW w:w="7200" w:type="dxa"/>
          </w:tcPr>
          <w:p>
            <w:pPr>
              <w:spacing w:before="20" w:after="20" w:line="240" w:lineRule="auto"/>
            </w:pPr>
            <w:r>
              <w:rPr>
                <w:rFonts w:ascii="Times New Roman" w:hAnsi="Times New Roman" w:cs="Times New Roman"/>
                <w:sz w:val="20"/>
                <w:szCs w:val="20"/>
              </w:rPr>
              <w:t xml:space="preserve">Between 16 and 18 h post-ICSI, the fertilization rate was determined to be 84% per mature MII based on the formation of two pronuclei (Figure 5A).</w:t>
            </w:r>
          </w:p>
        </w:tc>
        <w:tc>
          <w:tcPr>
            <w:tcW w:w="5036" w:type="dxa"/>
          </w:tcPr>
          <w:p>
            <w:pPr>
              <w:spacing w:before="20" w:after="20" w:line="240" w:lineRule="auto"/>
            </w:pPr>
            <w:r>
              <w:rPr>
                <w:rFonts w:ascii="Times New Roman" w:hAnsi="Times New Roman" w:cs="Times New Roman"/>
                <w:sz w:val="20"/>
                <w:szCs w:val="20"/>
              </w:rPr>
              <w:t xml:space="preserve">—</w:t>
            </w:r>
          </w:p>
        </w:tc>
      </w:tr>
      <w:tr>
        <w:tc>
          <w:tcPr>
            <w:tcW w:w="700" w:type="dxa"/>
          </w:tcPr>
          <w:p>
            <w:pPr>
              <w:spacing w:before="20" w:after="20" w:line="240" w:lineRule="auto"/>
            </w:pPr>
            <w:r>
              <w:rPr>
                <w:rFonts w:ascii="Times New Roman" w:hAnsi="Times New Roman" w:cs="Times New Roman"/>
                <w:sz w:val="20"/>
                <w:szCs w:val="20"/>
              </w:rPr>
              <w:t xml:space="preserve">14</w:t>
            </w:r>
          </w:p>
        </w:tc>
        <w:tc>
          <w:tcPr>
            <w:tcW w:w="2200" w:type="dxa"/>
          </w:tcPr>
          <w:p>
            <w:pPr>
              <w:spacing w:before="20" w:after="20" w:line="240" w:lineRule="auto"/>
            </w:pPr>
            <w:r>
              <w:rPr>
                <w:rFonts w:ascii="Times New Roman" w:hAnsi="Times New Roman" w:cs="Times New Roman"/>
                <w:sz w:val="20"/>
                <w:szCs w:val="20"/>
              </w:rPr>
              <w:t xml:space="preserve">Results → Application of CG-OSCs significantly improves IVM outcomes</w:t>
            </w:r>
          </w:p>
        </w:tc>
        <w:tc>
          <w:tcPr>
            <w:tcW w:w="7200" w:type="dxa"/>
          </w:tcPr>
          <w:p>
            <w:pPr>
              <w:spacing w:before="20" w:after="20" w:line="240" w:lineRule="auto"/>
            </w:pPr>
            <w:r>
              <w:rPr>
                <w:rFonts w:ascii="Times New Roman" w:hAnsi="Times New Roman" w:cs="Times New Roman"/>
                <w:sz w:val="20"/>
                <w:szCs w:val="20"/>
              </w:rPr>
              <w:t xml:space="preserve">The cleavage rate was 91%, the BFR was 42%, and the HQ BFR was 38% (Figure 5A); these percentages were calculated per fertilized embryo.</w:t>
            </w:r>
          </w:p>
        </w:tc>
        <w:tc>
          <w:tcPr>
            <w:tcW w:w="5036" w:type="dxa"/>
          </w:tcPr>
          <w:p>
            <w:pPr>
              <w:spacing w:before="20" w:after="20" w:line="240" w:lineRule="auto"/>
            </w:pPr>
            <w:r>
              <w:rPr>
                <w:rFonts w:ascii="Times New Roman" w:hAnsi="Times New Roman" w:cs="Times New Roman"/>
                <w:sz w:val="20"/>
                <w:szCs w:val="20"/>
              </w:rPr>
              <w:t xml:space="preserve">—</w:t>
            </w:r>
          </w:p>
        </w:tc>
      </w:tr>
      <w:tr>
        <w:tc>
          <w:tcPr>
            <w:tcW w:w="700" w:type="dxa"/>
          </w:tcPr>
          <w:p>
            <w:pPr>
              <w:spacing w:before="20" w:after="20" w:line="240" w:lineRule="auto"/>
            </w:pPr>
            <w:r>
              <w:rPr>
                <w:rFonts w:ascii="Times New Roman" w:hAnsi="Times New Roman" w:cs="Times New Roman"/>
                <w:sz w:val="20"/>
                <w:szCs w:val="20"/>
              </w:rPr>
              <w:t xml:space="preserve">15</w:t>
            </w:r>
          </w:p>
        </w:tc>
        <w:tc>
          <w:tcPr>
            <w:tcW w:w="2200" w:type="dxa"/>
          </w:tcPr>
          <w:p>
            <w:pPr>
              <w:spacing w:before="20" w:after="20" w:line="240" w:lineRule="auto"/>
            </w:pPr>
            <w:r>
              <w:rPr>
                <w:rFonts w:ascii="Times New Roman" w:hAnsi="Times New Roman" w:cs="Times New Roman"/>
                <w:sz w:val="20"/>
                <w:szCs w:val="20"/>
              </w:rPr>
              <w:t xml:space="preserve">Results → Application of CG-OSCs significantly improves IVM outcomes</w:t>
            </w:r>
          </w:p>
        </w:tc>
        <w:tc>
          <w:tcPr>
            <w:tcW w:w="7200" w:type="dxa"/>
          </w:tcPr>
          <w:p>
            <w:pPr>
              <w:spacing w:before="20" w:after="20" w:line="240" w:lineRule="auto"/>
            </w:pPr>
            <w:r>
              <w:rPr>
                <w:rFonts w:ascii="Times New Roman" w:hAnsi="Times New Roman" w:cs="Times New Roman"/>
                <w:sz w:val="20"/>
                <w:szCs w:val="20"/>
              </w:rPr>
              <w:t xml:space="preserve">The euploidy rate, which was determined within 7 days post-ICSI via PGT-A analysis, was 64% per blastocyst biopsy (Figure 5A).</w:t>
            </w:r>
          </w:p>
        </w:tc>
        <w:tc>
          <w:tcPr>
            <w:tcW w:w="5036" w:type="dxa"/>
          </w:tcPr>
          <w:p>
            <w:pPr>
              <w:spacing w:before="20" w:after="20" w:line="240" w:lineRule="auto"/>
            </w:pPr>
            <w:r>
              <w:rPr>
                <w:rFonts w:ascii="Times New Roman" w:hAnsi="Times New Roman" w:cs="Times New Roman"/>
                <w:sz w:val="20"/>
                <w:szCs w:val="20"/>
              </w:rPr>
              <w:t xml:space="preserve">—</w:t>
            </w:r>
          </w:p>
        </w:tc>
      </w:tr>
      <w:tr>
        <w:tc>
          <w:tcPr>
            <w:tcW w:w="700" w:type="dxa"/>
          </w:tcPr>
          <w:p>
            <w:pPr>
              <w:spacing w:before="20" w:after="20" w:line="240" w:lineRule="auto"/>
            </w:pPr>
            <w:r>
              <w:rPr>
                <w:rFonts w:ascii="Times New Roman" w:hAnsi="Times New Roman" w:cs="Times New Roman"/>
                <w:sz w:val="20"/>
                <w:szCs w:val="20"/>
              </w:rPr>
              <w:t xml:space="preserve">16</w:t>
            </w:r>
          </w:p>
        </w:tc>
        <w:tc>
          <w:tcPr>
            <w:tcW w:w="2200" w:type="dxa"/>
          </w:tcPr>
          <w:p>
            <w:pPr>
              <w:spacing w:before="20" w:after="20" w:line="240" w:lineRule="auto"/>
            </w:pPr>
            <w:r>
              <w:rPr>
                <w:rFonts w:ascii="Times New Roman" w:hAnsi="Times New Roman" w:cs="Times New Roman"/>
                <w:sz w:val="20"/>
                <w:szCs w:val="20"/>
              </w:rPr>
              <w:t xml:space="preserve">Results → Application of CG-OSCs significantly improves IVM outcomes</w:t>
            </w:r>
          </w:p>
        </w:tc>
        <w:tc>
          <w:tcPr>
            <w:tcW w:w="7200" w:type="dxa"/>
          </w:tcPr>
          <w:p>
            <w:pPr>
              <w:spacing w:before="20" w:after="20" w:line="240" w:lineRule="auto"/>
            </w:pPr>
            <w:r>
              <w:rPr>
                <w:rFonts w:ascii="Times New Roman" w:hAnsi="Times New Roman" w:cs="Times New Roman"/>
                <w:sz w:val="20"/>
                <w:szCs w:val="20"/>
              </w:rPr>
              <w:t xml:space="preserve">Biochemical pregnancy was assessed at days 10–14 post transfer based on a β-human chorionic gonadotropin (hCG) &gt; 5 mIU/mL; the rate of successful implantation was 60% (Figure 5A).</w:t>
            </w:r>
          </w:p>
        </w:tc>
        <w:tc>
          <w:tcPr>
            <w:tcW w:w="5036" w:type="dxa"/>
          </w:tcPr>
          <w:p>
            <w:pPr>
              <w:spacing w:before="20" w:after="20" w:line="240" w:lineRule="auto"/>
            </w:pPr>
            <w:r>
              <w:rPr>
                <w:rFonts w:ascii="Times New Roman" w:hAnsi="Times New Roman" w:cs="Times New Roman"/>
                <w:sz w:val="20"/>
                <w:szCs w:val="20"/>
              </w:rPr>
              <w:t xml:space="preserve">—</w:t>
            </w:r>
          </w:p>
        </w:tc>
      </w:tr>
      <w:tr>
        <w:tc>
          <w:tcPr>
            <w:tcW w:w="700" w:type="dxa"/>
          </w:tcPr>
          <w:p>
            <w:pPr>
              <w:spacing w:before="20" w:after="20" w:line="240" w:lineRule="auto"/>
            </w:pPr>
            <w:r>
              <w:rPr>
                <w:rFonts w:ascii="Times New Roman" w:hAnsi="Times New Roman" w:cs="Times New Roman"/>
                <w:sz w:val="20"/>
                <w:szCs w:val="20"/>
              </w:rPr>
              <w:t xml:space="preserve">17</w:t>
            </w:r>
          </w:p>
        </w:tc>
        <w:tc>
          <w:tcPr>
            <w:tcW w:w="2200" w:type="dxa"/>
          </w:tcPr>
          <w:p>
            <w:pPr>
              <w:spacing w:before="20" w:after="20" w:line="240" w:lineRule="auto"/>
            </w:pPr>
            <w:r>
              <w:rPr>
                <w:rFonts w:ascii="Times New Roman" w:hAnsi="Times New Roman" w:cs="Times New Roman"/>
                <w:sz w:val="20"/>
                <w:szCs w:val="20"/>
              </w:rPr>
              <w:t xml:space="preserve">Results → Application of CG-OSCs significantly improves IVM outcomes</w:t>
            </w:r>
          </w:p>
        </w:tc>
        <w:tc>
          <w:tcPr>
            <w:tcW w:w="7200" w:type="dxa"/>
          </w:tcPr>
          <w:p>
            <w:pPr>
              <w:spacing w:before="20" w:after="20" w:line="240" w:lineRule="auto"/>
            </w:pPr>
            <w:r>
              <w:rPr>
                <w:rFonts w:ascii="Times New Roman" w:hAnsi="Times New Roman" w:cs="Times New Roman"/>
                <w:sz w:val="20"/>
                <w:szCs w:val="20"/>
              </w:rPr>
              <w:t xml:space="preserve">Ongoing clinical pregnancy was assessed at a minimum of 10 weeks post-embryo transfer based on the presence of a visible gestational sac with a fetal heartbeat via ultrasound at 10–12 weeks’ gestation; the rate of ongoing clinical pregnancy per embryo transfer was 53% (Figure 5A).</w:t>
            </w:r>
          </w:p>
        </w:tc>
        <w:tc>
          <w:tcPr>
            <w:tcW w:w="5036" w:type="dxa"/>
          </w:tcPr>
          <w:p>
            <w:pPr>
              <w:spacing w:before="20" w:after="20" w:line="240" w:lineRule="auto"/>
            </w:pPr>
            <w:r>
              <w:rPr>
                <w:rFonts w:ascii="Times New Roman" w:hAnsi="Times New Roman" w:cs="Times New Roman"/>
                <w:sz w:val="20"/>
                <w:szCs w:val="20"/>
              </w:rPr>
              <w:t xml:space="preserve">—</w:t>
            </w:r>
          </w:p>
        </w:tc>
      </w:tr>
      <w:tr>
        <w:tc>
          <w:tcPr>
            <w:tcW w:w="700" w:type="dxa"/>
          </w:tcPr>
          <w:p>
            <w:pPr>
              <w:spacing w:before="20" w:after="20" w:line="240" w:lineRule="auto"/>
            </w:pPr>
            <w:r>
              <w:rPr>
                <w:rFonts w:ascii="Times New Roman" w:hAnsi="Times New Roman" w:cs="Times New Roman"/>
                <w:sz w:val="20"/>
                <w:szCs w:val="20"/>
              </w:rPr>
              <w:t xml:space="preserve">18</w:t>
            </w:r>
          </w:p>
        </w:tc>
        <w:tc>
          <w:tcPr>
            <w:tcW w:w="2200" w:type="dxa"/>
          </w:tcPr>
          <w:p>
            <w:pPr>
              <w:spacing w:before="20" w:after="20" w:line="240" w:lineRule="auto"/>
            </w:pPr>
            <w:r>
              <w:rPr>
                <w:rFonts w:ascii="Times New Roman" w:hAnsi="Times New Roman" w:cs="Times New Roman"/>
                <w:sz w:val="20"/>
                <w:szCs w:val="20"/>
              </w:rPr>
              <w:t xml:space="preserve">Results → Application of CG-OSCs significantly improves IVM outcomes</w:t>
            </w:r>
          </w:p>
        </w:tc>
        <w:tc>
          <w:tcPr>
            <w:tcW w:w="7200" w:type="dxa"/>
          </w:tcPr>
          <w:p>
            <w:pPr>
              <w:spacing w:before="20" w:after="20" w:line="240" w:lineRule="auto"/>
            </w:pPr>
            <w:r>
              <w:rPr>
                <w:rFonts w:ascii="Times New Roman" w:hAnsi="Times New Roman" w:cs="Times New Roman"/>
                <w:sz w:val="20"/>
                <w:szCs w:val="20"/>
              </w:rPr>
              <w:t xml:space="preserve">Following IVM, the MII oocyte maturation rate was determined; the MII maturation rate of the Fertilo group was significantly greater than that of the traditional IVM group (70% ± 7% vs. 52% ± 7%, p = 0.0047; Figure 5B).</w:t>
            </w:r>
          </w:p>
        </w:tc>
        <w:tc>
          <w:tcPr>
            <w:tcW w:w="5036" w:type="dxa"/>
          </w:tcPr>
          <w:p>
            <w:pPr>
              <w:spacing w:before="20" w:after="20" w:line="240" w:lineRule="auto"/>
            </w:pPr>
            <w:r>
              <w:rPr>
                <w:rFonts w:ascii="Times New Roman" w:hAnsi="Times New Roman" w:cs="Times New Roman"/>
                <w:sz w:val="20"/>
                <w:szCs w:val="20"/>
              </w:rPr>
              <w:t xml:space="preserve">—</w:t>
            </w:r>
          </w:p>
        </w:tc>
      </w:tr>
      <w:tr>
        <w:tc>
          <w:tcPr>
            <w:tcW w:w="700" w:type="dxa"/>
          </w:tcPr>
          <w:p>
            <w:pPr>
              <w:spacing w:before="20" w:after="20" w:line="240" w:lineRule="auto"/>
            </w:pPr>
            <w:r>
              <w:rPr>
                <w:rFonts w:ascii="Times New Roman" w:hAnsi="Times New Roman" w:cs="Times New Roman"/>
                <w:sz w:val="20"/>
                <w:szCs w:val="20"/>
              </w:rPr>
              <w:t xml:space="preserve">19</w:t>
            </w:r>
          </w:p>
        </w:tc>
        <w:tc>
          <w:tcPr>
            <w:tcW w:w="2200" w:type="dxa"/>
          </w:tcPr>
          <w:p>
            <w:pPr>
              <w:spacing w:before="20" w:after="20" w:line="240" w:lineRule="auto"/>
            </w:pPr>
            <w:r>
              <w:rPr>
                <w:rFonts w:ascii="Times New Roman" w:hAnsi="Times New Roman" w:cs="Times New Roman"/>
                <w:sz w:val="20"/>
                <w:szCs w:val="20"/>
              </w:rPr>
              <w:t xml:space="preserve">Results → Application of CG-OSCs significantly improves IVM outcomes</w:t>
            </w:r>
          </w:p>
        </w:tc>
        <w:tc>
          <w:tcPr>
            <w:tcW w:w="7200" w:type="dxa"/>
          </w:tcPr>
          <w:p>
            <w:pPr>
              <w:spacing w:before="20" w:after="20" w:line="240" w:lineRule="auto"/>
            </w:pPr>
            <w:r>
              <w:rPr>
                <w:rFonts w:ascii="Times New Roman" w:hAnsi="Times New Roman" w:cs="Times New Roman"/>
                <w:sz w:val="20"/>
                <w:szCs w:val="20"/>
              </w:rPr>
              <w:t xml:space="preserve">MII oocytes were then fertilized via ICSI, and the fertilization rate per COC was significantly higher in the Fertilo group than in the traditional IVM group (52% ± 7% vs. 30% ± 5%, p = 0.0004; Figure 5B).</w:t>
            </w:r>
          </w:p>
        </w:tc>
        <w:tc>
          <w:tcPr>
            <w:tcW w:w="5036" w:type="dxa"/>
          </w:tcPr>
          <w:p>
            <w:pPr>
              <w:spacing w:before="20" w:after="20" w:line="240" w:lineRule="auto"/>
            </w:pPr>
            <w:r>
              <w:rPr>
                <w:rFonts w:ascii="Times New Roman" w:hAnsi="Times New Roman" w:cs="Times New Roman"/>
                <w:sz w:val="20"/>
                <w:szCs w:val="20"/>
              </w:rPr>
              <w:t xml:space="preserve">—</w:t>
            </w:r>
          </w:p>
        </w:tc>
      </w:tr>
      <w:tr>
        <w:tc>
          <w:tcPr>
            <w:tcW w:w="700" w:type="dxa"/>
          </w:tcPr>
          <w:p>
            <w:pPr>
              <w:spacing w:before="20" w:after="20" w:line="240" w:lineRule="auto"/>
            </w:pPr>
            <w:r>
              <w:rPr>
                <w:rFonts w:ascii="Times New Roman" w:hAnsi="Times New Roman" w:cs="Times New Roman"/>
                <w:sz w:val="20"/>
                <w:szCs w:val="20"/>
              </w:rPr>
              <w:t xml:space="preserve">20</w:t>
            </w:r>
          </w:p>
        </w:tc>
        <w:tc>
          <w:tcPr>
            <w:tcW w:w="2200" w:type="dxa"/>
          </w:tcPr>
          <w:p>
            <w:pPr>
              <w:spacing w:before="20" w:after="20" w:line="240" w:lineRule="auto"/>
            </w:pPr>
            <w:r>
              <w:rPr>
                <w:rFonts w:ascii="Times New Roman" w:hAnsi="Times New Roman" w:cs="Times New Roman"/>
                <w:sz w:val="20"/>
                <w:szCs w:val="20"/>
              </w:rPr>
              <w:t xml:space="preserve">Results → Application of CG-OSCs significantly improves IVM outcomes</w:t>
            </w:r>
          </w:p>
        </w:tc>
        <w:tc>
          <w:tcPr>
            <w:tcW w:w="7200" w:type="dxa"/>
          </w:tcPr>
          <w:p>
            <w:pPr>
              <w:spacing w:before="20" w:after="20" w:line="240" w:lineRule="auto"/>
            </w:pPr>
            <w:r>
              <w:rPr>
                <w:rFonts w:ascii="Times New Roman" w:hAnsi="Times New Roman" w:cs="Times New Roman"/>
                <w:sz w:val="20"/>
                <w:szCs w:val="20"/>
              </w:rPr>
              <w:t xml:space="preserve">On day 3 post-ICSI, the percentage cleavage in the Fertilo group was significantly higher than that in the traditional IVM group (51% ± 6% vs. 28% ± 5%, p = 0.0002; Figure 5B).</w:t>
            </w:r>
          </w:p>
        </w:tc>
        <w:tc>
          <w:tcPr>
            <w:tcW w:w="5036" w:type="dxa"/>
          </w:tcPr>
          <w:p>
            <w:pPr>
              <w:spacing w:before="20" w:after="20" w:line="240" w:lineRule="auto"/>
            </w:pPr>
            <w:r>
              <w:rPr>
                <w:rFonts w:ascii="Times New Roman" w:hAnsi="Times New Roman" w:cs="Times New Roman"/>
                <w:sz w:val="20"/>
                <w:szCs w:val="20"/>
              </w:rPr>
              <w:t xml:space="preserve">—</w:t>
            </w:r>
          </w:p>
        </w:tc>
      </w:tr>
      <w:tr>
        <w:tc>
          <w:tcPr>
            <w:tcW w:w="700" w:type="dxa"/>
          </w:tcPr>
          <w:p>
            <w:pPr>
              <w:spacing w:before="20" w:after="20" w:line="240" w:lineRule="auto"/>
            </w:pPr>
            <w:r>
              <w:rPr>
                <w:rFonts w:ascii="Times New Roman" w:hAnsi="Times New Roman" w:cs="Times New Roman"/>
                <w:sz w:val="20"/>
                <w:szCs w:val="20"/>
              </w:rPr>
              <w:t xml:space="preserve">21</w:t>
            </w:r>
          </w:p>
        </w:tc>
        <w:tc>
          <w:tcPr>
            <w:tcW w:w="2200" w:type="dxa"/>
          </w:tcPr>
          <w:p>
            <w:pPr>
              <w:spacing w:before="20" w:after="20" w:line="240" w:lineRule="auto"/>
            </w:pPr>
            <w:r>
              <w:rPr>
                <w:rFonts w:ascii="Times New Roman" w:hAnsi="Times New Roman" w:cs="Times New Roman"/>
                <w:sz w:val="20"/>
                <w:szCs w:val="20"/>
              </w:rPr>
              <w:t xml:space="preserve">Results → Application of CG-OSCs significantly improves IVM outcomes</w:t>
            </w:r>
          </w:p>
        </w:tc>
        <w:tc>
          <w:tcPr>
            <w:tcW w:w="7200" w:type="dxa"/>
          </w:tcPr>
          <w:p>
            <w:pPr>
              <w:spacing w:before="20" w:after="20" w:line="240" w:lineRule="auto"/>
            </w:pPr>
            <w:r>
              <w:rPr>
                <w:rFonts w:ascii="Times New Roman" w:hAnsi="Times New Roman" w:cs="Times New Roman"/>
                <w:sz w:val="20"/>
                <w:szCs w:val="20"/>
              </w:rPr>
              <w:t xml:space="preserve">The rate of blastocyst formation in the Fertilo group was slightly but not significantly higher than that in the traditional IVM group (16% ± 4% vs. 10% ± 4%, p = 0.0664; Figure 5B).</w:t>
            </w:r>
          </w:p>
        </w:tc>
        <w:tc>
          <w:tcPr>
            <w:tcW w:w="5036" w:type="dxa"/>
          </w:tcPr>
          <w:p>
            <w:pPr>
              <w:spacing w:before="20" w:after="20" w:line="240" w:lineRule="auto"/>
            </w:pPr>
            <w:r>
              <w:rPr>
                <w:rFonts w:ascii="Times New Roman" w:hAnsi="Times New Roman" w:cs="Times New Roman"/>
                <w:sz w:val="20"/>
                <w:szCs w:val="20"/>
              </w:rPr>
              <w:t xml:space="preserve">—</w:t>
            </w:r>
          </w:p>
        </w:tc>
      </w:tr>
      <w:tr>
        <w:tc>
          <w:tcPr>
            <w:tcW w:w="700" w:type="dxa"/>
          </w:tcPr>
          <w:p>
            <w:pPr>
              <w:spacing w:before="20" w:after="20" w:line="240" w:lineRule="auto"/>
            </w:pPr>
            <w:r>
              <w:rPr>
                <w:rFonts w:ascii="Times New Roman" w:hAnsi="Times New Roman" w:cs="Times New Roman"/>
                <w:sz w:val="20"/>
                <w:szCs w:val="20"/>
              </w:rPr>
              <w:t xml:space="preserve">22</w:t>
            </w:r>
          </w:p>
        </w:tc>
        <w:tc>
          <w:tcPr>
            <w:tcW w:w="2200" w:type="dxa"/>
          </w:tcPr>
          <w:p>
            <w:pPr>
              <w:spacing w:before="20" w:after="20" w:line="240" w:lineRule="auto"/>
            </w:pPr>
            <w:r>
              <w:rPr>
                <w:rFonts w:ascii="Times New Roman" w:hAnsi="Times New Roman" w:cs="Times New Roman"/>
                <w:sz w:val="20"/>
                <w:szCs w:val="20"/>
              </w:rPr>
              <w:t xml:space="preserve">Results → Application of CG-OSCs significantly improves IVM outcomes</w:t>
            </w:r>
          </w:p>
        </w:tc>
        <w:tc>
          <w:tcPr>
            <w:tcW w:w="7200" w:type="dxa"/>
          </w:tcPr>
          <w:p>
            <w:pPr>
              <w:spacing w:before="20" w:after="20" w:line="240" w:lineRule="auto"/>
            </w:pPr>
            <w:r>
              <w:rPr>
                <w:rFonts w:ascii="Times New Roman" w:hAnsi="Times New Roman" w:cs="Times New Roman"/>
                <w:sz w:val="20"/>
                <w:szCs w:val="20"/>
              </w:rPr>
              <w:t xml:space="preserve">However, when considering only HQ blastocysts, defined as those of freezable quality with a score of 3BB or greater based on the Gardner scale, the Fertilo group had a significantly higher HQ BFR than the traditional IVM group (14% ± 3% vs. 7% ± 2%, p = 0.0134; Figure 5B).</w:t>
            </w:r>
          </w:p>
        </w:tc>
        <w:tc>
          <w:tcPr>
            <w:tcW w:w="5036" w:type="dxa"/>
          </w:tcPr>
          <w:p>
            <w:pPr>
              <w:spacing w:before="20" w:after="20" w:line="240" w:lineRule="auto"/>
            </w:pPr>
            <w:r>
              <w:rPr>
                <w:rFonts w:ascii="Times New Roman" w:hAnsi="Times New Roman" w:cs="Times New Roman"/>
                <w:sz w:val="20"/>
                <w:szCs w:val="20"/>
              </w:rPr>
              <w:t xml:space="preserve">—</w:t>
            </w:r>
          </w:p>
        </w:tc>
      </w:tr>
      <w:tr>
        <w:tc>
          <w:tcPr>
            <w:tcW w:w="700" w:type="dxa"/>
          </w:tcPr>
          <w:p>
            <w:pPr>
              <w:spacing w:before="20" w:after="20" w:line="240" w:lineRule="auto"/>
            </w:pPr>
            <w:r>
              <w:rPr>
                <w:rFonts w:ascii="Times New Roman" w:hAnsi="Times New Roman" w:cs="Times New Roman"/>
                <w:sz w:val="20"/>
                <w:szCs w:val="20"/>
              </w:rPr>
              <w:t xml:space="preserve">23</w:t>
            </w:r>
          </w:p>
        </w:tc>
        <w:tc>
          <w:tcPr>
            <w:tcW w:w="2200" w:type="dxa"/>
          </w:tcPr>
          <w:p>
            <w:pPr>
              <w:spacing w:before="20" w:after="20" w:line="240" w:lineRule="auto"/>
            </w:pPr>
            <w:r>
              <w:rPr>
                <w:rFonts w:ascii="Times New Roman" w:hAnsi="Times New Roman" w:cs="Times New Roman"/>
                <w:sz w:val="20"/>
                <w:szCs w:val="20"/>
              </w:rPr>
              <w:t xml:space="preserve">Results → Application of CG-OSCs significantly improves IVM outcomes</w:t>
            </w:r>
          </w:p>
        </w:tc>
        <w:tc>
          <w:tcPr>
            <w:tcW w:w="7200" w:type="dxa"/>
          </w:tcPr>
          <w:p>
            <w:pPr>
              <w:spacing w:before="20" w:after="20" w:line="240" w:lineRule="auto"/>
            </w:pPr>
            <w:r>
              <w:rPr>
                <w:rFonts w:ascii="Times New Roman" w:hAnsi="Times New Roman" w:cs="Times New Roman"/>
                <w:sz w:val="20"/>
                <w:szCs w:val="20"/>
              </w:rPr>
              <w:t xml:space="preserve">Finally, the euploid BFR of the Fertilo group, based on PGT-A analysis, was significantly greater than that of the traditional IVM group (10% ± 3% vs. 2% ± 1%, p = 0.0081; Figure 5B).</w:t>
            </w:r>
          </w:p>
        </w:tc>
        <w:tc>
          <w:tcPr>
            <w:tcW w:w="5036" w:type="dxa"/>
          </w:tcPr>
          <w:p>
            <w:pPr>
              <w:spacing w:before="20" w:after="20" w:line="240" w:lineRule="auto"/>
            </w:pPr>
            <w:r>
              <w:rPr>
                <w:rFonts w:ascii="Times New Roman" w:hAnsi="Times New Roman" w:cs="Times New Roman"/>
                <w:sz w:val="20"/>
                <w:szCs w:val="20"/>
              </w:rPr>
              <w:t xml:space="preserve">—</w:t>
            </w:r>
          </w:p>
        </w:tc>
      </w:tr>
      <w:tr>
        <w:tc>
          <w:tcPr>
            <w:tcW w:w="700" w:type="dxa"/>
          </w:tcPr>
          <w:p>
            <w:pPr>
              <w:spacing w:before="20" w:after="20" w:line="240" w:lineRule="auto"/>
            </w:pPr>
            <w:r>
              <w:rPr>
                <w:rFonts w:ascii="Times New Roman" w:hAnsi="Times New Roman" w:cs="Times New Roman"/>
                <w:sz w:val="20"/>
                <w:szCs w:val="20"/>
              </w:rPr>
              <w:t xml:space="preserve">24</w:t>
            </w:r>
          </w:p>
        </w:tc>
        <w:tc>
          <w:tcPr>
            <w:tcW w:w="2200" w:type="dxa"/>
          </w:tcPr>
          <w:p>
            <w:pPr>
              <w:spacing w:before="20" w:after="20" w:line="240" w:lineRule="auto"/>
            </w:pPr>
            <w:r>
              <w:rPr>
                <w:rFonts w:ascii="Times New Roman" w:hAnsi="Times New Roman" w:cs="Times New Roman"/>
                <w:sz w:val="20"/>
                <w:szCs w:val="20"/>
              </w:rPr>
              <w:t xml:space="preserve">Results → Application of CG-OSCs significantly improves IVM outcomes</w:t>
            </w:r>
          </w:p>
        </w:tc>
        <w:tc>
          <w:tcPr>
            <w:tcW w:w="7200" w:type="dxa"/>
          </w:tcPr>
          <w:p>
            <w:pPr>
              <w:spacing w:before="20" w:after="20" w:line="240" w:lineRule="auto"/>
            </w:pPr>
            <w:r>
              <w:rPr>
                <w:rFonts w:ascii="Times New Roman" w:hAnsi="Times New Roman" w:cs="Times New Roman"/>
                <w:sz w:val="20"/>
                <w:szCs w:val="20"/>
              </w:rPr>
              <w:t xml:space="preserve">The compiled data of both phases of the study based on successful outcomes per cycle demonstrated that OSC-IVM (Fertilo, 41%) has a better treatment success rate than traditional IVM (20%) (Figure 5C); the success rate of treatment is based on the rate of ongoing pregnancy, defined as a fetal sac visualized with ultrasound with detectable fetal heart rate at weeks 10–12 of gestation.</w:t>
            </w:r>
          </w:p>
        </w:tc>
        <w:tc>
          <w:tcPr>
            <w:tcW w:w="5036" w:type="dxa"/>
          </w:tcPr>
          <w:p>
            <w:pPr>
              <w:spacing w:before="20" w:after="20" w:line="240" w:lineRule="auto"/>
            </w:pPr>
            <w:r>
              <w:rPr>
                <w:rFonts w:ascii="Times New Roman" w:hAnsi="Times New Roman" w:cs="Times New Roman"/>
                <w:sz w:val="20"/>
                <w:szCs w:val="20"/>
              </w:rPr>
              <w:t xml:space="preserve">—</w:t>
            </w:r>
          </w:p>
        </w:tc>
      </w:tr>
      <w:tr>
        <w:tc>
          <w:tcPr>
            <w:tcW w:w="700" w:type="dxa"/>
          </w:tcPr>
          <w:p>
            <w:pPr>
              <w:spacing w:before="20" w:after="20" w:line="240" w:lineRule="auto"/>
            </w:pPr>
            <w:r>
              <w:rPr>
                <w:rFonts w:ascii="Times New Roman" w:hAnsi="Times New Roman" w:cs="Times New Roman"/>
                <w:sz w:val="20"/>
                <w:szCs w:val="20"/>
              </w:rPr>
              <w:t xml:space="preserve">25</w:t>
            </w:r>
          </w:p>
        </w:tc>
        <w:tc>
          <w:tcPr>
            <w:tcW w:w="2200" w:type="dxa"/>
          </w:tcPr>
          <w:p>
            <w:pPr>
              <w:spacing w:before="20" w:after="20" w:line="240" w:lineRule="auto"/>
            </w:pPr>
            <w:r>
              <w:rPr>
                <w:rFonts w:ascii="Times New Roman" w:hAnsi="Times New Roman" w:cs="Times New Roman"/>
                <w:sz w:val="20"/>
                <w:szCs w:val="20"/>
              </w:rPr>
              <w:t xml:space="preserve">Results → Application of CG-OSCs significantly improves IVM outcomes</w:t>
            </w:r>
          </w:p>
        </w:tc>
        <w:tc>
          <w:tcPr>
            <w:tcW w:w="7200" w:type="dxa"/>
          </w:tcPr>
          <w:p>
            <w:pPr>
              <w:spacing w:before="20" w:after="20" w:line="240" w:lineRule="auto"/>
            </w:pPr>
            <w:r>
              <w:rPr>
                <w:rFonts w:ascii="Times New Roman" w:hAnsi="Times New Roman" w:cs="Times New Roman"/>
                <w:sz w:val="20"/>
                <w:szCs w:val="20"/>
              </w:rPr>
              <w:t xml:space="preserve">In addition, although the blastocyst and euploid blastocyst rates were the most similar in the outcome comparison per COC, comparison of these rates per cycle shows that Fertilo led to substantially more successful blastocyst and euploid blastocyst formation per cycle than traditional IVM (blastocyst 86.7% vs. 60%; euploid blastocyst 77% vs. 30%) (Figure 7C).</w:t>
            </w:r>
          </w:p>
        </w:tc>
        <w:tc>
          <w:tcPr>
            <w:tcW w:w="5036" w:type="dxa"/>
          </w:tcPr>
          <w:p>
            <w:pPr>
              <w:spacing w:before="20" w:after="20" w:line="240" w:lineRule="auto"/>
            </w:pPr>
            <w:r>
              <w:rPr>
                <w:rFonts w:ascii="Times New Roman" w:hAnsi="Times New Roman" w:cs="Times New Roman"/>
                <w:sz w:val="20"/>
                <w:szCs w:val="20"/>
              </w:rPr>
              <w:t xml:space="preserve">—</w:t>
            </w:r>
          </w:p>
        </w:tc>
      </w:tr>
      <w:tr>
        <w:tc>
          <w:tcPr>
            <w:tcW w:w="700" w:type="dxa"/>
          </w:tcPr>
          <w:p>
            <w:pPr>
              <w:spacing w:before="20" w:after="20" w:line="240" w:lineRule="auto"/>
            </w:pPr>
            <w:r>
              <w:rPr>
                <w:rFonts w:ascii="Times New Roman" w:hAnsi="Times New Roman" w:cs="Times New Roman"/>
                <w:sz w:val="20"/>
                <w:szCs w:val="20"/>
              </w:rPr>
              <w:t xml:space="preserve">26</w:t>
            </w:r>
          </w:p>
        </w:tc>
        <w:tc>
          <w:tcPr>
            <w:tcW w:w="2200" w:type="dxa"/>
          </w:tcPr>
          <w:p>
            <w:pPr>
              <w:spacing w:before="20" w:after="20" w:line="240" w:lineRule="auto"/>
            </w:pPr>
            <w:r>
              <w:rPr>
                <w:rFonts w:ascii="Times New Roman" w:hAnsi="Times New Roman" w:cs="Times New Roman"/>
                <w:sz w:val="20"/>
                <w:szCs w:val="20"/>
              </w:rPr>
              <w:t xml:space="preserve">Discussion</w:t>
            </w:r>
          </w:p>
        </w:tc>
        <w:tc>
          <w:tcPr>
            <w:tcW w:w="7200" w:type="dxa"/>
          </w:tcPr>
          <w:p>
            <w:pPr>
              <w:spacing w:before="20" w:after="20" w:line="240" w:lineRule="auto"/>
            </w:pPr>
            <w:r>
              <w:rPr>
                <w:rFonts w:ascii="Times New Roman" w:hAnsi="Times New Roman" w:cs="Times New Roman"/>
                <w:sz w:val="20"/>
                <w:szCs w:val="20"/>
              </w:rPr>
              <w:t xml:space="preserve">Co-culture of human oocytes with RUO-OSCs yielded an approximately 65% maturation rate, similar to the percentage of mature oocytes collected following conventional stimulation protocols, which typically ranges between 70% and 90%.36–39 NGS analyses of Fertilo-treated oocytes and subsequently derived embryos detected no residual OSC genetic material, indicating minimal risk of carryover or in vivo transfer alongside embryos.</w:t>
            </w:r>
          </w:p>
        </w:tc>
        <w:tc>
          <w:tcPr>
            <w:tcW w:w="5036" w:type="dxa"/>
          </w:tcPr>
          <w:p>
            <w:pPr>
              <w:spacing w:before="20" w:after="20" w:line="240" w:lineRule="auto"/>
            </w:pPr>
            <w:r>
              <w:rPr>
                <w:rFonts w:ascii="Times New Roman" w:hAnsi="Times New Roman" w:cs="Times New Roman"/>
                <w:sz w:val="20"/>
                <w:szCs w:val="20"/>
              </w:rPr>
              <w:t xml:space="preserve">—</w:t>
            </w:r>
          </w:p>
        </w:tc>
      </w:tr>
      <w:tr>
        <w:tc>
          <w:tcPr>
            <w:tcW w:w="700" w:type="dxa"/>
          </w:tcPr>
          <w:p>
            <w:pPr>
              <w:spacing w:before="20" w:after="20" w:line="240" w:lineRule="auto"/>
            </w:pPr>
            <w:r>
              <w:rPr>
                <w:rFonts w:ascii="Times New Roman" w:hAnsi="Times New Roman" w:cs="Times New Roman"/>
                <w:sz w:val="20"/>
                <w:szCs w:val="20"/>
              </w:rPr>
              <w:t xml:space="preserve">27</w:t>
            </w:r>
          </w:p>
        </w:tc>
        <w:tc>
          <w:tcPr>
            <w:tcW w:w="2200" w:type="dxa"/>
          </w:tcPr>
          <w:p>
            <w:pPr>
              <w:spacing w:before="20" w:after="20" w:line="240" w:lineRule="auto"/>
            </w:pPr>
            <w:r>
              <w:rPr>
                <w:rFonts w:ascii="Times New Roman" w:hAnsi="Times New Roman" w:cs="Times New Roman"/>
                <w:sz w:val="20"/>
                <w:szCs w:val="20"/>
              </w:rPr>
              <w:t xml:space="preserve">Discussion</w:t>
            </w:r>
          </w:p>
        </w:tc>
        <w:tc>
          <w:tcPr>
            <w:tcW w:w="7200" w:type="dxa"/>
          </w:tcPr>
          <w:p>
            <w:pPr>
              <w:spacing w:before="20" w:after="20" w:line="240" w:lineRule="auto"/>
            </w:pPr>
            <w:r>
              <w:rPr>
                <w:rFonts w:ascii="Times New Roman" w:hAnsi="Times New Roman" w:cs="Times New Roman"/>
                <w:sz w:val="20"/>
                <w:szCs w:val="20"/>
              </w:rPr>
              <w:t xml:space="preserve">As part of our validation of analytical procedures, we demonstrated that the RT-qPCR method is sufficient to detect 0.01% hiPSCs in the cell population.</w:t>
            </w:r>
          </w:p>
        </w:tc>
        <w:tc>
          <w:tcPr>
            <w:tcW w:w="5036" w:type="dxa"/>
          </w:tcPr>
          <w:p>
            <w:pPr>
              <w:spacing w:before="20" w:after="20" w:line="240" w:lineRule="auto"/>
            </w:pPr>
            <w:r>
              <w:rPr>
                <w:rFonts w:ascii="Times New Roman" w:hAnsi="Times New Roman" w:cs="Times New Roman"/>
                <w:sz w:val="20"/>
                <w:szCs w:val="20"/>
              </w:rPr>
              <w:t xml:space="preserve">—</w:t>
            </w:r>
          </w:p>
        </w:tc>
      </w:tr>
      <w:tr>
        <w:tc>
          <w:tcPr>
            <w:tcW w:w="700" w:type="dxa"/>
          </w:tcPr>
          <w:p>
            <w:pPr>
              <w:spacing w:before="20" w:after="20" w:line="240" w:lineRule="auto"/>
            </w:pPr>
            <w:r>
              <w:rPr>
                <w:rFonts w:ascii="Times New Roman" w:hAnsi="Times New Roman" w:cs="Times New Roman"/>
                <w:sz w:val="20"/>
                <w:szCs w:val="20"/>
              </w:rPr>
              <w:t xml:space="preserve">28</w:t>
            </w:r>
          </w:p>
        </w:tc>
        <w:tc>
          <w:tcPr>
            <w:tcW w:w="2200" w:type="dxa"/>
          </w:tcPr>
          <w:p>
            <w:pPr>
              <w:spacing w:before="20" w:after="20" w:line="240" w:lineRule="auto"/>
            </w:pPr>
            <w:r>
              <w:rPr>
                <w:rFonts w:ascii="Times New Roman" w:hAnsi="Times New Roman" w:cs="Times New Roman"/>
                <w:sz w:val="20"/>
                <w:szCs w:val="20"/>
              </w:rPr>
              <w:t xml:space="preserve">Discussion</w:t>
            </w:r>
          </w:p>
        </w:tc>
        <w:tc>
          <w:tcPr>
            <w:tcW w:w="7200" w:type="dxa"/>
          </w:tcPr>
          <w:p>
            <w:pPr>
              <w:spacing w:before="20" w:after="20" w:line="240" w:lineRule="auto"/>
            </w:pPr>
            <w:r>
              <w:rPr>
                <w:rFonts w:ascii="Times New Roman" w:hAnsi="Times New Roman" w:cs="Times New Roman"/>
                <w:sz w:val="20"/>
                <w:szCs w:val="20"/>
              </w:rPr>
              <w:t xml:space="preserve">Compiled data from both phases revealed that overall treatment success, defined as ongoing pregnancy per cycle, was 41% with Fertilo vs. 20% with traditional IVM.</w:t>
            </w:r>
          </w:p>
        </w:tc>
        <w:tc>
          <w:tcPr>
            <w:tcW w:w="5036" w:type="dxa"/>
          </w:tcPr>
          <w:p>
            <w:pPr>
              <w:spacing w:before="20" w:after="20" w:line="240" w:lineRule="auto"/>
            </w:pPr>
            <w:r>
              <w:rPr>
                <w:rFonts w:ascii="Times New Roman" w:hAnsi="Times New Roman" w:cs="Times New Roman"/>
                <w:sz w:val="20"/>
                <w:szCs w:val="20"/>
              </w:rPr>
              <w:t xml:space="preserve">—</w:t>
            </w:r>
          </w:p>
        </w:tc>
      </w:tr>
    </w:tbl>
    <w:p>
      <w:pPr>
        <w:spacing w:before="240" w:after="60" w:line="276" w:lineRule="auto"/>
      </w:pPr>
      <w:r>
        <w:rPr>
          <w:rFonts w:ascii="Times New Roman" w:hAnsi="Times New Roman" w:cs="Times New Roman"/>
          <w:b/>
          <w:sz w:val="28"/>
          <w:szCs w:val="28"/>
        </w:rPr>
        <w:t xml:space="preserve">Протоколы</w:t>
      </w:r>
    </w:p>
    <w:p>
      <w:pPr>
        <w:spacing w:before="0" w:after="80" w:line="276" w:lineRule="auto"/>
      </w:pPr>
      <w:r>
        <w:rPr>
          <w:rFonts w:ascii="Times New Roman" w:hAnsi="Times New Roman" w:cs="Times New Roman"/>
          <w:i/>
          <w:sz w:val="22"/>
          <w:szCs w:val="22"/>
        </w:rPr>
        <w:t xml:space="preserve">Нумерованный список дословных шагов. Перед списком — как это делают.</w:t>
      </w:r>
    </w:p>
    <w:p>
      <w:pPr>
        <w:spacing w:before="160" w:after="40" w:line="276" w:lineRule="auto"/>
      </w:pPr>
      <w:r>
        <w:rPr>
          <w:rFonts w:ascii="Times New Roman" w:hAnsi="Times New Roman" w:cs="Times New Roman"/>
          <w:b/>
          <w:sz w:val="24"/>
          <w:szCs w:val="24"/>
        </w:rPr>
        <w:t xml:space="preserve">Как сделать hiPSC maintenance and OSC differentiation</w:t>
      </w:r>
    </w:p>
    <w:p>
      <w:pPr>
        <w:spacing w:before="0" w:after="80" w:line="276" w:lineRule="auto"/>
      </w:pPr>
      <w:r>
        <w:rPr>
          <w:rFonts w:ascii="Times New Roman" w:hAnsi="Times New Roman" w:cs="Times New Roman"/>
          <w:sz w:val="22"/>
          <w:szCs w:val="22"/>
        </w:rPr>
        <w:t xml:space="preserve">Ниже дословные шаги и схемы из статьи, по порядку.</w:t>
      </w:r>
    </w:p>
    <w:p>
      <w:pPr>
        <w:spacing w:before="0" w:after="20" w:line="276" w:lineRule="auto"/>
      </w:pPr>
      <w:r>
        <w:rPr>
          <w:rFonts w:ascii="Times New Roman" w:hAnsi="Times New Roman" w:cs="Times New Roman"/>
          <w:sz w:val="20"/>
          <w:szCs w:val="20"/>
        </w:rPr>
        <w:t xml:space="preserve">1. In short, hiPSCs were exposed to the Rho kinase inhibitor, Y-27632 (StemCell Technologies, 72304), and the WNT activator, CHIR99021 (Sigma Aldrich, SML1046-5MG), to prime the cells into a mesodermal fate.</w:t>
      </w:r>
    </w:p>
    <w:p>
      <w:pPr>
        <w:spacing w:before="0" w:after="80" w:line="276" w:lineRule="auto"/>
      </w:pPr>
      <w:r>
        <w:rPr>
          <w:rFonts w:ascii="Times New Roman" w:hAnsi="Times New Roman" w:cs="Times New Roman"/>
          <w:sz w:val="18"/>
          <w:szCs w:val="18"/>
        </w:rPr>
        <w:t xml:space="preserve">Ссылки: —</w:t>
      </w:r>
    </w:p>
    <w:p>
      <w:pPr>
        <w:spacing w:before="160" w:after="40" w:line="276" w:lineRule="auto"/>
      </w:pPr>
      <w:r>
        <w:rPr>
          <w:rFonts w:ascii="Times New Roman" w:hAnsi="Times New Roman" w:cs="Times New Roman"/>
          <w:b/>
          <w:sz w:val="24"/>
          <w:szCs w:val="24"/>
        </w:rPr>
        <w:t xml:space="preserve">Как сделать Human oocytes for MII maturation assessment</w:t>
      </w:r>
    </w:p>
    <w:p>
      <w:pPr>
        <w:spacing w:before="0" w:after="80" w:line="276" w:lineRule="auto"/>
      </w:pPr>
      <w:r>
        <w:rPr>
          <w:rFonts w:ascii="Times New Roman" w:hAnsi="Times New Roman" w:cs="Times New Roman"/>
          <w:sz w:val="22"/>
          <w:szCs w:val="22"/>
        </w:rPr>
        <w:t xml:space="preserve">Ниже дословные шаги и схемы из статьи, по порядку.</w:t>
      </w:r>
    </w:p>
    <w:p>
      <w:pPr>
        <w:spacing w:before="0" w:after="20" w:line="276" w:lineRule="auto"/>
      </w:pPr>
      <w:r>
        <w:rPr>
          <w:rFonts w:ascii="Times New Roman" w:hAnsi="Times New Roman" w:cs="Times New Roman"/>
          <w:sz w:val="20"/>
          <w:szCs w:val="20"/>
        </w:rPr>
        <w:t xml:space="preserve">1. Subjects received three to four days of stimulation using 200 IU of rFSH with a 10,000 IU hCG trigger in preparation for immature oocyte aspiration.</w:t>
      </w:r>
    </w:p>
    <w:p>
      <w:pPr>
        <w:spacing w:before="0" w:after="80" w:line="276" w:lineRule="auto"/>
      </w:pPr>
      <w:r>
        <w:rPr>
          <w:rFonts w:ascii="Times New Roman" w:hAnsi="Times New Roman" w:cs="Times New Roman"/>
          <w:sz w:val="18"/>
          <w:szCs w:val="18"/>
        </w:rPr>
        <w:t xml:space="preserve">Ссылки: —</w:t>
      </w:r>
    </w:p>
    <w:p>
      <w:pPr>
        <w:spacing w:before="0" w:after="20" w:line="276" w:lineRule="auto"/>
      </w:pPr>
      <w:r>
        <w:rPr>
          <w:rFonts w:ascii="Times New Roman" w:hAnsi="Times New Roman" w:cs="Times New Roman"/>
          <w:sz w:val="20"/>
          <w:szCs w:val="20"/>
        </w:rPr>
        <w:t xml:space="preserve">2. Triggers were scheduled when 2 or more follicles reached 6-8 mm in diameter, and average follicle sizes of 6-14 mm were used for extraction 34 to 36 hours after trigger.</w:t>
      </w:r>
    </w:p>
    <w:p>
      <w:pPr>
        <w:spacing w:before="0" w:after="80" w:line="276" w:lineRule="auto"/>
      </w:pPr>
      <w:r>
        <w:rPr>
          <w:rFonts w:ascii="Times New Roman" w:hAnsi="Times New Roman" w:cs="Times New Roman"/>
          <w:sz w:val="18"/>
          <w:szCs w:val="18"/>
        </w:rPr>
        <w:t xml:space="preserve">Ссылки: —</w:t>
      </w:r>
    </w:p>
    <w:p>
      <w:pPr>
        <w:spacing w:before="0" w:after="20" w:line="276" w:lineRule="auto"/>
      </w:pPr>
      <w:r>
        <w:rPr>
          <w:rFonts w:ascii="Times New Roman" w:hAnsi="Times New Roman" w:cs="Times New Roman"/>
          <w:sz w:val="20"/>
          <w:szCs w:val="20"/>
        </w:rPr>
        <w:t xml:space="preserve">3. Additionally, serum levels of LH, E2, and P4 were measured to assess the early follicular growth phase (E2 &gt; 100 ng/ml) and to monitor for premature luteinization and spikes in LH (LH ≥10 IU/ml).</w:t>
      </w:r>
    </w:p>
    <w:p>
      <w:pPr>
        <w:spacing w:before="0" w:after="80" w:line="276" w:lineRule="auto"/>
      </w:pPr>
      <w:r>
        <w:rPr>
          <w:rFonts w:ascii="Times New Roman" w:hAnsi="Times New Roman" w:cs="Times New Roman"/>
          <w:sz w:val="18"/>
          <w:szCs w:val="18"/>
        </w:rPr>
        <w:t xml:space="preserve">Ссылки: —</w:t>
      </w:r>
    </w:p>
    <w:p>
      <w:pPr>
        <w:spacing w:before="0" w:after="20" w:line="276" w:lineRule="auto"/>
      </w:pPr>
      <w:r>
        <w:rPr>
          <w:rFonts w:ascii="Times New Roman" w:hAnsi="Times New Roman" w:cs="Times New Roman"/>
          <w:sz w:val="20"/>
          <w:szCs w:val="20"/>
        </w:rPr>
        <w:t xml:space="preserve">4. The aspirations of small ovarian follicles to retrieve COCs were performed 34-36 hours after the trigger injection (10,000 IU hCG) using a transvaginal ultrasound with a needle guide on the probe to retrieve oocytes.</w:t>
      </w:r>
    </w:p>
    <w:p>
      <w:pPr>
        <w:spacing w:before="0" w:after="80" w:line="276" w:lineRule="auto"/>
      </w:pPr>
      <w:r>
        <w:rPr>
          <w:rFonts w:ascii="Times New Roman" w:hAnsi="Times New Roman" w:cs="Times New Roman"/>
          <w:sz w:val="18"/>
          <w:szCs w:val="18"/>
        </w:rPr>
        <w:t xml:space="preserve">Ссылки: —</w:t>
      </w:r>
    </w:p>
    <w:p>
      <w:pPr>
        <w:spacing w:before="0" w:after="20" w:line="276" w:lineRule="auto"/>
      </w:pPr>
      <w:r>
        <w:rPr>
          <w:rFonts w:ascii="Times New Roman" w:hAnsi="Times New Roman" w:cs="Times New Roman"/>
          <w:sz w:val="20"/>
          <w:szCs w:val="20"/>
        </w:rPr>
        <w:t xml:space="preserve">5. Aspiration was performed using ASP medium (Vitrolife), a single lumen 19-gauge needle, and 100 mmHg of vacuum pump suction.</w:t>
      </w:r>
    </w:p>
    <w:p>
      <w:pPr>
        <w:spacing w:before="0" w:after="80" w:line="276" w:lineRule="auto"/>
      </w:pPr>
      <w:r>
        <w:rPr>
          <w:rFonts w:ascii="Times New Roman" w:hAnsi="Times New Roman" w:cs="Times New Roman"/>
          <w:sz w:val="18"/>
          <w:szCs w:val="18"/>
        </w:rPr>
        <w:t xml:space="preserve">Ссылки: —</w:t>
      </w:r>
    </w:p>
    <w:p>
      <w:pPr>
        <w:spacing w:before="0" w:after="20" w:line="276" w:lineRule="auto"/>
      </w:pPr>
      <w:r>
        <w:rPr>
          <w:rFonts w:ascii="Times New Roman" w:hAnsi="Times New Roman" w:cs="Times New Roman"/>
          <w:sz w:val="20"/>
          <w:szCs w:val="20"/>
        </w:rPr>
        <w:t xml:space="preserve">6. The number of COCs aspirated was equal to roughly 40 to 50% of the subject’s AFC.</w:t>
      </w:r>
    </w:p>
    <w:p>
      <w:pPr>
        <w:spacing w:before="0" w:after="80" w:line="276" w:lineRule="auto"/>
      </w:pPr>
      <w:r>
        <w:rPr>
          <w:rFonts w:ascii="Times New Roman" w:hAnsi="Times New Roman" w:cs="Times New Roman"/>
          <w:sz w:val="18"/>
          <w:szCs w:val="18"/>
        </w:rPr>
        <w:t xml:space="preserve">Ссылки: —</w:t>
      </w:r>
    </w:p>
    <w:p>
      <w:pPr>
        <w:spacing w:before="160" w:after="40" w:line="276" w:lineRule="auto"/>
      </w:pPr>
      <w:r>
        <w:rPr>
          <w:rFonts w:ascii="Times New Roman" w:hAnsi="Times New Roman" w:cs="Times New Roman"/>
          <w:b/>
          <w:sz w:val="24"/>
          <w:szCs w:val="24"/>
        </w:rPr>
        <w:t xml:space="preserve">Как сделать Mouse oocytes for the MOMA</w:t>
      </w:r>
    </w:p>
    <w:p>
      <w:pPr>
        <w:spacing w:before="0" w:after="80" w:line="276" w:lineRule="auto"/>
      </w:pPr>
      <w:r>
        <w:rPr>
          <w:rFonts w:ascii="Times New Roman" w:hAnsi="Times New Roman" w:cs="Times New Roman"/>
          <w:sz w:val="22"/>
          <w:szCs w:val="22"/>
        </w:rPr>
        <w:t xml:space="preserve">Ниже дословные шаги и схемы из статьи, по порядку.</w:t>
      </w:r>
    </w:p>
    <w:p>
      <w:pPr>
        <w:spacing w:before="0" w:after="20" w:line="276" w:lineRule="auto"/>
      </w:pPr>
      <w:r>
        <w:rPr>
          <w:rFonts w:ascii="Times New Roman" w:hAnsi="Times New Roman" w:cs="Times New Roman"/>
          <w:sz w:val="20"/>
          <w:szCs w:val="20"/>
        </w:rPr>
        <w:t xml:space="preserve">1. Fresh immature mouse oocytes at the germinal vesicle (GV) stage were collected from the ovaries of hybrid (B6/CBA) females between 6 and 8 weeks of age stimulated with 7.5 IU pregnant mare serum gonadotropin (PMSG) 48 hours before retrieval.</w:t>
      </w:r>
    </w:p>
    <w:p>
      <w:pPr>
        <w:spacing w:before="0" w:after="80" w:line="276" w:lineRule="auto"/>
      </w:pPr>
      <w:r>
        <w:rPr>
          <w:rFonts w:ascii="Times New Roman" w:hAnsi="Times New Roman" w:cs="Times New Roman"/>
          <w:sz w:val="18"/>
          <w:szCs w:val="18"/>
        </w:rPr>
        <w:t xml:space="preserve">Ссылки: —</w:t>
      </w:r>
    </w:p>
    <w:p>
      <w:pPr>
        <w:spacing w:before="160" w:after="40" w:line="276" w:lineRule="auto"/>
      </w:pPr>
      <w:r>
        <w:rPr>
          <w:rFonts w:ascii="Times New Roman" w:hAnsi="Times New Roman" w:cs="Times New Roman"/>
          <w:b/>
          <w:sz w:val="24"/>
          <w:szCs w:val="24"/>
        </w:rPr>
        <w:t xml:space="preserve">Как сделать Human subjects in the clinical evaluation</w:t>
      </w:r>
    </w:p>
    <w:p>
      <w:pPr>
        <w:spacing w:before="0" w:after="80" w:line="276" w:lineRule="auto"/>
      </w:pPr>
      <w:r>
        <w:rPr>
          <w:rFonts w:ascii="Times New Roman" w:hAnsi="Times New Roman" w:cs="Times New Roman"/>
          <w:sz w:val="22"/>
          <w:szCs w:val="22"/>
        </w:rPr>
        <w:t xml:space="preserve">Ниже дословные шаги и схемы из статьи, по порядку.</w:t>
      </w:r>
    </w:p>
    <w:p>
      <w:pPr>
        <w:spacing w:before="0" w:after="20" w:line="276" w:lineRule="auto"/>
      </w:pPr>
      <w:r>
        <w:rPr>
          <w:rFonts w:ascii="Times New Roman" w:hAnsi="Times New Roman" w:cs="Times New Roman"/>
          <w:sz w:val="20"/>
          <w:szCs w:val="20"/>
        </w:rPr>
        <w:t xml:space="preserve">1. Hormone levels within 6 months of consent: follicle stimulating hormone (FSH) level on cycle day 2 or 3 ≥10 mIU/ml, estradiol (E2) on cycle day 2 or 3 &lt;100 pg/ml, 3.</w:t>
      </w:r>
    </w:p>
    <w:p>
      <w:pPr>
        <w:spacing w:before="0" w:after="80" w:line="276" w:lineRule="auto"/>
      </w:pPr>
      <w:r>
        <w:rPr>
          <w:rFonts w:ascii="Times New Roman" w:hAnsi="Times New Roman" w:cs="Times New Roman"/>
          <w:sz w:val="18"/>
          <w:szCs w:val="18"/>
        </w:rPr>
        <w:t xml:space="preserve">Ссылки: —</w:t>
      </w:r>
    </w:p>
    <w:p>
      <w:pPr>
        <w:spacing w:before="0" w:after="20" w:line="276" w:lineRule="auto"/>
      </w:pPr>
      <w:r>
        <w:rPr>
          <w:rFonts w:ascii="Times New Roman" w:hAnsi="Times New Roman" w:cs="Times New Roman"/>
          <w:sz w:val="20"/>
          <w:szCs w:val="20"/>
        </w:rPr>
        <w:t xml:space="preserve">2. Anti-Mu¨ llerian hormone ≥2 ng/ml and/or Antral Follicle Count ≥20; 5.</w:t>
      </w:r>
    </w:p>
    <w:p>
      <w:pPr>
        <w:spacing w:before="0" w:after="80" w:line="276" w:lineRule="auto"/>
      </w:pPr>
      <w:r>
        <w:rPr>
          <w:rFonts w:ascii="Times New Roman" w:hAnsi="Times New Roman" w:cs="Times New Roman"/>
          <w:sz w:val="18"/>
          <w:szCs w:val="18"/>
        </w:rPr>
        <w:t xml:space="preserve">Ссылки: —</w:t>
      </w:r>
    </w:p>
    <w:p>
      <w:pPr>
        <w:spacing w:before="0" w:after="20" w:line="276" w:lineRule="auto"/>
      </w:pPr>
      <w:r>
        <w:rPr>
          <w:rFonts w:ascii="Times New Roman" w:hAnsi="Times New Roman" w:cs="Times New Roman"/>
          <w:sz w:val="20"/>
          <w:szCs w:val="20"/>
        </w:rPr>
        <w:t xml:space="preserve">3. Presence of uterine anomaly: mullerian defect (septum, didelphic uterus, bicornuate uterus, unicornuate uterus, arcuate uterus); presence of fibroid(s) affecting the endometrium (myoma, leiomyoma); history of thin endometrium (will not become thicker than 6.9 mm with treatment using exogenous gonadotropins and/or exogenous estrogen); asherman syndrome (intrauterine adhesions); 5.</w:t>
      </w:r>
    </w:p>
    <w:p>
      <w:pPr>
        <w:spacing w:before="0" w:after="80" w:line="276" w:lineRule="auto"/>
      </w:pPr>
      <w:r>
        <w:rPr>
          <w:rFonts w:ascii="Times New Roman" w:hAnsi="Times New Roman" w:cs="Times New Roman"/>
          <w:sz w:val="18"/>
          <w:szCs w:val="18"/>
        </w:rPr>
        <w:t xml:space="preserve">Ссылки: —</w:t>
      </w:r>
    </w:p>
    <w:p>
      <w:pPr>
        <w:spacing w:before="0" w:after="20" w:line="276" w:lineRule="auto"/>
      </w:pPr>
      <w:r>
        <w:rPr>
          <w:rFonts w:ascii="Times New Roman" w:hAnsi="Times New Roman" w:cs="Times New Roman"/>
          <w:sz w:val="20"/>
          <w:szCs w:val="20"/>
        </w:rPr>
        <w:t xml:space="preserve">4. On Day 2, controlled ovarian stimulation (COS) began via administration of 100 mg clomiphene citrate (Clomid) once daily for 5 days (Day 2-Day 6).</w:t>
      </w:r>
    </w:p>
    <w:p>
      <w:pPr>
        <w:spacing w:before="0" w:after="80" w:line="276" w:lineRule="auto"/>
      </w:pPr>
      <w:r>
        <w:rPr>
          <w:rFonts w:ascii="Times New Roman" w:hAnsi="Times New Roman" w:cs="Times New Roman"/>
          <w:sz w:val="18"/>
          <w:szCs w:val="18"/>
        </w:rPr>
        <w:t xml:space="preserve">Ссылки: —</w:t>
      </w:r>
    </w:p>
    <w:p>
      <w:pPr>
        <w:spacing w:before="0" w:after="20" w:line="276" w:lineRule="auto"/>
      </w:pPr>
      <w:r>
        <w:rPr>
          <w:rFonts w:ascii="Times New Roman" w:hAnsi="Times New Roman" w:cs="Times New Roman"/>
          <w:sz w:val="20"/>
          <w:szCs w:val="20"/>
        </w:rPr>
        <w:t xml:space="preserve">5. Ultrasound was performed on Day 7 to determine the number of 150 IU rFSH (Gonal-F) injections that would be administered.</w:t>
      </w:r>
    </w:p>
    <w:p>
      <w:pPr>
        <w:spacing w:before="0" w:after="80" w:line="276" w:lineRule="auto"/>
      </w:pPr>
      <w:r>
        <w:rPr>
          <w:rFonts w:ascii="Times New Roman" w:hAnsi="Times New Roman" w:cs="Times New Roman"/>
          <w:sz w:val="18"/>
          <w:szCs w:val="18"/>
        </w:rPr>
        <w:t xml:space="preserve">Ссылки: —</w:t>
      </w:r>
    </w:p>
    <w:p>
      <w:pPr>
        <w:spacing w:before="0" w:after="20" w:line="276" w:lineRule="auto"/>
      </w:pPr>
      <w:r>
        <w:rPr>
          <w:rFonts w:ascii="Times New Roman" w:hAnsi="Times New Roman" w:cs="Times New Roman"/>
          <w:sz w:val="20"/>
          <w:szCs w:val="20"/>
        </w:rPr>
        <w:t xml:space="preserve">6. If the leading follicle was 6 mm or less, three once daily injections of rFSH were administered on Days 7, 8, and 9.</w:t>
      </w:r>
    </w:p>
    <w:p>
      <w:pPr>
        <w:spacing w:before="0" w:after="80" w:line="276" w:lineRule="auto"/>
      </w:pPr>
      <w:r>
        <w:rPr>
          <w:rFonts w:ascii="Times New Roman" w:hAnsi="Times New Roman" w:cs="Times New Roman"/>
          <w:sz w:val="18"/>
          <w:szCs w:val="18"/>
        </w:rPr>
        <w:t xml:space="preserve">Ссылки: —</w:t>
      </w:r>
    </w:p>
    <w:p>
      <w:pPr>
        <w:spacing w:before="0" w:after="20" w:line="276" w:lineRule="auto"/>
      </w:pPr>
      <w:r>
        <w:rPr>
          <w:rFonts w:ascii="Times New Roman" w:hAnsi="Times New Roman" w:cs="Times New Roman"/>
          <w:sz w:val="20"/>
          <w:szCs w:val="20"/>
        </w:rPr>
        <w:t xml:space="preserve">7. If follicles were 7 mm to 9 mm on Day 7, 150 IU (Gonal-F) was administered once daily on Day 7 and 8, for a total of two injections.</w:t>
      </w:r>
    </w:p>
    <w:p>
      <w:pPr>
        <w:spacing w:before="0" w:after="80" w:line="276" w:lineRule="auto"/>
      </w:pPr>
      <w:r>
        <w:rPr>
          <w:rFonts w:ascii="Times New Roman" w:hAnsi="Times New Roman" w:cs="Times New Roman"/>
          <w:sz w:val="18"/>
          <w:szCs w:val="18"/>
        </w:rPr>
        <w:t xml:space="preserve">Ссылки: —</w:t>
      </w:r>
    </w:p>
    <w:p>
      <w:pPr>
        <w:spacing w:before="0" w:after="20" w:line="276" w:lineRule="auto"/>
      </w:pPr>
      <w:r>
        <w:rPr>
          <w:rFonts w:ascii="Times New Roman" w:hAnsi="Times New Roman" w:cs="Times New Roman"/>
          <w:sz w:val="20"/>
          <w:szCs w:val="20"/>
        </w:rPr>
        <w:t xml:space="preserve">8. If the leading follicle was greater than 9 mm on Day 7, a single injection of 150 IU (Gonal-F) was administered on Day 7.</w:t>
      </w:r>
    </w:p>
    <w:p>
      <w:pPr>
        <w:spacing w:before="0" w:after="80" w:line="276" w:lineRule="auto"/>
      </w:pPr>
      <w:r>
        <w:rPr>
          <w:rFonts w:ascii="Times New Roman" w:hAnsi="Times New Roman" w:cs="Times New Roman"/>
          <w:sz w:val="18"/>
          <w:szCs w:val="18"/>
        </w:rPr>
        <w:t xml:space="preserve">Ссылки: —</w:t>
      </w:r>
    </w:p>
    <w:p>
      <w:pPr>
        <w:spacing w:before="0" w:after="20" w:line="276" w:lineRule="auto"/>
      </w:pPr>
      <w:r>
        <w:rPr>
          <w:rFonts w:ascii="Times New Roman" w:hAnsi="Times New Roman" w:cs="Times New Roman"/>
          <w:sz w:val="20"/>
          <w:szCs w:val="20"/>
        </w:rPr>
        <w:t xml:space="preserve">9. The ideal leading follicle diameter range was 10-12 mm.</w:t>
      </w:r>
    </w:p>
    <w:p>
      <w:pPr>
        <w:spacing w:before="0" w:after="80" w:line="276" w:lineRule="auto"/>
      </w:pPr>
      <w:r>
        <w:rPr>
          <w:rFonts w:ascii="Times New Roman" w:hAnsi="Times New Roman" w:cs="Times New Roman"/>
          <w:sz w:val="18"/>
          <w:szCs w:val="18"/>
        </w:rPr>
        <w:t xml:space="preserve">Ссылки: —</w:t>
      </w:r>
    </w:p>
    <w:p>
      <w:pPr>
        <w:spacing w:before="0" w:after="20" w:line="276" w:lineRule="auto"/>
      </w:pPr>
      <w:r>
        <w:rPr>
          <w:rFonts w:ascii="Times New Roman" w:hAnsi="Times New Roman" w:cs="Times New Roman"/>
          <w:sz w:val="20"/>
          <w:szCs w:val="20"/>
        </w:rPr>
        <w:t xml:space="preserve">10. On Day 8, 9 or 10, a recombinant hCG (Ovidrel) trigger of 250 μg was administered and the oocyte retrieval (OR) was scheduled for 34-36 hours later.</w:t>
      </w:r>
    </w:p>
    <w:p>
      <w:pPr>
        <w:spacing w:before="0" w:after="80" w:line="276" w:lineRule="auto"/>
      </w:pPr>
      <w:r>
        <w:rPr>
          <w:rFonts w:ascii="Times New Roman" w:hAnsi="Times New Roman" w:cs="Times New Roman"/>
          <w:sz w:val="18"/>
          <w:szCs w:val="18"/>
        </w:rPr>
        <w:t xml:space="preserve">Ссылки: —</w:t>
      </w:r>
    </w:p>
    <w:p>
      <w:pPr>
        <w:spacing w:before="0" w:after="20" w:line="276" w:lineRule="auto"/>
      </w:pPr>
      <w:r>
        <w:rPr>
          <w:rFonts w:ascii="Times New Roman" w:hAnsi="Times New Roman" w:cs="Times New Roman"/>
          <w:sz w:val="20"/>
          <w:szCs w:val="20"/>
        </w:rPr>
        <w:t xml:space="preserve">11. In the event of rapid follicular growth, if a follicle was 13 mm or greater at the Day 2 or Day 7 ultrasound, the cycle was cancelled and repeated in a subsequent menstrual cycle.</w:t>
      </w:r>
    </w:p>
    <w:p>
      <w:pPr>
        <w:spacing w:before="0" w:after="80" w:line="276" w:lineRule="auto"/>
      </w:pPr>
      <w:r>
        <w:rPr>
          <w:rFonts w:ascii="Times New Roman" w:hAnsi="Times New Roman" w:cs="Times New Roman"/>
          <w:sz w:val="18"/>
          <w:szCs w:val="18"/>
        </w:rPr>
        <w:t xml:space="preserve">Ссылки: —</w:t>
      </w:r>
    </w:p>
    <w:p>
      <w:pPr>
        <w:spacing w:before="0" w:after="20" w:line="276" w:lineRule="auto"/>
      </w:pPr>
      <w:r>
        <w:rPr>
          <w:rFonts w:ascii="Times New Roman" w:hAnsi="Times New Roman" w:cs="Times New Roman"/>
          <w:sz w:val="20"/>
          <w:szCs w:val="20"/>
        </w:rPr>
        <w:t xml:space="preserve">12. Oocyte retrieval was performed according to standard clinical practice using a 17-gauge single lumen needle with 70 mm Hg suction pressure.</w:t>
      </w:r>
    </w:p>
    <w:p>
      <w:pPr>
        <w:spacing w:before="0" w:after="80" w:line="276" w:lineRule="auto"/>
      </w:pPr>
      <w:r>
        <w:rPr>
          <w:rFonts w:ascii="Times New Roman" w:hAnsi="Times New Roman" w:cs="Times New Roman"/>
          <w:sz w:val="18"/>
          <w:szCs w:val="18"/>
        </w:rPr>
        <w:t xml:space="preserve">Ссылки: —</w:t>
      </w:r>
    </w:p>
    <w:p>
      <w:pPr>
        <w:spacing w:before="160" w:after="40" w:line="276" w:lineRule="auto"/>
      </w:pPr>
      <w:r>
        <w:rPr>
          <w:rFonts w:ascii="Times New Roman" w:hAnsi="Times New Roman" w:cs="Times New Roman"/>
          <w:b/>
          <w:sz w:val="24"/>
          <w:szCs w:val="24"/>
        </w:rPr>
        <w:t xml:space="preserve">Как сделать Cell engineering</w:t>
      </w:r>
    </w:p>
    <w:p>
      <w:pPr>
        <w:spacing w:before="0" w:after="80" w:line="276" w:lineRule="auto"/>
      </w:pPr>
      <w:r>
        <w:rPr>
          <w:rFonts w:ascii="Times New Roman" w:hAnsi="Times New Roman" w:cs="Times New Roman"/>
          <w:sz w:val="22"/>
          <w:szCs w:val="22"/>
        </w:rPr>
        <w:t xml:space="preserve">Ниже дословные шаги и схемы из статьи, по порядку.</w:t>
      </w:r>
    </w:p>
    <w:p>
      <w:pPr>
        <w:spacing w:before="0" w:after="20" w:line="276" w:lineRule="auto"/>
      </w:pPr>
      <w:r>
        <w:rPr>
          <w:rFonts w:ascii="Times New Roman" w:hAnsi="Times New Roman" w:cs="Times New Roman"/>
          <w:sz w:val="20"/>
          <w:szCs w:val="20"/>
        </w:rPr>
        <w:t xml:space="preserve">1. The parental GMP hiPSC clone VCT-37-F35 was thawed at 37◦C and resuspended in NutriStem-XF media (Satorius, 05-100-1A) supplemented with Y-27632 (STEMCELL Tech, 72304).</w:t>
      </w:r>
    </w:p>
    <w:p>
      <w:pPr>
        <w:spacing w:before="0" w:after="80" w:line="276" w:lineRule="auto"/>
      </w:pPr>
      <w:r>
        <w:rPr>
          <w:rFonts w:ascii="Times New Roman" w:hAnsi="Times New Roman" w:cs="Times New Roman"/>
          <w:sz w:val="18"/>
          <w:szCs w:val="18"/>
        </w:rPr>
        <w:t xml:space="preserve">Ссылки: —</w:t>
      </w:r>
    </w:p>
    <w:p>
      <w:pPr>
        <w:spacing w:before="0" w:after="20" w:line="276" w:lineRule="auto"/>
      </w:pPr>
      <w:r>
        <w:rPr>
          <w:rFonts w:ascii="Times New Roman" w:hAnsi="Times New Roman" w:cs="Times New Roman"/>
          <w:sz w:val="20"/>
          <w:szCs w:val="20"/>
        </w:rPr>
        <w:t xml:space="preserve">2. Then, pelleted cells were again resuspended in NutriStem-XF media (Satorius, 05-100-1A) supplemented with Y-27632 (STEMCELL Tech, 72304) and cell count and viability were assessed.</w:t>
      </w:r>
    </w:p>
    <w:p>
      <w:pPr>
        <w:spacing w:before="0" w:after="80" w:line="276" w:lineRule="auto"/>
      </w:pPr>
      <w:r>
        <w:rPr>
          <w:rFonts w:ascii="Times New Roman" w:hAnsi="Times New Roman" w:cs="Times New Roman"/>
          <w:sz w:val="18"/>
          <w:szCs w:val="18"/>
        </w:rPr>
        <w:t xml:space="preserve">Ссылки: —</w:t>
      </w:r>
    </w:p>
    <w:p>
      <w:pPr>
        <w:spacing w:before="0" w:after="20" w:line="276" w:lineRule="auto"/>
      </w:pPr>
      <w:r>
        <w:rPr>
          <w:rFonts w:ascii="Times New Roman" w:hAnsi="Times New Roman" w:cs="Times New Roman"/>
          <w:sz w:val="20"/>
          <w:szCs w:val="20"/>
        </w:rPr>
        <w:t xml:space="preserve">3. Cells were then seeded onto flasks pre-coated with iMatrix-511 (Nippi, 892005) and incubated for 6 days at 37ºC. To adapt hiPSCs to the media and substrate, cells were cultured for 3 passages, during which cell quality was monitored based on morphology and confluency; for each round of expansion, Accutase (STEMCELL Tech, 7922) was used to facilitate cell detachment from flasks, and cell count and viability were assessed.</w:t>
      </w:r>
    </w:p>
    <w:p>
      <w:pPr>
        <w:spacing w:before="0" w:after="80" w:line="276" w:lineRule="auto"/>
      </w:pPr>
      <w:r>
        <w:rPr>
          <w:rFonts w:ascii="Times New Roman" w:hAnsi="Times New Roman" w:cs="Times New Roman"/>
          <w:sz w:val="18"/>
          <w:szCs w:val="18"/>
        </w:rPr>
        <w:t xml:space="preserve">Ссылки: —</w:t>
      </w:r>
    </w:p>
    <w:p>
      <w:pPr>
        <w:spacing w:before="0" w:after="20" w:line="276" w:lineRule="auto"/>
      </w:pPr>
      <w:r>
        <w:rPr>
          <w:rFonts w:ascii="Times New Roman" w:hAnsi="Times New Roman" w:cs="Times New Roman"/>
          <w:sz w:val="20"/>
          <w:szCs w:val="20"/>
        </w:rPr>
        <w:t xml:space="preserve">4. Parental hiPSCs (VCT-37-F35) at passage 11 (day 16) were assessed for confluency, detached using Accutase (STEMCELL Tech, 7922), centrifuged, resuspended in TeSR-AOF supplemented with Y-27672 (STEMCELL Tech, 100-0403), and cell count and viability were assessed.</w:t>
      </w:r>
    </w:p>
    <w:p>
      <w:pPr>
        <w:spacing w:before="0" w:after="80" w:line="276" w:lineRule="auto"/>
      </w:pPr>
      <w:r>
        <w:rPr>
          <w:rFonts w:ascii="Times New Roman" w:hAnsi="Times New Roman" w:cs="Times New Roman"/>
          <w:sz w:val="18"/>
          <w:szCs w:val="18"/>
        </w:rPr>
        <w:t xml:space="preserve">Ссылки: —</w:t>
      </w:r>
    </w:p>
    <w:p>
      <w:pPr>
        <w:spacing w:before="0" w:after="20" w:line="276" w:lineRule="auto"/>
      </w:pPr>
      <w:r>
        <w:rPr>
          <w:rFonts w:ascii="Times New Roman" w:hAnsi="Times New Roman" w:cs="Times New Roman"/>
          <w:sz w:val="20"/>
          <w:szCs w:val="20"/>
        </w:rPr>
        <w:t xml:space="preserve">5. Transfected cells were plated (100,000 cells/cm2) into a well of a 24-well plate pre-coated with Vitronectin-XF (STEMCELL Tech, 7180) and cultured with TeSR-AOF supplemented with Y-23672 (STEMCELL Tech, 100-0403).</w:t>
      </w:r>
    </w:p>
    <w:p>
      <w:pPr>
        <w:spacing w:before="0" w:after="80" w:line="276" w:lineRule="auto"/>
      </w:pPr>
      <w:r>
        <w:rPr>
          <w:rFonts w:ascii="Times New Roman" w:hAnsi="Times New Roman" w:cs="Times New Roman"/>
          <w:sz w:val="18"/>
          <w:szCs w:val="18"/>
        </w:rPr>
        <w:t xml:space="preserve">Ссылки: —</w:t>
      </w:r>
    </w:p>
    <w:p>
      <w:pPr>
        <w:spacing w:before="0" w:after="20" w:line="276" w:lineRule="auto"/>
      </w:pPr>
      <w:r>
        <w:rPr>
          <w:rFonts w:ascii="Times New Roman" w:hAnsi="Times New Roman" w:cs="Times New Roman"/>
          <w:sz w:val="20"/>
          <w:szCs w:val="20"/>
        </w:rPr>
        <w:t xml:space="preserve">6. For the next four days (days 17-20), daily media changes with TeSR-AOF (STEMCELL Tech, 100-0402) supplemented with Puromycin (Sigma-Millipore, P9620-10ML) were performed for selection; cell quality was monitored by morphological and confluency checks.</w:t>
      </w:r>
    </w:p>
    <w:p>
      <w:pPr>
        <w:spacing w:before="0" w:after="80" w:line="276" w:lineRule="auto"/>
      </w:pPr>
      <w:r>
        <w:rPr>
          <w:rFonts w:ascii="Times New Roman" w:hAnsi="Times New Roman" w:cs="Times New Roman"/>
          <w:sz w:val="18"/>
          <w:szCs w:val="18"/>
        </w:rPr>
        <w:t xml:space="preserve">Ссылки: —</w:t>
      </w:r>
    </w:p>
    <w:p>
      <w:pPr>
        <w:spacing w:before="0" w:after="20" w:line="276" w:lineRule="auto"/>
      </w:pPr>
      <w:r>
        <w:rPr>
          <w:rFonts w:ascii="Times New Roman" w:hAnsi="Times New Roman" w:cs="Times New Roman"/>
          <w:sz w:val="20"/>
          <w:szCs w:val="20"/>
        </w:rPr>
        <w:t xml:space="preserve">7. On day 24, expanded resistant cells were detached from the flasks using Accutase (STEMCELL Tech, 7922), centrifuged, and resuspended into TeSR-AOF supplemented with Y-23672 (STEMCELL Tech, 100-0403).</w:t>
      </w:r>
    </w:p>
    <w:p>
      <w:pPr>
        <w:spacing w:before="0" w:after="80" w:line="276" w:lineRule="auto"/>
      </w:pPr>
      <w:r>
        <w:rPr>
          <w:rFonts w:ascii="Times New Roman" w:hAnsi="Times New Roman" w:cs="Times New Roman"/>
          <w:sz w:val="18"/>
          <w:szCs w:val="18"/>
        </w:rPr>
        <w:t xml:space="preserve">Ссылки: —</w:t>
      </w:r>
    </w:p>
    <w:p>
      <w:pPr>
        <w:spacing w:before="0" w:after="20" w:line="276" w:lineRule="auto"/>
      </w:pPr>
      <w:r>
        <w:rPr>
          <w:rFonts w:ascii="Times New Roman" w:hAnsi="Times New Roman" w:cs="Times New Roman"/>
          <w:sz w:val="20"/>
          <w:szCs w:val="20"/>
        </w:rPr>
        <w:t xml:space="preserve">8. From days 25-27, daily media changes with TeSR-AOF (STEMCELL Tech, 100-0402) supplemented with Puromycin (Sigma-Millipore, P9620-10ML) were conducted, and cell quality was monitored by morphological and confluency checks.</w:t>
      </w:r>
    </w:p>
    <w:p>
      <w:pPr>
        <w:spacing w:before="0" w:after="80" w:line="276" w:lineRule="auto"/>
      </w:pPr>
      <w:r>
        <w:rPr>
          <w:rFonts w:ascii="Times New Roman" w:hAnsi="Times New Roman" w:cs="Times New Roman"/>
          <w:sz w:val="18"/>
          <w:szCs w:val="18"/>
        </w:rPr>
        <w:t xml:space="preserve">Ссылки: —</w:t>
      </w:r>
    </w:p>
    <w:p>
      <w:pPr>
        <w:spacing w:before="0" w:after="20" w:line="276" w:lineRule="auto"/>
      </w:pPr>
      <w:r>
        <w:rPr>
          <w:rFonts w:ascii="Times New Roman" w:hAnsi="Times New Roman" w:cs="Times New Roman"/>
          <w:sz w:val="20"/>
          <w:szCs w:val="20"/>
        </w:rPr>
        <w:t xml:space="preserve">9. On day 28, clonal selection was performed by limiting dilution of cells on TeSR-AOF (STEMCELL Tech, 100-0402) supplemented with CloneRTM2 (STEMCELL Tech, 100-0691).</w:t>
      </w:r>
    </w:p>
    <w:p>
      <w:pPr>
        <w:spacing w:before="0" w:after="80" w:line="276" w:lineRule="auto"/>
      </w:pPr>
      <w:r>
        <w:rPr>
          <w:rFonts w:ascii="Times New Roman" w:hAnsi="Times New Roman" w:cs="Times New Roman"/>
          <w:sz w:val="18"/>
          <w:szCs w:val="18"/>
        </w:rPr>
        <w:t xml:space="preserve">Ссылки: —</w:t>
      </w:r>
    </w:p>
    <w:p>
      <w:pPr>
        <w:spacing w:before="0" w:after="20" w:line="276" w:lineRule="auto"/>
      </w:pPr>
      <w:r>
        <w:rPr>
          <w:rFonts w:ascii="Times New Roman" w:hAnsi="Times New Roman" w:cs="Times New Roman"/>
          <w:sz w:val="20"/>
          <w:szCs w:val="20"/>
        </w:rPr>
        <w:t xml:space="preserve">10. Cells were centrifuged, resuspended in TeSR-AOF supplemented with Y-23672 (STEMCELL Tech, 100-0403), and seeded onto one well of a 24-well plate pre-coated with Vitronectin- XF (STEMCELL Tech, 7180).</w:t>
      </w:r>
    </w:p>
    <w:p>
      <w:pPr>
        <w:spacing w:before="0" w:after="80" w:line="276" w:lineRule="auto"/>
      </w:pPr>
      <w:r>
        <w:rPr>
          <w:rFonts w:ascii="Times New Roman" w:hAnsi="Times New Roman" w:cs="Times New Roman"/>
          <w:sz w:val="18"/>
          <w:szCs w:val="18"/>
        </w:rPr>
        <w:t xml:space="preserve">Ссылки: —</w:t>
      </w:r>
    </w:p>
    <w:p>
      <w:pPr>
        <w:spacing w:before="0" w:after="20" w:line="276" w:lineRule="auto"/>
      </w:pPr>
      <w:r>
        <w:rPr>
          <w:rFonts w:ascii="Times New Roman" w:hAnsi="Times New Roman" w:cs="Times New Roman"/>
          <w:sz w:val="20"/>
          <w:szCs w:val="20"/>
        </w:rPr>
        <w:t xml:space="preserve">11. The finished vials were cryopreserved in a Mr. FrostyTM freezing container at -80oC freezer for a maximum of 24 hours.</w:t>
      </w:r>
    </w:p>
    <w:p>
      <w:pPr>
        <w:spacing w:before="0" w:after="80" w:line="276" w:lineRule="auto"/>
      </w:pPr>
      <w:r>
        <w:rPr>
          <w:rFonts w:ascii="Times New Roman" w:hAnsi="Times New Roman" w:cs="Times New Roman"/>
          <w:sz w:val="18"/>
          <w:szCs w:val="18"/>
        </w:rPr>
        <w:t xml:space="preserve">Ссылки: —</w:t>
      </w:r>
    </w:p>
    <w:p>
      <w:pPr>
        <w:spacing w:before="160" w:after="40" w:line="276" w:lineRule="auto"/>
      </w:pPr>
      <w:r>
        <w:rPr>
          <w:rFonts w:ascii="Times New Roman" w:hAnsi="Times New Roman" w:cs="Times New Roman"/>
          <w:b/>
          <w:sz w:val="24"/>
          <w:szCs w:val="24"/>
        </w:rPr>
        <w:t xml:space="preserve">Как сделать Proteomics</w:t>
      </w:r>
    </w:p>
    <w:p>
      <w:pPr>
        <w:spacing w:before="0" w:after="80" w:line="276" w:lineRule="auto"/>
      </w:pPr>
      <w:r>
        <w:rPr>
          <w:rFonts w:ascii="Times New Roman" w:hAnsi="Times New Roman" w:cs="Times New Roman"/>
          <w:sz w:val="22"/>
          <w:szCs w:val="22"/>
        </w:rPr>
        <w:t xml:space="preserve">Ниже дословные шаги и схемы из статьи, по порядку.</w:t>
      </w:r>
    </w:p>
    <w:p>
      <w:pPr>
        <w:spacing w:before="0" w:after="20" w:line="276" w:lineRule="auto"/>
      </w:pPr>
      <w:r>
        <w:rPr>
          <w:rFonts w:ascii="Times New Roman" w:hAnsi="Times New Roman" w:cs="Times New Roman"/>
          <w:sz w:val="20"/>
          <w:szCs w:val="20"/>
        </w:rPr>
        <w:t xml:space="preserve">1. Proteomics analysis was performed to compare the differently regulated proteins in RUO-OSCs and CG-OSCs at 24 hours versus OSCs at 0 hours, as well as the differently regulated proteins in RUO-OSCs and CG-OSCs versus hiPSCs.</w:t>
      </w:r>
    </w:p>
    <w:p>
      <w:pPr>
        <w:spacing w:before="0" w:after="80" w:line="276" w:lineRule="auto"/>
      </w:pPr>
      <w:r>
        <w:rPr>
          <w:rFonts w:ascii="Times New Roman" w:hAnsi="Times New Roman" w:cs="Times New Roman"/>
          <w:sz w:val="18"/>
          <w:szCs w:val="18"/>
        </w:rPr>
        <w:t xml:space="preserve">Ссылки: —</w:t>
      </w:r>
    </w:p>
    <w:p>
      <w:pPr>
        <w:spacing w:before="0" w:after="20" w:line="276" w:lineRule="auto"/>
      </w:pPr>
      <w:r>
        <w:rPr>
          <w:rFonts w:ascii="Times New Roman" w:hAnsi="Times New Roman" w:cs="Times New Roman"/>
          <w:sz w:val="20"/>
          <w:szCs w:val="20"/>
        </w:rPr>
        <w:t xml:space="preserve">2. Liquid chromatography followed by tandem mass spectrometry (LC-MS/MS) analysis was conducted on a series of samples, including RUO-hiPSC (n=1), CG-hiPSC (n=1), RUO-OSC-M lot 56 at time 0h (n=1) and after 24h (n=1) of culture with supplemented IVM media, and CG-OSC-L lot 88 at time 0h (n=1) and after 24h (n=1) of culture with supplemented IVM media.</w:t>
      </w:r>
    </w:p>
    <w:p>
      <w:pPr>
        <w:spacing w:before="0" w:after="80" w:line="276" w:lineRule="auto"/>
      </w:pPr>
      <w:r>
        <w:rPr>
          <w:rFonts w:ascii="Times New Roman" w:hAnsi="Times New Roman" w:cs="Times New Roman"/>
          <w:sz w:val="18"/>
          <w:szCs w:val="18"/>
        </w:rPr>
        <w:t xml:space="preserve">Ссылки: —</w:t>
      </w:r>
    </w:p>
    <w:p>
      <w:pPr>
        <w:spacing w:before="0" w:after="20" w:line="276" w:lineRule="auto"/>
      </w:pPr>
      <w:r>
        <w:rPr>
          <w:rFonts w:ascii="Times New Roman" w:hAnsi="Times New Roman" w:cs="Times New Roman"/>
          <w:sz w:val="20"/>
          <w:szCs w:val="20"/>
        </w:rPr>
        <w:t xml:space="preserve">3. Supplemented IVM media consisted of MediCult IVM media (CooperSurgical Origio) supplemented with 75 mIU/mL of recombinant FSH (Sigma), 100 mIU/mL recombinant hCG (Sigma), 500 ng/mL of androstenedione (Sigma), 1 ug/mL of doxycycline (Sigma) and 10 mg/mL of human serum albumin (HSA; CooperSurgical Origio).</w:t>
      </w:r>
    </w:p>
    <w:p>
      <w:pPr>
        <w:spacing w:before="0" w:after="80" w:line="276" w:lineRule="auto"/>
      </w:pPr>
      <w:r>
        <w:rPr>
          <w:rFonts w:ascii="Times New Roman" w:hAnsi="Times New Roman" w:cs="Times New Roman"/>
          <w:sz w:val="18"/>
          <w:szCs w:val="18"/>
        </w:rPr>
        <w:t xml:space="preserve">Ссылки: —</w:t>
      </w:r>
    </w:p>
    <w:p>
      <w:pPr>
        <w:spacing w:before="0" w:after="20" w:line="276" w:lineRule="auto"/>
      </w:pPr>
      <w:r>
        <w:rPr>
          <w:rFonts w:ascii="Times New Roman" w:hAnsi="Times New Roman" w:cs="Times New Roman"/>
          <w:sz w:val="20"/>
          <w:szCs w:val="20"/>
        </w:rPr>
        <w:t xml:space="preserve">4. To generate conditioned media, 2 million OSCs were cultured in 2 mL of supplemented IVM media for 24 hours, maintaining the ratio of the intended clinical cell dose of 1,000 OSC cells per 1 μL of media.</w:t>
      </w:r>
    </w:p>
    <w:p>
      <w:pPr>
        <w:spacing w:before="0" w:after="80" w:line="276" w:lineRule="auto"/>
      </w:pPr>
      <w:r>
        <w:rPr>
          <w:rFonts w:ascii="Times New Roman" w:hAnsi="Times New Roman" w:cs="Times New Roman"/>
          <w:sz w:val="18"/>
          <w:szCs w:val="18"/>
        </w:rPr>
        <w:t xml:space="preserve">Ссылки: —</w:t>
      </w:r>
    </w:p>
    <w:p>
      <w:pPr>
        <w:spacing w:before="0" w:after="20" w:line="276" w:lineRule="auto"/>
      </w:pPr>
      <w:r>
        <w:rPr>
          <w:rFonts w:ascii="Times New Roman" w:hAnsi="Times New Roman" w:cs="Times New Roman"/>
          <w:sz w:val="20"/>
          <w:szCs w:val="20"/>
        </w:rPr>
        <w:t xml:space="preserve">5. Proteins from cells and conditioned media were precipitated using acetone, re-suspended in 0.1% RapiGest and 25 mM ammonium bicarbonate, reduced with DTT, and alkylated with iodoacetamide, before undergoing in-solution trypsin digestion overnight at 37◦C. The resulting peptides were desalted using C18 stage-tip columns prior to analysis using a Thermo Fisher Scientific EASY-nLC 1200 coupled online to a Fusion Lumos mass spectrometer (Thermo Fisher Scientific).</w:t>
      </w:r>
    </w:p>
    <w:p>
      <w:pPr>
        <w:spacing w:before="0" w:after="80" w:line="276" w:lineRule="auto"/>
      </w:pPr>
      <w:r>
        <w:rPr>
          <w:rFonts w:ascii="Times New Roman" w:hAnsi="Times New Roman" w:cs="Times New Roman"/>
          <w:sz w:val="18"/>
          <w:szCs w:val="18"/>
        </w:rPr>
        <w:t xml:space="preserve">Ссылки: —</w:t>
      </w:r>
    </w:p>
    <w:p>
      <w:pPr>
        <w:spacing w:before="0" w:after="20" w:line="276" w:lineRule="auto"/>
      </w:pPr>
      <w:r>
        <w:rPr>
          <w:rFonts w:ascii="Times New Roman" w:hAnsi="Times New Roman" w:cs="Times New Roman"/>
          <w:sz w:val="20"/>
          <w:szCs w:val="20"/>
        </w:rPr>
        <w:t xml:space="preserve">6. For peptide separation, a packed in-house 75 μm x 15 cm chromatography column (ReproSil-Pur C18-AQ, 3 μm, Dr. Maisch GmbH, German) was used.</w:t>
      </w:r>
    </w:p>
    <w:p>
      <w:pPr>
        <w:spacing w:before="0" w:after="80" w:line="276" w:lineRule="auto"/>
      </w:pPr>
      <w:r>
        <w:rPr>
          <w:rFonts w:ascii="Times New Roman" w:hAnsi="Times New Roman" w:cs="Times New Roman"/>
          <w:sz w:val="18"/>
          <w:szCs w:val="18"/>
        </w:rPr>
        <w:t xml:space="preserve">Ссылки: —</w:t>
      </w:r>
    </w:p>
    <w:p>
      <w:pPr>
        <w:spacing w:before="0" w:after="20" w:line="276" w:lineRule="auto"/>
      </w:pPr>
      <w:r>
        <w:rPr>
          <w:rFonts w:ascii="Times New Roman" w:hAnsi="Times New Roman" w:cs="Times New Roman"/>
          <w:sz w:val="20"/>
          <w:szCs w:val="20"/>
        </w:rPr>
        <w:t xml:space="preserve">7. Peptides were separated with a gradient of 5–40% buffer B over 30 min, and 40%-100% B over 10 min at a flow rate of 400 nL/min.</w:t>
      </w:r>
    </w:p>
    <w:p>
      <w:pPr>
        <w:spacing w:before="0" w:after="80" w:line="276" w:lineRule="auto"/>
      </w:pPr>
      <w:r>
        <w:rPr>
          <w:rFonts w:ascii="Times New Roman" w:hAnsi="Times New Roman" w:cs="Times New Roman"/>
          <w:sz w:val="18"/>
          <w:szCs w:val="18"/>
        </w:rPr>
        <w:t xml:space="preserve">Ссылки: —</w:t>
      </w:r>
    </w:p>
    <w:p>
      <w:pPr>
        <w:spacing w:before="160" w:after="40" w:line="276" w:lineRule="auto"/>
      </w:pPr>
      <w:r>
        <w:rPr>
          <w:rFonts w:ascii="Times New Roman" w:hAnsi="Times New Roman" w:cs="Times New Roman"/>
          <w:b/>
          <w:sz w:val="24"/>
          <w:szCs w:val="24"/>
        </w:rPr>
        <w:t xml:space="preserve">Как сделать Flow cytometry</w:t>
      </w:r>
    </w:p>
    <w:p>
      <w:pPr>
        <w:spacing w:before="0" w:after="80" w:line="276" w:lineRule="auto"/>
      </w:pPr>
      <w:r>
        <w:rPr>
          <w:rFonts w:ascii="Times New Roman" w:hAnsi="Times New Roman" w:cs="Times New Roman"/>
          <w:sz w:val="22"/>
          <w:szCs w:val="22"/>
        </w:rPr>
        <w:t xml:space="preserve">Ниже дословные шаги и схемы из статьи, по порядку.</w:t>
      </w:r>
    </w:p>
    <w:p>
      <w:pPr>
        <w:spacing w:before="0" w:after="20" w:line="276" w:lineRule="auto"/>
      </w:pPr>
      <w:r>
        <w:rPr>
          <w:rFonts w:ascii="Times New Roman" w:hAnsi="Times New Roman" w:cs="Times New Roman"/>
          <w:sz w:val="20"/>
          <w:szCs w:val="20"/>
        </w:rPr>
        <w:t xml:space="preserve">1. For the analysis of live cells, cells were incubated with a PE-conjugated mouse monoclonal antibody against CD82 (1:50 dilution; 342104, BioLegend) in FACS wash (dPBS with 5% fetal bovine serum (FBS)).</w:t>
      </w:r>
    </w:p>
    <w:p>
      <w:pPr>
        <w:spacing w:before="0" w:after="80" w:line="276" w:lineRule="auto"/>
      </w:pPr>
      <w:r>
        <w:rPr>
          <w:rFonts w:ascii="Times New Roman" w:hAnsi="Times New Roman" w:cs="Times New Roman"/>
          <w:sz w:val="18"/>
          <w:szCs w:val="18"/>
        </w:rPr>
        <w:t xml:space="preserve">Ссылки: —</w:t>
      </w:r>
    </w:p>
    <w:p>
      <w:pPr>
        <w:spacing w:before="0" w:after="20" w:line="276" w:lineRule="auto"/>
      </w:pPr>
      <w:r>
        <w:rPr>
          <w:rFonts w:ascii="Times New Roman" w:hAnsi="Times New Roman" w:cs="Times New Roman"/>
          <w:sz w:val="20"/>
          <w:szCs w:val="20"/>
        </w:rPr>
        <w:t xml:space="preserve">2. After incubation, cells were washed with FACS wash, stained with propidium iodide (1:20 dilution; P4864, Millipore Sigma) for live/dead staining, and subsequently analyzed using a CytoFlex Flow Cytometer.</w:t>
      </w:r>
    </w:p>
    <w:p>
      <w:pPr>
        <w:spacing w:before="0" w:after="80" w:line="276" w:lineRule="auto"/>
      </w:pPr>
      <w:r>
        <w:rPr>
          <w:rFonts w:ascii="Times New Roman" w:hAnsi="Times New Roman" w:cs="Times New Roman"/>
          <w:sz w:val="18"/>
          <w:szCs w:val="18"/>
        </w:rPr>
        <w:t xml:space="preserve">Ссылки: —</w:t>
      </w:r>
    </w:p>
    <w:p>
      <w:pPr>
        <w:spacing w:before="0" w:after="20" w:line="276" w:lineRule="auto"/>
      </w:pPr>
      <w:r>
        <w:rPr>
          <w:rFonts w:ascii="Times New Roman" w:hAnsi="Times New Roman" w:cs="Times New Roman"/>
          <w:sz w:val="20"/>
          <w:szCs w:val="20"/>
        </w:rPr>
        <w:t xml:space="preserve">3. For the analysis of fixed cells, cells were fixed with 4% PFA for 15 minutes at RT and then washed with dPBS.</w:t>
      </w:r>
    </w:p>
    <w:p>
      <w:pPr>
        <w:spacing w:before="0" w:after="80" w:line="276" w:lineRule="auto"/>
      </w:pPr>
      <w:r>
        <w:rPr>
          <w:rFonts w:ascii="Times New Roman" w:hAnsi="Times New Roman" w:cs="Times New Roman"/>
          <w:sz w:val="18"/>
          <w:szCs w:val="18"/>
        </w:rPr>
        <w:t xml:space="preserve">Ссылки: —</w:t>
      </w:r>
    </w:p>
    <w:p>
      <w:pPr>
        <w:spacing w:before="0" w:after="20" w:line="276" w:lineRule="auto"/>
      </w:pPr>
      <w:r>
        <w:rPr>
          <w:rFonts w:ascii="Times New Roman" w:hAnsi="Times New Roman" w:cs="Times New Roman"/>
          <w:sz w:val="20"/>
          <w:szCs w:val="20"/>
        </w:rPr>
        <w:t xml:space="preserve">4. Following incubations, cells were washed with FACS wash containing Triton X-100 and then analyzed using a CytoFlex Flow Cytometer.</w:t>
      </w:r>
    </w:p>
    <w:p>
      <w:pPr>
        <w:spacing w:before="0" w:after="80" w:line="276" w:lineRule="auto"/>
      </w:pPr>
      <w:r>
        <w:rPr>
          <w:rFonts w:ascii="Times New Roman" w:hAnsi="Times New Roman" w:cs="Times New Roman"/>
          <w:sz w:val="18"/>
          <w:szCs w:val="18"/>
        </w:rPr>
        <w:t xml:space="preserve">Ссылки: —</w:t>
      </w:r>
    </w:p>
    <w:p>
      <w:pPr>
        <w:spacing w:before="160" w:after="40" w:line="276" w:lineRule="auto"/>
      </w:pPr>
      <w:r>
        <w:rPr>
          <w:rFonts w:ascii="Times New Roman" w:hAnsi="Times New Roman" w:cs="Times New Roman"/>
          <w:b/>
          <w:sz w:val="24"/>
          <w:szCs w:val="24"/>
        </w:rPr>
        <w:t xml:space="preserve">Как сделать RT-qPCR and genotyping PCR</w:t>
      </w:r>
    </w:p>
    <w:p>
      <w:pPr>
        <w:spacing w:before="0" w:after="80" w:line="276" w:lineRule="auto"/>
      </w:pPr>
      <w:r>
        <w:rPr>
          <w:rFonts w:ascii="Times New Roman" w:hAnsi="Times New Roman" w:cs="Times New Roman"/>
          <w:sz w:val="22"/>
          <w:szCs w:val="22"/>
        </w:rPr>
        <w:t xml:space="preserve">Ниже дословные шаги и схемы из статьи, по порядку.</w:t>
      </w:r>
    </w:p>
    <w:p>
      <w:pPr>
        <w:spacing w:before="0" w:after="20" w:line="276" w:lineRule="auto"/>
      </w:pPr>
      <w:r>
        <w:rPr>
          <w:rFonts w:ascii="Times New Roman" w:hAnsi="Times New Roman" w:cs="Times New Roman"/>
          <w:sz w:val="20"/>
          <w:szCs w:val="20"/>
        </w:rPr>
        <w:t xml:space="preserve">1. The PCR protocol involved an initial denaturation step at 98◦C for 30 seconds, followed by 35 cycles of denaturation at 98◦C for 10 seconds, annealing at 66-70◦C (NR5A1, 67◦C; RUNX2, 66◦C; GATA4, 70◦C) for 10 seconds, and extension at 72◦C for 20 seconds, with a final extension step of 2 minutes.</w:t>
      </w:r>
    </w:p>
    <w:p>
      <w:pPr>
        <w:spacing w:before="0" w:after="80" w:line="276" w:lineRule="auto"/>
      </w:pPr>
      <w:r>
        <w:rPr>
          <w:rFonts w:ascii="Times New Roman" w:hAnsi="Times New Roman" w:cs="Times New Roman"/>
          <w:sz w:val="18"/>
          <w:szCs w:val="18"/>
        </w:rPr>
        <w:t xml:space="preserve">Ссылки: —</w:t>
      </w:r>
    </w:p>
    <w:p>
      <w:pPr>
        <w:spacing w:before="0" w:after="20" w:line="276" w:lineRule="auto"/>
      </w:pPr>
      <w:r>
        <w:rPr>
          <w:rFonts w:ascii="Times New Roman" w:hAnsi="Times New Roman" w:cs="Times New Roman"/>
          <w:sz w:val="20"/>
          <w:szCs w:val="20"/>
        </w:rPr>
        <w:t xml:space="preserve">2. For RT-qPCR, the thermocycler program consisted of a primer annealing stage at 25◦C for 2 minutes, followed by cDNA synthesis at 55◦C for 10 minutes, concluded with heat inactivation at 95◦C for 1 minute.</w:t>
      </w:r>
    </w:p>
    <w:p>
      <w:pPr>
        <w:spacing w:before="0" w:after="80" w:line="276" w:lineRule="auto"/>
      </w:pPr>
      <w:r>
        <w:rPr>
          <w:rFonts w:ascii="Times New Roman" w:hAnsi="Times New Roman" w:cs="Times New Roman"/>
          <w:sz w:val="18"/>
          <w:szCs w:val="18"/>
        </w:rPr>
        <w:t xml:space="preserve">Ссылки: —</w:t>
      </w:r>
    </w:p>
    <w:p>
      <w:pPr>
        <w:spacing w:before="0" w:after="20" w:line="276" w:lineRule="auto"/>
      </w:pPr>
      <w:r>
        <w:rPr>
          <w:rFonts w:ascii="Times New Roman" w:hAnsi="Times New Roman" w:cs="Times New Roman"/>
          <w:sz w:val="20"/>
          <w:szCs w:val="20"/>
        </w:rPr>
        <w:t xml:space="preserve">3. The RT-qPCR protocol involved an initial denaturation step at 95◦C for 2 minutes, followed by 40 cycles of denaturation at 95◦C for 3 seconds, annealing at 60◦C for 30 seconds, and an analysis step.</w:t>
      </w:r>
    </w:p>
    <w:p>
      <w:pPr>
        <w:spacing w:before="0" w:after="80" w:line="276" w:lineRule="auto"/>
      </w:pPr>
      <w:r>
        <w:rPr>
          <w:rFonts w:ascii="Times New Roman" w:hAnsi="Times New Roman" w:cs="Times New Roman"/>
          <w:sz w:val="18"/>
          <w:szCs w:val="18"/>
        </w:rPr>
        <w:t xml:space="preserve">Ссылки: —</w:t>
      </w:r>
    </w:p>
    <w:p>
      <w:pPr>
        <w:spacing w:before="160" w:after="40" w:line="276" w:lineRule="auto"/>
      </w:pPr>
      <w:r>
        <w:rPr>
          <w:rFonts w:ascii="Times New Roman" w:hAnsi="Times New Roman" w:cs="Times New Roman"/>
          <w:b/>
          <w:sz w:val="24"/>
          <w:szCs w:val="24"/>
        </w:rPr>
        <w:t xml:space="preserve">Как сделать Functional assessment (oocyte maturation)</w:t>
      </w:r>
    </w:p>
    <w:p>
      <w:pPr>
        <w:spacing w:before="0" w:after="80" w:line="276" w:lineRule="auto"/>
      </w:pPr>
      <w:r>
        <w:rPr>
          <w:rFonts w:ascii="Times New Roman" w:hAnsi="Times New Roman" w:cs="Times New Roman"/>
          <w:sz w:val="22"/>
          <w:szCs w:val="22"/>
        </w:rPr>
        <w:t xml:space="preserve">Ниже дословные шаги и схемы из статьи, по порядку.</w:t>
      </w:r>
    </w:p>
    <w:p>
      <w:pPr>
        <w:spacing w:before="0" w:after="20" w:line="276" w:lineRule="auto"/>
      </w:pPr>
      <w:r>
        <w:rPr>
          <w:rFonts w:ascii="Times New Roman" w:hAnsi="Times New Roman" w:cs="Times New Roman"/>
          <w:sz w:val="20"/>
          <w:szCs w:val="20"/>
        </w:rPr>
        <w:t xml:space="preserve">1. Briefly, human immature oocytes surrounded by cumulus cells, known as cumulus-oocyte complexes (COCs), were retrieved from subjects that underwent minimal stimulation protocols.</w:t>
      </w:r>
    </w:p>
    <w:p>
      <w:pPr>
        <w:spacing w:before="0" w:after="80" w:line="276" w:lineRule="auto"/>
      </w:pPr>
      <w:r>
        <w:rPr>
          <w:rFonts w:ascii="Times New Roman" w:hAnsi="Times New Roman" w:cs="Times New Roman"/>
          <w:sz w:val="18"/>
          <w:szCs w:val="18"/>
        </w:rPr>
        <w:t xml:space="preserve">Ссылки: —</w:t>
      </w:r>
    </w:p>
    <w:p>
      <w:pPr>
        <w:spacing w:before="0" w:after="20" w:line="276" w:lineRule="auto"/>
      </w:pPr>
      <w:r>
        <w:rPr>
          <w:rFonts w:ascii="Times New Roman" w:hAnsi="Times New Roman" w:cs="Times New Roman"/>
          <w:sz w:val="20"/>
          <w:szCs w:val="20"/>
        </w:rPr>
        <w:t xml:space="preserve">2. Subsequently, these immature COCs were co-cultured with different batches of OSCs for 24-30 hours to facilitate IVM.</w:t>
      </w:r>
    </w:p>
    <w:p>
      <w:pPr>
        <w:spacing w:before="0" w:after="80" w:line="276" w:lineRule="auto"/>
      </w:pPr>
      <w:r>
        <w:rPr>
          <w:rFonts w:ascii="Times New Roman" w:hAnsi="Times New Roman" w:cs="Times New Roman"/>
          <w:sz w:val="18"/>
          <w:szCs w:val="18"/>
        </w:rPr>
        <w:t xml:space="preserve">Ссылки: —</w:t>
      </w:r>
    </w:p>
    <w:p>
      <w:pPr>
        <w:spacing w:before="160" w:after="40" w:line="276" w:lineRule="auto"/>
      </w:pPr>
      <w:r>
        <w:rPr>
          <w:rFonts w:ascii="Times New Roman" w:hAnsi="Times New Roman" w:cs="Times New Roman"/>
          <w:b/>
          <w:sz w:val="24"/>
          <w:szCs w:val="24"/>
        </w:rPr>
        <w:t xml:space="preserve">Как сделать Safety testing</w:t>
      </w:r>
    </w:p>
    <w:p>
      <w:pPr>
        <w:spacing w:before="0" w:after="80" w:line="276" w:lineRule="auto"/>
      </w:pPr>
      <w:r>
        <w:rPr>
          <w:rFonts w:ascii="Times New Roman" w:hAnsi="Times New Roman" w:cs="Times New Roman"/>
          <w:sz w:val="22"/>
          <w:szCs w:val="22"/>
        </w:rPr>
        <w:t xml:space="preserve">Ниже дословные шаги и схемы из статьи, по порядку.</w:t>
      </w:r>
    </w:p>
    <w:p>
      <w:pPr>
        <w:spacing w:before="0" w:after="20" w:line="276" w:lineRule="auto"/>
      </w:pPr>
      <w:r>
        <w:rPr>
          <w:rFonts w:ascii="Times New Roman" w:hAnsi="Times New Roman" w:cs="Times New Roman"/>
          <w:sz w:val="20"/>
          <w:szCs w:val="20"/>
        </w:rPr>
        <w:t xml:space="preserve">1. The flask was incubated under microaerophilic conditions at 36◦C ± 1◦C under 5-10% CO2 in nitrogen for 7 days.</w:t>
      </w:r>
    </w:p>
    <w:p>
      <w:pPr>
        <w:spacing w:before="0" w:after="80" w:line="276" w:lineRule="auto"/>
      </w:pPr>
      <w:r>
        <w:rPr>
          <w:rFonts w:ascii="Times New Roman" w:hAnsi="Times New Roman" w:cs="Times New Roman"/>
          <w:sz w:val="18"/>
          <w:szCs w:val="18"/>
        </w:rPr>
        <w:t xml:space="preserve">Ссылки: —</w:t>
      </w:r>
    </w:p>
    <w:p>
      <w:pPr>
        <w:spacing w:before="160" w:after="40" w:line="276" w:lineRule="auto"/>
      </w:pPr>
      <w:r>
        <w:rPr>
          <w:rFonts w:ascii="Times New Roman" w:hAnsi="Times New Roman" w:cs="Times New Roman"/>
          <w:b/>
          <w:sz w:val="24"/>
          <w:szCs w:val="24"/>
        </w:rPr>
        <w:t xml:space="preserve">Как сделать Murine oocyte maturation assay (MOMA)</w:t>
      </w:r>
    </w:p>
    <w:p>
      <w:pPr>
        <w:spacing w:before="0" w:after="80" w:line="276" w:lineRule="auto"/>
      </w:pPr>
      <w:r>
        <w:rPr>
          <w:rFonts w:ascii="Times New Roman" w:hAnsi="Times New Roman" w:cs="Times New Roman"/>
          <w:sz w:val="22"/>
          <w:szCs w:val="22"/>
        </w:rPr>
        <w:t xml:space="preserve">Ниже дословные шаги и схемы из статьи, по порядку.</w:t>
      </w:r>
    </w:p>
    <w:p>
      <w:pPr>
        <w:spacing w:before="0" w:after="20" w:line="276" w:lineRule="auto"/>
      </w:pPr>
      <w:r>
        <w:rPr>
          <w:rFonts w:ascii="Times New Roman" w:hAnsi="Times New Roman" w:cs="Times New Roman"/>
          <w:sz w:val="20"/>
          <w:szCs w:val="20"/>
        </w:rPr>
        <w:t xml:space="preserve">1. A total of 10 mL of Fertilo IVM media, consisting of MediCult IVM Base Media (CooperSurgical Origio), 10 mg/mL human serum albumin (HSA) (CooperSurgical Origio), 75 mIU/mL recombinant follicle stimulating hormone (rFSH) (Sigma), 100 mUI/mL human chorionic gonadotropin (hCG) (Sigma), and 500 ng/mL androstendione (Sigma), and 10 mL of IVM control media, consisting of MediCult IVM Base Media (CooperSurgical Origio), 10 mg/mL HSA (CooperSurgical Origio), 75 mIU/mL rFSH (Sigma), 100 mUI/mL hCG (Sigma), and 500 ng/mL androstenedione (Sigma), were prepared and stored at 4◦C until use.</w:t>
      </w:r>
    </w:p>
    <w:p>
      <w:pPr>
        <w:spacing w:before="0" w:after="80" w:line="276" w:lineRule="auto"/>
      </w:pPr>
      <w:r>
        <w:rPr>
          <w:rFonts w:ascii="Times New Roman" w:hAnsi="Times New Roman" w:cs="Times New Roman"/>
          <w:sz w:val="18"/>
          <w:szCs w:val="18"/>
        </w:rPr>
        <w:t xml:space="preserve">Ссылки: —</w:t>
      </w:r>
    </w:p>
    <w:p>
      <w:pPr>
        <w:spacing w:before="0" w:after="20" w:line="276" w:lineRule="auto"/>
      </w:pPr>
      <w:r>
        <w:rPr>
          <w:rFonts w:ascii="Times New Roman" w:hAnsi="Times New Roman" w:cs="Times New Roman"/>
          <w:sz w:val="20"/>
          <w:szCs w:val="20"/>
        </w:rPr>
        <w:t xml:space="preserve">2. Plating dishes were prepared 16-24 hours prior to oocyte culture to allow for equilibration.</w:t>
      </w:r>
    </w:p>
    <w:p>
      <w:pPr>
        <w:spacing w:before="0" w:after="80" w:line="276" w:lineRule="auto"/>
      </w:pPr>
      <w:r>
        <w:rPr>
          <w:rFonts w:ascii="Times New Roman" w:hAnsi="Times New Roman" w:cs="Times New Roman"/>
          <w:sz w:val="18"/>
          <w:szCs w:val="18"/>
        </w:rPr>
        <w:t xml:space="preserve">Ссылки: —</w:t>
      </w:r>
    </w:p>
    <w:p>
      <w:pPr>
        <w:spacing w:before="0" w:after="20" w:line="276" w:lineRule="auto"/>
      </w:pPr>
      <w:r>
        <w:rPr>
          <w:rFonts w:ascii="Times New Roman" w:hAnsi="Times New Roman" w:cs="Times New Roman"/>
          <w:sz w:val="20"/>
          <w:szCs w:val="20"/>
        </w:rPr>
        <w:t xml:space="preserve">3. All dishes were incubated overnight at 37◦C with CO2 set for a pH of 7.2-7.4 and 5% O2.</w:t>
      </w:r>
    </w:p>
    <w:p>
      <w:pPr>
        <w:spacing w:before="0" w:after="80" w:line="276" w:lineRule="auto"/>
      </w:pPr>
      <w:r>
        <w:rPr>
          <w:rFonts w:ascii="Times New Roman" w:hAnsi="Times New Roman" w:cs="Times New Roman"/>
          <w:sz w:val="18"/>
          <w:szCs w:val="18"/>
        </w:rPr>
        <w:t xml:space="preserve">Ссылки: —</w:t>
      </w:r>
    </w:p>
    <w:p>
      <w:pPr>
        <w:spacing w:before="0" w:after="20" w:line="276" w:lineRule="auto"/>
      </w:pPr>
      <w:r>
        <w:rPr>
          <w:rFonts w:ascii="Times New Roman" w:hAnsi="Times New Roman" w:cs="Times New Roman"/>
          <w:sz w:val="20"/>
          <w:szCs w:val="20"/>
        </w:rPr>
        <w:t xml:space="preserve">4. On the day of oocyte culture, Fertilo OSCs were seeded 2-5 hours before co-culture.</w:t>
      </w:r>
    </w:p>
    <w:p>
      <w:pPr>
        <w:spacing w:before="0" w:after="80" w:line="276" w:lineRule="auto"/>
      </w:pPr>
      <w:r>
        <w:rPr>
          <w:rFonts w:ascii="Times New Roman" w:hAnsi="Times New Roman" w:cs="Times New Roman"/>
          <w:sz w:val="18"/>
          <w:szCs w:val="18"/>
        </w:rPr>
        <w:t xml:space="preserve">Ссылки: —</w:t>
      </w:r>
    </w:p>
    <w:p>
      <w:pPr>
        <w:spacing w:before="0" w:after="20" w:line="276" w:lineRule="auto"/>
      </w:pPr>
      <w:r>
        <w:rPr>
          <w:rFonts w:ascii="Times New Roman" w:hAnsi="Times New Roman" w:cs="Times New Roman"/>
          <w:sz w:val="20"/>
          <w:szCs w:val="20"/>
        </w:rPr>
        <w:t xml:space="preserve">5. To thaw Fertilo OSCs, one OSC cryovial was removed from liquid nitrogen storage and placed upright into a 37◦C water bath or dry bead bath to incubate for 2-3 minutes or until ice dissolved.</w:t>
      </w:r>
    </w:p>
    <w:p>
      <w:pPr>
        <w:spacing w:before="0" w:after="80" w:line="276" w:lineRule="auto"/>
      </w:pPr>
      <w:r>
        <w:rPr>
          <w:rFonts w:ascii="Times New Roman" w:hAnsi="Times New Roman" w:cs="Times New Roman"/>
          <w:sz w:val="18"/>
          <w:szCs w:val="18"/>
        </w:rPr>
        <w:t xml:space="preserve">Ссылки: —</w:t>
      </w:r>
    </w:p>
    <w:p>
      <w:pPr>
        <w:spacing w:before="0" w:after="20" w:line="276" w:lineRule="auto"/>
      </w:pPr>
      <w:r>
        <w:rPr>
          <w:rFonts w:ascii="Times New Roman" w:hAnsi="Times New Roman" w:cs="Times New Roman"/>
          <w:sz w:val="20"/>
          <w:szCs w:val="20"/>
        </w:rPr>
        <w:t xml:space="preserve">6. After, 500 μL of the cell suspension was added to a 1.5 mL Eppendorf tube and centrifuged at 300 x G for 5 minutes at room temperature (RT).</w:t>
      </w:r>
    </w:p>
    <w:p>
      <w:pPr>
        <w:spacing w:before="0" w:after="80" w:line="276" w:lineRule="auto"/>
      </w:pPr>
      <w:r>
        <w:rPr>
          <w:rFonts w:ascii="Times New Roman" w:hAnsi="Times New Roman" w:cs="Times New Roman"/>
          <w:sz w:val="18"/>
          <w:szCs w:val="18"/>
        </w:rPr>
        <w:t xml:space="preserve">Ссылки: —</w:t>
      </w:r>
    </w:p>
    <w:p>
      <w:pPr>
        <w:spacing w:before="0" w:after="20" w:line="276" w:lineRule="auto"/>
      </w:pPr>
      <w:r>
        <w:rPr>
          <w:rFonts w:ascii="Times New Roman" w:hAnsi="Times New Roman" w:cs="Times New Roman"/>
          <w:sz w:val="20"/>
          <w:szCs w:val="20"/>
        </w:rPr>
        <w:t xml:space="preserve">7. Following centrifugation at 300 x G for 5 minutes at RT, most supernatant was removed while ensuring not to disturb the pellet.</w:t>
      </w:r>
    </w:p>
    <w:p>
      <w:pPr>
        <w:spacing w:before="0" w:after="80" w:line="276" w:lineRule="auto"/>
      </w:pPr>
      <w:r>
        <w:rPr>
          <w:rFonts w:ascii="Times New Roman" w:hAnsi="Times New Roman" w:cs="Times New Roman"/>
          <w:sz w:val="18"/>
          <w:szCs w:val="18"/>
        </w:rPr>
        <w:t xml:space="preserve">Ссылки: —</w:t>
      </w:r>
    </w:p>
    <w:p>
      <w:pPr>
        <w:spacing w:before="0" w:after="20" w:line="276" w:lineRule="auto"/>
      </w:pPr>
      <w:r>
        <w:rPr>
          <w:rFonts w:ascii="Times New Roman" w:hAnsi="Times New Roman" w:cs="Times New Roman"/>
          <w:sz w:val="20"/>
          <w:szCs w:val="20"/>
        </w:rPr>
        <w:t xml:space="preserve">8. Then, the plating dishes were removed from the incubator and 50 μL of media was removed from the wells with Fertilo IVM media.</w:t>
      </w:r>
    </w:p>
    <w:p>
      <w:pPr>
        <w:spacing w:before="0" w:after="80" w:line="276" w:lineRule="auto"/>
      </w:pPr>
      <w:r>
        <w:rPr>
          <w:rFonts w:ascii="Times New Roman" w:hAnsi="Times New Roman" w:cs="Times New Roman"/>
          <w:sz w:val="18"/>
          <w:szCs w:val="18"/>
        </w:rPr>
        <w:t xml:space="preserve">Ссылки: —</w:t>
      </w:r>
    </w:p>
    <w:p>
      <w:pPr>
        <w:spacing w:before="0" w:after="20" w:line="276" w:lineRule="auto"/>
      </w:pPr>
      <w:r>
        <w:rPr>
          <w:rFonts w:ascii="Times New Roman" w:hAnsi="Times New Roman" w:cs="Times New Roman"/>
          <w:sz w:val="20"/>
          <w:szCs w:val="20"/>
        </w:rPr>
        <w:t xml:space="preserve">9. The plate was then placed back into the 37◦C incubator for at least 2 hours until oocyte seeding.</w:t>
      </w:r>
    </w:p>
    <w:p>
      <w:pPr>
        <w:spacing w:before="0" w:after="80" w:line="276" w:lineRule="auto"/>
      </w:pPr>
      <w:r>
        <w:rPr>
          <w:rFonts w:ascii="Times New Roman" w:hAnsi="Times New Roman" w:cs="Times New Roman"/>
          <w:sz w:val="18"/>
          <w:szCs w:val="18"/>
        </w:rPr>
        <w:t xml:space="preserve">Ссылки: —</w:t>
      </w:r>
    </w:p>
    <w:p>
      <w:pPr>
        <w:spacing w:before="0" w:after="20" w:line="276" w:lineRule="auto"/>
      </w:pPr>
      <w:r>
        <w:rPr>
          <w:rFonts w:ascii="Times New Roman" w:hAnsi="Times New Roman" w:cs="Times New Roman"/>
          <w:sz w:val="20"/>
          <w:szCs w:val="20"/>
        </w:rPr>
        <w:t xml:space="preserve">10. Oocytes were then plated and the plates were incubated at 37◦C for 18 hours for IVM.</w:t>
      </w:r>
    </w:p>
    <w:p>
      <w:pPr>
        <w:spacing w:before="0" w:after="80" w:line="276" w:lineRule="auto"/>
      </w:pPr>
      <w:r>
        <w:rPr>
          <w:rFonts w:ascii="Times New Roman" w:hAnsi="Times New Roman" w:cs="Times New Roman"/>
          <w:sz w:val="18"/>
          <w:szCs w:val="18"/>
        </w:rPr>
        <w:t xml:space="preserve">Ссылки: —</w:t>
      </w:r>
    </w:p>
    <w:p>
      <w:pPr>
        <w:spacing w:before="0" w:after="20" w:line="276" w:lineRule="auto"/>
      </w:pPr>
      <w:r>
        <w:rPr>
          <w:rFonts w:ascii="Times New Roman" w:hAnsi="Times New Roman" w:cs="Times New Roman"/>
          <w:sz w:val="20"/>
          <w:szCs w:val="20"/>
        </w:rPr>
        <w:t xml:space="preserve">11. After IVM, oocytes were stripped using hyaluronidase (H3884-50MG, Sigma) and assessed for maturity.</w:t>
      </w:r>
    </w:p>
    <w:p>
      <w:pPr>
        <w:spacing w:before="0" w:after="80" w:line="276" w:lineRule="auto"/>
      </w:pPr>
      <w:r>
        <w:rPr>
          <w:rFonts w:ascii="Times New Roman" w:hAnsi="Times New Roman" w:cs="Times New Roman"/>
          <w:sz w:val="18"/>
          <w:szCs w:val="18"/>
        </w:rPr>
        <w:t xml:space="preserve">Ссылки: —</w:t>
      </w:r>
    </w:p>
    <w:p>
      <w:pPr>
        <w:spacing w:before="0" w:after="20" w:line="276" w:lineRule="auto"/>
      </w:pPr>
      <w:r>
        <w:rPr>
          <w:rFonts w:ascii="Times New Roman" w:hAnsi="Times New Roman" w:cs="Times New Roman"/>
          <w:sz w:val="20"/>
          <w:szCs w:val="20"/>
        </w:rPr>
        <w:t xml:space="preserve">12. Fresh sperm from B6/CBA hybrid strain mice was obtained in a microdroplet of culture medium and cultured for 15 minutes at 37◦C, 5% CO2, and 5% O2.</w:t>
      </w:r>
    </w:p>
    <w:p>
      <w:pPr>
        <w:spacing w:before="0" w:after="80" w:line="276" w:lineRule="auto"/>
      </w:pPr>
      <w:r>
        <w:rPr>
          <w:rFonts w:ascii="Times New Roman" w:hAnsi="Times New Roman" w:cs="Times New Roman"/>
          <w:sz w:val="18"/>
          <w:szCs w:val="18"/>
        </w:rPr>
        <w:t xml:space="preserve">Ссылки: —</w:t>
      </w:r>
    </w:p>
    <w:p>
      <w:pPr>
        <w:spacing w:before="0" w:after="20" w:line="276" w:lineRule="auto"/>
      </w:pPr>
      <w:r>
        <w:rPr>
          <w:rFonts w:ascii="Times New Roman" w:hAnsi="Times New Roman" w:cs="Times New Roman"/>
          <w:sz w:val="20"/>
          <w:szCs w:val="20"/>
        </w:rPr>
        <w:t xml:space="preserve">13. After incubation, 3 μL of the concentrated sperm solution was further diluted in a 150 μL droplet of the same culture medium.</w:t>
      </w:r>
    </w:p>
    <w:p>
      <w:pPr>
        <w:spacing w:before="0" w:after="80" w:line="276" w:lineRule="auto"/>
      </w:pPr>
      <w:r>
        <w:rPr>
          <w:rFonts w:ascii="Times New Roman" w:hAnsi="Times New Roman" w:cs="Times New Roman"/>
          <w:sz w:val="18"/>
          <w:szCs w:val="18"/>
        </w:rPr>
        <w:t xml:space="preserve">Ссылки: —</w:t>
      </w:r>
    </w:p>
    <w:p>
      <w:pPr>
        <w:spacing w:before="0" w:after="20" w:line="276" w:lineRule="auto"/>
      </w:pPr>
      <w:r>
        <w:rPr>
          <w:rFonts w:ascii="Times New Roman" w:hAnsi="Times New Roman" w:cs="Times New Roman"/>
          <w:sz w:val="20"/>
          <w:szCs w:val="20"/>
        </w:rPr>
        <w:t xml:space="preserve">14. Following injection, the oocytes were thoroughly washed and cultured until day 5 (120 hours) in benchtop incubators at 37◦C, 5% CO2, and 5% O2.</w:t>
      </w:r>
    </w:p>
    <w:p>
      <w:pPr>
        <w:spacing w:before="0" w:after="80" w:line="276" w:lineRule="auto"/>
      </w:pPr>
      <w:r>
        <w:rPr>
          <w:rFonts w:ascii="Times New Roman" w:hAnsi="Times New Roman" w:cs="Times New Roman"/>
          <w:sz w:val="18"/>
          <w:szCs w:val="18"/>
        </w:rPr>
        <w:t xml:space="preserve">Ссылки: —</w:t>
      </w:r>
    </w:p>
    <w:p>
      <w:pPr>
        <w:spacing w:before="160" w:after="40" w:line="276" w:lineRule="auto"/>
      </w:pPr>
      <w:r>
        <w:rPr>
          <w:rFonts w:ascii="Times New Roman" w:hAnsi="Times New Roman" w:cs="Times New Roman"/>
          <w:b/>
          <w:sz w:val="24"/>
          <w:szCs w:val="24"/>
        </w:rPr>
        <w:t xml:space="preserve">Как сделать Clinical evaluation</w:t>
      </w:r>
    </w:p>
    <w:p>
      <w:pPr>
        <w:spacing w:before="0" w:after="80" w:line="276" w:lineRule="auto"/>
      </w:pPr>
      <w:r>
        <w:rPr>
          <w:rFonts w:ascii="Times New Roman" w:hAnsi="Times New Roman" w:cs="Times New Roman"/>
          <w:sz w:val="22"/>
          <w:szCs w:val="22"/>
        </w:rPr>
        <w:t xml:space="preserve">Ниже дословные шаги и схемы из статьи, по порядку.</w:t>
      </w:r>
    </w:p>
    <w:p>
      <w:pPr>
        <w:spacing w:before="0" w:after="20" w:line="276" w:lineRule="auto"/>
      </w:pPr>
      <w:r>
        <w:rPr>
          <w:rFonts w:ascii="Times New Roman" w:hAnsi="Times New Roman" w:cs="Times New Roman"/>
          <w:sz w:val="20"/>
          <w:szCs w:val="20"/>
        </w:rPr>
        <w:t xml:space="preserve">1. Briefly, follicular aspirate was kept warm and passed over a 70 micron cell strainer to separate and filter blood from potential cumulus oocyte complexes (COCs).</w:t>
      </w:r>
    </w:p>
    <w:p>
      <w:pPr>
        <w:spacing w:before="0" w:after="80" w:line="276" w:lineRule="auto"/>
      </w:pPr>
      <w:r>
        <w:rPr>
          <w:rFonts w:ascii="Times New Roman" w:hAnsi="Times New Roman" w:cs="Times New Roman"/>
          <w:sz w:val="18"/>
          <w:szCs w:val="18"/>
        </w:rPr>
        <w:t xml:space="preserve">Ссылки: —</w:t>
      </w:r>
    </w:p>
    <w:p>
      <w:pPr>
        <w:spacing w:before="0" w:after="20" w:line="276" w:lineRule="auto"/>
      </w:pPr>
      <w:r>
        <w:rPr>
          <w:rFonts w:ascii="Times New Roman" w:hAnsi="Times New Roman" w:cs="Times New Roman"/>
          <w:sz w:val="20"/>
          <w:szCs w:val="20"/>
        </w:rPr>
        <w:t xml:space="preserve">2. The filter was then overturned and the COCs were released into a search media lacking heparin (ASP) via dipping and pipette expulsion.</w:t>
      </w:r>
    </w:p>
    <w:p>
      <w:pPr>
        <w:spacing w:before="0" w:after="80" w:line="276" w:lineRule="auto"/>
      </w:pPr>
      <w:r>
        <w:rPr>
          <w:rFonts w:ascii="Times New Roman" w:hAnsi="Times New Roman" w:cs="Times New Roman"/>
          <w:sz w:val="18"/>
          <w:szCs w:val="18"/>
        </w:rPr>
        <w:t xml:space="preserve">Ссылки: —</w:t>
      </w:r>
    </w:p>
    <w:p>
      <w:pPr>
        <w:spacing w:before="0" w:after="20" w:line="276" w:lineRule="auto"/>
      </w:pPr>
      <w:r>
        <w:rPr>
          <w:rFonts w:ascii="Times New Roman" w:hAnsi="Times New Roman" w:cs="Times New Roman"/>
          <w:sz w:val="20"/>
          <w:szCs w:val="20"/>
        </w:rPr>
        <w:t xml:space="preserve">3. COCs were identified under stereomicroscope and transferred to a warmed holding droplet until all oocytes had been found.</w:t>
      </w:r>
    </w:p>
    <w:p>
      <w:pPr>
        <w:spacing w:before="0" w:after="80" w:line="276" w:lineRule="auto"/>
      </w:pPr>
      <w:r>
        <w:rPr>
          <w:rFonts w:ascii="Times New Roman" w:hAnsi="Times New Roman" w:cs="Times New Roman"/>
          <w:sz w:val="18"/>
          <w:szCs w:val="18"/>
        </w:rPr>
        <w:t xml:space="preserve">Ссылки: —</w:t>
      </w:r>
    </w:p>
    <w:p>
      <w:pPr>
        <w:spacing w:before="0" w:after="20" w:line="276" w:lineRule="auto"/>
      </w:pPr>
      <w:r>
        <w:rPr>
          <w:rFonts w:ascii="Times New Roman" w:hAnsi="Times New Roman" w:cs="Times New Roman"/>
          <w:sz w:val="20"/>
          <w:szCs w:val="20"/>
        </w:rPr>
        <w:t xml:space="preserve">4. Expanded COCs were rarely identified, due to the use of an hCG trigger, and proper monitoring during stimulation was implemented to keep the leading follicle under 12 mm.</w:t>
      </w:r>
    </w:p>
    <w:p>
      <w:pPr>
        <w:spacing w:before="0" w:after="80" w:line="276" w:lineRule="auto"/>
      </w:pPr>
      <w:r>
        <w:rPr>
          <w:rFonts w:ascii="Times New Roman" w:hAnsi="Times New Roman" w:cs="Times New Roman"/>
          <w:sz w:val="18"/>
          <w:szCs w:val="18"/>
        </w:rPr>
        <w:t xml:space="preserve">Ссылки: —</w:t>
      </w:r>
    </w:p>
    <w:p>
      <w:pPr>
        <w:spacing w:before="0" w:after="20" w:line="276" w:lineRule="auto"/>
      </w:pPr>
      <w:r>
        <w:rPr>
          <w:rFonts w:ascii="Times New Roman" w:hAnsi="Times New Roman" w:cs="Times New Roman"/>
          <w:sz w:val="20"/>
          <w:szCs w:val="20"/>
        </w:rPr>
        <w:t xml:space="preserve">5. All COCs were cultured in either Fertilo or Traditional IVM for 30 hours.</w:t>
      </w:r>
    </w:p>
    <w:p>
      <w:pPr>
        <w:spacing w:before="0" w:after="80" w:line="276" w:lineRule="auto"/>
      </w:pPr>
      <w:r>
        <w:rPr>
          <w:rFonts w:ascii="Times New Roman" w:hAnsi="Times New Roman" w:cs="Times New Roman"/>
          <w:sz w:val="18"/>
          <w:szCs w:val="18"/>
        </w:rPr>
        <w:t xml:space="preserve">Ссылки: —</w:t>
      </w:r>
    </w:p>
    <w:p>
      <w:pPr>
        <w:spacing w:before="0" w:after="20" w:line="276" w:lineRule="auto"/>
      </w:pPr>
      <w:r>
        <w:rPr>
          <w:rFonts w:ascii="Times New Roman" w:hAnsi="Times New Roman" w:cs="Times New Roman"/>
          <w:sz w:val="20"/>
          <w:szCs w:val="20"/>
        </w:rPr>
        <w:t xml:space="preserve">6. Culture droplets were 100 μL and were utilized for the culture of up to 5 COCs.</w:t>
      </w:r>
    </w:p>
    <w:p>
      <w:pPr>
        <w:spacing w:before="0" w:after="80" w:line="276" w:lineRule="auto"/>
      </w:pPr>
      <w:r>
        <w:rPr>
          <w:rFonts w:ascii="Times New Roman" w:hAnsi="Times New Roman" w:cs="Times New Roman"/>
          <w:sz w:val="18"/>
          <w:szCs w:val="18"/>
        </w:rPr>
        <w:t xml:space="preserve">Ссылки: —</w:t>
      </w:r>
    </w:p>
    <w:p>
      <w:pPr>
        <w:spacing w:before="0" w:after="20" w:line="276" w:lineRule="auto"/>
      </w:pPr>
      <w:r>
        <w:rPr>
          <w:rFonts w:ascii="Times New Roman" w:hAnsi="Times New Roman" w:cs="Times New Roman"/>
          <w:sz w:val="20"/>
          <w:szCs w:val="20"/>
        </w:rPr>
        <w:t xml:space="preserve">7. Traditional IVM utilized the IVM basal media containing supplementation with 75 mIU/mL rFSH (Gonal-F), 200 mIU/mL hCG (Ovidrel), and 10 mg/mL HSA.</w:t>
      </w:r>
    </w:p>
    <w:p>
      <w:pPr>
        <w:spacing w:before="0" w:after="80" w:line="276" w:lineRule="auto"/>
      </w:pPr>
      <w:r>
        <w:rPr>
          <w:rFonts w:ascii="Times New Roman" w:hAnsi="Times New Roman" w:cs="Times New Roman"/>
          <w:sz w:val="18"/>
          <w:szCs w:val="18"/>
        </w:rPr>
        <w:t xml:space="preserve">Ссылки: —</w:t>
      </w:r>
    </w:p>
    <w:p>
      <w:pPr>
        <w:spacing w:before="0" w:after="20" w:line="276" w:lineRule="auto"/>
      </w:pPr>
      <w:r>
        <w:rPr>
          <w:rFonts w:ascii="Times New Roman" w:hAnsi="Times New Roman" w:cs="Times New Roman"/>
          <w:sz w:val="20"/>
          <w:szCs w:val="20"/>
        </w:rPr>
        <w:t xml:space="preserve">8. All culture media plates were prepared the day before oocyte retrieval to allow for equilibration under IVF grade oil in 37◦C incubators with CO2% to yield a pH of 7.2 to 7.4 and 5% O2.</w:t>
      </w:r>
    </w:p>
    <w:p>
      <w:pPr>
        <w:spacing w:before="0" w:after="80" w:line="276" w:lineRule="auto"/>
      </w:pPr>
      <w:r>
        <w:rPr>
          <w:rFonts w:ascii="Times New Roman" w:hAnsi="Times New Roman" w:cs="Times New Roman"/>
          <w:sz w:val="18"/>
          <w:szCs w:val="18"/>
        </w:rPr>
        <w:t xml:space="preserve">Ссылки: —</w:t>
      </w:r>
    </w:p>
    <w:p>
      <w:pPr>
        <w:spacing w:before="0" w:after="20" w:line="276" w:lineRule="auto"/>
      </w:pPr>
      <w:r>
        <w:rPr>
          <w:rFonts w:ascii="Times New Roman" w:hAnsi="Times New Roman" w:cs="Times New Roman"/>
          <w:sz w:val="20"/>
          <w:szCs w:val="20"/>
        </w:rPr>
        <w:t xml:space="preserve">9. For each application, at least two vials of OSCs were prepared to enable treatment of up to 30 COCs across 6 culture droplets, with each droplet containing 100,000 OSCs.</w:t>
      </w:r>
    </w:p>
    <w:p>
      <w:pPr>
        <w:spacing w:before="0" w:after="80" w:line="276" w:lineRule="auto"/>
      </w:pPr>
      <w:r>
        <w:rPr>
          <w:rFonts w:ascii="Times New Roman" w:hAnsi="Times New Roman" w:cs="Times New Roman"/>
          <w:sz w:val="18"/>
          <w:szCs w:val="18"/>
        </w:rPr>
        <w:t xml:space="preserve">Ссылки: —</w:t>
      </w:r>
    </w:p>
    <w:p>
      <w:pPr>
        <w:spacing w:before="0" w:after="20" w:line="276" w:lineRule="auto"/>
      </w:pPr>
      <w:r>
        <w:rPr>
          <w:rFonts w:ascii="Times New Roman" w:hAnsi="Times New Roman" w:cs="Times New Roman"/>
          <w:sz w:val="20"/>
          <w:szCs w:val="20"/>
        </w:rPr>
        <w:t xml:space="preserve">10. Briefly, the day of oocyte retrieval OSCs were thawed at 37◦C for 2-3 minutes, gently resuspended using IVM basal media, and centrifuged at 300 x G for 5 minutes to pellet the cells.</w:t>
      </w:r>
    </w:p>
    <w:p>
      <w:pPr>
        <w:spacing w:before="0" w:after="80" w:line="276" w:lineRule="auto"/>
      </w:pPr>
      <w:r>
        <w:rPr>
          <w:rFonts w:ascii="Times New Roman" w:hAnsi="Times New Roman" w:cs="Times New Roman"/>
          <w:sz w:val="18"/>
          <w:szCs w:val="18"/>
        </w:rPr>
        <w:t xml:space="preserve">Ссылки: —</w:t>
      </w:r>
    </w:p>
    <w:p>
      <w:pPr>
        <w:spacing w:before="0" w:after="20" w:line="276" w:lineRule="auto"/>
      </w:pPr>
      <w:r>
        <w:rPr>
          <w:rFonts w:ascii="Times New Roman" w:hAnsi="Times New Roman" w:cs="Times New Roman"/>
          <w:sz w:val="20"/>
          <w:szCs w:val="20"/>
        </w:rPr>
        <w:t xml:space="preserve">11. The dishes were incubated for at least 30 minutes prior to oocyte co-culture to allow for re-equilibration.</w:t>
      </w:r>
    </w:p>
    <w:p>
      <w:pPr>
        <w:spacing w:before="0" w:after="80" w:line="276" w:lineRule="auto"/>
      </w:pPr>
      <w:r>
        <w:rPr>
          <w:rFonts w:ascii="Times New Roman" w:hAnsi="Times New Roman" w:cs="Times New Roman"/>
          <w:sz w:val="18"/>
          <w:szCs w:val="18"/>
        </w:rPr>
        <w:t xml:space="preserve">Ссылки: —</w:t>
      </w:r>
    </w:p>
    <w:p>
      <w:pPr>
        <w:spacing w:before="0" w:after="20" w:line="276" w:lineRule="auto"/>
      </w:pPr>
      <w:r>
        <w:rPr>
          <w:rFonts w:ascii="Times New Roman" w:hAnsi="Times New Roman" w:cs="Times New Roman"/>
          <w:sz w:val="20"/>
          <w:szCs w:val="20"/>
        </w:rPr>
        <w:t xml:space="preserve">12. All COCs were washed in IVM basal media and moved into the culture droplets of either OSC-IVM or Traditional IVM and cultured for 30 hours in a 37◦C incubator at a %CO2 to achieve a pH of 7.2 to 7.4 and 5% O2.</w:t>
      </w:r>
    </w:p>
    <w:p>
      <w:pPr>
        <w:spacing w:before="0" w:after="80" w:line="276" w:lineRule="auto"/>
      </w:pPr>
      <w:r>
        <w:rPr>
          <w:rFonts w:ascii="Times New Roman" w:hAnsi="Times New Roman" w:cs="Times New Roman"/>
          <w:sz w:val="18"/>
          <w:szCs w:val="18"/>
        </w:rPr>
        <w:t xml:space="preserve">Ссылки: —</w:t>
      </w:r>
    </w:p>
    <w:p>
      <w:pPr>
        <w:spacing w:before="0" w:after="20" w:line="276" w:lineRule="auto"/>
      </w:pPr>
      <w:r>
        <w:rPr>
          <w:rFonts w:ascii="Times New Roman" w:hAnsi="Times New Roman" w:cs="Times New Roman"/>
          <w:sz w:val="20"/>
          <w:szCs w:val="20"/>
        </w:rPr>
        <w:t xml:space="preserve">13. Mature oocytes were fertilized using ICSI and cultured in group or single culture using single-step embryo culture medium.</w:t>
      </w:r>
    </w:p>
    <w:p>
      <w:pPr>
        <w:spacing w:before="0" w:after="80" w:line="276" w:lineRule="auto"/>
      </w:pPr>
      <w:r>
        <w:rPr>
          <w:rFonts w:ascii="Times New Roman" w:hAnsi="Times New Roman" w:cs="Times New Roman"/>
          <w:sz w:val="18"/>
          <w:szCs w:val="18"/>
        </w:rPr>
        <w:t xml:space="preserve">Ссылки: —</w:t>
      </w:r>
    </w:p>
    <w:p>
      <w:pPr>
        <w:spacing w:before="0" w:after="20" w:line="276" w:lineRule="auto"/>
      </w:pPr>
      <w:r>
        <w:rPr>
          <w:rFonts w:ascii="Times New Roman" w:hAnsi="Times New Roman" w:cs="Times New Roman"/>
          <w:sz w:val="20"/>
          <w:szCs w:val="20"/>
        </w:rPr>
        <w:t xml:space="preserve">14. Assessment of the fertilization rate was performed at 16-18 hours post-ICSI, then at Days 3, 5, 6, and 7 post IVM.</w:t>
      </w:r>
    </w:p>
    <w:p>
      <w:pPr>
        <w:spacing w:before="0" w:after="80" w:line="276" w:lineRule="auto"/>
      </w:pPr>
      <w:r>
        <w:rPr>
          <w:rFonts w:ascii="Times New Roman" w:hAnsi="Times New Roman" w:cs="Times New Roman"/>
          <w:sz w:val="18"/>
          <w:szCs w:val="18"/>
        </w:rPr>
        <w:t xml:space="preserve">Ссылки: —</w:t>
      </w:r>
    </w:p>
    <w:p>
      <w:pPr>
        <w:spacing w:before="0" w:after="20" w:line="276" w:lineRule="auto"/>
      </w:pPr>
      <w:r>
        <w:rPr>
          <w:rFonts w:ascii="Times New Roman" w:hAnsi="Times New Roman" w:cs="Times New Roman"/>
          <w:sz w:val="20"/>
          <w:szCs w:val="20"/>
        </w:rPr>
        <w:t xml:space="preserve">15. Embryos that did not meet their respective checkpoints were discarded and blastocysts of freezable quality (Gardner grade 3BB or greater) underwent vitrification (Kitazato).</w:t>
      </w:r>
    </w:p>
    <w:p>
      <w:pPr>
        <w:spacing w:before="0" w:after="80" w:line="276" w:lineRule="auto"/>
      </w:pPr>
      <w:r>
        <w:rPr>
          <w:rFonts w:ascii="Times New Roman" w:hAnsi="Times New Roman" w:cs="Times New Roman"/>
          <w:sz w:val="18"/>
          <w:szCs w:val="18"/>
        </w:rPr>
        <w:t xml:space="preserve">Ссылки: —</w:t>
      </w:r>
    </w:p>
    <w:p>
      <w:pPr>
        <w:spacing w:before="0" w:after="20" w:line="276" w:lineRule="auto"/>
      </w:pPr>
      <w:r>
        <w:rPr>
          <w:rFonts w:ascii="Times New Roman" w:hAnsi="Times New Roman" w:cs="Times New Roman"/>
          <w:sz w:val="20"/>
          <w:szCs w:val="20"/>
        </w:rPr>
        <w:t xml:space="preserve">16. Embryos were hatched using laser-assisted hatching and underwent trophectoderm biopsy prior to vitrification on the day of freezing.</w:t>
      </w:r>
    </w:p>
    <w:p>
      <w:pPr>
        <w:spacing w:before="0" w:after="80" w:line="276" w:lineRule="auto"/>
      </w:pPr>
      <w:r>
        <w:rPr>
          <w:rFonts w:ascii="Times New Roman" w:hAnsi="Times New Roman" w:cs="Times New Roman"/>
          <w:sz w:val="18"/>
          <w:szCs w:val="18"/>
        </w:rPr>
        <w:t xml:space="preserve">Ссылки: —</w:t>
      </w:r>
    </w:p>
    <w:p>
      <w:pPr>
        <w:spacing w:before="0" w:after="20" w:line="276" w:lineRule="auto"/>
      </w:pPr>
      <w:r>
        <w:rPr>
          <w:rFonts w:ascii="Times New Roman" w:hAnsi="Times New Roman" w:cs="Times New Roman"/>
          <w:sz w:val="20"/>
          <w:szCs w:val="20"/>
        </w:rPr>
        <w:t xml:space="preserve">17. For uterine priming, starting on the first day of menses, subjects received 2 mg oral estradiol treatment twice daily with an optional 100 μg patch replaced every three days until the endometrial thickness was ≥7 mm.</w:t>
      </w:r>
    </w:p>
    <w:p>
      <w:pPr>
        <w:spacing w:before="0" w:after="80" w:line="276" w:lineRule="auto"/>
      </w:pPr>
      <w:r>
        <w:rPr>
          <w:rFonts w:ascii="Times New Roman" w:hAnsi="Times New Roman" w:cs="Times New Roman"/>
          <w:sz w:val="18"/>
          <w:szCs w:val="18"/>
        </w:rPr>
        <w:t xml:space="preserve">Ссылки: —</w:t>
      </w:r>
    </w:p>
    <w:p>
      <w:pPr>
        <w:spacing w:before="0" w:after="20" w:line="276" w:lineRule="auto"/>
      </w:pPr>
      <w:r>
        <w:rPr>
          <w:rFonts w:ascii="Times New Roman" w:hAnsi="Times New Roman" w:cs="Times New Roman"/>
          <w:sz w:val="20"/>
          <w:szCs w:val="20"/>
        </w:rPr>
        <w:t xml:space="preserve">18. Progesterone was then administered at 50 mg intramuscular once daily to prepare for ET or via a combination of intravaginal (800 mg) and subcutaneous progesterone.</w:t>
      </w:r>
    </w:p>
    <w:p>
      <w:pPr>
        <w:spacing w:before="0" w:after="80" w:line="276" w:lineRule="auto"/>
      </w:pPr>
      <w:r>
        <w:rPr>
          <w:rFonts w:ascii="Times New Roman" w:hAnsi="Times New Roman" w:cs="Times New Roman"/>
          <w:sz w:val="18"/>
          <w:szCs w:val="18"/>
        </w:rPr>
        <w:t xml:space="preserve">Ссылки: —</w:t>
      </w:r>
    </w:p>
    <w:p>
      <w:pPr>
        <w:spacing w:before="0" w:after="20" w:line="276" w:lineRule="auto"/>
      </w:pPr>
      <w:r>
        <w:rPr>
          <w:rFonts w:ascii="Times New Roman" w:hAnsi="Times New Roman" w:cs="Times New Roman"/>
          <w:sz w:val="20"/>
          <w:szCs w:val="20"/>
        </w:rPr>
        <w:t xml:space="preserve">19. Progesterone could be increased to 100 mg daily if clinically indicated due to bleeding or a low progesterone level.</w:t>
      </w:r>
    </w:p>
    <w:p>
      <w:pPr>
        <w:spacing w:before="0" w:after="80" w:line="276" w:lineRule="auto"/>
      </w:pPr>
      <w:r>
        <w:rPr>
          <w:rFonts w:ascii="Times New Roman" w:hAnsi="Times New Roman" w:cs="Times New Roman"/>
          <w:sz w:val="18"/>
          <w:szCs w:val="18"/>
        </w:rPr>
        <w:t xml:space="preserve">Ссылки: —</w:t>
      </w:r>
    </w:p>
    <w:sectPr>
      <w:pgSz w:w="16838" w:h="11906" w:orient="landscape"/>
      <w:pgMar w:top="851" w:right="851" w:bottom="851" w:left="851" w:header="400" w:footer="400" w:gutter="0"/>
    </w:sectPr>
  </w:body>
</w:document>
</file>

<file path=word/styles.xml><?xml version="1.0" encoding="utf-8"?>
<w:styles xmlns:w="http://schemas.openxmlformats.org/wordprocessingml/2006/main">
  <w:style w:type="paragraph" w:default="1" w:styleId="Normal">
    <w:name w:val="Normal"/>
    <w:qFormat/>
    <w:rPr>
      <w:rFonts w:ascii="Times New Roman" w:hAnsi="Times New Roman" w:cs="Times New Roman"/>
      <w:sz w:val="22"/>
      <w:szCs w:val="22"/>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oi.org/10.1093/hropen/hoac051" TargetMode="External"/><Relationship Id="rId3" Type="http://schemas.openxmlformats.org/officeDocument/2006/relationships/hyperlink" Target="https://doi.org/10.4103/ijmr.IJMR_817_18" TargetMode="External"/><Relationship Id="rId4" Type="http://schemas.openxmlformats.org/officeDocument/2006/relationships/hyperlink" Target="https://doi.org/10.1016/j.mcna.2022.10.004" TargetMode="External"/><Relationship Id="rId5" Type="http://schemas.openxmlformats.org/officeDocument/2006/relationships/hyperlink" Target="https://doi.org/10.1111/j.1471-0528.2008.01878.x" TargetMode="External"/><Relationship Id="rId6" Type="http://schemas.openxmlformats.org/officeDocument/2006/relationships/hyperlink" Target="https://doi.org/10.7554/eLife.75061" TargetMode="External"/><Relationship Id="rId7" Type="http://schemas.openxmlformats.org/officeDocument/2006/relationships/hyperlink" Target="https://doi.org/10.1038/d41586-023-01475-2" TargetMode="External"/><Relationship Id="rId8" Type="http://schemas.openxmlformats.org/officeDocument/2006/relationships/hyperlink" Target="https://doi.org/10.1177/1933719117725814" TargetMode="External"/><Relationship Id="rId9" Type="http://schemas.openxmlformats.org/officeDocument/2006/relationships/hyperlink" Target="https://doi.org/10.7554/eLife.83291" TargetMode="External"/><Relationship Id="rId10" Type="http://schemas.openxmlformats.org/officeDocument/2006/relationships/hyperlink" Target="https://doi.org/10.3389/fcell.2023.1166351" TargetMode="External"/><Relationship Id="rId11" Type="http://schemas.openxmlformats.org/officeDocument/2006/relationships/hyperlink" Target="https://doi.org/10.1038/ncomms15680" TargetMode="External"/><Relationship Id="rId12" Type="http://schemas.openxmlformats.org/officeDocument/2006/relationships/hyperlink" Target="https://doi.org/10.1016/j.xfss.2024.05.002" TargetMode="External"/><Relationship Id="rId13" Type="http://schemas.openxmlformats.org/officeDocument/2006/relationships/hyperlink" Target="https://doi.org/10.1016/j.fertnstert.2013.06.018" TargetMode="External"/><Relationship Id="rId14" Type="http://schemas.openxmlformats.org/officeDocument/2006/relationships/hyperlink" Target="https://doi.org/10.1093/humrep/deab243" TargetMode="External"/><Relationship Id="rId15" Type="http://schemas.openxmlformats.org/officeDocument/2006/relationships/hyperlink" Target="https://doi.org/10.1016/j.fertnstert.2023.01.046" TargetMode="External"/><Relationship Id="rId16" Type="http://schemas.openxmlformats.org/officeDocument/2006/relationships/hyperlink" Target="https://doi.org/10.5653/cerm.2015.42.3.111" TargetMode="External"/><Relationship Id="rId17" Type="http://schemas.openxmlformats.org/officeDocument/2006/relationships/hyperlink" Target="https://doi.org/10.1016/j.fertnstert.2007.06.017" TargetMode="External"/><Relationship Id="rId18" Type="http://schemas.openxmlformats.org/officeDocument/2006/relationships/hyperlink" Target="https://doi.org/10.1093/humrep/dead205" TargetMode="External"/><Relationship Id="rId19" Type="http://schemas.openxmlformats.org/officeDocument/2006/relationships/hyperlink" Target="https://doi.org/10.1007/s10815-024-03143-4" TargetMode="External"/><Relationship Id="rId20" Type="http://schemas.openxmlformats.org/officeDocument/2006/relationships/hyperlink" Target="https://doi.org/10.1007/s10815-019-01551-5" TargetMode="External"/><Relationship Id="rId21" Type="http://schemas.openxmlformats.org/officeDocument/2006/relationships/hyperlink" Target="https://doi.org/10.1186/s13059-016-0888-1" TargetMode="External"/><Relationship Id="rId22" Type="http://schemas.openxmlformats.org/officeDocument/2006/relationships/hyperlink" Target="https://doi.org/10.1016/j.molcel.2018.10.029" TargetMode="External"/><Relationship Id="rId23" Type="http://schemas.openxmlformats.org/officeDocument/2006/relationships/hyperlink" Target="https://doi.org/10.1210/endocr/bqaa190" TargetMode="External"/><Relationship Id="rId24" Type="http://schemas.openxmlformats.org/officeDocument/2006/relationships/hyperlink" Target="https://doi.org/10.1111/cpr.13516" TargetMode="External"/><Relationship Id="rId25" Type="http://schemas.openxmlformats.org/officeDocument/2006/relationships/hyperlink" Target="https://doi.org/10.1007/s43032-021-00613-3" TargetMode="External"/><Relationship Id="rId26" Type="http://schemas.openxmlformats.org/officeDocument/2006/relationships/hyperlink" Target="https://doi.org/10.1186/s12958-023-01162-x" TargetMode="External"/><Relationship Id="rId27" Type="http://schemas.openxmlformats.org/officeDocument/2006/relationships/hyperlink" Target="https://doi.org/10.1186/s13059-023-02997-8" TargetMode="External"/><Relationship Id="rId28" Type="http://schemas.openxmlformats.org/officeDocument/2006/relationships/hyperlink" Target="https://doi.org/10.1016/j.fertnstert.2023.01.027" TargetMode="External"/><Relationship Id="rId29" Type="http://schemas.openxmlformats.org/officeDocument/2006/relationships/hyperlink" Target="https://doi.org/10.1095/biolreprod.114.121756" TargetMode="External"/><Relationship Id="rId30" Type="http://schemas.openxmlformats.org/officeDocument/2006/relationships/hyperlink" Target="https://doi.org/10.1073/pnas.1414648111" TargetMode="External"/></Relationships>
</file>