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In vitro maturation (IVM): краткий обзор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i/>
          <w:sz w:val="24"/>
          <w:szCs w:val="24"/>
        </w:rPr>
        <w:t xml:space="preserve">Краткий обзор темы вспомогательных репродуктивных технологий (≈2 стр.)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 Определение и биологическая суть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In vitro maturation (IVM) — метод вспомогательных репродуктивных технологий, при котором из яичника извлекают незрелые ооциты (как правило, на стадии герминального пузырька, GV) из антральных фолликулов малого диаметра и доводят их до метафазы II (MII) в условиях лабораторной культуры. В отличие от классического ЭКО, IVM предполагает отсутствие полноценной контролируемой овариальной стимуляции либо её существенное сокращение. Исторически клиническое применение у человека связано с работами начала 1990-х годов; с тех пор метод развивался как более щадящая альтернатива стандартному ЭКО для отдельных групп пациенток.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Ключевая идея IVM — перенести финальные этапы созревания ооцита из организма в культуру. Для компетентности ооцита важны не только завершение мейоза, но и цитоплазматическое созревание, метаболическая поддержка и сохранение коммуникации кумулюс–ооцит. Именно эти процессы определяют последующую способность к оплодотворению, эмбриогенезу и наступлению беременности.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 Клинические показания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Наиболее обоснованные показания к IVM включают высокий риск синдрома гиперстимуляции яичников (СГЯ), прежде всего у женщин с синдромом поликистозных яичников (СПКЯ) или поликистозоподобными яичниками и высоким антральным фолликулярным счётом. Дополнительно метод рассматривают при срочном сохранении фертильности перед гонадотоксичным лечением (онкофертильность), при синдроме резистентных яичников и в отдельных сложных случаях повторных неудач ВРТ, когда полноценная стимуляция нежелательна или малоэффективна.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Практическая привлекательность IVM связана с уменьшением лекарственной нагрузки, меньшим числом инъекций и визитов мониторинга, снижением финансовой и эмоциональной нагрузки цикла, а также практически полным устранением умеренного и тяжёлого СГЯ по сравнению со стандартным ЭКО. Вместе с тем комитеты по репродуктивной медицине подчёркивают, что у части пациенток риск СГЯ сегодня успешно контролируется и современными протоколами ЭКО (антагонисты GnRH, триггер агонистом), поэтому выбор IVM должен быть индивидуальным.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 Протоколы и лабораторные подходы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Существует несколько клинико-лабораторных вариантов IVM: без стимуляции; с коротким праймингом ФСГ; с праймингом ХГЧ; комбинированные схемы. В последние годы активно изучаются двухфазные (biphasic) системы и CAPA-/SPOM-подходы, в которых перед собственно созреванием ооцит проходит этап пре-IVM-инкубации, имитирующий физиологическую модуляцию мейоза. Оптимизация сред включает гормоны, факторы роста, антиоксиданты и улучшение условий поддержания комплекса кумулюс–ооцит; перспективны также 3D- и микрофлюидные платформы.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После созревания ооцитов обычно выполняют ИКСИ, культивирование эмбрионов и, часто, криоконсервацию с последующим переносом в размороженном цикле — это позволяет развести во времени пункцию и перенос и улучшить эндометриальную синхронизацию.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4. Эффективность и безопасность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 совокупным данным, включая рандомизированные сравнения у женщин со СПКЯ, IVM обеспечивает выраженное снижение умеренного и тяжёлого СГЯ, однако показатели живорождения за цикл, как правило, ниже, чем при стандартном ЭКО. В одном крупном РКИ без гонадотропинов частота живорождения в горизонте 6 месяцев составила около 22% против примерно 51% при ЭКО; при этом СГЯ в группе IVM практически отсутствовал. Обзоры Cochrane указывают: эффект IVM на живорождение по сравнению с ЭКО остаётся неопределённым из-за разнородности протоколов, при этом повышается риск выкидыша на клиническую беременность, а снижение СГЯ подтверждается с высокой достоверностью. Неонатальные исходы в доступных сериях в целом сопоставимы с ожидаемыми для ВРТ, но требуются дальнейшие долгосрочные наблюдения.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5. Ограничения и перспективы</w:t>
      </w:r>
    </w:p>
    <w:p>
      <w:pPr>
        <w:pStyle w:val="Normal"/>
        <w:jc w:val="both"/>
        <w:ind w:firstLine="567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Главные ограничения IVM — более низкая компетентность части ооцитов, вариабельность протоколов между центрами и меньшая предсказуемость исходов относительно рутинного ЭКО. Перспективы связаны с стандартизацией biphasic/CAPA-IVM, улучшением сред и селекции фолликулов, а также с точным отбором пациенток, для которых выигрыш по безопасности и нагрузке цикла перевешивает возможное снижение эффективности. Таким образом, IVM уже является клинически значимой опцией ВРТ, особенно при высоком риске СГЯ и в онкофертильности, но пока остаётся специализированным, а не универсальным методом первой линии.</w:t>
      </w:r>
    </w:p>
    <w:p>
      <w:pPr>
        <w:jc w:val="left"/>
        <w:ind w:firstLine="0"/>
        <w:spacing w:before="200" w:after="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источники</w:t>
      </w:r>
    </w:p>
    <w:p>
      <w:pPr>
        <w:jc w:val="left"/>
        <w:ind w:firstLine="0"/>
        <w:spacing w:after="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1. ASRM Practice Committee. In vitro maturation: a committee opinion. Fertil Steril. 2021.</w:t>
      </w:r>
    </w:p>
    <w:p>
      <w:pPr>
        <w:jc w:val="left"/>
        <w:ind w:firstLine="0"/>
        <w:spacing w:after="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2. Advances, Mechanisms, and Clinical Perspectives for the In Vitro Maturation of Human Oocytes. PMC / Int. J. Mol. Sci. (обзор).</w:t>
      </w:r>
    </w:p>
    <w:p>
      <w:pPr>
        <w:jc w:val="left"/>
        <w:ind w:firstLine="0"/>
        <w:spacing w:after="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3. Zheng X. et al. IVM without gonadotropins versus IVF in PCOS: RCT. Human Reproduction. 2022.</w:t>
      </w:r>
    </w:p>
    <w:p>
      <w:pPr>
        <w:jc w:val="left"/>
        <w:ind w:firstLine="0"/>
        <w:spacing w:after="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4. Cochrane Review. In vitro maturation in subfertile women with PCOS undergoing ART (обновления обзора).</w:t>
      </w:r>
    </w:p>
    <w:sectPr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