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0" w:after="80" w:line="276" w:lineRule="auto"/>
      </w:pPr>
      <w:r>
        <w:rPr>
          <w:rFonts w:ascii="Times New Roman" w:hAnsi="Times New Roman" w:cs="Times New Roman"/>
          <w:b/>
          <w:sz w:val="32"/>
          <w:szCs w:val="32"/>
        </w:rPr>
        <w:t xml:space="preserve">Прозектор: In vitro maturation (IVM) of human immature oocytes: is it still relevant?</w:t>
      </w:r>
    </w:p>
    <w:p>
      <w:pPr>
        <w:spacing w:before="0" w:after="40" w:line="276" w:lineRule="auto"/>
      </w:pPr>
      <w:r>
        <w:rPr>
          <w:rFonts w:ascii="Times New Roman" w:hAnsi="Times New Roman" w:cs="Times New Roman"/>
          <w:sz w:val="22"/>
          <w:szCs w:val="22"/>
        </w:rPr>
        <w:t xml:space="preserve">Цитаты выписаны дословно и оставлены на языке статьи. Английский текст не переводится.</w:t>
      </w:r>
    </w:p>
    <w:p>
      <w:pPr>
        <w:spacing w:before="0" w:after="40" w:line="276" w:lineRule="auto"/>
      </w:pPr>
      <w:r>
        <w:rPr>
          <w:rFonts w:ascii="Times New Roman" w:hAnsi="Times New Roman" w:cs="Times New Roman"/>
          <w:sz w:val="22"/>
          <w:szCs w:val="22"/>
        </w:rPr>
        <w:t xml:space="preserve">Колонка «Без ссылок» повторяет ту же фразу без маркеров [1], [9–11] и (Smith et al., 2020). Слова не заменяются. Если таких маркеров не было, в колонке стоит «—».</w:t>
      </w:r>
    </w:p>
    <w:p>
      <w:pPr>
        <w:spacing w:before="0" w:after="160" w:line="276" w:lineRule="auto"/>
      </w:pPr>
      <w:r>
        <w:rPr>
          <w:rFonts w:ascii="Times New Roman" w:hAnsi="Times New Roman" w:cs="Times New Roman"/>
          <w:sz w:val="22"/>
          <w:szCs w:val="22"/>
        </w:rPr>
        <w:t xml:space="preserve">Список литературы, благодарности, финансирование, декларации и подписи к рисункам Прозектор не включает.</w:t>
      </w:r>
    </w:p>
    <w:p>
      <w:pPr>
        <w:spacing w:before="0" w:after="40" w:line="276" w:lineRule="auto"/>
      </w:pPr>
      <w:r>
        <w:rPr>
          <w:rFonts w:ascii="Times New Roman" w:hAnsi="Times New Roman" w:cs="Times New Roman"/>
          <w:sz w:val="22"/>
          <w:szCs w:val="22"/>
        </w:rPr>
        <w:t xml:space="preserve">Авторы: Das Mausumi, Son Weon-Young</w:t>
      </w:r>
    </w:p>
    <w:p>
      <w:pPr>
        <w:spacing w:before="0" w:after="40" w:line="276" w:lineRule="auto"/>
      </w:pPr>
      <w:r>
        <w:rPr>
          <w:rFonts w:ascii="Times New Roman" w:hAnsi="Times New Roman" w:cs="Times New Roman"/>
          <w:sz w:val="22"/>
          <w:szCs w:val="22"/>
        </w:rPr>
        <w:t xml:space="preserve">Год: 2023</w:t>
      </w:r>
    </w:p>
    <w:p>
      <w:pPr>
        <w:spacing w:before="0" w:after="40" w:line="276" w:lineRule="auto"/>
      </w:pPr>
      <w:r>
        <w:rPr>
          <w:rFonts w:ascii="Times New Roman" w:hAnsi="Times New Roman" w:cs="Times New Roman"/>
          <w:sz w:val="22"/>
          <w:szCs w:val="22"/>
        </w:rPr>
        <w:t xml:space="preserve">DOI: 10.1186/s12958-023-01162-x</w:t>
      </w:r>
    </w:p>
    <w:p>
      <w:pPr>
        <w:spacing w:before="0" w:after="40" w:line="276" w:lineRule="auto"/>
      </w:pPr>
      <w:r>
        <w:rPr>
          <w:rFonts w:ascii="Times New Roman" w:hAnsi="Times New Roman" w:cs="Times New Roman"/>
          <w:sz w:val="22"/>
          <w:szCs w:val="22"/>
        </w:rPr>
        <w:t xml:space="preserve">Источник: PMC10664544</w:t>
      </w:r>
    </w:p>
    <w:p>
      <w:pPr>
        <w:spacing w:before="0" w:after="40" w:line="276" w:lineRule="auto"/>
      </w:pPr>
      <w:r>
        <w:rPr>
          <w:rFonts w:ascii="Times New Roman" w:hAnsi="Times New Roman" w:cs="Times New Roman"/>
          <w:sz w:val="22"/>
          <w:szCs w:val="22"/>
        </w:rPr>
        <w:t xml:space="preserve">https://europepmc.org/articles/PMC10664544</w:t>
      </w:r>
    </w:p>
    <w:p>
      <w:pPr>
        <w:spacing w:before="0" w:after="40" w:line="276" w:lineRule="auto"/>
      </w:pPr>
      <w:r>
        <w:rPr>
          <w:rFonts w:ascii="Times New Roman" w:hAnsi="Times New Roman" w:cs="Times New Roman"/>
          <w:sz w:val="22"/>
          <w:szCs w:val="22"/>
        </w:rPr>
        <w:t xml:space="preserve">Язык цитат: английский</w:t>
      </w:r>
    </w:p>
    <w:p>
      <w:pPr>
        <w:spacing w:before="0" w:after="40" w:line="276" w:lineRule="auto"/>
      </w:pPr>
      <w:r>
        <w:rPr>
          <w:rFonts w:ascii="Times New Roman" w:hAnsi="Times New Roman" w:cs="Times New Roman"/>
          <w:sz w:val="22"/>
          <w:szCs w:val="22"/>
        </w:rPr>
        <w:t xml:space="preserve">Охват: полный текст</w:t>
      </w:r>
    </w:p>
    <w:p>
      <w:pPr>
        <w:spacing w:before="0" w:after="200" w:line="276" w:lineRule="auto"/>
      </w:pPr>
      <w:r>
        <w:rPr>
          <w:rFonts w:ascii="Times New Roman" w:hAnsi="Times New Roman" w:cs="Times New Roman"/>
          <w:sz w:val="22"/>
          <w:szCs w:val="22"/>
        </w:rPr>
        <w:t xml:space="preserve">Прочитано предложений: 289</w:t>
      </w:r>
    </w:p>
    <w:p>
      <w:pPr>
        <w:spacing w:before="240" w:after="60" w:line="276" w:lineRule="auto"/>
      </w:pPr>
      <w:r>
        <w:rPr>
          <w:rFonts w:ascii="Times New Roman" w:hAnsi="Times New Roman" w:cs="Times New Roman"/>
          <w:b/>
          <w:sz w:val="28"/>
          <w:szCs w:val="28"/>
        </w:rPr>
        <w:t xml:space="preserve">Структура эксперимента</w:t>
      </w:r>
    </w:p>
    <w:p>
      <w:pPr>
        <w:spacing w:before="0" w:after="80" w:line="276" w:lineRule="auto"/>
      </w:pPr>
      <w:r>
        <w:rPr>
          <w:rFonts w:ascii="Times New Roman" w:hAnsi="Times New Roman" w:cs="Times New Roman"/>
          <w:i/>
          <w:sz w:val="22"/>
          <w:szCs w:val="22"/>
        </w:rPr>
        <w:t xml:space="preserve">Как авторы устроили свою работу: дизайн, кто вошёл, группы, какие исходы заданы, чем сравнивали на уровне плана.</w:t>
      </w:r>
    </w:p>
    <w:tbl>
      <w:tblPr>
        <w:tblW w:w="15136"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40" w:type="dxa"/>
          <w:left w:w="80" w:type="dxa"/>
          <w:bottom w:w="40" w:type="dxa"/>
          <w:right w:w="80" w:type="dxa"/>
        </w:tblCellMar>
      </w:tblPr>
      <w:tblGrid>
        <w:gridCol w:w="700"/>
        <w:gridCol w:w="2400"/>
        <w:gridCol w:w="6018"/>
        <w:gridCol w:w="6018"/>
      </w:tblGrid>
      <w:tr>
        <w:trPr>
          <w:tblHeader/>
        </w:trPr>
        <w:tc>
          <w:tcPr>
            <w:tcW w:w="700" w:type="dxa"/>
            <w:shd w:val="clear" w:color="auto" w:fill="1F4E79"/>
          </w:tcPr>
          <w:p>
            <w:pPr>
              <w:spacing w:before="20" w:after="20" w:line="240" w:lineRule="auto"/>
            </w:pPr>
            <w:r>
              <w:rPr>
                <w:rFonts w:ascii="Times New Roman" w:hAnsi="Times New Roman" w:cs="Times New Roman"/>
                <w:b/>
                <w:color w:val="FFFFFF"/>
                <w:sz w:val="20"/>
                <w:szCs w:val="20"/>
              </w:rPr>
              <w:t xml:space="preserve">#</w:t>
            </w:r>
          </w:p>
        </w:tc>
        <w:tc>
          <w:tcPr>
            <w:tcW w:w="2400" w:type="dxa"/>
            <w:shd w:val="clear" w:color="auto" w:fill="1F4E79"/>
          </w:tcPr>
          <w:p>
            <w:pPr>
              <w:spacing w:before="20" w:after="20" w:line="240" w:lineRule="auto"/>
            </w:pPr>
            <w:r>
              <w:rPr>
                <w:rFonts w:ascii="Times New Roman" w:hAnsi="Times New Roman" w:cs="Times New Roman"/>
                <w:b/>
                <w:color w:val="FFFFFF"/>
                <w:sz w:val="20"/>
                <w:szCs w:val="20"/>
              </w:rPr>
              <w:t xml:space="preserve">Раздел</w:t>
            </w:r>
          </w:p>
        </w:tc>
        <w:tc>
          <w:tcPr>
            <w:tcW w:w="6018" w:type="dxa"/>
            <w:shd w:val="clear" w:color="auto" w:fill="1F4E79"/>
          </w:tcPr>
          <w:p>
            <w:pPr>
              <w:spacing w:before="20" w:after="20" w:line="240" w:lineRule="auto"/>
            </w:pPr>
            <w:r>
              <w:rPr>
                <w:rFonts w:ascii="Times New Roman" w:hAnsi="Times New Roman" w:cs="Times New Roman"/>
                <w:b/>
                <w:color w:val="FFFFFF"/>
                <w:sz w:val="20"/>
                <w:szCs w:val="20"/>
              </w:rPr>
              <w:t xml:space="preserve">Цитата</w:t>
            </w:r>
          </w:p>
        </w:tc>
        <w:tc>
          <w:tcPr>
            <w:tcW w:w="6018" w:type="dxa"/>
            <w:shd w:val="clear" w:color="auto" w:fill="1F4E79"/>
          </w:tcPr>
          <w:p>
            <w:pPr>
              <w:spacing w:before="20" w:after="20" w:line="240" w:lineRule="auto"/>
            </w:pPr>
            <w:r>
              <w:rPr>
                <w:rFonts w:ascii="Times New Roman" w:hAnsi="Times New Roman" w:cs="Times New Roman"/>
                <w:b/>
                <w:color w:val="FFFFFF"/>
                <w:sz w:val="20"/>
                <w:szCs w:val="20"/>
              </w:rPr>
              <w:t xml:space="preserve">Без ссылок</w:t>
            </w:r>
          </w:p>
        </w:tc>
      </w:tr>
      <w:tr>
        <w:tc>
          <w:tcPr>
            <w:tcW w:w="700" w:type="dxa"/>
          </w:tcPr>
          <w:p>
            <w:pPr>
              <w:spacing w:before="20" w:after="20" w:line="240" w:lineRule="auto"/>
            </w:pPr>
            <w:r>
              <w:rPr>
                <w:rFonts w:ascii="Times New Roman" w:hAnsi="Times New Roman" w:cs="Times New Roman"/>
                <w:sz w:val="20"/>
                <w:szCs w:val="20"/>
              </w:rPr>
              <w:t xml:space="preserve">1</w:t>
            </w:r>
          </w:p>
        </w:tc>
        <w:tc>
          <w:tcPr>
            <w:tcW w:w="2400" w:type="dxa"/>
          </w:tcPr>
          <w:p>
            <w:pPr>
              <w:spacing w:before="20" w:after="20" w:line="240" w:lineRule="auto"/>
            </w:pPr>
            <w:r>
              <w:rPr>
                <w:rFonts w:ascii="Times New Roman" w:hAnsi="Times New Roman" w:cs="Times New Roman"/>
                <w:sz w:val="20"/>
                <w:szCs w:val="20"/>
              </w:rPr>
              <w:t xml:space="preserve">Methods → Oocyte retrieval</w:t>
            </w:r>
          </w:p>
        </w:tc>
        <w:tc>
          <w:tcPr>
            <w:tcW w:w="6018" w:type="dxa"/>
          </w:tcPr>
          <w:p>
            <w:pPr>
              <w:spacing w:before="20" w:after="20" w:line="240" w:lineRule="auto"/>
            </w:pPr>
            <w:r>
              <w:rPr>
                <w:rFonts w:ascii="Times New Roman" w:hAnsi="Times New Roman" w:cs="Times New Roman"/>
                <w:sz w:val="20"/>
                <w:szCs w:val="20"/>
              </w:rPr>
              <w:t xml:space="preserve">A retrospective cohort study comparing complication rates and pain scores after oocyte retrieval in IVM and IVF cycles concluded that although IVM oocyte retrievals require more punctures per ovary and took significantly more time than IVF oocyte collections, they were not associated with a higher complication rate than IVF oocyte retrieval procedures [61].</w:t>
            </w:r>
          </w:p>
        </w:tc>
        <w:tc>
          <w:tcPr>
            <w:tcW w:w="6018" w:type="dxa"/>
          </w:tcPr>
          <w:p>
            <w:pPr>
              <w:spacing w:before="20" w:after="20" w:line="240" w:lineRule="auto"/>
            </w:pPr>
            <w:r>
              <w:rPr>
                <w:rFonts w:ascii="Times New Roman" w:hAnsi="Times New Roman" w:cs="Times New Roman"/>
                <w:sz w:val="20"/>
                <w:szCs w:val="20"/>
              </w:rPr>
              <w:t xml:space="preserve">A retrospective cohort study comparing complication rates and pain scores after oocyte retrieval in IVM and IVF cycles concluded that although IVM oocyte retrievals require more punctures per ovary and took significantly more time than IVF oocyte collections, they were not associated with a higher complication rate than IVF oocyte retrieval procedures.</w:t>
            </w:r>
          </w:p>
        </w:tc>
      </w:tr>
      <w:tr>
        <w:tc>
          <w:tcPr>
            <w:tcW w:w="700" w:type="dxa"/>
          </w:tcPr>
          <w:p>
            <w:pPr>
              <w:spacing w:before="20" w:after="20" w:line="240" w:lineRule="auto"/>
            </w:pPr>
            <w:r>
              <w:rPr>
                <w:rFonts w:ascii="Times New Roman" w:hAnsi="Times New Roman" w:cs="Times New Roman"/>
                <w:sz w:val="20"/>
                <w:szCs w:val="20"/>
              </w:rPr>
              <w:t xml:space="preserve">2</w:t>
            </w:r>
          </w:p>
        </w:tc>
        <w:tc>
          <w:tcPr>
            <w:tcW w:w="2400" w:type="dxa"/>
          </w:tcPr>
          <w:p>
            <w:pPr>
              <w:spacing w:before="20" w:after="20" w:line="240" w:lineRule="auto"/>
            </w:pPr>
            <w:r>
              <w:rPr>
                <w:rFonts w:ascii="Times New Roman" w:hAnsi="Times New Roman" w:cs="Times New Roman"/>
                <w:sz w:val="20"/>
                <w:szCs w:val="20"/>
              </w:rPr>
              <w:t xml:space="preserve">Methods → Freeze all strategy</w:t>
            </w:r>
          </w:p>
        </w:tc>
        <w:tc>
          <w:tcPr>
            <w:tcW w:w="6018" w:type="dxa"/>
          </w:tcPr>
          <w:p>
            <w:pPr>
              <w:spacing w:before="20" w:after="20" w:line="240" w:lineRule="auto"/>
            </w:pPr>
            <w:r>
              <w:rPr>
                <w:rFonts w:ascii="Times New Roman" w:hAnsi="Times New Roman" w:cs="Times New Roman"/>
                <w:sz w:val="20"/>
                <w:szCs w:val="20"/>
              </w:rPr>
              <w:t xml:space="preserve">In a recent randomized controlled pilot study, 40 women aged 18–37 years with a high antral follicle count undergoing one cycle of CAPA-IVM were randomized to a freeze-only strategy with subsequent frozen embryo transfer or to fresh embryo transfer at the cleavage stage.</w:t>
            </w:r>
          </w:p>
        </w:tc>
        <w:tc>
          <w:tcPr>
            <w:tcW w:w="6018" w:type="dxa"/>
          </w:tcPr>
          <w:p>
            <w:pPr>
              <w:spacing w:before="20" w:after="20" w:line="240" w:lineRule="auto"/>
            </w:pPr>
            <w:r>
              <w:rPr>
                <w:rFonts w:ascii="Times New Roman" w:hAnsi="Times New Roman" w:cs="Times New Roman"/>
                <w:sz w:val="20"/>
                <w:szCs w:val="20"/>
              </w:rPr>
              <w:t xml:space="preserve">—</w:t>
            </w:r>
          </w:p>
        </w:tc>
      </w:tr>
    </w:tbl>
    <w:p>
      <w:pPr>
        <w:spacing w:before="240" w:after="60" w:line="276" w:lineRule="auto"/>
      </w:pPr>
      <w:r>
        <w:rPr>
          <w:rFonts w:ascii="Times New Roman" w:hAnsi="Times New Roman" w:cs="Times New Roman"/>
          <w:b/>
          <w:sz w:val="28"/>
          <w:szCs w:val="28"/>
        </w:rPr>
        <w:t xml:space="preserve">Контроль</w:t>
      </w:r>
    </w:p>
    <w:p>
      <w:pPr>
        <w:spacing w:before="0" w:after="80" w:line="276" w:lineRule="auto"/>
      </w:pPr>
      <w:r>
        <w:rPr>
          <w:rFonts w:ascii="Times New Roman" w:hAnsi="Times New Roman" w:cs="Times New Roman"/>
          <w:i/>
          <w:sz w:val="22"/>
          <w:szCs w:val="22"/>
        </w:rPr>
        <w:t xml:space="preserve">Чем задано сравнение: контрольная группа, подобранные контроли, группа сопоставления.</w:t>
      </w:r>
    </w:p>
    <w:p>
      <w:pPr>
        <w:spacing w:before="0" w:after="80" w:line="276" w:lineRule="auto"/>
      </w:pPr>
      <w:r>
        <w:rPr>
          <w:rFonts w:ascii="Times New Roman" w:hAnsi="Times New Roman" w:cs="Times New Roman"/>
          <w:sz w:val="22"/>
          <w:szCs w:val="22"/>
        </w:rPr>
        <w:t xml:space="preserve">Отдельное описание контроля не выделено.</w:t>
      </w:r>
    </w:p>
    <w:p>
      <w:pPr>
        <w:spacing w:before="240" w:after="60" w:line="276" w:lineRule="auto"/>
      </w:pPr>
      <w:r>
        <w:rPr>
          <w:rFonts w:ascii="Times New Roman" w:hAnsi="Times New Roman" w:cs="Times New Roman"/>
          <w:b/>
          <w:sz w:val="28"/>
          <w:szCs w:val="28"/>
        </w:rPr>
        <w:t xml:space="preserve">Данные литобзора</w:t>
      </w:r>
    </w:p>
    <w:p>
      <w:pPr>
        <w:spacing w:before="0" w:after="80" w:line="276" w:lineRule="auto"/>
      </w:pPr>
      <w:r>
        <w:rPr>
          <w:rFonts w:ascii="Times New Roman" w:hAnsi="Times New Roman" w:cs="Times New Roman"/>
          <w:i/>
          <w:sz w:val="22"/>
          <w:szCs w:val="22"/>
        </w:rPr>
        <w:t xml:space="preserve">Положения, которые опираются на чужие работы. Это фразы из введения и обсуждения, а не список литературы в конце статьи.</w:t>
      </w:r>
    </w:p>
    <w:tbl>
      <w:tblPr>
        <w:tblW w:w="15136"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40" w:type="dxa"/>
          <w:left w:w="80" w:type="dxa"/>
          <w:bottom w:w="40" w:type="dxa"/>
          <w:right w:w="80" w:type="dxa"/>
        </w:tblCellMar>
      </w:tblPr>
      <w:tblGrid>
        <w:gridCol w:w="700"/>
        <w:gridCol w:w="2400"/>
        <w:gridCol w:w="6018"/>
        <w:gridCol w:w="6018"/>
      </w:tblGrid>
      <w:tr>
        <w:trPr>
          <w:tblHeader/>
        </w:trPr>
        <w:tc>
          <w:tcPr>
            <w:tcW w:w="700" w:type="dxa"/>
            <w:shd w:val="clear" w:color="auto" w:fill="1F4E79"/>
          </w:tcPr>
          <w:p>
            <w:pPr>
              <w:spacing w:before="20" w:after="20" w:line="240" w:lineRule="auto"/>
            </w:pPr>
            <w:r>
              <w:rPr>
                <w:rFonts w:ascii="Times New Roman" w:hAnsi="Times New Roman" w:cs="Times New Roman"/>
                <w:b/>
                <w:color w:val="FFFFFF"/>
                <w:sz w:val="20"/>
                <w:szCs w:val="20"/>
              </w:rPr>
              <w:t xml:space="preserve">#</w:t>
            </w:r>
          </w:p>
        </w:tc>
        <w:tc>
          <w:tcPr>
            <w:tcW w:w="2400" w:type="dxa"/>
            <w:shd w:val="clear" w:color="auto" w:fill="1F4E79"/>
          </w:tcPr>
          <w:p>
            <w:pPr>
              <w:spacing w:before="20" w:after="20" w:line="240" w:lineRule="auto"/>
            </w:pPr>
            <w:r>
              <w:rPr>
                <w:rFonts w:ascii="Times New Roman" w:hAnsi="Times New Roman" w:cs="Times New Roman"/>
                <w:b/>
                <w:color w:val="FFFFFF"/>
                <w:sz w:val="20"/>
                <w:szCs w:val="20"/>
              </w:rPr>
              <w:t xml:space="preserve">Раздел</w:t>
            </w:r>
          </w:p>
        </w:tc>
        <w:tc>
          <w:tcPr>
            <w:tcW w:w="6018" w:type="dxa"/>
            <w:shd w:val="clear" w:color="auto" w:fill="1F4E79"/>
          </w:tcPr>
          <w:p>
            <w:pPr>
              <w:spacing w:before="20" w:after="20" w:line="240" w:lineRule="auto"/>
            </w:pPr>
            <w:r>
              <w:rPr>
                <w:rFonts w:ascii="Times New Roman" w:hAnsi="Times New Roman" w:cs="Times New Roman"/>
                <w:b/>
                <w:color w:val="FFFFFF"/>
                <w:sz w:val="20"/>
                <w:szCs w:val="20"/>
              </w:rPr>
              <w:t xml:space="preserve">Цитата</w:t>
            </w:r>
          </w:p>
        </w:tc>
        <w:tc>
          <w:tcPr>
            <w:tcW w:w="6018" w:type="dxa"/>
            <w:shd w:val="clear" w:color="auto" w:fill="1F4E79"/>
          </w:tcPr>
          <w:p>
            <w:pPr>
              <w:spacing w:before="20" w:after="20" w:line="240" w:lineRule="auto"/>
            </w:pPr>
            <w:r>
              <w:rPr>
                <w:rFonts w:ascii="Times New Roman" w:hAnsi="Times New Roman" w:cs="Times New Roman"/>
                <w:b/>
                <w:color w:val="FFFFFF"/>
                <w:sz w:val="20"/>
                <w:szCs w:val="20"/>
              </w:rPr>
              <w:t xml:space="preserve">Без ссылок</w:t>
            </w:r>
          </w:p>
        </w:tc>
      </w:tr>
      <w:tr>
        <w:tc>
          <w:tcPr>
            <w:tcW w:w="700" w:type="dxa"/>
          </w:tcPr>
          <w:p>
            <w:pPr>
              <w:spacing w:before="20" w:after="20" w:line="240" w:lineRule="auto"/>
            </w:pPr>
            <w:r>
              <w:rPr>
                <w:rFonts w:ascii="Times New Roman" w:hAnsi="Times New Roman" w:cs="Times New Roman"/>
                <w:sz w:val="20"/>
                <w:szCs w:val="20"/>
              </w:rPr>
              <w:t xml:space="preserve">1</w:t>
            </w:r>
          </w:p>
        </w:tc>
        <w:tc>
          <w:tcPr>
            <w:tcW w:w="2400" w:type="dxa"/>
          </w:tcPr>
          <w:p>
            <w:pPr>
              <w:spacing w:before="20" w:after="20" w:line="240" w:lineRule="auto"/>
            </w:pPr>
            <w:r>
              <w:rPr>
                <w:rFonts w:ascii="Times New Roman" w:hAnsi="Times New Roman" w:cs="Times New Roman"/>
                <w:sz w:val="20"/>
                <w:szCs w:val="20"/>
              </w:rPr>
              <w:t xml:space="preserve">Abstract</w:t>
            </w:r>
          </w:p>
        </w:tc>
        <w:tc>
          <w:tcPr>
            <w:tcW w:w="6018" w:type="dxa"/>
          </w:tcPr>
          <w:p>
            <w:pPr>
              <w:spacing w:before="20" w:after="20" w:line="240" w:lineRule="auto"/>
            </w:pPr>
            <w:r>
              <w:rPr>
                <w:rFonts w:ascii="Times New Roman" w:hAnsi="Times New Roman" w:cs="Times New Roman"/>
                <w:sz w:val="20"/>
                <w:szCs w:val="20"/>
              </w:rPr>
              <w:t xml:space="preserve">In vitro maturation (IVM) of human immature oocytes has been shown to be a viable option for patients at risk of ovarian hyperstimulation syndrome (OHSS), those seeking urgent fertility preservation and in circumstances where controlled ovarian stimulation is not feasible.</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2</w:t>
            </w:r>
          </w:p>
        </w:tc>
        <w:tc>
          <w:tcPr>
            <w:tcW w:w="2400" w:type="dxa"/>
          </w:tcPr>
          <w:p>
            <w:pPr>
              <w:spacing w:before="20" w:after="20" w:line="240" w:lineRule="auto"/>
            </w:pPr>
            <w:r>
              <w:rPr>
                <w:rFonts w:ascii="Times New Roman" w:hAnsi="Times New Roman" w:cs="Times New Roman"/>
                <w:sz w:val="20"/>
                <w:szCs w:val="20"/>
              </w:rPr>
              <w:t xml:space="preserve">Background</w:t>
            </w:r>
          </w:p>
        </w:tc>
        <w:tc>
          <w:tcPr>
            <w:tcW w:w="6018" w:type="dxa"/>
          </w:tcPr>
          <w:p>
            <w:pPr>
              <w:spacing w:before="20" w:after="20" w:line="240" w:lineRule="auto"/>
            </w:pPr>
            <w:r>
              <w:rPr>
                <w:rFonts w:ascii="Times New Roman" w:hAnsi="Times New Roman" w:cs="Times New Roman"/>
                <w:sz w:val="20"/>
                <w:szCs w:val="20"/>
              </w:rPr>
              <w:t xml:space="preserve">Since the first IVM baby was born in 1991 [1], the use of IVM has been credited with approximately 5000–6000 live births [2].</w:t>
            </w:r>
          </w:p>
        </w:tc>
        <w:tc>
          <w:tcPr>
            <w:tcW w:w="6018" w:type="dxa"/>
          </w:tcPr>
          <w:p>
            <w:pPr>
              <w:spacing w:before="20" w:after="20" w:line="240" w:lineRule="auto"/>
            </w:pPr>
            <w:r>
              <w:rPr>
                <w:rFonts w:ascii="Times New Roman" w:hAnsi="Times New Roman" w:cs="Times New Roman"/>
                <w:sz w:val="20"/>
                <w:szCs w:val="20"/>
              </w:rPr>
              <w:t xml:space="preserve">Since the first IVM baby was born in 1991, the use of IVM has been credited with approximately 5000–6000 live births.</w:t>
            </w:r>
          </w:p>
        </w:tc>
      </w:tr>
      <w:tr>
        <w:tc>
          <w:tcPr>
            <w:tcW w:w="700" w:type="dxa"/>
          </w:tcPr>
          <w:p>
            <w:pPr>
              <w:spacing w:before="20" w:after="20" w:line="240" w:lineRule="auto"/>
            </w:pPr>
            <w:r>
              <w:rPr>
                <w:rFonts w:ascii="Times New Roman" w:hAnsi="Times New Roman" w:cs="Times New Roman"/>
                <w:sz w:val="20"/>
                <w:szCs w:val="20"/>
              </w:rPr>
              <w:t xml:space="preserve">3</w:t>
            </w:r>
          </w:p>
        </w:tc>
        <w:tc>
          <w:tcPr>
            <w:tcW w:w="2400" w:type="dxa"/>
          </w:tcPr>
          <w:p>
            <w:pPr>
              <w:spacing w:before="20" w:after="20" w:line="240" w:lineRule="auto"/>
            </w:pPr>
            <w:r>
              <w:rPr>
                <w:rFonts w:ascii="Times New Roman" w:hAnsi="Times New Roman" w:cs="Times New Roman"/>
                <w:sz w:val="20"/>
                <w:szCs w:val="20"/>
              </w:rPr>
              <w:t xml:space="preserve">Background</w:t>
            </w:r>
          </w:p>
        </w:tc>
        <w:tc>
          <w:tcPr>
            <w:tcW w:w="6018" w:type="dxa"/>
          </w:tcPr>
          <w:p>
            <w:pPr>
              <w:spacing w:before="20" w:after="20" w:line="240" w:lineRule="auto"/>
            </w:pPr>
            <w:r>
              <w:rPr>
                <w:rFonts w:ascii="Times New Roman" w:hAnsi="Times New Roman" w:cs="Times New Roman"/>
                <w:sz w:val="20"/>
                <w:szCs w:val="20"/>
              </w:rPr>
              <w:t xml:space="preserve">The clinical applications of IVM have expanded to include patients experiencing repeated failures in assisted reproduction due to resistant ovary syndrome and poor responders [3–5].</w:t>
            </w:r>
          </w:p>
        </w:tc>
        <w:tc>
          <w:tcPr>
            <w:tcW w:w="6018" w:type="dxa"/>
          </w:tcPr>
          <w:p>
            <w:pPr>
              <w:spacing w:before="20" w:after="20" w:line="240" w:lineRule="auto"/>
            </w:pPr>
            <w:r>
              <w:rPr>
                <w:rFonts w:ascii="Times New Roman" w:hAnsi="Times New Roman" w:cs="Times New Roman"/>
                <w:sz w:val="20"/>
                <w:szCs w:val="20"/>
              </w:rPr>
              <w:t xml:space="preserve">The clinical applications of IVM have expanded to include patients experiencing repeated failures in assisted reproduction due to resistant ovary syndrome and poor responders.</w:t>
            </w:r>
          </w:p>
        </w:tc>
      </w:tr>
      <w:tr>
        <w:tc>
          <w:tcPr>
            <w:tcW w:w="700" w:type="dxa"/>
          </w:tcPr>
          <w:p>
            <w:pPr>
              <w:spacing w:before="20" w:after="20" w:line="240" w:lineRule="auto"/>
            </w:pPr>
            <w:r>
              <w:rPr>
                <w:rFonts w:ascii="Times New Roman" w:hAnsi="Times New Roman" w:cs="Times New Roman"/>
                <w:sz w:val="20"/>
                <w:szCs w:val="20"/>
              </w:rPr>
              <w:t xml:space="preserve">4</w:t>
            </w:r>
          </w:p>
        </w:tc>
        <w:tc>
          <w:tcPr>
            <w:tcW w:w="2400" w:type="dxa"/>
          </w:tcPr>
          <w:p>
            <w:pPr>
              <w:spacing w:before="20" w:after="20" w:line="240" w:lineRule="auto"/>
            </w:pPr>
            <w:r>
              <w:rPr>
                <w:rFonts w:ascii="Times New Roman" w:hAnsi="Times New Roman" w:cs="Times New Roman"/>
                <w:sz w:val="20"/>
                <w:szCs w:val="20"/>
              </w:rPr>
              <w:t xml:space="preserve">Background</w:t>
            </w:r>
          </w:p>
        </w:tc>
        <w:tc>
          <w:tcPr>
            <w:tcW w:w="6018" w:type="dxa"/>
          </w:tcPr>
          <w:p>
            <w:pPr>
              <w:spacing w:before="20" w:after="20" w:line="240" w:lineRule="auto"/>
            </w:pPr>
            <w:r>
              <w:rPr>
                <w:rFonts w:ascii="Times New Roman" w:hAnsi="Times New Roman" w:cs="Times New Roman"/>
                <w:sz w:val="20"/>
                <w:szCs w:val="20"/>
              </w:rPr>
              <w:t xml:space="preserve">Recently, the American Society of Reproductive Medicine (ASRM) has acknowledged the usefulness of IVM in certain clinical applicationsand has declared it to be nonexperimental [6].</w:t>
            </w:r>
          </w:p>
        </w:tc>
        <w:tc>
          <w:tcPr>
            <w:tcW w:w="6018" w:type="dxa"/>
          </w:tcPr>
          <w:p>
            <w:pPr>
              <w:spacing w:before="20" w:after="20" w:line="240" w:lineRule="auto"/>
            </w:pPr>
            <w:r>
              <w:rPr>
                <w:rFonts w:ascii="Times New Roman" w:hAnsi="Times New Roman" w:cs="Times New Roman"/>
                <w:sz w:val="20"/>
                <w:szCs w:val="20"/>
              </w:rPr>
              <w:t xml:space="preserve">Recently, the American Society of Reproductive Medicine (ASRM) has acknowledged the usefulness of IVM in certain clinical applicationsand has declared it to be nonexperimental.</w:t>
            </w:r>
          </w:p>
        </w:tc>
      </w:tr>
      <w:tr>
        <w:tc>
          <w:tcPr>
            <w:tcW w:w="700" w:type="dxa"/>
          </w:tcPr>
          <w:p>
            <w:pPr>
              <w:spacing w:before="20" w:after="20" w:line="240" w:lineRule="auto"/>
            </w:pPr>
            <w:r>
              <w:rPr>
                <w:rFonts w:ascii="Times New Roman" w:hAnsi="Times New Roman" w:cs="Times New Roman"/>
                <w:sz w:val="20"/>
                <w:szCs w:val="20"/>
              </w:rPr>
              <w:t xml:space="preserve">5</w:t>
            </w:r>
          </w:p>
        </w:tc>
        <w:tc>
          <w:tcPr>
            <w:tcW w:w="2400" w:type="dxa"/>
          </w:tcPr>
          <w:p>
            <w:pPr>
              <w:spacing w:before="20" w:after="20" w:line="240" w:lineRule="auto"/>
            </w:pPr>
            <w:r>
              <w:rPr>
                <w:rFonts w:ascii="Times New Roman" w:hAnsi="Times New Roman" w:cs="Times New Roman"/>
                <w:sz w:val="20"/>
                <w:szCs w:val="20"/>
              </w:rPr>
              <w:t xml:space="preserve">Background</w:t>
            </w:r>
          </w:p>
        </w:tc>
        <w:tc>
          <w:tcPr>
            <w:tcW w:w="6018" w:type="dxa"/>
          </w:tcPr>
          <w:p>
            <w:pPr>
              <w:spacing w:before="20" w:after="20" w:line="240" w:lineRule="auto"/>
            </w:pPr>
            <w:r>
              <w:rPr>
                <w:rFonts w:ascii="Times New Roman" w:hAnsi="Times New Roman" w:cs="Times New Roman"/>
                <w:sz w:val="20"/>
                <w:szCs w:val="20"/>
              </w:rPr>
              <w:t xml:space="preserve">The complexity involved in performing IVM and its generally lower success rates compared to conventional IVF remain significant challenges [7–9].</w:t>
            </w:r>
          </w:p>
        </w:tc>
        <w:tc>
          <w:tcPr>
            <w:tcW w:w="6018" w:type="dxa"/>
          </w:tcPr>
          <w:p>
            <w:pPr>
              <w:spacing w:before="20" w:after="20" w:line="240" w:lineRule="auto"/>
            </w:pPr>
            <w:r>
              <w:rPr>
                <w:rFonts w:ascii="Times New Roman" w:hAnsi="Times New Roman" w:cs="Times New Roman"/>
                <w:sz w:val="20"/>
                <w:szCs w:val="20"/>
              </w:rPr>
              <w:t xml:space="preserve">The complexity involved in performing IVM and its generally lower success rates compared to conventional IVF remain significant challenges.</w:t>
            </w:r>
          </w:p>
        </w:tc>
      </w:tr>
      <w:tr>
        <w:tc>
          <w:tcPr>
            <w:tcW w:w="700" w:type="dxa"/>
          </w:tcPr>
          <w:p>
            <w:pPr>
              <w:spacing w:before="20" w:after="20" w:line="240" w:lineRule="auto"/>
            </w:pPr>
            <w:r>
              <w:rPr>
                <w:rFonts w:ascii="Times New Roman" w:hAnsi="Times New Roman" w:cs="Times New Roman"/>
                <w:sz w:val="20"/>
                <w:szCs w:val="20"/>
              </w:rPr>
              <w:t xml:space="preserve">6</w:t>
            </w:r>
          </w:p>
        </w:tc>
        <w:tc>
          <w:tcPr>
            <w:tcW w:w="2400" w:type="dxa"/>
          </w:tcPr>
          <w:p>
            <w:pPr>
              <w:spacing w:before="20" w:after="20" w:line="240" w:lineRule="auto"/>
            </w:pPr>
            <w:r>
              <w:rPr>
                <w:rFonts w:ascii="Times New Roman" w:hAnsi="Times New Roman" w:cs="Times New Roman"/>
                <w:sz w:val="20"/>
                <w:szCs w:val="20"/>
              </w:rPr>
              <w:t xml:space="preserve">Background</w:t>
            </w:r>
          </w:p>
        </w:tc>
        <w:tc>
          <w:tcPr>
            <w:tcW w:w="6018" w:type="dxa"/>
          </w:tcPr>
          <w:p>
            <w:pPr>
              <w:spacing w:before="20" w:after="20" w:line="240" w:lineRule="auto"/>
            </w:pPr>
            <w:r>
              <w:rPr>
                <w:rFonts w:ascii="Times New Roman" w:hAnsi="Times New Roman" w:cs="Times New Roman"/>
                <w:sz w:val="20"/>
                <w:szCs w:val="20"/>
              </w:rPr>
              <w:t xml:space="preserve">Secondly, the overall quality of oocytes derived from current IVM culture systems tends to be inferior to naturally matured oocytes in vivo [10].</w:t>
            </w:r>
          </w:p>
        </w:tc>
        <w:tc>
          <w:tcPr>
            <w:tcW w:w="6018" w:type="dxa"/>
          </w:tcPr>
          <w:p>
            <w:pPr>
              <w:spacing w:before="20" w:after="20" w:line="240" w:lineRule="auto"/>
            </w:pPr>
            <w:r>
              <w:rPr>
                <w:rFonts w:ascii="Times New Roman" w:hAnsi="Times New Roman" w:cs="Times New Roman"/>
                <w:sz w:val="20"/>
                <w:szCs w:val="20"/>
              </w:rPr>
              <w:t xml:space="preserve">Secondly, the overall quality of oocytes derived from current IVM culture systems tends to be inferior to naturally matured oocytes in vivo.</w:t>
            </w:r>
          </w:p>
        </w:tc>
      </w:tr>
    </w:tbl>
    <w:p>
      <w:pPr>
        <w:spacing w:before="240" w:after="60" w:line="276" w:lineRule="auto"/>
      </w:pPr>
      <w:r>
        <w:rPr>
          <w:rFonts w:ascii="Times New Roman" w:hAnsi="Times New Roman" w:cs="Times New Roman"/>
          <w:b/>
          <w:sz w:val="28"/>
          <w:szCs w:val="28"/>
        </w:rPr>
        <w:t xml:space="preserve">Результаты</w:t>
      </w:r>
    </w:p>
    <w:p>
      <w:pPr>
        <w:spacing w:before="0" w:after="80" w:line="276" w:lineRule="auto"/>
      </w:pPr>
      <w:r>
        <w:rPr>
          <w:rFonts w:ascii="Times New Roman" w:hAnsi="Times New Roman" w:cs="Times New Roman"/>
          <w:i/>
          <w:sz w:val="22"/>
          <w:szCs w:val="22"/>
        </w:rPr>
        <w:t xml:space="preserve">Что авторы сообщают как наблюдение своей работы: частоты, различия, значения P, случаи.</w:t>
      </w:r>
    </w:p>
    <w:p>
      <w:pPr>
        <w:spacing w:before="0" w:after="80" w:line="276" w:lineRule="auto"/>
      </w:pPr>
      <w:r>
        <w:rPr>
          <w:rFonts w:ascii="Times New Roman" w:hAnsi="Times New Roman" w:cs="Times New Roman"/>
          <w:sz w:val="22"/>
          <w:szCs w:val="22"/>
        </w:rPr>
        <w:t xml:space="preserve">Числовых итогов этой работы не выделено.</w:t>
      </w:r>
    </w:p>
    <w:p>
      <w:pPr>
        <w:spacing w:before="240" w:after="60" w:line="276" w:lineRule="auto"/>
      </w:pPr>
      <w:r>
        <w:rPr>
          <w:rFonts w:ascii="Times New Roman" w:hAnsi="Times New Roman" w:cs="Times New Roman"/>
          <w:b/>
          <w:sz w:val="28"/>
          <w:szCs w:val="28"/>
        </w:rPr>
        <w:t xml:space="preserve">Протоколы</w:t>
      </w:r>
    </w:p>
    <w:p>
      <w:pPr>
        <w:spacing w:before="0" w:after="80" w:line="276" w:lineRule="auto"/>
      </w:pPr>
      <w:r>
        <w:rPr>
          <w:rFonts w:ascii="Times New Roman" w:hAnsi="Times New Roman" w:cs="Times New Roman"/>
          <w:i/>
          <w:sz w:val="22"/>
          <w:szCs w:val="22"/>
        </w:rPr>
        <w:t xml:space="preserve">Шаги, дозы, среды и сроки. Они вынуты из методов, даже если в статье стояли вперемешку с дизайном.</w:t>
      </w:r>
    </w:p>
    <w:tbl>
      <w:tblPr>
        <w:tblW w:w="15136"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40" w:type="dxa"/>
          <w:left w:w="80" w:type="dxa"/>
          <w:bottom w:w="40" w:type="dxa"/>
          <w:right w:w="80" w:type="dxa"/>
        </w:tblCellMar>
      </w:tblPr>
      <w:tblGrid>
        <w:gridCol w:w="700"/>
        <w:gridCol w:w="2400"/>
        <w:gridCol w:w="6018"/>
        <w:gridCol w:w="6018"/>
      </w:tblGrid>
      <w:tr>
        <w:trPr>
          <w:tblHeader/>
        </w:trPr>
        <w:tc>
          <w:tcPr>
            <w:tcW w:w="700" w:type="dxa"/>
            <w:shd w:val="clear" w:color="auto" w:fill="1F4E79"/>
          </w:tcPr>
          <w:p>
            <w:pPr>
              <w:spacing w:before="20" w:after="20" w:line="240" w:lineRule="auto"/>
            </w:pPr>
            <w:r>
              <w:rPr>
                <w:rFonts w:ascii="Times New Roman" w:hAnsi="Times New Roman" w:cs="Times New Roman"/>
                <w:b/>
                <w:color w:val="FFFFFF"/>
                <w:sz w:val="20"/>
                <w:szCs w:val="20"/>
              </w:rPr>
              <w:t xml:space="preserve">#</w:t>
            </w:r>
          </w:p>
        </w:tc>
        <w:tc>
          <w:tcPr>
            <w:tcW w:w="2400" w:type="dxa"/>
            <w:shd w:val="clear" w:color="auto" w:fill="1F4E79"/>
          </w:tcPr>
          <w:p>
            <w:pPr>
              <w:spacing w:before="20" w:after="20" w:line="240" w:lineRule="auto"/>
            </w:pPr>
            <w:r>
              <w:rPr>
                <w:rFonts w:ascii="Times New Roman" w:hAnsi="Times New Roman" w:cs="Times New Roman"/>
                <w:b/>
                <w:color w:val="FFFFFF"/>
                <w:sz w:val="20"/>
                <w:szCs w:val="20"/>
              </w:rPr>
              <w:t xml:space="preserve">Раздел</w:t>
            </w:r>
          </w:p>
        </w:tc>
        <w:tc>
          <w:tcPr>
            <w:tcW w:w="6018" w:type="dxa"/>
            <w:shd w:val="clear" w:color="auto" w:fill="1F4E79"/>
          </w:tcPr>
          <w:p>
            <w:pPr>
              <w:spacing w:before="20" w:after="20" w:line="240" w:lineRule="auto"/>
            </w:pPr>
            <w:r>
              <w:rPr>
                <w:rFonts w:ascii="Times New Roman" w:hAnsi="Times New Roman" w:cs="Times New Roman"/>
                <w:b/>
                <w:color w:val="FFFFFF"/>
                <w:sz w:val="20"/>
                <w:szCs w:val="20"/>
              </w:rPr>
              <w:t xml:space="preserve">Цитата</w:t>
            </w:r>
          </w:p>
        </w:tc>
        <w:tc>
          <w:tcPr>
            <w:tcW w:w="6018" w:type="dxa"/>
            <w:shd w:val="clear" w:color="auto" w:fill="1F4E79"/>
          </w:tcPr>
          <w:p>
            <w:pPr>
              <w:spacing w:before="20" w:after="20" w:line="240" w:lineRule="auto"/>
            </w:pPr>
            <w:r>
              <w:rPr>
                <w:rFonts w:ascii="Times New Roman" w:hAnsi="Times New Roman" w:cs="Times New Roman"/>
                <w:b/>
                <w:color w:val="FFFFFF"/>
                <w:sz w:val="20"/>
                <w:szCs w:val="20"/>
              </w:rPr>
              <w:t xml:space="preserve">Без ссылок</w:t>
            </w:r>
          </w:p>
        </w:tc>
      </w:tr>
      <w:tr>
        <w:tc>
          <w:tcPr>
            <w:tcW w:w="700" w:type="dxa"/>
          </w:tcPr>
          <w:p>
            <w:pPr>
              <w:spacing w:before="20" w:after="20" w:line="240" w:lineRule="auto"/>
            </w:pPr>
            <w:r>
              <w:rPr>
                <w:rFonts w:ascii="Times New Roman" w:hAnsi="Times New Roman" w:cs="Times New Roman"/>
                <w:sz w:val="20"/>
                <w:szCs w:val="20"/>
              </w:rPr>
              <w:t xml:space="preserve">1</w:t>
            </w:r>
          </w:p>
        </w:tc>
        <w:tc>
          <w:tcPr>
            <w:tcW w:w="2400" w:type="dxa"/>
          </w:tcPr>
          <w:p>
            <w:pPr>
              <w:spacing w:before="20" w:after="20" w:line="240" w:lineRule="auto"/>
            </w:pPr>
            <w:r>
              <w:rPr>
                <w:rFonts w:ascii="Times New Roman" w:hAnsi="Times New Roman" w:cs="Times New Roman"/>
                <w:sz w:val="20"/>
                <w:szCs w:val="20"/>
              </w:rPr>
              <w:t xml:space="preserve">Methods → In vivo oocyte maturation</w:t>
            </w:r>
          </w:p>
        </w:tc>
        <w:tc>
          <w:tcPr>
            <w:tcW w:w="6018" w:type="dxa"/>
          </w:tcPr>
          <w:p>
            <w:pPr>
              <w:spacing w:before="20" w:after="20" w:line="240" w:lineRule="auto"/>
            </w:pPr>
            <w:r>
              <w:rPr>
                <w:rFonts w:ascii="Times New Roman" w:hAnsi="Times New Roman" w:cs="Times New Roman"/>
                <w:sz w:val="20"/>
                <w:szCs w:val="20"/>
              </w:rPr>
              <w:t xml:space="preserve">The expanded CCs disrupt gap junctions in the COCs, stopping cAMP and cGMP transport, leading to oocyte meiotic resumption via MPF activation [33].</w:t>
            </w:r>
          </w:p>
        </w:tc>
        <w:tc>
          <w:tcPr>
            <w:tcW w:w="6018" w:type="dxa"/>
          </w:tcPr>
          <w:p>
            <w:pPr>
              <w:spacing w:before="20" w:after="20" w:line="240" w:lineRule="auto"/>
            </w:pPr>
            <w:r>
              <w:rPr>
                <w:rFonts w:ascii="Times New Roman" w:hAnsi="Times New Roman" w:cs="Times New Roman"/>
                <w:sz w:val="20"/>
                <w:szCs w:val="20"/>
              </w:rPr>
              <w:t xml:space="preserve">The expanded CCs disrupt gap junctions in the COCs, stopping cAMP and cGMP transport, leading to oocyte meiotic resumption via MPF activation.</w:t>
            </w:r>
          </w:p>
        </w:tc>
      </w:tr>
      <w:tr>
        <w:tc>
          <w:tcPr>
            <w:tcW w:w="700" w:type="dxa"/>
          </w:tcPr>
          <w:p>
            <w:pPr>
              <w:spacing w:before="20" w:after="20" w:line="240" w:lineRule="auto"/>
            </w:pPr>
            <w:r>
              <w:rPr>
                <w:rFonts w:ascii="Times New Roman" w:hAnsi="Times New Roman" w:cs="Times New Roman"/>
                <w:sz w:val="20"/>
                <w:szCs w:val="20"/>
              </w:rPr>
              <w:t xml:space="preserve">2</w:t>
            </w:r>
          </w:p>
        </w:tc>
        <w:tc>
          <w:tcPr>
            <w:tcW w:w="2400" w:type="dxa"/>
          </w:tcPr>
          <w:p>
            <w:pPr>
              <w:spacing w:before="20" w:after="20" w:line="240" w:lineRule="auto"/>
            </w:pPr>
            <w:r>
              <w:rPr>
                <w:rFonts w:ascii="Times New Roman" w:hAnsi="Times New Roman" w:cs="Times New Roman"/>
                <w:sz w:val="20"/>
                <w:szCs w:val="20"/>
              </w:rPr>
              <w:t xml:space="preserve">Methods → Laboratory and clinical aspects of IVM → In vitro oocyte maturation</w:t>
            </w:r>
          </w:p>
        </w:tc>
        <w:tc>
          <w:tcPr>
            <w:tcW w:w="6018" w:type="dxa"/>
          </w:tcPr>
          <w:p>
            <w:pPr>
              <w:spacing w:before="20" w:after="20" w:line="240" w:lineRule="auto"/>
            </w:pPr>
            <w:r>
              <w:rPr>
                <w:rFonts w:ascii="Times New Roman" w:hAnsi="Times New Roman" w:cs="Times New Roman"/>
                <w:sz w:val="20"/>
                <w:szCs w:val="20"/>
              </w:rPr>
              <w:t xml:space="preserve">The conventional approach to IVM involves culturing immature COCs from the Prophase-I to reach the metaphase II (MII) stage without the administration of any gonadotropins [34].</w:t>
            </w:r>
          </w:p>
        </w:tc>
        <w:tc>
          <w:tcPr>
            <w:tcW w:w="6018" w:type="dxa"/>
          </w:tcPr>
          <w:p>
            <w:pPr>
              <w:spacing w:before="20" w:after="20" w:line="240" w:lineRule="auto"/>
            </w:pPr>
            <w:r>
              <w:rPr>
                <w:rFonts w:ascii="Times New Roman" w:hAnsi="Times New Roman" w:cs="Times New Roman"/>
                <w:sz w:val="20"/>
                <w:szCs w:val="20"/>
              </w:rPr>
              <w:t xml:space="preserve">The conventional approach to IVM involves culturing immature COCs from the Prophase-I to reach the metaphase II (MII) stage without the administration of any gonadotropins.</w:t>
            </w:r>
          </w:p>
        </w:tc>
      </w:tr>
      <w:tr>
        <w:tc>
          <w:tcPr>
            <w:tcW w:w="700" w:type="dxa"/>
          </w:tcPr>
          <w:p>
            <w:pPr>
              <w:spacing w:before="20" w:after="20" w:line="240" w:lineRule="auto"/>
            </w:pPr>
            <w:r>
              <w:rPr>
                <w:rFonts w:ascii="Times New Roman" w:hAnsi="Times New Roman" w:cs="Times New Roman"/>
                <w:sz w:val="20"/>
                <w:szCs w:val="20"/>
              </w:rPr>
              <w:t xml:space="preserve">3</w:t>
            </w:r>
          </w:p>
        </w:tc>
        <w:tc>
          <w:tcPr>
            <w:tcW w:w="2400" w:type="dxa"/>
          </w:tcPr>
          <w:p>
            <w:pPr>
              <w:spacing w:before="20" w:after="20" w:line="240" w:lineRule="auto"/>
            </w:pPr>
            <w:r>
              <w:rPr>
                <w:rFonts w:ascii="Times New Roman" w:hAnsi="Times New Roman" w:cs="Times New Roman"/>
                <w:sz w:val="20"/>
                <w:szCs w:val="20"/>
              </w:rPr>
              <w:t xml:space="preserve">Methods → FSH priming</w:t>
            </w:r>
          </w:p>
        </w:tc>
        <w:tc>
          <w:tcPr>
            <w:tcW w:w="6018" w:type="dxa"/>
          </w:tcPr>
          <w:p>
            <w:pPr>
              <w:spacing w:before="20" w:after="20" w:line="240" w:lineRule="auto"/>
            </w:pPr>
            <w:r>
              <w:rPr>
                <w:rFonts w:ascii="Times New Roman" w:hAnsi="Times New Roman" w:cs="Times New Roman"/>
                <w:sz w:val="20"/>
                <w:szCs w:val="20"/>
              </w:rPr>
              <w:t xml:space="preserve">Ovarian stimulation with a few days of FSH priming is often used in clinical IVM programs.</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4</w:t>
            </w:r>
          </w:p>
        </w:tc>
        <w:tc>
          <w:tcPr>
            <w:tcW w:w="2400" w:type="dxa"/>
          </w:tcPr>
          <w:p>
            <w:pPr>
              <w:spacing w:before="20" w:after="20" w:line="240" w:lineRule="auto"/>
            </w:pPr>
            <w:r>
              <w:rPr>
                <w:rFonts w:ascii="Times New Roman" w:hAnsi="Times New Roman" w:cs="Times New Roman"/>
                <w:sz w:val="20"/>
                <w:szCs w:val="20"/>
              </w:rPr>
              <w:t xml:space="preserve">Methods → FSH priming</w:t>
            </w:r>
          </w:p>
        </w:tc>
        <w:tc>
          <w:tcPr>
            <w:tcW w:w="6018" w:type="dxa"/>
          </w:tcPr>
          <w:p>
            <w:pPr>
              <w:spacing w:before="20" w:after="20" w:line="240" w:lineRule="auto"/>
            </w:pPr>
            <w:r>
              <w:rPr>
                <w:rFonts w:ascii="Times New Roman" w:hAnsi="Times New Roman" w:cs="Times New Roman"/>
                <w:sz w:val="20"/>
                <w:szCs w:val="20"/>
              </w:rPr>
              <w:t xml:space="preserve">Animal studies have suggested that in vivo FSH priming enhances follicular development and the meiotic and developmental competence of immature oocytes and decreases the time required to reach the MII stage [35, 36].</w:t>
            </w:r>
          </w:p>
        </w:tc>
        <w:tc>
          <w:tcPr>
            <w:tcW w:w="6018" w:type="dxa"/>
          </w:tcPr>
          <w:p>
            <w:pPr>
              <w:spacing w:before="20" w:after="20" w:line="240" w:lineRule="auto"/>
            </w:pPr>
            <w:r>
              <w:rPr>
                <w:rFonts w:ascii="Times New Roman" w:hAnsi="Times New Roman" w:cs="Times New Roman"/>
                <w:sz w:val="20"/>
                <w:szCs w:val="20"/>
              </w:rPr>
              <w:t xml:space="preserve">Animal studies have suggested that in vivo FSH priming enhances follicular development and the meiotic and developmental competence of immature oocytes and decreases the time required to reach the MII stage.</w:t>
            </w:r>
          </w:p>
        </w:tc>
      </w:tr>
      <w:tr>
        <w:tc>
          <w:tcPr>
            <w:tcW w:w="700" w:type="dxa"/>
          </w:tcPr>
          <w:p>
            <w:pPr>
              <w:spacing w:before="20" w:after="20" w:line="240" w:lineRule="auto"/>
            </w:pPr>
            <w:r>
              <w:rPr>
                <w:rFonts w:ascii="Times New Roman" w:hAnsi="Times New Roman" w:cs="Times New Roman"/>
                <w:sz w:val="20"/>
                <w:szCs w:val="20"/>
              </w:rPr>
              <w:t xml:space="preserve">5</w:t>
            </w:r>
          </w:p>
        </w:tc>
        <w:tc>
          <w:tcPr>
            <w:tcW w:w="2400" w:type="dxa"/>
          </w:tcPr>
          <w:p>
            <w:pPr>
              <w:spacing w:before="20" w:after="20" w:line="240" w:lineRule="auto"/>
            </w:pPr>
            <w:r>
              <w:rPr>
                <w:rFonts w:ascii="Times New Roman" w:hAnsi="Times New Roman" w:cs="Times New Roman"/>
                <w:sz w:val="20"/>
                <w:szCs w:val="20"/>
              </w:rPr>
              <w:t xml:space="preserve">Methods → FSH priming</w:t>
            </w:r>
          </w:p>
        </w:tc>
        <w:tc>
          <w:tcPr>
            <w:tcW w:w="6018" w:type="dxa"/>
          </w:tcPr>
          <w:p>
            <w:pPr>
              <w:spacing w:before="20" w:after="20" w:line="240" w:lineRule="auto"/>
            </w:pPr>
            <w:r>
              <w:rPr>
                <w:rFonts w:ascii="Times New Roman" w:hAnsi="Times New Roman" w:cs="Times New Roman"/>
                <w:sz w:val="20"/>
                <w:szCs w:val="20"/>
              </w:rPr>
              <w:t xml:space="preserve">Likewise, in human IVM programs, FSH priming has been found to improve oocyte yield and maturation rates, resulting in more mature oocytes.</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6</w:t>
            </w:r>
          </w:p>
        </w:tc>
        <w:tc>
          <w:tcPr>
            <w:tcW w:w="2400" w:type="dxa"/>
          </w:tcPr>
          <w:p>
            <w:pPr>
              <w:spacing w:before="20" w:after="20" w:line="240" w:lineRule="auto"/>
            </w:pPr>
            <w:r>
              <w:rPr>
                <w:rFonts w:ascii="Times New Roman" w:hAnsi="Times New Roman" w:cs="Times New Roman"/>
                <w:sz w:val="20"/>
                <w:szCs w:val="20"/>
              </w:rPr>
              <w:t xml:space="preserve">Methods → FSH priming</w:t>
            </w:r>
          </w:p>
        </w:tc>
        <w:tc>
          <w:tcPr>
            <w:tcW w:w="6018" w:type="dxa"/>
          </w:tcPr>
          <w:p>
            <w:pPr>
              <w:spacing w:before="20" w:after="20" w:line="240" w:lineRule="auto"/>
            </w:pPr>
            <w:r>
              <w:rPr>
                <w:rFonts w:ascii="Times New Roman" w:hAnsi="Times New Roman" w:cs="Times New Roman"/>
                <w:sz w:val="20"/>
                <w:szCs w:val="20"/>
              </w:rPr>
              <w:t xml:space="preserve">The rationale for pretreating a patient with FSH is that human follicles with a diameter of 2–6 mm have a high expression of FSH receptors, and FSH augments follicular growth and estradiol production.</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7</w:t>
            </w:r>
          </w:p>
        </w:tc>
        <w:tc>
          <w:tcPr>
            <w:tcW w:w="2400" w:type="dxa"/>
          </w:tcPr>
          <w:p>
            <w:pPr>
              <w:spacing w:before="20" w:after="20" w:line="240" w:lineRule="auto"/>
            </w:pPr>
            <w:r>
              <w:rPr>
                <w:rFonts w:ascii="Times New Roman" w:hAnsi="Times New Roman" w:cs="Times New Roman"/>
                <w:sz w:val="20"/>
                <w:szCs w:val="20"/>
              </w:rPr>
              <w:t xml:space="preserve">Methods → FSH priming</w:t>
            </w:r>
          </w:p>
        </w:tc>
        <w:tc>
          <w:tcPr>
            <w:tcW w:w="6018" w:type="dxa"/>
          </w:tcPr>
          <w:p>
            <w:pPr>
              <w:spacing w:before="20" w:after="20" w:line="240" w:lineRule="auto"/>
            </w:pPr>
            <w:r>
              <w:rPr>
                <w:rFonts w:ascii="Times New Roman" w:hAnsi="Times New Roman" w:cs="Times New Roman"/>
                <w:sz w:val="20"/>
                <w:szCs w:val="20"/>
              </w:rPr>
              <w:t xml:space="preserve">As FSH priming does not induce oocyte meiotic resumption in vivo, immature compact COCs are obtained after oocyte retrieval [37] (Fig. 1A).</w:t>
            </w:r>
          </w:p>
        </w:tc>
        <w:tc>
          <w:tcPr>
            <w:tcW w:w="6018" w:type="dxa"/>
          </w:tcPr>
          <w:p>
            <w:pPr>
              <w:spacing w:before="20" w:after="20" w:line="240" w:lineRule="auto"/>
            </w:pPr>
            <w:r>
              <w:rPr>
                <w:rFonts w:ascii="Times New Roman" w:hAnsi="Times New Roman" w:cs="Times New Roman"/>
                <w:sz w:val="20"/>
                <w:szCs w:val="20"/>
              </w:rPr>
              <w:t xml:space="preserve">As FSH priming does not induce oocyte meiotic resumption in vivo, immature compact COCs are obtained after oocyte retrieval (Fig. 1A).</w:t>
            </w:r>
          </w:p>
        </w:tc>
      </w:tr>
      <w:tr>
        <w:tc>
          <w:tcPr>
            <w:tcW w:w="700" w:type="dxa"/>
          </w:tcPr>
          <w:p>
            <w:pPr>
              <w:spacing w:before="20" w:after="20" w:line="240" w:lineRule="auto"/>
            </w:pPr>
            <w:r>
              <w:rPr>
                <w:rFonts w:ascii="Times New Roman" w:hAnsi="Times New Roman" w:cs="Times New Roman"/>
                <w:sz w:val="20"/>
                <w:szCs w:val="20"/>
              </w:rPr>
              <w:t xml:space="preserve">8</w:t>
            </w:r>
          </w:p>
        </w:tc>
        <w:tc>
          <w:tcPr>
            <w:tcW w:w="2400" w:type="dxa"/>
          </w:tcPr>
          <w:p>
            <w:pPr>
              <w:spacing w:before="20" w:after="20" w:line="240" w:lineRule="auto"/>
            </w:pPr>
            <w:r>
              <w:rPr>
                <w:rFonts w:ascii="Times New Roman" w:hAnsi="Times New Roman" w:cs="Times New Roman"/>
                <w:sz w:val="20"/>
                <w:szCs w:val="20"/>
              </w:rPr>
              <w:t xml:space="preserve">Methods → FSH priming</w:t>
            </w:r>
          </w:p>
        </w:tc>
        <w:tc>
          <w:tcPr>
            <w:tcW w:w="6018" w:type="dxa"/>
          </w:tcPr>
          <w:p>
            <w:pPr>
              <w:spacing w:before="20" w:after="20" w:line="240" w:lineRule="auto"/>
            </w:pPr>
            <w:r>
              <w:rPr>
                <w:rFonts w:ascii="Times New Roman" w:hAnsi="Times New Roman" w:cs="Times New Roman"/>
                <w:sz w:val="20"/>
                <w:szCs w:val="20"/>
              </w:rPr>
              <w:t xml:space="preserve">There is no consensus, however, on the dose and duration of FSH priming in IVM cycles.</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9</w:t>
            </w:r>
          </w:p>
        </w:tc>
        <w:tc>
          <w:tcPr>
            <w:tcW w:w="2400" w:type="dxa"/>
          </w:tcPr>
          <w:p>
            <w:pPr>
              <w:spacing w:before="20" w:after="20" w:line="240" w:lineRule="auto"/>
            </w:pPr>
            <w:r>
              <w:rPr>
                <w:rFonts w:ascii="Times New Roman" w:hAnsi="Times New Roman" w:cs="Times New Roman"/>
                <w:sz w:val="20"/>
                <w:szCs w:val="20"/>
              </w:rPr>
              <w:t xml:space="preserve">Methods → FSH priming</w:t>
            </w:r>
          </w:p>
        </w:tc>
        <w:tc>
          <w:tcPr>
            <w:tcW w:w="6018" w:type="dxa"/>
          </w:tcPr>
          <w:p>
            <w:pPr>
              <w:spacing w:before="20" w:after="20" w:line="240" w:lineRule="auto"/>
            </w:pPr>
            <w:r>
              <w:rPr>
                <w:rFonts w:ascii="Times New Roman" w:hAnsi="Times New Roman" w:cs="Times New Roman"/>
                <w:sz w:val="20"/>
                <w:szCs w:val="20"/>
              </w:rPr>
              <w:t xml:space="preserve">Wynn et al. [38] suggested that a short course of FSH treatment (600 IU for 5 days, from day 2 of the menstrual cycle), improved the oocyte maturation rate in vitro.</w:t>
            </w:r>
          </w:p>
        </w:tc>
        <w:tc>
          <w:tcPr>
            <w:tcW w:w="6018" w:type="dxa"/>
          </w:tcPr>
          <w:p>
            <w:pPr>
              <w:spacing w:before="20" w:after="20" w:line="240" w:lineRule="auto"/>
            </w:pPr>
            <w:r>
              <w:rPr>
                <w:rFonts w:ascii="Times New Roman" w:hAnsi="Times New Roman" w:cs="Times New Roman"/>
                <w:sz w:val="20"/>
                <w:szCs w:val="20"/>
              </w:rPr>
              <w:t xml:space="preserve">Wynn et al. suggested that a short course of FSH treatment (600 IU for 5 days, from day 2 of the menstrual cycle), improved the oocyte maturation rate in vitro.</w:t>
            </w:r>
          </w:p>
        </w:tc>
      </w:tr>
      <w:tr>
        <w:tc>
          <w:tcPr>
            <w:tcW w:w="700" w:type="dxa"/>
          </w:tcPr>
          <w:p>
            <w:pPr>
              <w:spacing w:before="20" w:after="20" w:line="240" w:lineRule="auto"/>
            </w:pPr>
            <w:r>
              <w:rPr>
                <w:rFonts w:ascii="Times New Roman" w:hAnsi="Times New Roman" w:cs="Times New Roman"/>
                <w:sz w:val="20"/>
                <w:szCs w:val="20"/>
              </w:rPr>
              <w:t xml:space="preserve">10</w:t>
            </w:r>
          </w:p>
        </w:tc>
        <w:tc>
          <w:tcPr>
            <w:tcW w:w="2400" w:type="dxa"/>
          </w:tcPr>
          <w:p>
            <w:pPr>
              <w:spacing w:before="20" w:after="20" w:line="240" w:lineRule="auto"/>
            </w:pPr>
            <w:r>
              <w:rPr>
                <w:rFonts w:ascii="Times New Roman" w:hAnsi="Times New Roman" w:cs="Times New Roman"/>
                <w:sz w:val="20"/>
                <w:szCs w:val="20"/>
              </w:rPr>
              <w:t xml:space="preserve">Methods → FSH priming</w:t>
            </w:r>
          </w:p>
        </w:tc>
        <w:tc>
          <w:tcPr>
            <w:tcW w:w="6018" w:type="dxa"/>
          </w:tcPr>
          <w:p>
            <w:pPr>
              <w:spacing w:before="20" w:after="20" w:line="240" w:lineRule="auto"/>
            </w:pPr>
            <w:r>
              <w:rPr>
                <w:rFonts w:ascii="Times New Roman" w:hAnsi="Times New Roman" w:cs="Times New Roman"/>
                <w:sz w:val="20"/>
                <w:szCs w:val="20"/>
              </w:rPr>
              <w:t xml:space="preserve">In a small, randomized study in 28 women with PCOS, the percentage of oocytes reaching the MII stage was significantly higher in women who had undergone FSH priming (150 IU recombinant FSH for 3 days, starting on day 3 of the cycle), compared with the non-primed group [39].</w:t>
            </w:r>
          </w:p>
        </w:tc>
        <w:tc>
          <w:tcPr>
            <w:tcW w:w="6018" w:type="dxa"/>
          </w:tcPr>
          <w:p>
            <w:pPr>
              <w:spacing w:before="20" w:after="20" w:line="240" w:lineRule="auto"/>
            </w:pPr>
            <w:r>
              <w:rPr>
                <w:rFonts w:ascii="Times New Roman" w:hAnsi="Times New Roman" w:cs="Times New Roman"/>
                <w:sz w:val="20"/>
                <w:szCs w:val="20"/>
              </w:rPr>
              <w:t xml:space="preserve">In a small, randomized study in 28 women with PCOS, the percentage of oocytes reaching the MII stage was significantly higher in women who had undergone FSH priming (150 IU recombinant FSH for 3 days, starting on day 3 of the cycle), compared with the non-primed group.</w:t>
            </w:r>
          </w:p>
        </w:tc>
      </w:tr>
      <w:tr>
        <w:tc>
          <w:tcPr>
            <w:tcW w:w="700" w:type="dxa"/>
          </w:tcPr>
          <w:p>
            <w:pPr>
              <w:spacing w:before="20" w:after="20" w:line="240" w:lineRule="auto"/>
            </w:pPr>
            <w:r>
              <w:rPr>
                <w:rFonts w:ascii="Times New Roman" w:hAnsi="Times New Roman" w:cs="Times New Roman"/>
                <w:sz w:val="20"/>
                <w:szCs w:val="20"/>
              </w:rPr>
              <w:t xml:space="preserve">11</w:t>
            </w:r>
          </w:p>
        </w:tc>
        <w:tc>
          <w:tcPr>
            <w:tcW w:w="2400" w:type="dxa"/>
          </w:tcPr>
          <w:p>
            <w:pPr>
              <w:spacing w:before="20" w:after="20" w:line="240" w:lineRule="auto"/>
            </w:pPr>
            <w:r>
              <w:rPr>
                <w:rFonts w:ascii="Times New Roman" w:hAnsi="Times New Roman" w:cs="Times New Roman"/>
                <w:sz w:val="20"/>
                <w:szCs w:val="20"/>
              </w:rPr>
              <w:t xml:space="preserve">Methods → FSH priming</w:t>
            </w:r>
          </w:p>
        </w:tc>
        <w:tc>
          <w:tcPr>
            <w:tcW w:w="6018" w:type="dxa"/>
          </w:tcPr>
          <w:p>
            <w:pPr>
              <w:spacing w:before="20" w:after="20" w:line="240" w:lineRule="auto"/>
            </w:pPr>
            <w:r>
              <w:rPr>
                <w:rFonts w:ascii="Times New Roman" w:hAnsi="Times New Roman" w:cs="Times New Roman"/>
                <w:sz w:val="20"/>
                <w:szCs w:val="20"/>
              </w:rPr>
              <w:t xml:space="preserve">Other authors have also reported using 150 IU FSH daily for 2–3 days, starting from day 2 or 3 of the cycles or after a progestin withdrawal bleed [40].</w:t>
            </w:r>
          </w:p>
        </w:tc>
        <w:tc>
          <w:tcPr>
            <w:tcW w:w="6018" w:type="dxa"/>
          </w:tcPr>
          <w:p>
            <w:pPr>
              <w:spacing w:before="20" w:after="20" w:line="240" w:lineRule="auto"/>
            </w:pPr>
            <w:r>
              <w:rPr>
                <w:rFonts w:ascii="Times New Roman" w:hAnsi="Times New Roman" w:cs="Times New Roman"/>
                <w:sz w:val="20"/>
                <w:szCs w:val="20"/>
              </w:rPr>
              <w:t xml:space="preserve">Other authors have also reported using 150 IU FSH daily for 2–3 days, starting from day 2 or 3 of the cycles or after a progestin withdrawal bleed.</w:t>
            </w:r>
          </w:p>
        </w:tc>
      </w:tr>
      <w:tr>
        <w:tc>
          <w:tcPr>
            <w:tcW w:w="700" w:type="dxa"/>
          </w:tcPr>
          <w:p>
            <w:pPr>
              <w:spacing w:before="20" w:after="20" w:line="240" w:lineRule="auto"/>
            </w:pPr>
            <w:r>
              <w:rPr>
                <w:rFonts w:ascii="Times New Roman" w:hAnsi="Times New Roman" w:cs="Times New Roman"/>
                <w:sz w:val="20"/>
                <w:szCs w:val="20"/>
              </w:rPr>
              <w:t xml:space="preserve">12</w:t>
            </w:r>
          </w:p>
        </w:tc>
        <w:tc>
          <w:tcPr>
            <w:tcW w:w="2400" w:type="dxa"/>
          </w:tcPr>
          <w:p>
            <w:pPr>
              <w:spacing w:before="20" w:after="20" w:line="240" w:lineRule="auto"/>
            </w:pPr>
            <w:r>
              <w:rPr>
                <w:rFonts w:ascii="Times New Roman" w:hAnsi="Times New Roman" w:cs="Times New Roman"/>
                <w:sz w:val="20"/>
                <w:szCs w:val="20"/>
              </w:rPr>
              <w:t xml:space="preserve">Methods → FSH priming</w:t>
            </w:r>
          </w:p>
        </w:tc>
        <w:tc>
          <w:tcPr>
            <w:tcW w:w="6018" w:type="dxa"/>
          </w:tcPr>
          <w:p>
            <w:pPr>
              <w:spacing w:before="20" w:after="20" w:line="240" w:lineRule="auto"/>
            </w:pPr>
            <w:r>
              <w:rPr>
                <w:rFonts w:ascii="Times New Roman" w:hAnsi="Times New Roman" w:cs="Times New Roman"/>
                <w:sz w:val="20"/>
                <w:szCs w:val="20"/>
              </w:rPr>
              <w:t xml:space="preserve">Despite the rationale of FSH priming in IVM, FSH priming alone without hCG did not result in improved clinical outcomes in women without PCOS [41].</w:t>
            </w:r>
          </w:p>
        </w:tc>
        <w:tc>
          <w:tcPr>
            <w:tcW w:w="6018" w:type="dxa"/>
          </w:tcPr>
          <w:p>
            <w:pPr>
              <w:spacing w:before="20" w:after="20" w:line="240" w:lineRule="auto"/>
            </w:pPr>
            <w:r>
              <w:rPr>
                <w:rFonts w:ascii="Times New Roman" w:hAnsi="Times New Roman" w:cs="Times New Roman"/>
                <w:sz w:val="20"/>
                <w:szCs w:val="20"/>
              </w:rPr>
              <w:t xml:space="preserve">Despite the rationale of FSH priming in IVM, FSH priming alone without hCG did not result in improved clinical outcomes in women without PCOS.</w:t>
            </w:r>
          </w:p>
        </w:tc>
      </w:tr>
      <w:tr>
        <w:tc>
          <w:tcPr>
            <w:tcW w:w="700" w:type="dxa"/>
          </w:tcPr>
          <w:p>
            <w:pPr>
              <w:spacing w:before="20" w:after="20" w:line="240" w:lineRule="auto"/>
            </w:pPr>
            <w:r>
              <w:rPr>
                <w:rFonts w:ascii="Times New Roman" w:hAnsi="Times New Roman" w:cs="Times New Roman"/>
                <w:sz w:val="20"/>
                <w:szCs w:val="20"/>
              </w:rPr>
              <w:t xml:space="preserve">13</w:t>
            </w:r>
          </w:p>
        </w:tc>
        <w:tc>
          <w:tcPr>
            <w:tcW w:w="2400" w:type="dxa"/>
          </w:tcPr>
          <w:p>
            <w:pPr>
              <w:spacing w:before="20" w:after="20" w:line="240" w:lineRule="auto"/>
            </w:pPr>
            <w:r>
              <w:rPr>
                <w:rFonts w:ascii="Times New Roman" w:hAnsi="Times New Roman" w:cs="Times New Roman"/>
                <w:sz w:val="20"/>
                <w:szCs w:val="20"/>
              </w:rPr>
              <w:t xml:space="preserve">Methods → FSH priming</w:t>
            </w:r>
          </w:p>
        </w:tc>
        <w:tc>
          <w:tcPr>
            <w:tcW w:w="6018" w:type="dxa"/>
          </w:tcPr>
          <w:p>
            <w:pPr>
              <w:spacing w:before="20" w:after="20" w:line="240" w:lineRule="auto"/>
            </w:pPr>
            <w:r>
              <w:rPr>
                <w:rFonts w:ascii="Times New Roman" w:hAnsi="Times New Roman" w:cs="Times New Roman"/>
                <w:sz w:val="20"/>
                <w:szCs w:val="20"/>
              </w:rPr>
              <w:t xml:space="preserve">Likewise, Mikkelsen et al. [42] found that FSH priming did not improve the maturation potential of in vitro matured human oocytes.</w:t>
            </w:r>
          </w:p>
        </w:tc>
        <w:tc>
          <w:tcPr>
            <w:tcW w:w="6018" w:type="dxa"/>
          </w:tcPr>
          <w:p>
            <w:pPr>
              <w:spacing w:before="20" w:after="20" w:line="240" w:lineRule="auto"/>
            </w:pPr>
            <w:r>
              <w:rPr>
                <w:rFonts w:ascii="Times New Roman" w:hAnsi="Times New Roman" w:cs="Times New Roman"/>
                <w:sz w:val="20"/>
                <w:szCs w:val="20"/>
              </w:rPr>
              <w:t xml:space="preserve">Likewise, Mikkelsen et al. found that FSH priming did not improve the maturation potential of in vitro matured human oocytes.</w:t>
            </w:r>
          </w:p>
        </w:tc>
      </w:tr>
      <w:tr>
        <w:tc>
          <w:tcPr>
            <w:tcW w:w="700" w:type="dxa"/>
          </w:tcPr>
          <w:p>
            <w:pPr>
              <w:spacing w:before="20" w:after="20" w:line="240" w:lineRule="auto"/>
            </w:pPr>
            <w:r>
              <w:rPr>
                <w:rFonts w:ascii="Times New Roman" w:hAnsi="Times New Roman" w:cs="Times New Roman"/>
                <w:sz w:val="20"/>
                <w:szCs w:val="20"/>
              </w:rPr>
              <w:t xml:space="preserve">14</w:t>
            </w:r>
          </w:p>
        </w:tc>
        <w:tc>
          <w:tcPr>
            <w:tcW w:w="2400" w:type="dxa"/>
          </w:tcPr>
          <w:p>
            <w:pPr>
              <w:spacing w:before="20" w:after="20" w:line="240" w:lineRule="auto"/>
            </w:pPr>
            <w:r>
              <w:rPr>
                <w:rFonts w:ascii="Times New Roman" w:hAnsi="Times New Roman" w:cs="Times New Roman"/>
                <w:sz w:val="20"/>
                <w:szCs w:val="20"/>
              </w:rPr>
              <w:t xml:space="preserve">Methods → FSH priming</w:t>
            </w:r>
          </w:p>
        </w:tc>
        <w:tc>
          <w:tcPr>
            <w:tcW w:w="6018" w:type="dxa"/>
          </w:tcPr>
          <w:p>
            <w:pPr>
              <w:spacing w:before="20" w:after="20" w:line="240" w:lineRule="auto"/>
            </w:pPr>
            <w:r>
              <w:rPr>
                <w:rFonts w:ascii="Times New Roman" w:hAnsi="Times New Roman" w:cs="Times New Roman"/>
                <w:sz w:val="20"/>
                <w:szCs w:val="20"/>
              </w:rPr>
              <w:t xml:space="preserve">In PCOS patients, Mikkelsen and Lindenberg [43] suggested that FSH priming may improve the oocyte developmental competence whereas other authors did not find any significant differences [44, 45].</w:t>
            </w:r>
          </w:p>
        </w:tc>
        <w:tc>
          <w:tcPr>
            <w:tcW w:w="6018" w:type="dxa"/>
          </w:tcPr>
          <w:p>
            <w:pPr>
              <w:spacing w:before="20" w:after="20" w:line="240" w:lineRule="auto"/>
            </w:pPr>
            <w:r>
              <w:rPr>
                <w:rFonts w:ascii="Times New Roman" w:hAnsi="Times New Roman" w:cs="Times New Roman"/>
                <w:sz w:val="20"/>
                <w:szCs w:val="20"/>
              </w:rPr>
              <w:t xml:space="preserve">In PCOS patients, Mikkelsen and Lindenberg suggested that FSH priming may improve the oocyte developmental competence whereas other authors did not find any significant differences.</w:t>
            </w:r>
          </w:p>
        </w:tc>
      </w:tr>
      <w:tr>
        <w:tc>
          <w:tcPr>
            <w:tcW w:w="700" w:type="dxa"/>
          </w:tcPr>
          <w:p>
            <w:pPr>
              <w:spacing w:before="20" w:after="20" w:line="240" w:lineRule="auto"/>
            </w:pPr>
            <w:r>
              <w:rPr>
                <w:rFonts w:ascii="Times New Roman" w:hAnsi="Times New Roman" w:cs="Times New Roman"/>
                <w:sz w:val="20"/>
                <w:szCs w:val="20"/>
              </w:rPr>
              <w:t xml:space="preserve">15</w:t>
            </w:r>
          </w:p>
        </w:tc>
        <w:tc>
          <w:tcPr>
            <w:tcW w:w="2400" w:type="dxa"/>
          </w:tcPr>
          <w:p>
            <w:pPr>
              <w:spacing w:before="20" w:after="20" w:line="240" w:lineRule="auto"/>
            </w:pPr>
            <w:r>
              <w:rPr>
                <w:rFonts w:ascii="Times New Roman" w:hAnsi="Times New Roman" w:cs="Times New Roman"/>
                <w:sz w:val="20"/>
                <w:szCs w:val="20"/>
              </w:rPr>
              <w:t xml:space="preserve">Methods → hCGpriming before oocyte retrieval</w:t>
            </w:r>
          </w:p>
        </w:tc>
        <w:tc>
          <w:tcPr>
            <w:tcW w:w="6018" w:type="dxa"/>
          </w:tcPr>
          <w:p>
            <w:pPr>
              <w:spacing w:before="20" w:after="20" w:line="240" w:lineRule="auto"/>
            </w:pPr>
            <w:r>
              <w:rPr>
                <w:rFonts w:ascii="Times New Roman" w:hAnsi="Times New Roman" w:cs="Times New Roman"/>
                <w:sz w:val="20"/>
                <w:szCs w:val="20"/>
              </w:rPr>
              <w:t xml:space="preserve">Researchers have suggested that hCG may promote the initiation of oocyte maturation in vivo and improve the maturation rate of IVM oocytes, thereby improving pregnancy rates.</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16</w:t>
            </w:r>
          </w:p>
        </w:tc>
        <w:tc>
          <w:tcPr>
            <w:tcW w:w="2400" w:type="dxa"/>
          </w:tcPr>
          <w:p>
            <w:pPr>
              <w:spacing w:before="20" w:after="20" w:line="240" w:lineRule="auto"/>
            </w:pPr>
            <w:r>
              <w:rPr>
                <w:rFonts w:ascii="Times New Roman" w:hAnsi="Times New Roman" w:cs="Times New Roman"/>
                <w:sz w:val="20"/>
                <w:szCs w:val="20"/>
              </w:rPr>
              <w:t xml:space="preserve">Methods → hCGpriming before oocyte retrieval</w:t>
            </w:r>
          </w:p>
        </w:tc>
        <w:tc>
          <w:tcPr>
            <w:tcW w:w="6018" w:type="dxa"/>
          </w:tcPr>
          <w:p>
            <w:pPr>
              <w:spacing w:before="20" w:after="20" w:line="240" w:lineRule="auto"/>
            </w:pPr>
            <w:r>
              <w:rPr>
                <w:rFonts w:ascii="Times New Roman" w:hAnsi="Times New Roman" w:cs="Times New Roman"/>
                <w:sz w:val="20"/>
                <w:szCs w:val="20"/>
              </w:rPr>
              <w:t xml:space="preserve">The integration of hCG priming in IVM cycles aims to mimic the conditions seen in conventional IVF cycles, where expanded CCs correlate with better maturation rates.</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17</w:t>
            </w:r>
          </w:p>
        </w:tc>
        <w:tc>
          <w:tcPr>
            <w:tcW w:w="2400" w:type="dxa"/>
          </w:tcPr>
          <w:p>
            <w:pPr>
              <w:spacing w:before="20" w:after="20" w:line="240" w:lineRule="auto"/>
            </w:pPr>
            <w:r>
              <w:rPr>
                <w:rFonts w:ascii="Times New Roman" w:hAnsi="Times New Roman" w:cs="Times New Roman"/>
                <w:sz w:val="20"/>
                <w:szCs w:val="20"/>
              </w:rPr>
              <w:t xml:space="preserve">Methods → hCGpriming before oocyte retrieval</w:t>
            </w:r>
          </w:p>
        </w:tc>
        <w:tc>
          <w:tcPr>
            <w:tcW w:w="6018" w:type="dxa"/>
          </w:tcPr>
          <w:p>
            <w:pPr>
              <w:spacing w:before="20" w:after="20" w:line="240" w:lineRule="auto"/>
            </w:pPr>
            <w:r>
              <w:rPr>
                <w:rFonts w:ascii="Times New Roman" w:hAnsi="Times New Roman" w:cs="Times New Roman"/>
                <w:sz w:val="20"/>
                <w:szCs w:val="20"/>
              </w:rPr>
              <w:t xml:space="preserve">In a prospective randomized study in patients with PCOS, the percentage of oocytes achieving maturation at 48 h was significantly higher in the hCG primed group than in the non-hCG primed group [46].</w:t>
            </w:r>
          </w:p>
        </w:tc>
        <w:tc>
          <w:tcPr>
            <w:tcW w:w="6018" w:type="dxa"/>
          </w:tcPr>
          <w:p>
            <w:pPr>
              <w:spacing w:before="20" w:after="20" w:line="240" w:lineRule="auto"/>
            </w:pPr>
            <w:r>
              <w:rPr>
                <w:rFonts w:ascii="Times New Roman" w:hAnsi="Times New Roman" w:cs="Times New Roman"/>
                <w:sz w:val="20"/>
                <w:szCs w:val="20"/>
              </w:rPr>
              <w:t xml:space="preserve">In a prospective randomized study in patients with PCOS, the percentage of oocytes achieving maturation at 48 h was significantly higher in the hCG primed group than in the non-hCG primed group.</w:t>
            </w:r>
          </w:p>
        </w:tc>
      </w:tr>
      <w:tr>
        <w:tc>
          <w:tcPr>
            <w:tcW w:w="700" w:type="dxa"/>
          </w:tcPr>
          <w:p>
            <w:pPr>
              <w:spacing w:before="20" w:after="20" w:line="240" w:lineRule="auto"/>
            </w:pPr>
            <w:r>
              <w:rPr>
                <w:rFonts w:ascii="Times New Roman" w:hAnsi="Times New Roman" w:cs="Times New Roman"/>
                <w:sz w:val="20"/>
                <w:szCs w:val="20"/>
              </w:rPr>
              <w:t xml:space="preserve">18</w:t>
            </w:r>
          </w:p>
        </w:tc>
        <w:tc>
          <w:tcPr>
            <w:tcW w:w="2400" w:type="dxa"/>
          </w:tcPr>
          <w:p>
            <w:pPr>
              <w:spacing w:before="20" w:after="20" w:line="240" w:lineRule="auto"/>
            </w:pPr>
            <w:r>
              <w:rPr>
                <w:rFonts w:ascii="Times New Roman" w:hAnsi="Times New Roman" w:cs="Times New Roman"/>
                <w:sz w:val="20"/>
                <w:szCs w:val="20"/>
              </w:rPr>
              <w:t xml:space="preserve">Methods → hCGpriming before oocyte retrieval</w:t>
            </w:r>
          </w:p>
        </w:tc>
        <w:tc>
          <w:tcPr>
            <w:tcW w:w="6018" w:type="dxa"/>
          </w:tcPr>
          <w:p>
            <w:pPr>
              <w:spacing w:before="20" w:after="20" w:line="240" w:lineRule="auto"/>
            </w:pPr>
            <w:r>
              <w:rPr>
                <w:rFonts w:ascii="Times New Roman" w:hAnsi="Times New Roman" w:cs="Times New Roman"/>
                <w:sz w:val="20"/>
                <w:szCs w:val="20"/>
              </w:rPr>
              <w:t xml:space="preserve">Additionally, Fadini et al. [41] reported that hCG priming alone has no beneficial effect on the clinical outcome in patients without PCOS.</w:t>
            </w:r>
          </w:p>
        </w:tc>
        <w:tc>
          <w:tcPr>
            <w:tcW w:w="6018" w:type="dxa"/>
          </w:tcPr>
          <w:p>
            <w:pPr>
              <w:spacing w:before="20" w:after="20" w:line="240" w:lineRule="auto"/>
            </w:pPr>
            <w:r>
              <w:rPr>
                <w:rFonts w:ascii="Times New Roman" w:hAnsi="Times New Roman" w:cs="Times New Roman"/>
                <w:sz w:val="20"/>
                <w:szCs w:val="20"/>
              </w:rPr>
              <w:t xml:space="preserve">Additionally, Fadini et al. reported that hCG priming alone has no beneficial effect on the clinical outcome in patients without PCOS.</w:t>
            </w:r>
          </w:p>
        </w:tc>
      </w:tr>
      <w:tr>
        <w:tc>
          <w:tcPr>
            <w:tcW w:w="700" w:type="dxa"/>
          </w:tcPr>
          <w:p>
            <w:pPr>
              <w:spacing w:before="20" w:after="20" w:line="240" w:lineRule="auto"/>
            </w:pPr>
            <w:r>
              <w:rPr>
                <w:rFonts w:ascii="Times New Roman" w:hAnsi="Times New Roman" w:cs="Times New Roman"/>
                <w:sz w:val="20"/>
                <w:szCs w:val="20"/>
              </w:rPr>
              <w:t xml:space="preserve">19</w:t>
            </w:r>
          </w:p>
        </w:tc>
        <w:tc>
          <w:tcPr>
            <w:tcW w:w="2400" w:type="dxa"/>
          </w:tcPr>
          <w:p>
            <w:pPr>
              <w:spacing w:before="20" w:after="20" w:line="240" w:lineRule="auto"/>
            </w:pPr>
            <w:r>
              <w:rPr>
                <w:rFonts w:ascii="Times New Roman" w:hAnsi="Times New Roman" w:cs="Times New Roman"/>
                <w:sz w:val="20"/>
                <w:szCs w:val="20"/>
              </w:rPr>
              <w:t xml:space="preserve">Methods → hCGpriming before oocyte retrieval</w:t>
            </w:r>
          </w:p>
        </w:tc>
        <w:tc>
          <w:tcPr>
            <w:tcW w:w="6018" w:type="dxa"/>
          </w:tcPr>
          <w:p>
            <w:pPr>
              <w:spacing w:before="20" w:after="20" w:line="240" w:lineRule="auto"/>
            </w:pPr>
            <w:r>
              <w:rPr>
                <w:rFonts w:ascii="Times New Roman" w:hAnsi="Times New Roman" w:cs="Times New Roman"/>
                <w:sz w:val="20"/>
                <w:szCs w:val="20"/>
              </w:rPr>
              <w:t xml:space="preserve">Several studies have described hCG triggering combined with FSH priming in IVM cycles with variable outcomes.</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20</w:t>
            </w:r>
          </w:p>
        </w:tc>
        <w:tc>
          <w:tcPr>
            <w:tcW w:w="2400" w:type="dxa"/>
          </w:tcPr>
          <w:p>
            <w:pPr>
              <w:spacing w:before="20" w:after="20" w:line="240" w:lineRule="auto"/>
            </w:pPr>
            <w:r>
              <w:rPr>
                <w:rFonts w:ascii="Times New Roman" w:hAnsi="Times New Roman" w:cs="Times New Roman"/>
                <w:sz w:val="20"/>
                <w:szCs w:val="20"/>
              </w:rPr>
              <w:t xml:space="preserve">Methods → hCGpriming before oocyte retrieval</w:t>
            </w:r>
          </w:p>
        </w:tc>
        <w:tc>
          <w:tcPr>
            <w:tcW w:w="6018" w:type="dxa"/>
          </w:tcPr>
          <w:p>
            <w:pPr>
              <w:spacing w:before="20" w:after="20" w:line="240" w:lineRule="auto"/>
            </w:pPr>
            <w:r>
              <w:rPr>
                <w:rFonts w:ascii="Times New Roman" w:hAnsi="Times New Roman" w:cs="Times New Roman"/>
                <w:sz w:val="20"/>
                <w:szCs w:val="20"/>
              </w:rPr>
              <w:t xml:space="preserve">Lin et al. [48] did not observe any additional benefit from FSH priming in hCG-primed IVM cycles in PCOS women.</w:t>
            </w:r>
          </w:p>
        </w:tc>
        <w:tc>
          <w:tcPr>
            <w:tcW w:w="6018" w:type="dxa"/>
          </w:tcPr>
          <w:p>
            <w:pPr>
              <w:spacing w:before="20" w:after="20" w:line="240" w:lineRule="auto"/>
            </w:pPr>
            <w:r>
              <w:rPr>
                <w:rFonts w:ascii="Times New Roman" w:hAnsi="Times New Roman" w:cs="Times New Roman"/>
                <w:sz w:val="20"/>
                <w:szCs w:val="20"/>
              </w:rPr>
              <w:t xml:space="preserve">Lin et al. did not observe any additional benefit from FSH priming in hCG-primed IVM cycles in PCOS women.</w:t>
            </w:r>
          </w:p>
        </w:tc>
      </w:tr>
      <w:tr>
        <w:tc>
          <w:tcPr>
            <w:tcW w:w="700" w:type="dxa"/>
          </w:tcPr>
          <w:p>
            <w:pPr>
              <w:spacing w:before="20" w:after="20" w:line="240" w:lineRule="auto"/>
            </w:pPr>
            <w:r>
              <w:rPr>
                <w:rFonts w:ascii="Times New Roman" w:hAnsi="Times New Roman" w:cs="Times New Roman"/>
                <w:sz w:val="20"/>
                <w:szCs w:val="20"/>
              </w:rPr>
              <w:t xml:space="preserve">21</w:t>
            </w:r>
          </w:p>
        </w:tc>
        <w:tc>
          <w:tcPr>
            <w:tcW w:w="2400" w:type="dxa"/>
          </w:tcPr>
          <w:p>
            <w:pPr>
              <w:spacing w:before="20" w:after="20" w:line="240" w:lineRule="auto"/>
            </w:pPr>
            <w:r>
              <w:rPr>
                <w:rFonts w:ascii="Times New Roman" w:hAnsi="Times New Roman" w:cs="Times New Roman"/>
                <w:sz w:val="20"/>
                <w:szCs w:val="20"/>
              </w:rPr>
              <w:t xml:space="preserve">Methods → hCGpriming before oocyte retrieval</w:t>
            </w:r>
          </w:p>
        </w:tc>
        <w:tc>
          <w:tcPr>
            <w:tcW w:w="6018" w:type="dxa"/>
          </w:tcPr>
          <w:p>
            <w:pPr>
              <w:spacing w:before="20" w:after="20" w:line="240" w:lineRule="auto"/>
            </w:pPr>
            <w:r>
              <w:rPr>
                <w:rFonts w:ascii="Times New Roman" w:hAnsi="Times New Roman" w:cs="Times New Roman"/>
                <w:sz w:val="20"/>
                <w:szCs w:val="20"/>
              </w:rPr>
              <w:t xml:space="preserve">However, Fadiniet al. [41] in a prospective randomized study, reported a significantly higher clinical pregnancy rate in FSH plus hCG primed cycles, although FSH priming and hCG priming alone showed no significant differences in clinical outcomes.</w:t>
            </w:r>
          </w:p>
        </w:tc>
        <w:tc>
          <w:tcPr>
            <w:tcW w:w="6018" w:type="dxa"/>
          </w:tcPr>
          <w:p>
            <w:pPr>
              <w:spacing w:before="20" w:after="20" w:line="240" w:lineRule="auto"/>
            </w:pPr>
            <w:r>
              <w:rPr>
                <w:rFonts w:ascii="Times New Roman" w:hAnsi="Times New Roman" w:cs="Times New Roman"/>
                <w:sz w:val="20"/>
                <w:szCs w:val="20"/>
              </w:rPr>
              <w:t xml:space="preserve">However, Fadiniet al. in a prospective randomized study, reported a significantly higher clinical pregnancy rate in FSH plus hCG primed cycles, although FSH priming and hCG priming alone showed no significant differences in clinical outcomes.</w:t>
            </w:r>
          </w:p>
        </w:tc>
      </w:tr>
      <w:tr>
        <w:tc>
          <w:tcPr>
            <w:tcW w:w="700" w:type="dxa"/>
          </w:tcPr>
          <w:p>
            <w:pPr>
              <w:spacing w:before="20" w:after="20" w:line="240" w:lineRule="auto"/>
            </w:pPr>
            <w:r>
              <w:rPr>
                <w:rFonts w:ascii="Times New Roman" w:hAnsi="Times New Roman" w:cs="Times New Roman"/>
                <w:sz w:val="20"/>
                <w:szCs w:val="20"/>
              </w:rPr>
              <w:t xml:space="preserve">22</w:t>
            </w:r>
          </w:p>
        </w:tc>
        <w:tc>
          <w:tcPr>
            <w:tcW w:w="2400" w:type="dxa"/>
          </w:tcPr>
          <w:p>
            <w:pPr>
              <w:spacing w:before="20" w:after="20" w:line="240" w:lineRule="auto"/>
            </w:pPr>
            <w:r>
              <w:rPr>
                <w:rFonts w:ascii="Times New Roman" w:hAnsi="Times New Roman" w:cs="Times New Roman"/>
                <w:sz w:val="20"/>
                <w:szCs w:val="20"/>
              </w:rPr>
              <w:t xml:space="preserve">Methods → hCGpriming before oocyte retrieval</w:t>
            </w:r>
          </w:p>
        </w:tc>
        <w:tc>
          <w:tcPr>
            <w:tcW w:w="6018" w:type="dxa"/>
          </w:tcPr>
          <w:p>
            <w:pPr>
              <w:spacing w:before="20" w:after="20" w:line="240" w:lineRule="auto"/>
            </w:pPr>
            <w:r>
              <w:rPr>
                <w:rFonts w:ascii="Times New Roman" w:hAnsi="Times New Roman" w:cs="Times New Roman"/>
                <w:sz w:val="20"/>
                <w:szCs w:val="20"/>
              </w:rPr>
              <w:t xml:space="preserve">In a large retrospective cohort study of 921 women with PCOS who underwent IVM cycles with FSH priming with hCG triggering, the authors reported a cumulative live birth rate of 33.7% after one IVM cycle [49].</w:t>
            </w:r>
          </w:p>
        </w:tc>
        <w:tc>
          <w:tcPr>
            <w:tcW w:w="6018" w:type="dxa"/>
          </w:tcPr>
          <w:p>
            <w:pPr>
              <w:spacing w:before="20" w:after="20" w:line="240" w:lineRule="auto"/>
            </w:pPr>
            <w:r>
              <w:rPr>
                <w:rFonts w:ascii="Times New Roman" w:hAnsi="Times New Roman" w:cs="Times New Roman"/>
                <w:sz w:val="20"/>
                <w:szCs w:val="20"/>
              </w:rPr>
              <w:t xml:space="preserve">In a large retrospective cohort study of 921 women with PCOS who underwent IVM cycles with FSH priming with hCG triggering, the authors reported a cumulative live birth rate of 33.7% after one IVM cycle.</w:t>
            </w:r>
          </w:p>
        </w:tc>
      </w:tr>
      <w:tr>
        <w:tc>
          <w:tcPr>
            <w:tcW w:w="700" w:type="dxa"/>
          </w:tcPr>
          <w:p>
            <w:pPr>
              <w:spacing w:before="20" w:after="20" w:line="240" w:lineRule="auto"/>
            </w:pPr>
            <w:r>
              <w:rPr>
                <w:rFonts w:ascii="Times New Roman" w:hAnsi="Times New Roman" w:cs="Times New Roman"/>
                <w:sz w:val="20"/>
                <w:szCs w:val="20"/>
              </w:rPr>
              <w:t xml:space="preserve">23</w:t>
            </w:r>
          </w:p>
        </w:tc>
        <w:tc>
          <w:tcPr>
            <w:tcW w:w="2400" w:type="dxa"/>
          </w:tcPr>
          <w:p>
            <w:pPr>
              <w:spacing w:before="20" w:after="20" w:line="240" w:lineRule="auto"/>
            </w:pPr>
            <w:r>
              <w:rPr>
                <w:rFonts w:ascii="Times New Roman" w:hAnsi="Times New Roman" w:cs="Times New Roman"/>
                <w:sz w:val="20"/>
                <w:szCs w:val="20"/>
              </w:rPr>
              <w:t xml:space="preserve">Methods → hCGpriming before oocyte retrieval</w:t>
            </w:r>
          </w:p>
        </w:tc>
        <w:tc>
          <w:tcPr>
            <w:tcW w:w="6018" w:type="dxa"/>
          </w:tcPr>
          <w:p>
            <w:pPr>
              <w:spacing w:before="20" w:after="20" w:line="240" w:lineRule="auto"/>
            </w:pPr>
            <w:r>
              <w:rPr>
                <w:rFonts w:ascii="Times New Roman" w:hAnsi="Times New Roman" w:cs="Times New Roman"/>
                <w:sz w:val="20"/>
                <w:szCs w:val="20"/>
              </w:rPr>
              <w:t xml:space="preserve">Son et al. [45] observed that in vivo matured oocytes can be collected from small follicles measuring &lt; 10 mm at the time of oocyte retrieval (Fig. 2) and sometimes more than one in vivo matured oocyte can be retrieved in hCG-primed IVM cycles of PCO patients [50].</w:t>
            </w:r>
          </w:p>
        </w:tc>
        <w:tc>
          <w:tcPr>
            <w:tcW w:w="6018" w:type="dxa"/>
          </w:tcPr>
          <w:p>
            <w:pPr>
              <w:spacing w:before="20" w:after="20" w:line="240" w:lineRule="auto"/>
            </w:pPr>
            <w:r>
              <w:rPr>
                <w:rFonts w:ascii="Times New Roman" w:hAnsi="Times New Roman" w:cs="Times New Roman"/>
                <w:sz w:val="20"/>
                <w:szCs w:val="20"/>
              </w:rPr>
              <w:t xml:space="preserve">Son et al. observed that in vivo matured oocytes can be collected from small follicles measuring &lt; 10 mm at the time of oocyte retrieval (Fig. 2) and sometimes more than one in vivo matured oocyte can be retrieved in hCG-primed IVM cycles of PCO patients.</w:t>
            </w:r>
          </w:p>
        </w:tc>
      </w:tr>
      <w:tr>
        <w:tc>
          <w:tcPr>
            <w:tcW w:w="700" w:type="dxa"/>
          </w:tcPr>
          <w:p>
            <w:pPr>
              <w:spacing w:before="20" w:after="20" w:line="240" w:lineRule="auto"/>
            </w:pPr>
            <w:r>
              <w:rPr>
                <w:rFonts w:ascii="Times New Roman" w:hAnsi="Times New Roman" w:cs="Times New Roman"/>
                <w:sz w:val="20"/>
                <w:szCs w:val="20"/>
              </w:rPr>
              <w:t xml:space="preserve">24</w:t>
            </w:r>
          </w:p>
        </w:tc>
        <w:tc>
          <w:tcPr>
            <w:tcW w:w="2400" w:type="dxa"/>
          </w:tcPr>
          <w:p>
            <w:pPr>
              <w:spacing w:before="20" w:after="20" w:line="240" w:lineRule="auto"/>
            </w:pPr>
            <w:r>
              <w:rPr>
                <w:rFonts w:ascii="Times New Roman" w:hAnsi="Times New Roman" w:cs="Times New Roman"/>
                <w:sz w:val="20"/>
                <w:szCs w:val="20"/>
              </w:rPr>
              <w:t xml:space="preserve">Methods → hCGpriming before oocyte retrieval</w:t>
            </w:r>
          </w:p>
        </w:tc>
        <w:tc>
          <w:tcPr>
            <w:tcW w:w="6018" w:type="dxa"/>
          </w:tcPr>
          <w:p>
            <w:pPr>
              <w:spacing w:before="20" w:after="20" w:line="240" w:lineRule="auto"/>
            </w:pPr>
            <w:r>
              <w:rPr>
                <w:rFonts w:ascii="Times New Roman" w:hAnsi="Times New Roman" w:cs="Times New Roman"/>
                <w:sz w:val="20"/>
                <w:szCs w:val="20"/>
              </w:rPr>
              <w:t xml:space="preserve">Furthermore, the authors reported that the matured oocytes retrieved from small follicles (&lt; 10 mm) generated embryos of similar developmental potential to oocytes derived from larger follicles (≥ 10 mm), resulting in better pregnancy rates.</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25</w:t>
            </w:r>
          </w:p>
        </w:tc>
        <w:tc>
          <w:tcPr>
            <w:tcW w:w="2400" w:type="dxa"/>
          </w:tcPr>
          <w:p>
            <w:pPr>
              <w:spacing w:before="20" w:after="20" w:line="240" w:lineRule="auto"/>
            </w:pPr>
            <w:r>
              <w:rPr>
                <w:rFonts w:ascii="Times New Roman" w:hAnsi="Times New Roman" w:cs="Times New Roman"/>
                <w:sz w:val="20"/>
                <w:szCs w:val="20"/>
              </w:rPr>
              <w:t xml:space="preserve">Methods → hCGpriming before oocyte retrieval</w:t>
            </w:r>
          </w:p>
        </w:tc>
        <w:tc>
          <w:tcPr>
            <w:tcW w:w="6018" w:type="dxa"/>
          </w:tcPr>
          <w:p>
            <w:pPr>
              <w:spacing w:before="20" w:after="20" w:line="240" w:lineRule="auto"/>
            </w:pPr>
            <w:r>
              <w:rPr>
                <w:rFonts w:ascii="Times New Roman" w:hAnsi="Times New Roman" w:cs="Times New Roman"/>
                <w:sz w:val="20"/>
                <w:szCs w:val="20"/>
              </w:rPr>
              <w:t xml:space="preserve">However, a recent Cochrane review found no conclusive evidence that hCG triggering before oocyte retrieval in IVM cycles influenced live birth, pregnancy or miscarriage rates, although the quality of evidence was low [51].</w:t>
            </w:r>
          </w:p>
        </w:tc>
        <w:tc>
          <w:tcPr>
            <w:tcW w:w="6018" w:type="dxa"/>
          </w:tcPr>
          <w:p>
            <w:pPr>
              <w:spacing w:before="20" w:after="20" w:line="240" w:lineRule="auto"/>
            </w:pPr>
            <w:r>
              <w:rPr>
                <w:rFonts w:ascii="Times New Roman" w:hAnsi="Times New Roman" w:cs="Times New Roman"/>
                <w:sz w:val="20"/>
                <w:szCs w:val="20"/>
              </w:rPr>
              <w:t xml:space="preserve">However, a recent Cochrane review found no conclusive evidence that hCG triggering before oocyte retrieval in IVM cycles influenced live birth, pregnancy or miscarriage rates, although the quality of evidence was low.</w:t>
            </w:r>
          </w:p>
        </w:tc>
      </w:tr>
      <w:tr>
        <w:tc>
          <w:tcPr>
            <w:tcW w:w="700" w:type="dxa"/>
          </w:tcPr>
          <w:p>
            <w:pPr>
              <w:spacing w:before="20" w:after="20" w:line="240" w:lineRule="auto"/>
            </w:pPr>
            <w:r>
              <w:rPr>
                <w:rFonts w:ascii="Times New Roman" w:hAnsi="Times New Roman" w:cs="Times New Roman"/>
                <w:sz w:val="20"/>
                <w:szCs w:val="20"/>
              </w:rPr>
              <w:t xml:space="preserve">26</w:t>
            </w:r>
          </w:p>
        </w:tc>
        <w:tc>
          <w:tcPr>
            <w:tcW w:w="2400" w:type="dxa"/>
          </w:tcPr>
          <w:p>
            <w:pPr>
              <w:spacing w:before="20" w:after="20" w:line="240" w:lineRule="auto"/>
            </w:pPr>
            <w:r>
              <w:rPr>
                <w:rFonts w:ascii="Times New Roman" w:hAnsi="Times New Roman" w:cs="Times New Roman"/>
                <w:sz w:val="20"/>
                <w:szCs w:val="20"/>
              </w:rPr>
              <w:t xml:space="preserve">Methods → hCGpriming before oocyte retrieval</w:t>
            </w:r>
          </w:p>
        </w:tc>
        <w:tc>
          <w:tcPr>
            <w:tcW w:w="6018" w:type="dxa"/>
          </w:tcPr>
          <w:p>
            <w:pPr>
              <w:spacing w:before="20" w:after="20" w:line="240" w:lineRule="auto"/>
            </w:pPr>
            <w:r>
              <w:rPr>
                <w:rFonts w:ascii="Times New Roman" w:hAnsi="Times New Roman" w:cs="Times New Roman"/>
                <w:sz w:val="20"/>
                <w:szCs w:val="20"/>
              </w:rPr>
              <w:t xml:space="preserve">Initially, since antral follicles are mostly under 12 mm, assessing in vivo matured oocytes on collection day was omitted [46].</w:t>
            </w:r>
          </w:p>
        </w:tc>
        <w:tc>
          <w:tcPr>
            <w:tcW w:w="6018" w:type="dxa"/>
          </w:tcPr>
          <w:p>
            <w:pPr>
              <w:spacing w:before="20" w:after="20" w:line="240" w:lineRule="auto"/>
            </w:pPr>
            <w:r>
              <w:rPr>
                <w:rFonts w:ascii="Times New Roman" w:hAnsi="Times New Roman" w:cs="Times New Roman"/>
                <w:sz w:val="20"/>
                <w:szCs w:val="20"/>
              </w:rPr>
              <w:t xml:space="preserve">Initially, since antral follicles are mostly under 12 mm, assessing in vivo matured oocytes on collection day was omitted.</w:t>
            </w:r>
          </w:p>
        </w:tc>
      </w:tr>
      <w:tr>
        <w:tc>
          <w:tcPr>
            <w:tcW w:w="700" w:type="dxa"/>
          </w:tcPr>
          <w:p>
            <w:pPr>
              <w:spacing w:before="20" w:after="20" w:line="240" w:lineRule="auto"/>
            </w:pPr>
            <w:r>
              <w:rPr>
                <w:rFonts w:ascii="Times New Roman" w:hAnsi="Times New Roman" w:cs="Times New Roman"/>
                <w:sz w:val="20"/>
                <w:szCs w:val="20"/>
              </w:rPr>
              <w:t xml:space="preserve">27</w:t>
            </w:r>
          </w:p>
        </w:tc>
        <w:tc>
          <w:tcPr>
            <w:tcW w:w="2400" w:type="dxa"/>
          </w:tcPr>
          <w:p>
            <w:pPr>
              <w:spacing w:before="20" w:after="20" w:line="240" w:lineRule="auto"/>
            </w:pPr>
            <w:r>
              <w:rPr>
                <w:rFonts w:ascii="Times New Roman" w:hAnsi="Times New Roman" w:cs="Times New Roman"/>
                <w:sz w:val="20"/>
                <w:szCs w:val="20"/>
              </w:rPr>
              <w:t xml:space="preserve">Methods → hCGpriming before oocyte retrieval</w:t>
            </w:r>
          </w:p>
        </w:tc>
        <w:tc>
          <w:tcPr>
            <w:tcW w:w="6018" w:type="dxa"/>
          </w:tcPr>
          <w:p>
            <w:pPr>
              <w:spacing w:before="20" w:after="20" w:line="240" w:lineRule="auto"/>
            </w:pPr>
            <w:r>
              <w:rPr>
                <w:rFonts w:ascii="Times New Roman" w:hAnsi="Times New Roman" w:cs="Times New Roman"/>
                <w:sz w:val="20"/>
                <w:szCs w:val="20"/>
              </w:rPr>
              <w:t xml:space="preserve">Granulosa cells lacked LH receptors, signalling incomplete in vivo maturation.</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28</w:t>
            </w:r>
          </w:p>
        </w:tc>
        <w:tc>
          <w:tcPr>
            <w:tcW w:w="2400" w:type="dxa"/>
          </w:tcPr>
          <w:p>
            <w:pPr>
              <w:spacing w:before="20" w:after="20" w:line="240" w:lineRule="auto"/>
            </w:pPr>
            <w:r>
              <w:rPr>
                <w:rFonts w:ascii="Times New Roman" w:hAnsi="Times New Roman" w:cs="Times New Roman"/>
                <w:sz w:val="20"/>
                <w:szCs w:val="20"/>
              </w:rPr>
              <w:t xml:space="preserve">Methods → hCGpriming before oocyte retrieval</w:t>
            </w:r>
          </w:p>
        </w:tc>
        <w:tc>
          <w:tcPr>
            <w:tcW w:w="6018" w:type="dxa"/>
          </w:tcPr>
          <w:p>
            <w:pPr>
              <w:spacing w:before="20" w:after="20" w:line="240" w:lineRule="auto"/>
            </w:pPr>
            <w:r>
              <w:rPr>
                <w:rFonts w:ascii="Times New Roman" w:hAnsi="Times New Roman" w:cs="Times New Roman"/>
                <w:sz w:val="20"/>
                <w:szCs w:val="20"/>
              </w:rPr>
              <w:t xml:space="preserve">Yet, Son et al. [45, 53] identified in vivo mature oocytes via hCG priming, highlighting their high reproductive capacity [34, 45, 53].</w:t>
            </w:r>
          </w:p>
        </w:tc>
        <w:tc>
          <w:tcPr>
            <w:tcW w:w="6018" w:type="dxa"/>
          </w:tcPr>
          <w:p>
            <w:pPr>
              <w:spacing w:before="20" w:after="20" w:line="240" w:lineRule="auto"/>
            </w:pPr>
            <w:r>
              <w:rPr>
                <w:rFonts w:ascii="Times New Roman" w:hAnsi="Times New Roman" w:cs="Times New Roman"/>
                <w:sz w:val="20"/>
                <w:szCs w:val="20"/>
              </w:rPr>
              <w:t xml:space="preserve">Yet, Son et al. identified in vivo mature oocytes via hCG priming, highlighting their high reproductive capacity.</w:t>
            </w:r>
          </w:p>
        </w:tc>
      </w:tr>
      <w:tr>
        <w:tc>
          <w:tcPr>
            <w:tcW w:w="700" w:type="dxa"/>
          </w:tcPr>
          <w:p>
            <w:pPr>
              <w:spacing w:before="20" w:after="20" w:line="240" w:lineRule="auto"/>
            </w:pPr>
            <w:r>
              <w:rPr>
                <w:rFonts w:ascii="Times New Roman" w:hAnsi="Times New Roman" w:cs="Times New Roman"/>
                <w:sz w:val="20"/>
                <w:szCs w:val="20"/>
              </w:rPr>
              <w:t xml:space="preserve">29</w:t>
            </w:r>
          </w:p>
        </w:tc>
        <w:tc>
          <w:tcPr>
            <w:tcW w:w="2400" w:type="dxa"/>
          </w:tcPr>
          <w:p>
            <w:pPr>
              <w:spacing w:before="20" w:after="20" w:line="240" w:lineRule="auto"/>
            </w:pPr>
            <w:r>
              <w:rPr>
                <w:rFonts w:ascii="Times New Roman" w:hAnsi="Times New Roman" w:cs="Times New Roman"/>
                <w:sz w:val="20"/>
                <w:szCs w:val="20"/>
              </w:rPr>
              <w:t xml:space="preserve">Methods → hCGpriming before oocyte retrieval</w:t>
            </w:r>
          </w:p>
        </w:tc>
        <w:tc>
          <w:tcPr>
            <w:tcW w:w="6018" w:type="dxa"/>
          </w:tcPr>
          <w:p>
            <w:pPr>
              <w:spacing w:before="20" w:after="20" w:line="240" w:lineRule="auto"/>
            </w:pPr>
            <w:r>
              <w:rPr>
                <w:rFonts w:ascii="Times New Roman" w:hAnsi="Times New Roman" w:cs="Times New Roman"/>
                <w:sz w:val="20"/>
                <w:szCs w:val="20"/>
              </w:rPr>
              <w:t xml:space="preserve">This finding has led to debate among scientists about the role of hCG in IVM programs [54, 55].</w:t>
            </w:r>
          </w:p>
        </w:tc>
        <w:tc>
          <w:tcPr>
            <w:tcW w:w="6018" w:type="dxa"/>
          </w:tcPr>
          <w:p>
            <w:pPr>
              <w:spacing w:before="20" w:after="20" w:line="240" w:lineRule="auto"/>
            </w:pPr>
            <w:r>
              <w:rPr>
                <w:rFonts w:ascii="Times New Roman" w:hAnsi="Times New Roman" w:cs="Times New Roman"/>
                <w:sz w:val="20"/>
                <w:szCs w:val="20"/>
              </w:rPr>
              <w:t xml:space="preserve">This finding has led to debate among scientists about the role of hCG in IVM programs.</w:t>
            </w:r>
          </w:p>
        </w:tc>
      </w:tr>
      <w:tr>
        <w:tc>
          <w:tcPr>
            <w:tcW w:w="700" w:type="dxa"/>
          </w:tcPr>
          <w:p>
            <w:pPr>
              <w:spacing w:before="20" w:after="20" w:line="240" w:lineRule="auto"/>
            </w:pPr>
            <w:r>
              <w:rPr>
                <w:rFonts w:ascii="Times New Roman" w:hAnsi="Times New Roman" w:cs="Times New Roman"/>
                <w:sz w:val="20"/>
                <w:szCs w:val="20"/>
              </w:rPr>
              <w:t xml:space="preserve">30</w:t>
            </w:r>
          </w:p>
        </w:tc>
        <w:tc>
          <w:tcPr>
            <w:tcW w:w="2400" w:type="dxa"/>
          </w:tcPr>
          <w:p>
            <w:pPr>
              <w:spacing w:before="20" w:after="20" w:line="240" w:lineRule="auto"/>
            </w:pPr>
            <w:r>
              <w:rPr>
                <w:rFonts w:ascii="Times New Roman" w:hAnsi="Times New Roman" w:cs="Times New Roman"/>
                <w:sz w:val="20"/>
                <w:szCs w:val="20"/>
              </w:rPr>
              <w:t xml:space="preserve">Methods → Timing of oocyte retrieval</w:t>
            </w:r>
          </w:p>
        </w:tc>
        <w:tc>
          <w:tcPr>
            <w:tcW w:w="6018" w:type="dxa"/>
          </w:tcPr>
          <w:p>
            <w:pPr>
              <w:spacing w:before="20" w:after="20" w:line="240" w:lineRule="auto"/>
            </w:pPr>
            <w:r>
              <w:rPr>
                <w:rFonts w:ascii="Times New Roman" w:hAnsi="Times New Roman" w:cs="Times New Roman"/>
                <w:sz w:val="20"/>
                <w:szCs w:val="20"/>
              </w:rPr>
              <w:t xml:space="preserve">While some investigators have proposed waiting for the leading follicle to reach 10 mm [42, 56], others believed that this would be detrimental and suggested cancelling the cycle [57, 58].</w:t>
            </w:r>
          </w:p>
        </w:tc>
        <w:tc>
          <w:tcPr>
            <w:tcW w:w="6018" w:type="dxa"/>
          </w:tcPr>
          <w:p>
            <w:pPr>
              <w:spacing w:before="20" w:after="20" w:line="240" w:lineRule="auto"/>
            </w:pPr>
            <w:r>
              <w:rPr>
                <w:rFonts w:ascii="Times New Roman" w:hAnsi="Times New Roman" w:cs="Times New Roman"/>
                <w:sz w:val="20"/>
                <w:szCs w:val="20"/>
              </w:rPr>
              <w:t xml:space="preserve">While some investigators have proposed waiting for the leading follicle to reach 10 mm, others believed that this would be detrimental and suggested cancelling the cycle.</w:t>
            </w:r>
          </w:p>
        </w:tc>
      </w:tr>
      <w:tr>
        <w:tc>
          <w:tcPr>
            <w:tcW w:w="700" w:type="dxa"/>
          </w:tcPr>
          <w:p>
            <w:pPr>
              <w:spacing w:before="20" w:after="20" w:line="240" w:lineRule="auto"/>
            </w:pPr>
            <w:r>
              <w:rPr>
                <w:rFonts w:ascii="Times New Roman" w:hAnsi="Times New Roman" w:cs="Times New Roman"/>
                <w:sz w:val="20"/>
                <w:szCs w:val="20"/>
              </w:rPr>
              <w:t xml:space="preserve">31</w:t>
            </w:r>
          </w:p>
        </w:tc>
        <w:tc>
          <w:tcPr>
            <w:tcW w:w="2400" w:type="dxa"/>
          </w:tcPr>
          <w:p>
            <w:pPr>
              <w:spacing w:before="20" w:after="20" w:line="240" w:lineRule="auto"/>
            </w:pPr>
            <w:r>
              <w:rPr>
                <w:rFonts w:ascii="Times New Roman" w:hAnsi="Times New Roman" w:cs="Times New Roman"/>
                <w:sz w:val="20"/>
                <w:szCs w:val="20"/>
              </w:rPr>
              <w:t xml:space="preserve">Methods → Timing of oocyte retrieval</w:t>
            </w:r>
          </w:p>
        </w:tc>
        <w:tc>
          <w:tcPr>
            <w:tcW w:w="6018" w:type="dxa"/>
          </w:tcPr>
          <w:p>
            <w:pPr>
              <w:spacing w:before="20" w:after="20" w:line="240" w:lineRule="auto"/>
            </w:pPr>
            <w:r>
              <w:rPr>
                <w:rFonts w:ascii="Times New Roman" w:hAnsi="Times New Roman" w:cs="Times New Roman"/>
                <w:sz w:val="20"/>
                <w:szCs w:val="20"/>
              </w:rPr>
              <w:t xml:space="preserve">In a study involving 160 women with polycystic ovaries, Son et al. [50]concluded that oocyte collection in IVM cycles should be performed when the dominant follicle is 14 mm in a diameter or less as sibling immature oocytes may be affected adversely if a dominant follicle &gt; 14 mm is present at the time of oocyte retrieval.</w:t>
            </w:r>
          </w:p>
        </w:tc>
        <w:tc>
          <w:tcPr>
            <w:tcW w:w="6018" w:type="dxa"/>
          </w:tcPr>
          <w:p>
            <w:pPr>
              <w:spacing w:before="20" w:after="20" w:line="240" w:lineRule="auto"/>
            </w:pPr>
            <w:r>
              <w:rPr>
                <w:rFonts w:ascii="Times New Roman" w:hAnsi="Times New Roman" w:cs="Times New Roman"/>
                <w:sz w:val="20"/>
                <w:szCs w:val="20"/>
              </w:rPr>
              <w:t xml:space="preserve">In a study involving 160 women with polycystic ovaries, Son et al.concluded that oocyte collection in IVM cycles should be performed when the dominant follicle is 14 mm in a diameter or less as sibling immature oocytes may be affected adversely if a dominant follicle &gt; 14 mm is present at the time of oocyte retrieval.</w:t>
            </w:r>
          </w:p>
        </w:tc>
      </w:tr>
      <w:tr>
        <w:tc>
          <w:tcPr>
            <w:tcW w:w="700" w:type="dxa"/>
          </w:tcPr>
          <w:p>
            <w:pPr>
              <w:spacing w:before="20" w:after="20" w:line="240" w:lineRule="auto"/>
            </w:pPr>
            <w:r>
              <w:rPr>
                <w:rFonts w:ascii="Times New Roman" w:hAnsi="Times New Roman" w:cs="Times New Roman"/>
                <w:sz w:val="20"/>
                <w:szCs w:val="20"/>
              </w:rPr>
              <w:t xml:space="preserve">32</w:t>
            </w:r>
          </w:p>
        </w:tc>
        <w:tc>
          <w:tcPr>
            <w:tcW w:w="2400" w:type="dxa"/>
          </w:tcPr>
          <w:p>
            <w:pPr>
              <w:spacing w:before="20" w:after="20" w:line="240" w:lineRule="auto"/>
            </w:pPr>
            <w:r>
              <w:rPr>
                <w:rFonts w:ascii="Times New Roman" w:hAnsi="Times New Roman" w:cs="Times New Roman"/>
                <w:sz w:val="20"/>
                <w:szCs w:val="20"/>
              </w:rPr>
              <w:t xml:space="preserve">Methods → Timing of oocyte retrieval</w:t>
            </w:r>
          </w:p>
        </w:tc>
        <w:tc>
          <w:tcPr>
            <w:tcW w:w="6018" w:type="dxa"/>
          </w:tcPr>
          <w:p>
            <w:pPr>
              <w:spacing w:before="20" w:after="20" w:line="240" w:lineRule="auto"/>
            </w:pPr>
            <w:r>
              <w:rPr>
                <w:rFonts w:ascii="Times New Roman" w:hAnsi="Times New Roman" w:cs="Times New Roman"/>
                <w:sz w:val="20"/>
                <w:szCs w:val="20"/>
              </w:rPr>
              <w:t xml:space="preserve">Researchers have also suggested that extending the period of hCG priming time from 35 to 38 h for immature oocyte retrieval promotes oocyte maturation in vivo and increases the IVM rate of immature oocytes [59].</w:t>
            </w:r>
          </w:p>
        </w:tc>
        <w:tc>
          <w:tcPr>
            <w:tcW w:w="6018" w:type="dxa"/>
          </w:tcPr>
          <w:p>
            <w:pPr>
              <w:spacing w:before="20" w:after="20" w:line="240" w:lineRule="auto"/>
            </w:pPr>
            <w:r>
              <w:rPr>
                <w:rFonts w:ascii="Times New Roman" w:hAnsi="Times New Roman" w:cs="Times New Roman"/>
                <w:sz w:val="20"/>
                <w:szCs w:val="20"/>
              </w:rPr>
              <w:t xml:space="preserve">Researchers have also suggested that extending the period of hCG priming time from 35 to 38 h for immature oocyte retrieval promotes oocyte maturation in vivo and increases the IVM rate of immature oocytes.</w:t>
            </w:r>
          </w:p>
        </w:tc>
      </w:tr>
      <w:tr>
        <w:tc>
          <w:tcPr>
            <w:tcW w:w="700" w:type="dxa"/>
          </w:tcPr>
          <w:p>
            <w:pPr>
              <w:spacing w:before="20" w:after="20" w:line="240" w:lineRule="auto"/>
            </w:pPr>
            <w:r>
              <w:rPr>
                <w:rFonts w:ascii="Times New Roman" w:hAnsi="Times New Roman" w:cs="Times New Roman"/>
                <w:sz w:val="20"/>
                <w:szCs w:val="20"/>
              </w:rPr>
              <w:t xml:space="preserve">33</w:t>
            </w:r>
          </w:p>
        </w:tc>
        <w:tc>
          <w:tcPr>
            <w:tcW w:w="2400" w:type="dxa"/>
          </w:tcPr>
          <w:p>
            <w:pPr>
              <w:spacing w:before="20" w:after="20" w:line="240" w:lineRule="auto"/>
            </w:pPr>
            <w:r>
              <w:rPr>
                <w:rFonts w:ascii="Times New Roman" w:hAnsi="Times New Roman" w:cs="Times New Roman"/>
                <w:sz w:val="20"/>
                <w:szCs w:val="20"/>
              </w:rPr>
              <w:t xml:space="preserve">Methods → Timing of oocyte retrieval</w:t>
            </w:r>
          </w:p>
        </w:tc>
        <w:tc>
          <w:tcPr>
            <w:tcW w:w="6018" w:type="dxa"/>
          </w:tcPr>
          <w:p>
            <w:pPr>
              <w:spacing w:before="20" w:after="20" w:line="240" w:lineRule="auto"/>
            </w:pPr>
            <w:r>
              <w:rPr>
                <w:rFonts w:ascii="Times New Roman" w:hAnsi="Times New Roman" w:cs="Times New Roman"/>
                <w:sz w:val="20"/>
                <w:szCs w:val="20"/>
              </w:rPr>
              <w:t xml:space="preserve">Clearly, further evidence from well-designed RCTs is needed to confirm the benefits of priming with gonadotropins on small follicles in IVM cycles, and the optimal dose and timing.</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34</w:t>
            </w:r>
          </w:p>
        </w:tc>
        <w:tc>
          <w:tcPr>
            <w:tcW w:w="2400" w:type="dxa"/>
          </w:tcPr>
          <w:p>
            <w:pPr>
              <w:spacing w:before="20" w:after="20" w:line="240" w:lineRule="auto"/>
            </w:pPr>
            <w:r>
              <w:rPr>
                <w:rFonts w:ascii="Times New Roman" w:hAnsi="Times New Roman" w:cs="Times New Roman"/>
                <w:sz w:val="20"/>
                <w:szCs w:val="20"/>
              </w:rPr>
              <w:t xml:space="preserve">Methods → Oocyte retrieval</w:t>
            </w:r>
          </w:p>
        </w:tc>
        <w:tc>
          <w:tcPr>
            <w:tcW w:w="6018" w:type="dxa"/>
          </w:tcPr>
          <w:p>
            <w:pPr>
              <w:spacing w:before="20" w:after="20" w:line="240" w:lineRule="auto"/>
            </w:pPr>
            <w:r>
              <w:rPr>
                <w:rFonts w:ascii="Times New Roman" w:hAnsi="Times New Roman" w:cs="Times New Roman"/>
                <w:sz w:val="20"/>
                <w:szCs w:val="20"/>
              </w:rPr>
              <w:t xml:space="preserve">Unlike in standard IVF collections, oocyte retrieval in IVM cycles can be more challenging, due to smaller follicle sizes and stronger attachment of immature COCs to the follicle wall, especially without an ovulatory dose of hCG or GnRH agonist.</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35</w:t>
            </w:r>
          </w:p>
        </w:tc>
        <w:tc>
          <w:tcPr>
            <w:tcW w:w="2400" w:type="dxa"/>
          </w:tcPr>
          <w:p>
            <w:pPr>
              <w:spacing w:before="20" w:after="20" w:line="240" w:lineRule="auto"/>
            </w:pPr>
            <w:r>
              <w:rPr>
                <w:rFonts w:ascii="Times New Roman" w:hAnsi="Times New Roman" w:cs="Times New Roman"/>
                <w:sz w:val="20"/>
                <w:szCs w:val="20"/>
              </w:rPr>
              <w:t xml:space="preserve">Methods → Oocyte retrieval</w:t>
            </w:r>
          </w:p>
        </w:tc>
        <w:tc>
          <w:tcPr>
            <w:tcW w:w="6018" w:type="dxa"/>
          </w:tcPr>
          <w:p>
            <w:pPr>
              <w:spacing w:before="20" w:after="20" w:line="240" w:lineRule="auto"/>
            </w:pPr>
            <w:r>
              <w:rPr>
                <w:rFonts w:ascii="Times New Roman" w:hAnsi="Times New Roman" w:cs="Times New Roman"/>
                <w:sz w:val="20"/>
                <w:szCs w:val="20"/>
              </w:rPr>
              <w:t xml:space="preserve">Emphasizing the importance of correctly timed ovulating hCG injections in IVF cycles is vital, as retrieval may fail even from larger follicles without them.</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36</w:t>
            </w:r>
          </w:p>
        </w:tc>
        <w:tc>
          <w:tcPr>
            <w:tcW w:w="2400" w:type="dxa"/>
          </w:tcPr>
          <w:p>
            <w:pPr>
              <w:spacing w:before="20" w:after="20" w:line="240" w:lineRule="auto"/>
            </w:pPr>
            <w:r>
              <w:rPr>
                <w:rFonts w:ascii="Times New Roman" w:hAnsi="Times New Roman" w:cs="Times New Roman"/>
                <w:sz w:val="20"/>
                <w:szCs w:val="20"/>
              </w:rPr>
              <w:t xml:space="preserve">Methods → Oocyte retrieval</w:t>
            </w:r>
          </w:p>
        </w:tc>
        <w:tc>
          <w:tcPr>
            <w:tcW w:w="6018" w:type="dxa"/>
          </w:tcPr>
          <w:p>
            <w:pPr>
              <w:spacing w:before="20" w:after="20" w:line="240" w:lineRule="auto"/>
            </w:pPr>
            <w:r>
              <w:rPr>
                <w:rFonts w:ascii="Times New Roman" w:hAnsi="Times New Roman" w:cs="Times New Roman"/>
                <w:sz w:val="20"/>
                <w:szCs w:val="20"/>
              </w:rPr>
              <w:t xml:space="preserve">In the majority of IVF centers, the standard needle diameter for puncturing small follicles, which can range from 2 to 12 mm in size, is typically between 16 and 21 gauge.</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37</w:t>
            </w:r>
          </w:p>
        </w:tc>
        <w:tc>
          <w:tcPr>
            <w:tcW w:w="2400" w:type="dxa"/>
          </w:tcPr>
          <w:p>
            <w:pPr>
              <w:spacing w:before="20" w:after="20" w:line="240" w:lineRule="auto"/>
            </w:pPr>
            <w:r>
              <w:rPr>
                <w:rFonts w:ascii="Times New Roman" w:hAnsi="Times New Roman" w:cs="Times New Roman"/>
                <w:sz w:val="20"/>
                <w:szCs w:val="20"/>
              </w:rPr>
              <w:t xml:space="preserve">Methods → Oocyte retrieval</w:t>
            </w:r>
          </w:p>
        </w:tc>
        <w:tc>
          <w:tcPr>
            <w:tcW w:w="6018" w:type="dxa"/>
          </w:tcPr>
          <w:p>
            <w:pPr>
              <w:spacing w:before="20" w:after="20" w:line="240" w:lineRule="auto"/>
            </w:pPr>
            <w:r>
              <w:rPr>
                <w:rFonts w:ascii="Times New Roman" w:hAnsi="Times New Roman" w:cs="Times New Roman"/>
                <w:sz w:val="20"/>
                <w:szCs w:val="20"/>
              </w:rPr>
              <w:t xml:space="preserve">However, some clinics employ a two-needle system for follicle aspiration in IVM cycles.</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38</w:t>
            </w:r>
          </w:p>
        </w:tc>
        <w:tc>
          <w:tcPr>
            <w:tcW w:w="2400" w:type="dxa"/>
          </w:tcPr>
          <w:p>
            <w:pPr>
              <w:spacing w:before="20" w:after="20" w:line="240" w:lineRule="auto"/>
            </w:pPr>
            <w:r>
              <w:rPr>
                <w:rFonts w:ascii="Times New Roman" w:hAnsi="Times New Roman" w:cs="Times New Roman"/>
                <w:sz w:val="20"/>
                <w:szCs w:val="20"/>
              </w:rPr>
              <w:t xml:space="preserve">Methods → Oocyte retrieval</w:t>
            </w:r>
          </w:p>
        </w:tc>
        <w:tc>
          <w:tcPr>
            <w:tcW w:w="6018" w:type="dxa"/>
          </w:tcPr>
          <w:p>
            <w:pPr>
              <w:spacing w:before="20" w:after="20" w:line="240" w:lineRule="auto"/>
            </w:pPr>
            <w:r>
              <w:rPr>
                <w:rFonts w:ascii="Times New Roman" w:hAnsi="Times New Roman" w:cs="Times New Roman"/>
                <w:sz w:val="20"/>
                <w:szCs w:val="20"/>
              </w:rPr>
              <w:t xml:space="preserve">The reported aspiration pressure varies from 80 to 120 mmHg [2].Using a thin needle for multiple punctures on small follicles, along with lower aspiration pressure, may occasionally result in needle blockage during the procedure [34].</w:t>
            </w:r>
          </w:p>
        </w:tc>
        <w:tc>
          <w:tcPr>
            <w:tcW w:w="6018" w:type="dxa"/>
          </w:tcPr>
          <w:p>
            <w:pPr>
              <w:spacing w:before="20" w:after="20" w:line="240" w:lineRule="auto"/>
            </w:pPr>
            <w:r>
              <w:rPr>
                <w:rFonts w:ascii="Times New Roman" w:hAnsi="Times New Roman" w:cs="Times New Roman"/>
                <w:sz w:val="20"/>
                <w:szCs w:val="20"/>
              </w:rPr>
              <w:t xml:space="preserve">The reported aspiration pressure varies from 80 to 120 mmHg.Using a thin needle for multiple punctures on small follicles, along with lower aspiration pressure, may occasionally result in needle blockage during the procedure.</w:t>
            </w:r>
          </w:p>
        </w:tc>
      </w:tr>
      <w:tr>
        <w:tc>
          <w:tcPr>
            <w:tcW w:w="700" w:type="dxa"/>
          </w:tcPr>
          <w:p>
            <w:pPr>
              <w:spacing w:before="20" w:after="20" w:line="240" w:lineRule="auto"/>
            </w:pPr>
            <w:r>
              <w:rPr>
                <w:rFonts w:ascii="Times New Roman" w:hAnsi="Times New Roman" w:cs="Times New Roman"/>
                <w:sz w:val="20"/>
                <w:szCs w:val="20"/>
              </w:rPr>
              <w:t xml:space="preserve">39</w:t>
            </w:r>
          </w:p>
        </w:tc>
        <w:tc>
          <w:tcPr>
            <w:tcW w:w="2400" w:type="dxa"/>
          </w:tcPr>
          <w:p>
            <w:pPr>
              <w:spacing w:before="20" w:after="20" w:line="240" w:lineRule="auto"/>
            </w:pPr>
            <w:r>
              <w:rPr>
                <w:rFonts w:ascii="Times New Roman" w:hAnsi="Times New Roman" w:cs="Times New Roman"/>
                <w:sz w:val="20"/>
                <w:szCs w:val="20"/>
              </w:rPr>
              <w:t xml:space="preserve">Methods → Oocyte retrieval</w:t>
            </w:r>
          </w:p>
        </w:tc>
        <w:tc>
          <w:tcPr>
            <w:tcW w:w="6018" w:type="dxa"/>
          </w:tcPr>
          <w:p>
            <w:pPr>
              <w:spacing w:before="20" w:after="20" w:line="240" w:lineRule="auto"/>
            </w:pPr>
            <w:r>
              <w:rPr>
                <w:rFonts w:ascii="Times New Roman" w:hAnsi="Times New Roman" w:cs="Times New Roman"/>
                <w:sz w:val="20"/>
                <w:szCs w:val="20"/>
              </w:rPr>
              <w:t xml:space="preserve">To prevent the formation of blood clots inside the aspiration needle, regular flushing with flushing media or adding 2 U/mL of heparin is necessary.</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40</w:t>
            </w:r>
          </w:p>
        </w:tc>
        <w:tc>
          <w:tcPr>
            <w:tcW w:w="2400" w:type="dxa"/>
          </w:tcPr>
          <w:p>
            <w:pPr>
              <w:spacing w:before="20" w:after="20" w:line="240" w:lineRule="auto"/>
            </w:pPr>
            <w:r>
              <w:rPr>
                <w:rFonts w:ascii="Times New Roman" w:hAnsi="Times New Roman" w:cs="Times New Roman"/>
                <w:sz w:val="20"/>
                <w:szCs w:val="20"/>
              </w:rPr>
              <w:t xml:space="preserve">Methods → Oocyte retrieval</w:t>
            </w:r>
          </w:p>
        </w:tc>
        <w:tc>
          <w:tcPr>
            <w:tcW w:w="6018" w:type="dxa"/>
          </w:tcPr>
          <w:p>
            <w:pPr>
              <w:spacing w:before="20" w:after="20" w:line="240" w:lineRule="auto"/>
            </w:pPr>
            <w:r>
              <w:rPr>
                <w:rFonts w:ascii="Times New Roman" w:hAnsi="Times New Roman" w:cs="Times New Roman"/>
                <w:sz w:val="20"/>
                <w:szCs w:val="20"/>
              </w:rPr>
              <w:t xml:space="preserve">This precaution helps maintain the patency of the needle and ensures smooth aspiration without interruptions caused by clot formation.</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41</w:t>
            </w:r>
          </w:p>
        </w:tc>
        <w:tc>
          <w:tcPr>
            <w:tcW w:w="2400" w:type="dxa"/>
          </w:tcPr>
          <w:p>
            <w:pPr>
              <w:spacing w:before="20" w:after="20" w:line="240" w:lineRule="auto"/>
            </w:pPr>
            <w:r>
              <w:rPr>
                <w:rFonts w:ascii="Times New Roman" w:hAnsi="Times New Roman" w:cs="Times New Roman"/>
                <w:sz w:val="20"/>
                <w:szCs w:val="20"/>
              </w:rPr>
              <w:t xml:space="preserve">Methods → Oocyte retrieval</w:t>
            </w:r>
          </w:p>
        </w:tc>
        <w:tc>
          <w:tcPr>
            <w:tcW w:w="6018" w:type="dxa"/>
          </w:tcPr>
          <w:p>
            <w:pPr>
              <w:spacing w:before="20" w:after="20" w:line="240" w:lineRule="auto"/>
            </w:pPr>
            <w:r>
              <w:rPr>
                <w:rFonts w:ascii="Times New Roman" w:hAnsi="Times New Roman" w:cs="Times New Roman"/>
                <w:sz w:val="20"/>
                <w:szCs w:val="20"/>
              </w:rPr>
              <w:t xml:space="preserve">The tissues or ovaries are held with one hand, while a 5 to 20 mL syringe filled with buffered IVF media containing proteins is used with a 21- or 22-gauge needle for the aspiration process [62, 63].</w:t>
            </w:r>
          </w:p>
        </w:tc>
        <w:tc>
          <w:tcPr>
            <w:tcW w:w="6018" w:type="dxa"/>
          </w:tcPr>
          <w:p>
            <w:pPr>
              <w:spacing w:before="20" w:after="20" w:line="240" w:lineRule="auto"/>
            </w:pPr>
            <w:r>
              <w:rPr>
                <w:rFonts w:ascii="Times New Roman" w:hAnsi="Times New Roman" w:cs="Times New Roman"/>
                <w:sz w:val="20"/>
                <w:szCs w:val="20"/>
              </w:rPr>
              <w:t xml:space="preserve">The tissues or ovaries are held with one hand, while a 5 to 20 mL syringe filled with buffered IVF media containing proteins is used with a 21- or 22-gauge needle for the aspiration process.</w:t>
            </w:r>
          </w:p>
        </w:tc>
      </w:tr>
      <w:tr>
        <w:tc>
          <w:tcPr>
            <w:tcW w:w="700" w:type="dxa"/>
          </w:tcPr>
          <w:p>
            <w:pPr>
              <w:spacing w:before="20" w:after="20" w:line="240" w:lineRule="auto"/>
            </w:pPr>
            <w:r>
              <w:rPr>
                <w:rFonts w:ascii="Times New Roman" w:hAnsi="Times New Roman" w:cs="Times New Roman"/>
                <w:sz w:val="20"/>
                <w:szCs w:val="20"/>
              </w:rPr>
              <w:t xml:space="preserve">42</w:t>
            </w:r>
          </w:p>
        </w:tc>
        <w:tc>
          <w:tcPr>
            <w:tcW w:w="2400" w:type="dxa"/>
          </w:tcPr>
          <w:p>
            <w:pPr>
              <w:spacing w:before="20" w:after="20" w:line="240" w:lineRule="auto"/>
            </w:pPr>
            <w:r>
              <w:rPr>
                <w:rFonts w:ascii="Times New Roman" w:hAnsi="Times New Roman" w:cs="Times New Roman"/>
                <w:sz w:val="20"/>
                <w:szCs w:val="20"/>
              </w:rPr>
              <w:t xml:space="preserve">Methods → Oocyte retrieval</w:t>
            </w:r>
          </w:p>
        </w:tc>
        <w:tc>
          <w:tcPr>
            <w:tcW w:w="6018" w:type="dxa"/>
          </w:tcPr>
          <w:p>
            <w:pPr>
              <w:spacing w:before="20" w:after="20" w:line="240" w:lineRule="auto"/>
            </w:pPr>
            <w:r>
              <w:rPr>
                <w:rFonts w:ascii="Times New Roman" w:hAnsi="Times New Roman" w:cs="Times New Roman"/>
                <w:sz w:val="20"/>
                <w:szCs w:val="20"/>
              </w:rPr>
              <w:t xml:space="preserve">In the direct identification method, the follicular aspirate is transferred to a Petri dish and examined under a stereomicroscope to detect COCs, similar to the process in conventional IVF cycles.</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43</w:t>
            </w:r>
          </w:p>
        </w:tc>
        <w:tc>
          <w:tcPr>
            <w:tcW w:w="2400" w:type="dxa"/>
          </w:tcPr>
          <w:p>
            <w:pPr>
              <w:spacing w:before="20" w:after="20" w:line="240" w:lineRule="auto"/>
            </w:pPr>
            <w:r>
              <w:rPr>
                <w:rFonts w:ascii="Times New Roman" w:hAnsi="Times New Roman" w:cs="Times New Roman"/>
                <w:sz w:val="20"/>
                <w:szCs w:val="20"/>
              </w:rPr>
              <w:t xml:space="preserve">Methods → Oocyte retrieval</w:t>
            </w:r>
          </w:p>
        </w:tc>
        <w:tc>
          <w:tcPr>
            <w:tcW w:w="6018" w:type="dxa"/>
          </w:tcPr>
          <w:p>
            <w:pPr>
              <w:spacing w:before="20" w:after="20" w:line="240" w:lineRule="auto"/>
            </w:pPr>
            <w:r>
              <w:rPr>
                <w:rFonts w:ascii="Times New Roman" w:hAnsi="Times New Roman" w:cs="Times New Roman"/>
                <w:sz w:val="20"/>
                <w:szCs w:val="20"/>
              </w:rPr>
              <w:t xml:space="preserve">This approach is employed in both hCG-primed cycles, with or without priming with FSH, as many of the retrieved oocytes have expanded CCs [34](Fig. 1B).</w:t>
            </w:r>
          </w:p>
        </w:tc>
        <w:tc>
          <w:tcPr>
            <w:tcW w:w="6018" w:type="dxa"/>
          </w:tcPr>
          <w:p>
            <w:pPr>
              <w:spacing w:before="20" w:after="20" w:line="240" w:lineRule="auto"/>
            </w:pPr>
            <w:r>
              <w:rPr>
                <w:rFonts w:ascii="Times New Roman" w:hAnsi="Times New Roman" w:cs="Times New Roman"/>
                <w:sz w:val="20"/>
                <w:szCs w:val="20"/>
              </w:rPr>
              <w:t xml:space="preserve">This approach is employed in both hCG-primed cycles, with or without priming with FSH, as many of the retrieved oocytes have expanded CCs(Fig. 1B).</w:t>
            </w:r>
          </w:p>
        </w:tc>
      </w:tr>
      <w:tr>
        <w:tc>
          <w:tcPr>
            <w:tcW w:w="700" w:type="dxa"/>
          </w:tcPr>
          <w:p>
            <w:pPr>
              <w:spacing w:before="20" w:after="20" w:line="240" w:lineRule="auto"/>
            </w:pPr>
            <w:r>
              <w:rPr>
                <w:rFonts w:ascii="Times New Roman" w:hAnsi="Times New Roman" w:cs="Times New Roman"/>
                <w:sz w:val="20"/>
                <w:szCs w:val="20"/>
              </w:rPr>
              <w:t xml:space="preserve">44</w:t>
            </w:r>
          </w:p>
        </w:tc>
        <w:tc>
          <w:tcPr>
            <w:tcW w:w="2400" w:type="dxa"/>
          </w:tcPr>
          <w:p>
            <w:pPr>
              <w:spacing w:before="20" w:after="20" w:line="240" w:lineRule="auto"/>
            </w:pPr>
            <w:r>
              <w:rPr>
                <w:rFonts w:ascii="Times New Roman" w:hAnsi="Times New Roman" w:cs="Times New Roman"/>
                <w:sz w:val="20"/>
                <w:szCs w:val="20"/>
              </w:rPr>
              <w:t xml:space="preserve">Methods → Oocyte retrieval</w:t>
            </w:r>
          </w:p>
        </w:tc>
        <w:tc>
          <w:tcPr>
            <w:tcW w:w="6018" w:type="dxa"/>
          </w:tcPr>
          <w:p>
            <w:pPr>
              <w:spacing w:before="20" w:after="20" w:line="240" w:lineRule="auto"/>
            </w:pPr>
            <w:r>
              <w:rPr>
                <w:rFonts w:ascii="Times New Roman" w:hAnsi="Times New Roman" w:cs="Times New Roman"/>
                <w:sz w:val="20"/>
                <w:szCs w:val="20"/>
              </w:rPr>
              <w:t xml:space="preserve">However, since identifying immature oocytes lacking an expanded cumulus mass in non-hCG primed IVM cycles can be more challenging than in IVF cycles, the filter method is commonly used in many IVF laboratories.</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45</w:t>
            </w:r>
          </w:p>
        </w:tc>
        <w:tc>
          <w:tcPr>
            <w:tcW w:w="2400" w:type="dxa"/>
          </w:tcPr>
          <w:p>
            <w:pPr>
              <w:spacing w:before="20" w:after="20" w:line="240" w:lineRule="auto"/>
            </w:pPr>
            <w:r>
              <w:rPr>
                <w:rFonts w:ascii="Times New Roman" w:hAnsi="Times New Roman" w:cs="Times New Roman"/>
                <w:sz w:val="20"/>
                <w:szCs w:val="20"/>
              </w:rPr>
              <w:t xml:space="preserve">Methods → Oocyte retrieval</w:t>
            </w:r>
          </w:p>
        </w:tc>
        <w:tc>
          <w:tcPr>
            <w:tcW w:w="6018" w:type="dxa"/>
          </w:tcPr>
          <w:p>
            <w:pPr>
              <w:spacing w:before="20" w:after="20" w:line="240" w:lineRule="auto"/>
            </w:pPr>
            <w:r>
              <w:rPr>
                <w:rFonts w:ascii="Times New Roman" w:hAnsi="Times New Roman" w:cs="Times New Roman"/>
                <w:sz w:val="20"/>
                <w:szCs w:val="20"/>
              </w:rPr>
              <w:t xml:space="preserve">The filter method involves using a cell strainer device with 70-μm pores, usually composed of a nylon mesh (such as Falcon® 70 μm mesh size from BD Biosciences) [34].</w:t>
            </w:r>
          </w:p>
        </w:tc>
        <w:tc>
          <w:tcPr>
            <w:tcW w:w="6018" w:type="dxa"/>
          </w:tcPr>
          <w:p>
            <w:pPr>
              <w:spacing w:before="20" w:after="20" w:line="240" w:lineRule="auto"/>
            </w:pPr>
            <w:r>
              <w:rPr>
                <w:rFonts w:ascii="Times New Roman" w:hAnsi="Times New Roman" w:cs="Times New Roman"/>
                <w:sz w:val="20"/>
                <w:szCs w:val="20"/>
              </w:rPr>
              <w:t xml:space="preserve">The filter method involves using a cell strainer device with 70-μm pores, usually composed of a nylon mesh (such as Falcon® 70 μm mesh size from BD Biosciences).</w:t>
            </w:r>
          </w:p>
        </w:tc>
      </w:tr>
      <w:tr>
        <w:tc>
          <w:tcPr>
            <w:tcW w:w="700" w:type="dxa"/>
          </w:tcPr>
          <w:p>
            <w:pPr>
              <w:spacing w:before="20" w:after="20" w:line="240" w:lineRule="auto"/>
            </w:pPr>
            <w:r>
              <w:rPr>
                <w:rFonts w:ascii="Times New Roman" w:hAnsi="Times New Roman" w:cs="Times New Roman"/>
                <w:sz w:val="20"/>
                <w:szCs w:val="20"/>
              </w:rPr>
              <w:t xml:space="preserve">46</w:t>
            </w:r>
          </w:p>
        </w:tc>
        <w:tc>
          <w:tcPr>
            <w:tcW w:w="2400" w:type="dxa"/>
          </w:tcPr>
          <w:p>
            <w:pPr>
              <w:spacing w:before="20" w:after="20" w:line="240" w:lineRule="auto"/>
            </w:pPr>
            <w:r>
              <w:rPr>
                <w:rFonts w:ascii="Times New Roman" w:hAnsi="Times New Roman" w:cs="Times New Roman"/>
                <w:sz w:val="20"/>
                <w:szCs w:val="20"/>
              </w:rPr>
              <w:t xml:space="preserve">Methods → Oocyte retrieval</w:t>
            </w:r>
          </w:p>
        </w:tc>
        <w:tc>
          <w:tcPr>
            <w:tcW w:w="6018" w:type="dxa"/>
          </w:tcPr>
          <w:p>
            <w:pPr>
              <w:spacing w:before="20" w:after="20" w:line="240" w:lineRule="auto"/>
            </w:pPr>
            <w:r>
              <w:rPr>
                <w:rFonts w:ascii="Times New Roman" w:hAnsi="Times New Roman" w:cs="Times New Roman"/>
                <w:sz w:val="20"/>
                <w:szCs w:val="20"/>
              </w:rPr>
              <w:t xml:space="preserve">Once the aspiration is complete, the collected aspirates on the device are rinsed with fresh buffered medium to eliminate red blood cells and small cells.</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47</w:t>
            </w:r>
          </w:p>
        </w:tc>
        <w:tc>
          <w:tcPr>
            <w:tcW w:w="2400" w:type="dxa"/>
          </w:tcPr>
          <w:p>
            <w:pPr>
              <w:spacing w:before="20" w:after="20" w:line="240" w:lineRule="auto"/>
            </w:pPr>
            <w:r>
              <w:rPr>
                <w:rFonts w:ascii="Times New Roman" w:hAnsi="Times New Roman" w:cs="Times New Roman"/>
                <w:sz w:val="20"/>
                <w:szCs w:val="20"/>
              </w:rPr>
              <w:t xml:space="preserve">Methods → Oocyte retrieval</w:t>
            </w:r>
          </w:p>
        </w:tc>
        <w:tc>
          <w:tcPr>
            <w:tcW w:w="6018" w:type="dxa"/>
          </w:tcPr>
          <w:p>
            <w:pPr>
              <w:spacing w:before="20" w:after="20" w:line="240" w:lineRule="auto"/>
            </w:pPr>
            <w:r>
              <w:rPr>
                <w:rFonts w:ascii="Times New Roman" w:hAnsi="Times New Roman" w:cs="Times New Roman"/>
                <w:sz w:val="20"/>
                <w:szCs w:val="20"/>
              </w:rPr>
              <w:t xml:space="preserve">The oocytes, along with other components like granulosa cells, are then transferred to a new Petri dish for examination under a stereomicroscope to identify and isolate the COCs.</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48</w:t>
            </w:r>
          </w:p>
        </w:tc>
        <w:tc>
          <w:tcPr>
            <w:tcW w:w="2400" w:type="dxa"/>
          </w:tcPr>
          <w:p>
            <w:pPr>
              <w:spacing w:before="20" w:after="20" w:line="240" w:lineRule="auto"/>
            </w:pPr>
            <w:r>
              <w:rPr>
                <w:rFonts w:ascii="Times New Roman" w:hAnsi="Times New Roman" w:cs="Times New Roman"/>
                <w:sz w:val="20"/>
                <w:szCs w:val="20"/>
              </w:rPr>
              <w:t xml:space="preserve">Methods → Oocyte retrieval</w:t>
            </w:r>
          </w:p>
        </w:tc>
        <w:tc>
          <w:tcPr>
            <w:tcW w:w="6018" w:type="dxa"/>
          </w:tcPr>
          <w:p>
            <w:pPr>
              <w:spacing w:before="20" w:after="20" w:line="240" w:lineRule="auto"/>
            </w:pPr>
            <w:r>
              <w:rPr>
                <w:rFonts w:ascii="Times New Roman" w:hAnsi="Times New Roman" w:cs="Times New Roman"/>
                <w:sz w:val="20"/>
                <w:szCs w:val="20"/>
              </w:rPr>
              <w:t xml:space="preserve">Clinicians often want to know the number of oocytes obtained during the egg retrieval procedure to assess the progress of the aspiration process.</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49</w:t>
            </w:r>
          </w:p>
        </w:tc>
        <w:tc>
          <w:tcPr>
            <w:tcW w:w="2400" w:type="dxa"/>
          </w:tcPr>
          <w:p>
            <w:pPr>
              <w:spacing w:before="20" w:after="20" w:line="240" w:lineRule="auto"/>
            </w:pPr>
            <w:r>
              <w:rPr>
                <w:rFonts w:ascii="Times New Roman" w:hAnsi="Times New Roman" w:cs="Times New Roman"/>
                <w:sz w:val="20"/>
                <w:szCs w:val="20"/>
              </w:rPr>
              <w:t xml:space="preserve">Methods → IVM of immature oocytes, culture medium for IVM and supplements</w:t>
            </w:r>
          </w:p>
        </w:tc>
        <w:tc>
          <w:tcPr>
            <w:tcW w:w="6018" w:type="dxa"/>
          </w:tcPr>
          <w:p>
            <w:pPr>
              <w:spacing w:before="20" w:after="20" w:line="240" w:lineRule="auto"/>
            </w:pPr>
            <w:r>
              <w:rPr>
                <w:rFonts w:ascii="Times New Roman" w:hAnsi="Times New Roman" w:cs="Times New Roman"/>
                <w:sz w:val="20"/>
                <w:szCs w:val="20"/>
              </w:rPr>
              <w:t xml:space="preserve">In the pre-IVM phase, chemicals such as cAMP analogues, kinase inhibitors, or PDE inhibitors are used to delay or temporarily prevent spontaneous oocyte maturation for a short period (usually around 2 h) [64].</w:t>
            </w:r>
          </w:p>
        </w:tc>
        <w:tc>
          <w:tcPr>
            <w:tcW w:w="6018" w:type="dxa"/>
          </w:tcPr>
          <w:p>
            <w:pPr>
              <w:spacing w:before="20" w:after="20" w:line="240" w:lineRule="auto"/>
            </w:pPr>
            <w:r>
              <w:rPr>
                <w:rFonts w:ascii="Times New Roman" w:hAnsi="Times New Roman" w:cs="Times New Roman"/>
                <w:sz w:val="20"/>
                <w:szCs w:val="20"/>
              </w:rPr>
              <w:t xml:space="preserve">In the pre-IVM phase, chemicals such as cAMP analogues, kinase inhibitors, or PDE inhibitors are used to delay or temporarily prevent spontaneous oocyte maturation for a short period (usually around 2 h).</w:t>
            </w:r>
          </w:p>
        </w:tc>
      </w:tr>
      <w:tr>
        <w:tc>
          <w:tcPr>
            <w:tcW w:w="700" w:type="dxa"/>
          </w:tcPr>
          <w:p>
            <w:pPr>
              <w:spacing w:before="20" w:after="20" w:line="240" w:lineRule="auto"/>
            </w:pPr>
            <w:r>
              <w:rPr>
                <w:rFonts w:ascii="Times New Roman" w:hAnsi="Times New Roman" w:cs="Times New Roman"/>
                <w:sz w:val="20"/>
                <w:szCs w:val="20"/>
              </w:rPr>
              <w:t xml:space="preserve">50</w:t>
            </w:r>
          </w:p>
        </w:tc>
        <w:tc>
          <w:tcPr>
            <w:tcW w:w="2400" w:type="dxa"/>
          </w:tcPr>
          <w:p>
            <w:pPr>
              <w:spacing w:before="20" w:after="20" w:line="240" w:lineRule="auto"/>
            </w:pPr>
            <w:r>
              <w:rPr>
                <w:rFonts w:ascii="Times New Roman" w:hAnsi="Times New Roman" w:cs="Times New Roman"/>
                <w:sz w:val="20"/>
                <w:szCs w:val="20"/>
              </w:rPr>
              <w:t xml:space="preserve">Methods → IVM of immature oocytes, culture medium for IVM and supplements</w:t>
            </w:r>
          </w:p>
        </w:tc>
        <w:tc>
          <w:tcPr>
            <w:tcW w:w="6018" w:type="dxa"/>
          </w:tcPr>
          <w:p>
            <w:pPr>
              <w:spacing w:before="20" w:after="20" w:line="240" w:lineRule="auto"/>
            </w:pPr>
            <w:r>
              <w:rPr>
                <w:rFonts w:ascii="Times New Roman" w:hAnsi="Times New Roman" w:cs="Times New Roman"/>
                <w:sz w:val="20"/>
                <w:szCs w:val="20"/>
              </w:rPr>
              <w:t xml:space="preserve">In this method, CNP is utilized to maintain GV arrest for 24 h in the pre-IVM phase.</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51</w:t>
            </w:r>
          </w:p>
        </w:tc>
        <w:tc>
          <w:tcPr>
            <w:tcW w:w="2400" w:type="dxa"/>
          </w:tcPr>
          <w:p>
            <w:pPr>
              <w:spacing w:before="20" w:after="20" w:line="240" w:lineRule="auto"/>
            </w:pPr>
            <w:r>
              <w:rPr>
                <w:rFonts w:ascii="Times New Roman" w:hAnsi="Times New Roman" w:cs="Times New Roman"/>
                <w:sz w:val="20"/>
                <w:szCs w:val="20"/>
              </w:rPr>
              <w:t xml:space="preserve">Methods → IVM of immature oocytes, culture medium for IVM and supplements</w:t>
            </w:r>
          </w:p>
        </w:tc>
        <w:tc>
          <w:tcPr>
            <w:tcW w:w="6018" w:type="dxa"/>
          </w:tcPr>
          <w:p>
            <w:pPr>
              <w:spacing w:before="20" w:after="20" w:line="240" w:lineRule="auto"/>
            </w:pPr>
            <w:r>
              <w:rPr>
                <w:rFonts w:ascii="Times New Roman" w:hAnsi="Times New Roman" w:cs="Times New Roman"/>
                <w:sz w:val="20"/>
                <w:szCs w:val="20"/>
              </w:rPr>
              <w:t xml:space="preserve">As mentioned earlier, CNP regulates cGMP levels in granulosa cells inside the follicle.</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52</w:t>
            </w:r>
          </w:p>
        </w:tc>
        <w:tc>
          <w:tcPr>
            <w:tcW w:w="2400" w:type="dxa"/>
          </w:tcPr>
          <w:p>
            <w:pPr>
              <w:spacing w:before="20" w:after="20" w:line="240" w:lineRule="auto"/>
            </w:pPr>
            <w:r>
              <w:rPr>
                <w:rFonts w:ascii="Times New Roman" w:hAnsi="Times New Roman" w:cs="Times New Roman"/>
                <w:sz w:val="20"/>
                <w:szCs w:val="20"/>
              </w:rPr>
              <w:t xml:space="preserve">Methods → IVM of immature oocytes, culture medium for IVM and supplements</w:t>
            </w:r>
          </w:p>
        </w:tc>
        <w:tc>
          <w:tcPr>
            <w:tcW w:w="6018" w:type="dxa"/>
          </w:tcPr>
          <w:p>
            <w:pPr>
              <w:spacing w:before="20" w:after="20" w:line="240" w:lineRule="auto"/>
            </w:pPr>
            <w:r>
              <w:rPr>
                <w:rFonts w:ascii="Times New Roman" w:hAnsi="Times New Roman" w:cs="Times New Roman"/>
                <w:sz w:val="20"/>
                <w:szCs w:val="20"/>
              </w:rPr>
              <w:t xml:space="preserve">COCs treated with CNP sustain gap-junctional communication between the oocyte and CCs for a longer duration, supplying the cGMP produced to the oocytes, even in in vitro conditions [65].</w:t>
            </w:r>
          </w:p>
        </w:tc>
        <w:tc>
          <w:tcPr>
            <w:tcW w:w="6018" w:type="dxa"/>
          </w:tcPr>
          <w:p>
            <w:pPr>
              <w:spacing w:before="20" w:after="20" w:line="240" w:lineRule="auto"/>
            </w:pPr>
            <w:r>
              <w:rPr>
                <w:rFonts w:ascii="Times New Roman" w:hAnsi="Times New Roman" w:cs="Times New Roman"/>
                <w:sz w:val="20"/>
                <w:szCs w:val="20"/>
              </w:rPr>
              <w:t xml:space="preserve">COCs treated with CNP sustain gap-junctional communication between the oocyte and CCs for a longer duration, supplying the cGMP produced to the oocytes, even in in vitro conditions.</w:t>
            </w:r>
          </w:p>
        </w:tc>
      </w:tr>
      <w:tr>
        <w:tc>
          <w:tcPr>
            <w:tcW w:w="700" w:type="dxa"/>
          </w:tcPr>
          <w:p>
            <w:pPr>
              <w:spacing w:before="20" w:after="20" w:line="240" w:lineRule="auto"/>
            </w:pPr>
            <w:r>
              <w:rPr>
                <w:rFonts w:ascii="Times New Roman" w:hAnsi="Times New Roman" w:cs="Times New Roman"/>
                <w:sz w:val="20"/>
                <w:szCs w:val="20"/>
              </w:rPr>
              <w:t xml:space="preserve">53</w:t>
            </w:r>
          </w:p>
        </w:tc>
        <w:tc>
          <w:tcPr>
            <w:tcW w:w="2400" w:type="dxa"/>
          </w:tcPr>
          <w:p>
            <w:pPr>
              <w:spacing w:before="20" w:after="20" w:line="240" w:lineRule="auto"/>
            </w:pPr>
            <w:r>
              <w:rPr>
                <w:rFonts w:ascii="Times New Roman" w:hAnsi="Times New Roman" w:cs="Times New Roman"/>
                <w:sz w:val="20"/>
                <w:szCs w:val="20"/>
              </w:rPr>
              <w:t xml:space="preserve">Methods → IVM of immature oocytes, culture medium for IVM and supplements</w:t>
            </w:r>
          </w:p>
        </w:tc>
        <w:tc>
          <w:tcPr>
            <w:tcW w:w="6018" w:type="dxa"/>
          </w:tcPr>
          <w:p>
            <w:pPr>
              <w:spacing w:before="20" w:after="20" w:line="240" w:lineRule="auto"/>
            </w:pPr>
            <w:r>
              <w:rPr>
                <w:rFonts w:ascii="Times New Roman" w:hAnsi="Times New Roman" w:cs="Times New Roman"/>
                <w:sz w:val="20"/>
                <w:szCs w:val="20"/>
              </w:rPr>
              <w:t xml:space="preserve">Indeed, the majority of clinics perform IVM without utilizing the pre-IVM phase, and there is no consensus on the most suitable medium formulation for IVM [66, 67].</w:t>
            </w:r>
          </w:p>
        </w:tc>
        <w:tc>
          <w:tcPr>
            <w:tcW w:w="6018" w:type="dxa"/>
          </w:tcPr>
          <w:p>
            <w:pPr>
              <w:spacing w:before="20" w:after="20" w:line="240" w:lineRule="auto"/>
            </w:pPr>
            <w:r>
              <w:rPr>
                <w:rFonts w:ascii="Times New Roman" w:hAnsi="Times New Roman" w:cs="Times New Roman"/>
                <w:sz w:val="20"/>
                <w:szCs w:val="20"/>
              </w:rPr>
              <w:t xml:space="preserve">Indeed, the majority of clinics perform IVM without utilizing the pre-IVM phase, and there is no consensus on the most suitable medium formulation for IVM.</w:t>
            </w:r>
          </w:p>
        </w:tc>
      </w:tr>
      <w:tr>
        <w:tc>
          <w:tcPr>
            <w:tcW w:w="700" w:type="dxa"/>
          </w:tcPr>
          <w:p>
            <w:pPr>
              <w:spacing w:before="20" w:after="20" w:line="240" w:lineRule="auto"/>
            </w:pPr>
            <w:r>
              <w:rPr>
                <w:rFonts w:ascii="Times New Roman" w:hAnsi="Times New Roman" w:cs="Times New Roman"/>
                <w:sz w:val="20"/>
                <w:szCs w:val="20"/>
              </w:rPr>
              <w:t xml:space="preserve">54</w:t>
            </w:r>
          </w:p>
        </w:tc>
        <w:tc>
          <w:tcPr>
            <w:tcW w:w="2400" w:type="dxa"/>
          </w:tcPr>
          <w:p>
            <w:pPr>
              <w:spacing w:before="20" w:after="20" w:line="240" w:lineRule="auto"/>
            </w:pPr>
            <w:r>
              <w:rPr>
                <w:rFonts w:ascii="Times New Roman" w:hAnsi="Times New Roman" w:cs="Times New Roman"/>
                <w:sz w:val="20"/>
                <w:szCs w:val="20"/>
              </w:rPr>
              <w:t xml:space="preserve">Methods → IVM of immature oocytes, culture medium for IVM and supplements</w:t>
            </w:r>
          </w:p>
        </w:tc>
        <w:tc>
          <w:tcPr>
            <w:tcW w:w="6018" w:type="dxa"/>
          </w:tcPr>
          <w:p>
            <w:pPr>
              <w:spacing w:before="20" w:after="20" w:line="240" w:lineRule="auto"/>
            </w:pPr>
            <w:r>
              <w:rPr>
                <w:rFonts w:ascii="Times New Roman" w:hAnsi="Times New Roman" w:cs="Times New Roman"/>
                <w:sz w:val="20"/>
                <w:szCs w:val="20"/>
              </w:rPr>
              <w:t xml:space="preserve">Although basic human IVM culture media are commercially available, the developmental competency of immature oocytes was not significantly different when using complex culture medium or regular IVF media such as blastocyst media which has a high concentration of glucose [68, 69].</w:t>
            </w:r>
          </w:p>
        </w:tc>
        <w:tc>
          <w:tcPr>
            <w:tcW w:w="6018" w:type="dxa"/>
          </w:tcPr>
          <w:p>
            <w:pPr>
              <w:spacing w:before="20" w:after="20" w:line="240" w:lineRule="auto"/>
            </w:pPr>
            <w:r>
              <w:rPr>
                <w:rFonts w:ascii="Times New Roman" w:hAnsi="Times New Roman" w:cs="Times New Roman"/>
                <w:sz w:val="20"/>
                <w:szCs w:val="20"/>
              </w:rPr>
              <w:t xml:space="preserve">Although basic human IVM culture media are commercially available, the developmental competency of immature oocytes was not significantly different when using complex culture medium or regular IVF media such as blastocyst media which has a high concentration of glucose.</w:t>
            </w:r>
          </w:p>
        </w:tc>
      </w:tr>
      <w:tr>
        <w:tc>
          <w:tcPr>
            <w:tcW w:w="700" w:type="dxa"/>
          </w:tcPr>
          <w:p>
            <w:pPr>
              <w:spacing w:before="20" w:after="20" w:line="240" w:lineRule="auto"/>
            </w:pPr>
            <w:r>
              <w:rPr>
                <w:rFonts w:ascii="Times New Roman" w:hAnsi="Times New Roman" w:cs="Times New Roman"/>
                <w:sz w:val="20"/>
                <w:szCs w:val="20"/>
              </w:rPr>
              <w:t xml:space="preserve">55</w:t>
            </w:r>
          </w:p>
        </w:tc>
        <w:tc>
          <w:tcPr>
            <w:tcW w:w="2400" w:type="dxa"/>
          </w:tcPr>
          <w:p>
            <w:pPr>
              <w:spacing w:before="20" w:after="20" w:line="240" w:lineRule="auto"/>
            </w:pPr>
            <w:r>
              <w:rPr>
                <w:rFonts w:ascii="Times New Roman" w:hAnsi="Times New Roman" w:cs="Times New Roman"/>
                <w:sz w:val="20"/>
                <w:szCs w:val="20"/>
              </w:rPr>
              <w:t xml:space="preserve">Methods → IVM of immature oocytes, culture medium for IVM and supplements</w:t>
            </w:r>
          </w:p>
        </w:tc>
        <w:tc>
          <w:tcPr>
            <w:tcW w:w="6018" w:type="dxa"/>
          </w:tcPr>
          <w:p>
            <w:pPr>
              <w:spacing w:before="20" w:after="20" w:line="240" w:lineRule="auto"/>
            </w:pPr>
            <w:r>
              <w:rPr>
                <w:rFonts w:ascii="Times New Roman" w:hAnsi="Times New Roman" w:cs="Times New Roman"/>
                <w:sz w:val="20"/>
                <w:szCs w:val="20"/>
              </w:rPr>
              <w:t xml:space="preserve">Currently, many IVM protocols involve adding serum, FSH, LH/hCG, or EGF-like growth factors to the culture medium based on their role in oocyte maturation in vivo.</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56</w:t>
            </w:r>
          </w:p>
        </w:tc>
        <w:tc>
          <w:tcPr>
            <w:tcW w:w="2400" w:type="dxa"/>
          </w:tcPr>
          <w:p>
            <w:pPr>
              <w:spacing w:before="20" w:after="20" w:line="240" w:lineRule="auto"/>
            </w:pPr>
            <w:r>
              <w:rPr>
                <w:rFonts w:ascii="Times New Roman" w:hAnsi="Times New Roman" w:cs="Times New Roman"/>
                <w:sz w:val="20"/>
                <w:szCs w:val="20"/>
              </w:rPr>
              <w:t xml:space="preserve">Methods → IVM of immature oocytes, culture medium for IVM and supplements</w:t>
            </w:r>
          </w:p>
        </w:tc>
        <w:tc>
          <w:tcPr>
            <w:tcW w:w="6018" w:type="dxa"/>
          </w:tcPr>
          <w:p>
            <w:pPr>
              <w:spacing w:before="20" w:after="20" w:line="240" w:lineRule="auto"/>
            </w:pPr>
            <w:r>
              <w:rPr>
                <w:rFonts w:ascii="Times New Roman" w:hAnsi="Times New Roman" w:cs="Times New Roman"/>
                <w:sz w:val="20"/>
                <w:szCs w:val="20"/>
              </w:rPr>
              <w:t xml:space="preserve">FSH is commonly included in the culture media during IVM to support oocyte maturation.</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57</w:t>
            </w:r>
          </w:p>
        </w:tc>
        <w:tc>
          <w:tcPr>
            <w:tcW w:w="2400" w:type="dxa"/>
          </w:tcPr>
          <w:p>
            <w:pPr>
              <w:spacing w:before="20" w:after="20" w:line="240" w:lineRule="auto"/>
            </w:pPr>
            <w:r>
              <w:rPr>
                <w:rFonts w:ascii="Times New Roman" w:hAnsi="Times New Roman" w:cs="Times New Roman"/>
                <w:sz w:val="20"/>
                <w:szCs w:val="20"/>
              </w:rPr>
              <w:t xml:space="preserve">Methods → IVM of immature oocytes, culture medium for IVM and supplements</w:t>
            </w:r>
          </w:p>
        </w:tc>
        <w:tc>
          <w:tcPr>
            <w:tcW w:w="6018" w:type="dxa"/>
          </w:tcPr>
          <w:p>
            <w:pPr>
              <w:spacing w:before="20" w:after="20" w:line="240" w:lineRule="auto"/>
            </w:pPr>
            <w:r>
              <w:rPr>
                <w:rFonts w:ascii="Times New Roman" w:hAnsi="Times New Roman" w:cs="Times New Roman"/>
                <w:sz w:val="20"/>
                <w:szCs w:val="20"/>
              </w:rPr>
              <w:t xml:space="preserve">In vivo, FSH is crucial for the development of preovulatory follicles, the induction of LH receptors, and the stimulation of EGF-like growth factors [71, 72].</w:t>
            </w:r>
          </w:p>
        </w:tc>
        <w:tc>
          <w:tcPr>
            <w:tcW w:w="6018" w:type="dxa"/>
          </w:tcPr>
          <w:p>
            <w:pPr>
              <w:spacing w:before="20" w:after="20" w:line="240" w:lineRule="auto"/>
            </w:pPr>
            <w:r>
              <w:rPr>
                <w:rFonts w:ascii="Times New Roman" w:hAnsi="Times New Roman" w:cs="Times New Roman"/>
                <w:sz w:val="20"/>
                <w:szCs w:val="20"/>
              </w:rPr>
              <w:t xml:space="preserve">In vivo, FSH is crucial for the development of preovulatory follicles, the induction of LH receptors, and the stimulation of EGF-like growth factors.</w:t>
            </w:r>
          </w:p>
        </w:tc>
      </w:tr>
      <w:tr>
        <w:tc>
          <w:tcPr>
            <w:tcW w:w="700" w:type="dxa"/>
          </w:tcPr>
          <w:p>
            <w:pPr>
              <w:spacing w:before="20" w:after="20" w:line="240" w:lineRule="auto"/>
            </w:pPr>
            <w:r>
              <w:rPr>
                <w:rFonts w:ascii="Times New Roman" w:hAnsi="Times New Roman" w:cs="Times New Roman"/>
                <w:sz w:val="20"/>
                <w:szCs w:val="20"/>
              </w:rPr>
              <w:t xml:space="preserve">58</w:t>
            </w:r>
          </w:p>
        </w:tc>
        <w:tc>
          <w:tcPr>
            <w:tcW w:w="2400" w:type="dxa"/>
          </w:tcPr>
          <w:p>
            <w:pPr>
              <w:spacing w:before="20" w:after="20" w:line="240" w:lineRule="auto"/>
            </w:pPr>
            <w:r>
              <w:rPr>
                <w:rFonts w:ascii="Times New Roman" w:hAnsi="Times New Roman" w:cs="Times New Roman"/>
                <w:sz w:val="20"/>
                <w:szCs w:val="20"/>
              </w:rPr>
              <w:t xml:space="preserve">Methods → IVM of immature oocytes, culture medium for IVM and supplements</w:t>
            </w:r>
          </w:p>
        </w:tc>
        <w:tc>
          <w:tcPr>
            <w:tcW w:w="6018" w:type="dxa"/>
          </w:tcPr>
          <w:p>
            <w:pPr>
              <w:spacing w:before="20" w:after="20" w:line="240" w:lineRule="auto"/>
            </w:pPr>
            <w:r>
              <w:rPr>
                <w:rFonts w:ascii="Times New Roman" w:hAnsi="Times New Roman" w:cs="Times New Roman"/>
                <w:sz w:val="20"/>
                <w:szCs w:val="20"/>
              </w:rPr>
              <w:t xml:space="preserve">Similarly, LH and hCG are essential in IVM media to mimic the natural process of meiotic resumption and final maturation after LH surge and ovulation in vivo [73–75].</w:t>
            </w:r>
          </w:p>
        </w:tc>
        <w:tc>
          <w:tcPr>
            <w:tcW w:w="6018" w:type="dxa"/>
          </w:tcPr>
          <w:p>
            <w:pPr>
              <w:spacing w:before="20" w:after="20" w:line="240" w:lineRule="auto"/>
            </w:pPr>
            <w:r>
              <w:rPr>
                <w:rFonts w:ascii="Times New Roman" w:hAnsi="Times New Roman" w:cs="Times New Roman"/>
                <w:sz w:val="20"/>
                <w:szCs w:val="20"/>
              </w:rPr>
              <w:t xml:space="preserve">Similarly, LH and hCG are essential in IVM media to mimic the natural process of meiotic resumption and final maturation after LH surge and ovulation in vivo.</w:t>
            </w:r>
          </w:p>
        </w:tc>
      </w:tr>
      <w:tr>
        <w:tc>
          <w:tcPr>
            <w:tcW w:w="700" w:type="dxa"/>
          </w:tcPr>
          <w:p>
            <w:pPr>
              <w:spacing w:before="20" w:after="20" w:line="240" w:lineRule="auto"/>
            </w:pPr>
            <w:r>
              <w:rPr>
                <w:rFonts w:ascii="Times New Roman" w:hAnsi="Times New Roman" w:cs="Times New Roman"/>
                <w:sz w:val="20"/>
                <w:szCs w:val="20"/>
              </w:rPr>
              <w:t xml:space="preserve">59</w:t>
            </w:r>
          </w:p>
        </w:tc>
        <w:tc>
          <w:tcPr>
            <w:tcW w:w="2400" w:type="dxa"/>
          </w:tcPr>
          <w:p>
            <w:pPr>
              <w:spacing w:before="20" w:after="20" w:line="240" w:lineRule="auto"/>
            </w:pPr>
            <w:r>
              <w:rPr>
                <w:rFonts w:ascii="Times New Roman" w:hAnsi="Times New Roman" w:cs="Times New Roman"/>
                <w:sz w:val="20"/>
                <w:szCs w:val="20"/>
              </w:rPr>
              <w:t xml:space="preserve">Methods → IVM of immature oocytes, culture medium for IVM and supplements</w:t>
            </w:r>
          </w:p>
        </w:tc>
        <w:tc>
          <w:tcPr>
            <w:tcW w:w="6018" w:type="dxa"/>
          </w:tcPr>
          <w:p>
            <w:pPr>
              <w:spacing w:before="20" w:after="20" w:line="240" w:lineRule="auto"/>
            </w:pPr>
            <w:r>
              <w:rPr>
                <w:rFonts w:ascii="Times New Roman" w:hAnsi="Times New Roman" w:cs="Times New Roman"/>
                <w:sz w:val="20"/>
                <w:szCs w:val="20"/>
              </w:rPr>
              <w:t xml:space="preserve">However, it is essential to note that the role of gonadotropins in vitro may differ from in vivo due to the absence of mural cells, which mediate LH/hCG signals and EGF-like growth factors, in immature COCs collected in vitro.</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60</w:t>
            </w:r>
          </w:p>
        </w:tc>
        <w:tc>
          <w:tcPr>
            <w:tcW w:w="2400" w:type="dxa"/>
          </w:tcPr>
          <w:p>
            <w:pPr>
              <w:spacing w:before="20" w:after="20" w:line="240" w:lineRule="auto"/>
            </w:pPr>
            <w:r>
              <w:rPr>
                <w:rFonts w:ascii="Times New Roman" w:hAnsi="Times New Roman" w:cs="Times New Roman"/>
                <w:sz w:val="20"/>
                <w:szCs w:val="20"/>
              </w:rPr>
              <w:t xml:space="preserve">Methods → IVM of immature oocytes, culture medium for IVM and supplements</w:t>
            </w:r>
          </w:p>
        </w:tc>
        <w:tc>
          <w:tcPr>
            <w:tcW w:w="6018" w:type="dxa"/>
          </w:tcPr>
          <w:p>
            <w:pPr>
              <w:spacing w:before="20" w:after="20" w:line="240" w:lineRule="auto"/>
            </w:pPr>
            <w:r>
              <w:rPr>
                <w:rFonts w:ascii="Times New Roman" w:hAnsi="Times New Roman" w:cs="Times New Roman"/>
                <w:sz w:val="20"/>
                <w:szCs w:val="20"/>
              </w:rPr>
              <w:t xml:space="preserve">Therefore, one study suggested using high FSH levels (70 IU/L) in IVM to stimulate the somatic cells of COCs, which have relatively low levels of FSHR expression, to sufficiently secure LHR expression, thereby enabling oocytes to resume meiosis [76].</w:t>
            </w:r>
          </w:p>
        </w:tc>
        <w:tc>
          <w:tcPr>
            <w:tcW w:w="6018" w:type="dxa"/>
          </w:tcPr>
          <w:p>
            <w:pPr>
              <w:spacing w:before="20" w:after="20" w:line="240" w:lineRule="auto"/>
            </w:pPr>
            <w:r>
              <w:rPr>
                <w:rFonts w:ascii="Times New Roman" w:hAnsi="Times New Roman" w:cs="Times New Roman"/>
                <w:sz w:val="20"/>
                <w:szCs w:val="20"/>
              </w:rPr>
              <w:t xml:space="preserve">Therefore, one study suggested using high FSH levels (70 IU/L) in IVM to stimulate the somatic cells of COCs, which have relatively low levels of FSHR expression, to sufficiently secure LHR expression, thereby enabling oocytes to resume meiosis.</w:t>
            </w:r>
          </w:p>
        </w:tc>
      </w:tr>
      <w:tr>
        <w:tc>
          <w:tcPr>
            <w:tcW w:w="700" w:type="dxa"/>
          </w:tcPr>
          <w:p>
            <w:pPr>
              <w:spacing w:before="20" w:after="20" w:line="240" w:lineRule="auto"/>
            </w:pPr>
            <w:r>
              <w:rPr>
                <w:rFonts w:ascii="Times New Roman" w:hAnsi="Times New Roman" w:cs="Times New Roman"/>
                <w:sz w:val="20"/>
                <w:szCs w:val="20"/>
              </w:rPr>
              <w:t xml:space="preserve">61</w:t>
            </w:r>
          </w:p>
        </w:tc>
        <w:tc>
          <w:tcPr>
            <w:tcW w:w="2400" w:type="dxa"/>
          </w:tcPr>
          <w:p>
            <w:pPr>
              <w:spacing w:before="20" w:after="20" w:line="240" w:lineRule="auto"/>
            </w:pPr>
            <w:r>
              <w:rPr>
                <w:rFonts w:ascii="Times New Roman" w:hAnsi="Times New Roman" w:cs="Times New Roman"/>
                <w:sz w:val="20"/>
                <w:szCs w:val="20"/>
              </w:rPr>
              <w:t xml:space="preserve">Methods → IVM of immature oocytes, culture medium for IVM and supplements</w:t>
            </w:r>
          </w:p>
        </w:tc>
        <w:tc>
          <w:tcPr>
            <w:tcW w:w="6018" w:type="dxa"/>
          </w:tcPr>
          <w:p>
            <w:pPr>
              <w:spacing w:before="20" w:after="20" w:line="240" w:lineRule="auto"/>
            </w:pPr>
            <w:r>
              <w:rPr>
                <w:rFonts w:ascii="Times New Roman" w:hAnsi="Times New Roman" w:cs="Times New Roman"/>
                <w:sz w:val="20"/>
                <w:szCs w:val="20"/>
              </w:rPr>
              <w:t xml:space="preserve">However, further extensive research is necessary to determine the optimal combination and concentrations of these supplements in the culture medium to achieve enhanced IVM outcomes.</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62</w:t>
            </w:r>
          </w:p>
        </w:tc>
        <w:tc>
          <w:tcPr>
            <w:tcW w:w="2400" w:type="dxa"/>
          </w:tcPr>
          <w:p>
            <w:pPr>
              <w:spacing w:before="20" w:after="20" w:line="240" w:lineRule="auto"/>
            </w:pPr>
            <w:r>
              <w:rPr>
                <w:rFonts w:ascii="Times New Roman" w:hAnsi="Times New Roman" w:cs="Times New Roman"/>
                <w:sz w:val="20"/>
                <w:szCs w:val="20"/>
              </w:rPr>
              <w:t xml:space="preserve">Methods → IVM culture time and Insemination</w:t>
            </w:r>
          </w:p>
        </w:tc>
        <w:tc>
          <w:tcPr>
            <w:tcW w:w="6018" w:type="dxa"/>
          </w:tcPr>
          <w:p>
            <w:pPr>
              <w:spacing w:before="20" w:after="20" w:line="240" w:lineRule="auto"/>
            </w:pPr>
            <w:r>
              <w:rPr>
                <w:rFonts w:ascii="Times New Roman" w:hAnsi="Times New Roman" w:cs="Times New Roman"/>
                <w:sz w:val="20"/>
                <w:szCs w:val="20"/>
              </w:rPr>
              <w:t xml:space="preserve">A critical aspect of the hCG-primed IVM cycles is the identification of in vivo mature oocytes on the day of collection, attributed to their significant reproductive potential (Fig. 2).</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63</w:t>
            </w:r>
          </w:p>
        </w:tc>
        <w:tc>
          <w:tcPr>
            <w:tcW w:w="2400" w:type="dxa"/>
          </w:tcPr>
          <w:p>
            <w:pPr>
              <w:spacing w:before="20" w:after="20" w:line="240" w:lineRule="auto"/>
            </w:pPr>
            <w:r>
              <w:rPr>
                <w:rFonts w:ascii="Times New Roman" w:hAnsi="Times New Roman" w:cs="Times New Roman"/>
                <w:sz w:val="20"/>
                <w:szCs w:val="20"/>
              </w:rPr>
              <w:t xml:space="preserve">Methods → IVM culture time and Insemination</w:t>
            </w:r>
          </w:p>
        </w:tc>
        <w:tc>
          <w:tcPr>
            <w:tcW w:w="6018" w:type="dxa"/>
          </w:tcPr>
          <w:p>
            <w:pPr>
              <w:spacing w:before="20" w:after="20" w:line="240" w:lineRule="auto"/>
            </w:pPr>
            <w:r>
              <w:rPr>
                <w:rFonts w:ascii="Times New Roman" w:hAnsi="Times New Roman" w:cs="Times New Roman"/>
                <w:sz w:val="20"/>
                <w:szCs w:val="20"/>
              </w:rPr>
              <w:t xml:space="preserve">Consequently, in hCG-primed cycles, it is crucial to assess oocyte maturity multiple times, encompassing both the collection day and the subsequent day.</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64</w:t>
            </w:r>
          </w:p>
        </w:tc>
        <w:tc>
          <w:tcPr>
            <w:tcW w:w="2400" w:type="dxa"/>
          </w:tcPr>
          <w:p>
            <w:pPr>
              <w:spacing w:before="20" w:after="20" w:line="240" w:lineRule="auto"/>
            </w:pPr>
            <w:r>
              <w:rPr>
                <w:rFonts w:ascii="Times New Roman" w:hAnsi="Times New Roman" w:cs="Times New Roman"/>
                <w:sz w:val="20"/>
                <w:szCs w:val="20"/>
              </w:rPr>
              <w:t xml:space="preserve">Methods → IVM culture time and Insemination</w:t>
            </w:r>
          </w:p>
        </w:tc>
        <w:tc>
          <w:tcPr>
            <w:tcW w:w="6018" w:type="dxa"/>
          </w:tcPr>
          <w:p>
            <w:pPr>
              <w:spacing w:before="20" w:after="20" w:line="240" w:lineRule="auto"/>
            </w:pPr>
            <w:r>
              <w:rPr>
                <w:rFonts w:ascii="Times New Roman" w:hAnsi="Times New Roman" w:cs="Times New Roman"/>
                <w:sz w:val="20"/>
                <w:szCs w:val="20"/>
              </w:rPr>
              <w:t xml:space="preserve">This is in contrast to other non-hCG primed IVM programs, where in vivo matured oocytes are not present on the collection day.</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65</w:t>
            </w:r>
          </w:p>
        </w:tc>
        <w:tc>
          <w:tcPr>
            <w:tcW w:w="2400" w:type="dxa"/>
          </w:tcPr>
          <w:p>
            <w:pPr>
              <w:spacing w:before="20" w:after="20" w:line="240" w:lineRule="auto"/>
            </w:pPr>
            <w:r>
              <w:rPr>
                <w:rFonts w:ascii="Times New Roman" w:hAnsi="Times New Roman" w:cs="Times New Roman"/>
                <w:sz w:val="20"/>
                <w:szCs w:val="20"/>
              </w:rPr>
              <w:t xml:space="preserve">Methods → IVM culture time and Insemination</w:t>
            </w:r>
          </w:p>
        </w:tc>
        <w:tc>
          <w:tcPr>
            <w:tcW w:w="6018" w:type="dxa"/>
          </w:tcPr>
          <w:p>
            <w:pPr>
              <w:spacing w:before="20" w:after="20" w:line="240" w:lineRule="auto"/>
            </w:pPr>
            <w:r>
              <w:rPr>
                <w:rFonts w:ascii="Times New Roman" w:hAnsi="Times New Roman" w:cs="Times New Roman"/>
                <w:sz w:val="20"/>
                <w:szCs w:val="20"/>
              </w:rPr>
              <w:t xml:space="preserve">In the early IVM studies, oocyte maturity was typically assessed after 48 or 56 h of culture [1, 85, 86].</w:t>
            </w:r>
          </w:p>
        </w:tc>
        <w:tc>
          <w:tcPr>
            <w:tcW w:w="6018" w:type="dxa"/>
          </w:tcPr>
          <w:p>
            <w:pPr>
              <w:spacing w:before="20" w:after="20" w:line="240" w:lineRule="auto"/>
            </w:pPr>
            <w:r>
              <w:rPr>
                <w:rFonts w:ascii="Times New Roman" w:hAnsi="Times New Roman" w:cs="Times New Roman"/>
                <w:sz w:val="20"/>
                <w:szCs w:val="20"/>
              </w:rPr>
              <w:t xml:space="preserve">In the early IVM studies, oocyte maturity was typically assessed after 48 or 56 h of culture.</w:t>
            </w:r>
          </w:p>
        </w:tc>
      </w:tr>
      <w:tr>
        <w:tc>
          <w:tcPr>
            <w:tcW w:w="700" w:type="dxa"/>
          </w:tcPr>
          <w:p>
            <w:pPr>
              <w:spacing w:before="20" w:after="20" w:line="240" w:lineRule="auto"/>
            </w:pPr>
            <w:r>
              <w:rPr>
                <w:rFonts w:ascii="Times New Roman" w:hAnsi="Times New Roman" w:cs="Times New Roman"/>
                <w:sz w:val="20"/>
                <w:szCs w:val="20"/>
              </w:rPr>
              <w:t xml:space="preserve">66</w:t>
            </w:r>
          </w:p>
        </w:tc>
        <w:tc>
          <w:tcPr>
            <w:tcW w:w="2400" w:type="dxa"/>
          </w:tcPr>
          <w:p>
            <w:pPr>
              <w:spacing w:before="20" w:after="20" w:line="240" w:lineRule="auto"/>
            </w:pPr>
            <w:r>
              <w:rPr>
                <w:rFonts w:ascii="Times New Roman" w:hAnsi="Times New Roman" w:cs="Times New Roman"/>
                <w:sz w:val="20"/>
                <w:szCs w:val="20"/>
              </w:rPr>
              <w:t xml:space="preserve">Methods → IVM culture time and Insemination</w:t>
            </w:r>
          </w:p>
        </w:tc>
        <w:tc>
          <w:tcPr>
            <w:tcW w:w="6018" w:type="dxa"/>
          </w:tcPr>
          <w:p>
            <w:pPr>
              <w:spacing w:before="20" w:after="20" w:line="240" w:lineRule="auto"/>
            </w:pPr>
            <w:r>
              <w:rPr>
                <w:rFonts w:ascii="Times New Roman" w:hAnsi="Times New Roman" w:cs="Times New Roman"/>
                <w:sz w:val="20"/>
                <w:szCs w:val="20"/>
              </w:rPr>
              <w:t xml:space="preserve">However, recent researchers have shown that a significant number of MII stage oocytes (approximately 40–60%) can be obtained after just one day of culture (approximately 24–30 h) from GV stage oocytes collected in IVM cycles [34].</w:t>
            </w:r>
          </w:p>
        </w:tc>
        <w:tc>
          <w:tcPr>
            <w:tcW w:w="6018" w:type="dxa"/>
          </w:tcPr>
          <w:p>
            <w:pPr>
              <w:spacing w:before="20" w:after="20" w:line="240" w:lineRule="auto"/>
            </w:pPr>
            <w:r>
              <w:rPr>
                <w:rFonts w:ascii="Times New Roman" w:hAnsi="Times New Roman" w:cs="Times New Roman"/>
                <w:sz w:val="20"/>
                <w:szCs w:val="20"/>
              </w:rPr>
              <w:t xml:space="preserve">However, recent researchers have shown that a significant number of MII stage oocytes (approximately 40–60%) can be obtained after just one day of culture (approximately 24–30 h) from GV stage oocytes collected in IVM cycles.</w:t>
            </w:r>
          </w:p>
        </w:tc>
      </w:tr>
      <w:tr>
        <w:tc>
          <w:tcPr>
            <w:tcW w:w="700" w:type="dxa"/>
          </w:tcPr>
          <w:p>
            <w:pPr>
              <w:spacing w:before="20" w:after="20" w:line="240" w:lineRule="auto"/>
            </w:pPr>
            <w:r>
              <w:rPr>
                <w:rFonts w:ascii="Times New Roman" w:hAnsi="Times New Roman" w:cs="Times New Roman"/>
                <w:sz w:val="20"/>
                <w:szCs w:val="20"/>
              </w:rPr>
              <w:t xml:space="preserve">67</w:t>
            </w:r>
          </w:p>
        </w:tc>
        <w:tc>
          <w:tcPr>
            <w:tcW w:w="2400" w:type="dxa"/>
          </w:tcPr>
          <w:p>
            <w:pPr>
              <w:spacing w:before="20" w:after="20" w:line="240" w:lineRule="auto"/>
            </w:pPr>
            <w:r>
              <w:rPr>
                <w:rFonts w:ascii="Times New Roman" w:hAnsi="Times New Roman" w:cs="Times New Roman"/>
                <w:sz w:val="20"/>
                <w:szCs w:val="20"/>
              </w:rPr>
              <w:t xml:space="preserve">Methods → IVM culture time and Insemination</w:t>
            </w:r>
          </w:p>
        </w:tc>
        <w:tc>
          <w:tcPr>
            <w:tcW w:w="6018" w:type="dxa"/>
          </w:tcPr>
          <w:p>
            <w:pPr>
              <w:spacing w:before="20" w:after="20" w:line="240" w:lineRule="auto"/>
            </w:pPr>
            <w:r>
              <w:rPr>
                <w:rFonts w:ascii="Times New Roman" w:hAnsi="Times New Roman" w:cs="Times New Roman"/>
                <w:sz w:val="20"/>
                <w:szCs w:val="20"/>
              </w:rPr>
              <w:t xml:space="preserve">Historically, intracytoplasmic sperm injection (ICSI) has been the preferred method of insemination in IVM studies [60, 87].</w:t>
            </w:r>
          </w:p>
        </w:tc>
        <w:tc>
          <w:tcPr>
            <w:tcW w:w="6018" w:type="dxa"/>
          </w:tcPr>
          <w:p>
            <w:pPr>
              <w:spacing w:before="20" w:after="20" w:line="240" w:lineRule="auto"/>
            </w:pPr>
            <w:r>
              <w:rPr>
                <w:rFonts w:ascii="Times New Roman" w:hAnsi="Times New Roman" w:cs="Times New Roman"/>
                <w:sz w:val="20"/>
                <w:szCs w:val="20"/>
              </w:rPr>
              <w:t xml:space="preserve">Historically, intracytoplasmic sperm injection (ICSI) has been the preferred method of insemination in IVM studies.</w:t>
            </w:r>
          </w:p>
        </w:tc>
      </w:tr>
      <w:tr>
        <w:tc>
          <w:tcPr>
            <w:tcW w:w="700" w:type="dxa"/>
          </w:tcPr>
          <w:p>
            <w:pPr>
              <w:spacing w:before="20" w:after="20" w:line="240" w:lineRule="auto"/>
            </w:pPr>
            <w:r>
              <w:rPr>
                <w:rFonts w:ascii="Times New Roman" w:hAnsi="Times New Roman" w:cs="Times New Roman"/>
                <w:sz w:val="20"/>
                <w:szCs w:val="20"/>
              </w:rPr>
              <w:t xml:space="preserve">68</w:t>
            </w:r>
          </w:p>
        </w:tc>
        <w:tc>
          <w:tcPr>
            <w:tcW w:w="2400" w:type="dxa"/>
          </w:tcPr>
          <w:p>
            <w:pPr>
              <w:spacing w:before="20" w:after="20" w:line="240" w:lineRule="auto"/>
            </w:pPr>
            <w:r>
              <w:rPr>
                <w:rFonts w:ascii="Times New Roman" w:hAnsi="Times New Roman" w:cs="Times New Roman"/>
                <w:sz w:val="20"/>
                <w:szCs w:val="20"/>
              </w:rPr>
              <w:t xml:space="preserve">Methods → IVM culture time and Insemination</w:t>
            </w:r>
          </w:p>
        </w:tc>
        <w:tc>
          <w:tcPr>
            <w:tcW w:w="6018" w:type="dxa"/>
          </w:tcPr>
          <w:p>
            <w:pPr>
              <w:spacing w:before="20" w:after="20" w:line="240" w:lineRule="auto"/>
            </w:pPr>
            <w:r>
              <w:rPr>
                <w:rFonts w:ascii="Times New Roman" w:hAnsi="Times New Roman" w:cs="Times New Roman"/>
                <w:sz w:val="20"/>
                <w:szCs w:val="20"/>
              </w:rPr>
              <w:t xml:space="preserve">While IVF fertilization methods can be used in IVM [88, 89], ICSI is commonly used to increase fertilization rates, regardless of the presence of a male factor, and to mitigate the risk of unexpected fertilization failure.</w:t>
            </w:r>
          </w:p>
        </w:tc>
        <w:tc>
          <w:tcPr>
            <w:tcW w:w="6018" w:type="dxa"/>
          </w:tcPr>
          <w:p>
            <w:pPr>
              <w:spacing w:before="20" w:after="20" w:line="240" w:lineRule="auto"/>
            </w:pPr>
            <w:r>
              <w:rPr>
                <w:rFonts w:ascii="Times New Roman" w:hAnsi="Times New Roman" w:cs="Times New Roman"/>
                <w:sz w:val="20"/>
                <w:szCs w:val="20"/>
              </w:rPr>
              <w:t xml:space="preserve">While IVF fertilization methods can be used in IVM, ICSI is commonly used to increase fertilization rates, regardless of the presence of a male factor, and to mitigate the risk of unexpected fertilization failure.</w:t>
            </w:r>
          </w:p>
        </w:tc>
      </w:tr>
      <w:tr>
        <w:tc>
          <w:tcPr>
            <w:tcW w:w="700" w:type="dxa"/>
          </w:tcPr>
          <w:p>
            <w:pPr>
              <w:spacing w:before="20" w:after="20" w:line="240" w:lineRule="auto"/>
            </w:pPr>
            <w:r>
              <w:rPr>
                <w:rFonts w:ascii="Times New Roman" w:hAnsi="Times New Roman" w:cs="Times New Roman"/>
                <w:sz w:val="20"/>
                <w:szCs w:val="20"/>
              </w:rPr>
              <w:t xml:space="preserve">69</w:t>
            </w:r>
          </w:p>
        </w:tc>
        <w:tc>
          <w:tcPr>
            <w:tcW w:w="2400" w:type="dxa"/>
          </w:tcPr>
          <w:p>
            <w:pPr>
              <w:spacing w:before="20" w:after="20" w:line="240" w:lineRule="auto"/>
            </w:pPr>
            <w:r>
              <w:rPr>
                <w:rFonts w:ascii="Times New Roman" w:hAnsi="Times New Roman" w:cs="Times New Roman"/>
                <w:sz w:val="20"/>
                <w:szCs w:val="20"/>
              </w:rPr>
              <w:t xml:space="preserve">Methods → Culture of IVM embryos, Embryo Transfer (ET) and cryopreservation</w:t>
            </w:r>
          </w:p>
        </w:tc>
        <w:tc>
          <w:tcPr>
            <w:tcW w:w="6018" w:type="dxa"/>
          </w:tcPr>
          <w:p>
            <w:pPr>
              <w:spacing w:before="20" w:after="20" w:line="240" w:lineRule="auto"/>
            </w:pPr>
            <w:r>
              <w:rPr>
                <w:rFonts w:ascii="Times New Roman" w:hAnsi="Times New Roman" w:cs="Times New Roman"/>
                <w:sz w:val="20"/>
                <w:szCs w:val="20"/>
              </w:rPr>
              <w:t xml:space="preserve">After zygotes (fertilized oocytes) are generated through IVF fertilization or ICSI within an IVM cycle, the subsequent embryological tasks and procedures for ET and cryopreservation closely resemble those employed in traditional IVF cycles [34].</w:t>
            </w:r>
          </w:p>
        </w:tc>
        <w:tc>
          <w:tcPr>
            <w:tcW w:w="6018" w:type="dxa"/>
          </w:tcPr>
          <w:p>
            <w:pPr>
              <w:spacing w:before="20" w:after="20" w:line="240" w:lineRule="auto"/>
            </w:pPr>
            <w:r>
              <w:rPr>
                <w:rFonts w:ascii="Times New Roman" w:hAnsi="Times New Roman" w:cs="Times New Roman"/>
                <w:sz w:val="20"/>
                <w:szCs w:val="20"/>
              </w:rPr>
              <w:t xml:space="preserve">After zygotes (fertilized oocytes) are generated through IVF fertilization or ICSI within an IVM cycle, the subsequent embryological tasks and procedures for ET and cryopreservation closely resemble those employed in traditional IVF cycles.</w:t>
            </w:r>
          </w:p>
        </w:tc>
      </w:tr>
      <w:tr>
        <w:tc>
          <w:tcPr>
            <w:tcW w:w="700" w:type="dxa"/>
          </w:tcPr>
          <w:p>
            <w:pPr>
              <w:spacing w:before="20" w:after="20" w:line="240" w:lineRule="auto"/>
            </w:pPr>
            <w:r>
              <w:rPr>
                <w:rFonts w:ascii="Times New Roman" w:hAnsi="Times New Roman" w:cs="Times New Roman"/>
                <w:sz w:val="20"/>
                <w:szCs w:val="20"/>
              </w:rPr>
              <w:t xml:space="preserve">70</w:t>
            </w:r>
          </w:p>
        </w:tc>
        <w:tc>
          <w:tcPr>
            <w:tcW w:w="2400" w:type="dxa"/>
          </w:tcPr>
          <w:p>
            <w:pPr>
              <w:spacing w:before="20" w:after="20" w:line="240" w:lineRule="auto"/>
            </w:pPr>
            <w:r>
              <w:rPr>
                <w:rFonts w:ascii="Times New Roman" w:hAnsi="Times New Roman" w:cs="Times New Roman"/>
                <w:sz w:val="20"/>
                <w:szCs w:val="20"/>
              </w:rPr>
              <w:t xml:space="preserve">Methods → Culture of IVM embryos, Embryo Transfer (ET) and cryopreservation</w:t>
            </w:r>
          </w:p>
        </w:tc>
        <w:tc>
          <w:tcPr>
            <w:tcW w:w="6018" w:type="dxa"/>
          </w:tcPr>
          <w:p>
            <w:pPr>
              <w:spacing w:before="20" w:after="20" w:line="240" w:lineRule="auto"/>
            </w:pPr>
            <w:r>
              <w:rPr>
                <w:rFonts w:ascii="Times New Roman" w:hAnsi="Times New Roman" w:cs="Times New Roman"/>
                <w:sz w:val="20"/>
                <w:szCs w:val="20"/>
              </w:rPr>
              <w:t xml:space="preserve">In terms of cryopreservation, investigations have revealed favourable survival rates and reasonable clinical outcomes when employing vitrification to freeze both cleavage-stage and blastocyst-stage embryos derived from clinical IVM programs [92–94].</w:t>
            </w:r>
          </w:p>
        </w:tc>
        <w:tc>
          <w:tcPr>
            <w:tcW w:w="6018" w:type="dxa"/>
          </w:tcPr>
          <w:p>
            <w:pPr>
              <w:spacing w:before="20" w:after="20" w:line="240" w:lineRule="auto"/>
            </w:pPr>
            <w:r>
              <w:rPr>
                <w:rFonts w:ascii="Times New Roman" w:hAnsi="Times New Roman" w:cs="Times New Roman"/>
                <w:sz w:val="20"/>
                <w:szCs w:val="20"/>
              </w:rPr>
              <w:t xml:space="preserve">In terms of cryopreservation, investigations have revealed favourable survival rates and reasonable clinical outcomes when employing vitrification to freeze both cleavage-stage and blastocyst-stage embryos derived from clinical IVM programs.</w:t>
            </w:r>
          </w:p>
        </w:tc>
      </w:tr>
      <w:tr>
        <w:tc>
          <w:tcPr>
            <w:tcW w:w="700" w:type="dxa"/>
          </w:tcPr>
          <w:p>
            <w:pPr>
              <w:spacing w:before="20" w:after="20" w:line="240" w:lineRule="auto"/>
            </w:pPr>
            <w:r>
              <w:rPr>
                <w:rFonts w:ascii="Times New Roman" w:hAnsi="Times New Roman" w:cs="Times New Roman"/>
                <w:sz w:val="20"/>
                <w:szCs w:val="20"/>
              </w:rPr>
              <w:t xml:space="preserve">71</w:t>
            </w:r>
          </w:p>
        </w:tc>
        <w:tc>
          <w:tcPr>
            <w:tcW w:w="2400" w:type="dxa"/>
          </w:tcPr>
          <w:p>
            <w:pPr>
              <w:spacing w:before="20" w:after="20" w:line="240" w:lineRule="auto"/>
            </w:pPr>
            <w:r>
              <w:rPr>
                <w:rFonts w:ascii="Times New Roman" w:hAnsi="Times New Roman" w:cs="Times New Roman"/>
                <w:sz w:val="20"/>
                <w:szCs w:val="20"/>
              </w:rPr>
              <w:t xml:space="preserve">Methods → Endometrial preparation and luteal support</w:t>
            </w:r>
          </w:p>
        </w:tc>
        <w:tc>
          <w:tcPr>
            <w:tcW w:w="6018" w:type="dxa"/>
          </w:tcPr>
          <w:p>
            <w:pPr>
              <w:spacing w:before="20" w:after="20" w:line="240" w:lineRule="auto"/>
            </w:pPr>
            <w:r>
              <w:rPr>
                <w:rFonts w:ascii="Times New Roman" w:hAnsi="Times New Roman" w:cs="Times New Roman"/>
                <w:sz w:val="20"/>
                <w:szCs w:val="20"/>
              </w:rPr>
              <w:t xml:space="preserve">In a retrospective study, Elizur et al. [96] compared low-dose hMG to micronized estrogen (6 to 12 mg/day) to thicken the endometrial lining in IVM cycles when the endometrial thickness was below 6 mm on day 6–10.</w:t>
            </w:r>
          </w:p>
        </w:tc>
        <w:tc>
          <w:tcPr>
            <w:tcW w:w="6018" w:type="dxa"/>
          </w:tcPr>
          <w:p>
            <w:pPr>
              <w:spacing w:before="20" w:after="20" w:line="240" w:lineRule="auto"/>
            </w:pPr>
            <w:r>
              <w:rPr>
                <w:rFonts w:ascii="Times New Roman" w:hAnsi="Times New Roman" w:cs="Times New Roman"/>
                <w:sz w:val="20"/>
                <w:szCs w:val="20"/>
              </w:rPr>
              <w:t xml:space="preserve">In a retrospective study, Elizur et al. compared low-dose hMG to micronized estrogen (6 to 12 mg/day) to thicken the endometrial lining in IVM cycles when the endometrial thickness was below 6 mm on day 6–10.</w:t>
            </w:r>
          </w:p>
        </w:tc>
      </w:tr>
      <w:tr>
        <w:tc>
          <w:tcPr>
            <w:tcW w:w="700" w:type="dxa"/>
          </w:tcPr>
          <w:p>
            <w:pPr>
              <w:spacing w:before="20" w:after="20" w:line="240" w:lineRule="auto"/>
            </w:pPr>
            <w:r>
              <w:rPr>
                <w:rFonts w:ascii="Times New Roman" w:hAnsi="Times New Roman" w:cs="Times New Roman"/>
                <w:sz w:val="20"/>
                <w:szCs w:val="20"/>
              </w:rPr>
              <w:t xml:space="preserve">72</w:t>
            </w:r>
          </w:p>
        </w:tc>
        <w:tc>
          <w:tcPr>
            <w:tcW w:w="2400" w:type="dxa"/>
          </w:tcPr>
          <w:p>
            <w:pPr>
              <w:spacing w:before="20" w:after="20" w:line="240" w:lineRule="auto"/>
            </w:pPr>
            <w:r>
              <w:rPr>
                <w:rFonts w:ascii="Times New Roman" w:hAnsi="Times New Roman" w:cs="Times New Roman"/>
                <w:sz w:val="20"/>
                <w:szCs w:val="20"/>
              </w:rPr>
              <w:t xml:space="preserve">Methods → Endometrial preparation and luteal support</w:t>
            </w:r>
          </w:p>
        </w:tc>
        <w:tc>
          <w:tcPr>
            <w:tcW w:w="6018" w:type="dxa"/>
          </w:tcPr>
          <w:p>
            <w:pPr>
              <w:spacing w:before="20" w:after="20" w:line="240" w:lineRule="auto"/>
            </w:pPr>
            <w:r>
              <w:rPr>
                <w:rFonts w:ascii="Times New Roman" w:hAnsi="Times New Roman" w:cs="Times New Roman"/>
                <w:sz w:val="20"/>
                <w:szCs w:val="20"/>
              </w:rPr>
              <w:t xml:space="preserve">They observed that both hMG and micronized estrogen treatmentsignificantly improved endometrial thickness but hMG treatment was associated with higher numbers of in-vivo matured oocytes found at oocyte retrieval and higher maturation rates at 24 h.</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73</w:t>
            </w:r>
          </w:p>
        </w:tc>
        <w:tc>
          <w:tcPr>
            <w:tcW w:w="2400" w:type="dxa"/>
          </w:tcPr>
          <w:p>
            <w:pPr>
              <w:spacing w:before="20" w:after="20" w:line="240" w:lineRule="auto"/>
            </w:pPr>
            <w:r>
              <w:rPr>
                <w:rFonts w:ascii="Times New Roman" w:hAnsi="Times New Roman" w:cs="Times New Roman"/>
                <w:sz w:val="20"/>
                <w:szCs w:val="20"/>
              </w:rPr>
              <w:t xml:space="preserve">Methods → Endometrial preparation and luteal support</w:t>
            </w:r>
          </w:p>
        </w:tc>
        <w:tc>
          <w:tcPr>
            <w:tcW w:w="6018" w:type="dxa"/>
          </w:tcPr>
          <w:p>
            <w:pPr>
              <w:spacing w:before="20" w:after="20" w:line="240" w:lineRule="auto"/>
            </w:pPr>
            <w:r>
              <w:rPr>
                <w:rFonts w:ascii="Times New Roman" w:hAnsi="Times New Roman" w:cs="Times New Roman"/>
                <w:sz w:val="20"/>
                <w:szCs w:val="20"/>
              </w:rPr>
              <w:t xml:space="preserve">Russell et al. [96] reported improved oocyte maturation rates and embryo development when exogenous estrogen priming was initiated in the mid-follicular phase versus when estrogen was initiated early in the follicular phase.</w:t>
            </w:r>
          </w:p>
        </w:tc>
        <w:tc>
          <w:tcPr>
            <w:tcW w:w="6018" w:type="dxa"/>
          </w:tcPr>
          <w:p>
            <w:pPr>
              <w:spacing w:before="20" w:after="20" w:line="240" w:lineRule="auto"/>
            </w:pPr>
            <w:r>
              <w:rPr>
                <w:rFonts w:ascii="Times New Roman" w:hAnsi="Times New Roman" w:cs="Times New Roman"/>
                <w:sz w:val="20"/>
                <w:szCs w:val="20"/>
              </w:rPr>
              <w:t xml:space="preserve">Russell et al. reported improved oocyte maturation rates and embryo development when exogenous estrogen priming was initiated in the mid-follicular phase versus when estrogen was initiated early in the follicular phase.</w:t>
            </w:r>
          </w:p>
        </w:tc>
      </w:tr>
      <w:tr>
        <w:tc>
          <w:tcPr>
            <w:tcW w:w="700" w:type="dxa"/>
          </w:tcPr>
          <w:p>
            <w:pPr>
              <w:spacing w:before="20" w:after="20" w:line="240" w:lineRule="auto"/>
            </w:pPr>
            <w:r>
              <w:rPr>
                <w:rFonts w:ascii="Times New Roman" w:hAnsi="Times New Roman" w:cs="Times New Roman"/>
                <w:sz w:val="20"/>
                <w:szCs w:val="20"/>
              </w:rPr>
              <w:t xml:space="preserve">74</w:t>
            </w:r>
          </w:p>
        </w:tc>
        <w:tc>
          <w:tcPr>
            <w:tcW w:w="2400" w:type="dxa"/>
          </w:tcPr>
          <w:p>
            <w:pPr>
              <w:spacing w:before="20" w:after="20" w:line="240" w:lineRule="auto"/>
            </w:pPr>
            <w:r>
              <w:rPr>
                <w:rFonts w:ascii="Times New Roman" w:hAnsi="Times New Roman" w:cs="Times New Roman"/>
                <w:sz w:val="20"/>
                <w:szCs w:val="20"/>
              </w:rPr>
              <w:t xml:space="preserve">Methods → Freeze all strategy</w:t>
            </w:r>
          </w:p>
        </w:tc>
        <w:tc>
          <w:tcPr>
            <w:tcW w:w="6018" w:type="dxa"/>
          </w:tcPr>
          <w:p>
            <w:pPr>
              <w:spacing w:before="20" w:after="20" w:line="240" w:lineRule="auto"/>
            </w:pPr>
            <w:r>
              <w:rPr>
                <w:rFonts w:ascii="Times New Roman" w:hAnsi="Times New Roman" w:cs="Times New Roman"/>
                <w:sz w:val="20"/>
                <w:szCs w:val="20"/>
              </w:rPr>
              <w:t xml:space="preserve">In a retrospective case series of 79 consecutive PCOS patients undergoing IVM followed by vitrified-warmed ET at cleavage stage over a 2-year period, the cumulative live birth rate (LBR) per embryo transfer was 16.2%, the cumulative LBR per patient was 21.8% and the LBR per retrieved immature oocyte was 1.1% [99].</w:t>
            </w:r>
          </w:p>
        </w:tc>
        <w:tc>
          <w:tcPr>
            <w:tcW w:w="6018" w:type="dxa"/>
          </w:tcPr>
          <w:p>
            <w:pPr>
              <w:spacing w:before="20" w:after="20" w:line="240" w:lineRule="auto"/>
            </w:pPr>
            <w:r>
              <w:rPr>
                <w:rFonts w:ascii="Times New Roman" w:hAnsi="Times New Roman" w:cs="Times New Roman"/>
                <w:sz w:val="20"/>
                <w:szCs w:val="20"/>
              </w:rPr>
              <w:t xml:space="preserve">In a retrospective case series of 79 consecutive PCOS patients undergoing IVM followed by vitrified-warmed ET at cleavage stage over a 2-year period, the cumulative live birth rate (LBR) per embryo transfer was 16.2%, the cumulative LBR per patient was 21.8% and the LBR per retrieved immature oocyte was 1.1%.</w:t>
            </w:r>
          </w:p>
        </w:tc>
      </w:tr>
      <w:tr>
        <w:tc>
          <w:tcPr>
            <w:tcW w:w="700" w:type="dxa"/>
          </w:tcPr>
          <w:p>
            <w:pPr>
              <w:spacing w:before="20" w:after="20" w:line="240" w:lineRule="auto"/>
            </w:pPr>
            <w:r>
              <w:rPr>
                <w:rFonts w:ascii="Times New Roman" w:hAnsi="Times New Roman" w:cs="Times New Roman"/>
                <w:sz w:val="20"/>
                <w:szCs w:val="20"/>
              </w:rPr>
              <w:t xml:space="preserve">75</w:t>
            </w:r>
          </w:p>
        </w:tc>
        <w:tc>
          <w:tcPr>
            <w:tcW w:w="2400" w:type="dxa"/>
          </w:tcPr>
          <w:p>
            <w:pPr>
              <w:spacing w:before="20" w:after="20" w:line="240" w:lineRule="auto"/>
            </w:pPr>
            <w:r>
              <w:rPr>
                <w:rFonts w:ascii="Times New Roman" w:hAnsi="Times New Roman" w:cs="Times New Roman"/>
                <w:sz w:val="20"/>
                <w:szCs w:val="20"/>
              </w:rPr>
              <w:t xml:space="preserve">Methods → Applications of IVM in clinical practice → IVM for PCOS patients</w:t>
            </w:r>
          </w:p>
        </w:tc>
        <w:tc>
          <w:tcPr>
            <w:tcW w:w="6018" w:type="dxa"/>
          </w:tcPr>
          <w:p>
            <w:pPr>
              <w:spacing w:before="20" w:after="20" w:line="240" w:lineRule="auto"/>
            </w:pPr>
            <w:r>
              <w:rPr>
                <w:rFonts w:ascii="Times New Roman" w:hAnsi="Times New Roman" w:cs="Times New Roman"/>
                <w:sz w:val="20"/>
                <w:szCs w:val="20"/>
              </w:rPr>
              <w:t xml:space="preserve">A non-inferiority randomized controlled trial comparing IVM versus standard IVF in women with PCOS, found that one cycle of IVM without gonadotropins, resulted in lower 6-month cumulative live birth rates, when undergoing single vitrified-warmed blastocyst transfer.</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76</w:t>
            </w:r>
          </w:p>
        </w:tc>
        <w:tc>
          <w:tcPr>
            <w:tcW w:w="2400" w:type="dxa"/>
          </w:tcPr>
          <w:p>
            <w:pPr>
              <w:spacing w:before="20" w:after="20" w:line="240" w:lineRule="auto"/>
            </w:pPr>
            <w:r>
              <w:rPr>
                <w:rFonts w:ascii="Times New Roman" w:hAnsi="Times New Roman" w:cs="Times New Roman"/>
                <w:sz w:val="20"/>
                <w:szCs w:val="20"/>
              </w:rPr>
              <w:t xml:space="preserve">Methods → Applications of IVM in clinical practice → IVM for fertility preservation</w:t>
            </w:r>
          </w:p>
        </w:tc>
        <w:tc>
          <w:tcPr>
            <w:tcW w:w="6018" w:type="dxa"/>
          </w:tcPr>
          <w:p>
            <w:pPr>
              <w:spacing w:before="20" w:after="20" w:line="240" w:lineRule="auto"/>
            </w:pPr>
            <w:r>
              <w:rPr>
                <w:rFonts w:ascii="Times New Roman" w:hAnsi="Times New Roman" w:cs="Times New Roman"/>
                <w:sz w:val="20"/>
                <w:szCs w:val="20"/>
              </w:rPr>
              <w:t xml:space="preserve">Grynberg et al. [109] observed that in breast cancer patients undergoing urgent fertility preservation, there were no differences in the number of COCs recovered or their IVM rates whatever the phase of the cycle at which oocytes were collected.</w:t>
            </w:r>
          </w:p>
        </w:tc>
        <w:tc>
          <w:tcPr>
            <w:tcW w:w="6018" w:type="dxa"/>
          </w:tcPr>
          <w:p>
            <w:pPr>
              <w:spacing w:before="20" w:after="20" w:line="240" w:lineRule="auto"/>
            </w:pPr>
            <w:r>
              <w:rPr>
                <w:rFonts w:ascii="Times New Roman" w:hAnsi="Times New Roman" w:cs="Times New Roman"/>
                <w:sz w:val="20"/>
                <w:szCs w:val="20"/>
              </w:rPr>
              <w:t xml:space="preserve">Grynberg et al. observed that in breast cancer patients undergoing urgent fertility preservation, there were no differences in the number of COCs recovered or their IVM rates whatever the phase of the cycle at which oocytes were collected.</w:t>
            </w:r>
          </w:p>
        </w:tc>
      </w:tr>
      <w:tr>
        <w:tc>
          <w:tcPr>
            <w:tcW w:w="700" w:type="dxa"/>
          </w:tcPr>
          <w:p>
            <w:pPr>
              <w:spacing w:before="20" w:after="20" w:line="240" w:lineRule="auto"/>
            </w:pPr>
            <w:r>
              <w:rPr>
                <w:rFonts w:ascii="Times New Roman" w:hAnsi="Times New Roman" w:cs="Times New Roman"/>
                <w:sz w:val="20"/>
                <w:szCs w:val="20"/>
              </w:rPr>
              <w:t xml:space="preserve">77</w:t>
            </w:r>
          </w:p>
        </w:tc>
        <w:tc>
          <w:tcPr>
            <w:tcW w:w="2400" w:type="dxa"/>
          </w:tcPr>
          <w:p>
            <w:pPr>
              <w:spacing w:before="20" w:after="20" w:line="240" w:lineRule="auto"/>
            </w:pPr>
            <w:r>
              <w:rPr>
                <w:rFonts w:ascii="Times New Roman" w:hAnsi="Times New Roman" w:cs="Times New Roman"/>
                <w:sz w:val="20"/>
                <w:szCs w:val="20"/>
              </w:rPr>
              <w:t xml:space="preserve">Methods → Applications of IVM in clinical practice → IVM for fertility preservation</w:t>
            </w:r>
          </w:p>
        </w:tc>
        <w:tc>
          <w:tcPr>
            <w:tcW w:w="6018" w:type="dxa"/>
          </w:tcPr>
          <w:p>
            <w:pPr>
              <w:spacing w:before="20" w:after="20" w:line="240" w:lineRule="auto"/>
            </w:pPr>
            <w:r>
              <w:rPr>
                <w:rFonts w:ascii="Times New Roman" w:hAnsi="Times New Roman" w:cs="Times New Roman"/>
                <w:sz w:val="20"/>
                <w:szCs w:val="20"/>
              </w:rPr>
              <w:t xml:space="preserve">In support of these findings, Creux et al. [107] evaluated the efficacy of IVM when immature oocyte retrieval was performed in the early follicular, late follicular, or luteal phases in cancer patients undergoing urgent fertility preservation.</w:t>
            </w:r>
          </w:p>
        </w:tc>
        <w:tc>
          <w:tcPr>
            <w:tcW w:w="6018" w:type="dxa"/>
          </w:tcPr>
          <w:p>
            <w:pPr>
              <w:spacing w:before="20" w:after="20" w:line="240" w:lineRule="auto"/>
            </w:pPr>
            <w:r>
              <w:rPr>
                <w:rFonts w:ascii="Times New Roman" w:hAnsi="Times New Roman" w:cs="Times New Roman"/>
                <w:sz w:val="20"/>
                <w:szCs w:val="20"/>
              </w:rPr>
              <w:t xml:space="preserve">In support of these findings, Creux et al. evaluated the efficacy of IVM when immature oocyte retrieval was performed in the early follicular, late follicular, or luteal phases in cancer patients undergoing urgent fertility preservation.</w:t>
            </w:r>
          </w:p>
        </w:tc>
      </w:tr>
      <w:tr>
        <w:tc>
          <w:tcPr>
            <w:tcW w:w="700" w:type="dxa"/>
          </w:tcPr>
          <w:p>
            <w:pPr>
              <w:spacing w:before="20" w:after="20" w:line="240" w:lineRule="auto"/>
            </w:pPr>
            <w:r>
              <w:rPr>
                <w:rFonts w:ascii="Times New Roman" w:hAnsi="Times New Roman" w:cs="Times New Roman"/>
                <w:sz w:val="20"/>
                <w:szCs w:val="20"/>
              </w:rPr>
              <w:t xml:space="preserve">78</w:t>
            </w:r>
          </w:p>
        </w:tc>
        <w:tc>
          <w:tcPr>
            <w:tcW w:w="2400" w:type="dxa"/>
          </w:tcPr>
          <w:p>
            <w:pPr>
              <w:spacing w:before="20" w:after="20" w:line="240" w:lineRule="auto"/>
            </w:pPr>
            <w:r>
              <w:rPr>
                <w:rFonts w:ascii="Times New Roman" w:hAnsi="Times New Roman" w:cs="Times New Roman"/>
                <w:sz w:val="20"/>
                <w:szCs w:val="20"/>
              </w:rPr>
              <w:t xml:space="preserve">Methods → Applications of IVM in clinical practice → IVM for fertility preservation</w:t>
            </w:r>
          </w:p>
        </w:tc>
        <w:tc>
          <w:tcPr>
            <w:tcW w:w="6018" w:type="dxa"/>
          </w:tcPr>
          <w:p>
            <w:pPr>
              <w:spacing w:before="20" w:after="20" w:line="240" w:lineRule="auto"/>
            </w:pPr>
            <w:r>
              <w:rPr>
                <w:rFonts w:ascii="Times New Roman" w:hAnsi="Times New Roman" w:cs="Times New Roman"/>
                <w:sz w:val="20"/>
                <w:szCs w:val="20"/>
              </w:rPr>
              <w:t xml:space="preserve">There was no significant difference in the number of oocytes retrieved, maturation rates after 48 h of culture, fertilization rates, or the total number of oocytes and embryos cryopreserved when immature oocyte retrieval was performed at various times in the menstrual cycle.</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79</w:t>
            </w:r>
          </w:p>
        </w:tc>
        <w:tc>
          <w:tcPr>
            <w:tcW w:w="2400" w:type="dxa"/>
          </w:tcPr>
          <w:p>
            <w:pPr>
              <w:spacing w:before="20" w:after="20" w:line="240" w:lineRule="auto"/>
            </w:pPr>
            <w:r>
              <w:rPr>
                <w:rFonts w:ascii="Times New Roman" w:hAnsi="Times New Roman" w:cs="Times New Roman"/>
                <w:sz w:val="20"/>
                <w:szCs w:val="20"/>
              </w:rPr>
              <w:t xml:space="preserve">Methods → Applications of IVM in clinical practice → IVM for fertility preservation</w:t>
            </w:r>
          </w:p>
        </w:tc>
        <w:tc>
          <w:tcPr>
            <w:tcW w:w="6018" w:type="dxa"/>
          </w:tcPr>
          <w:p>
            <w:pPr>
              <w:spacing w:before="20" w:after="20" w:line="240" w:lineRule="auto"/>
            </w:pPr>
            <w:r>
              <w:rPr>
                <w:rFonts w:ascii="Times New Roman" w:hAnsi="Times New Roman" w:cs="Times New Roman"/>
                <w:sz w:val="20"/>
                <w:szCs w:val="20"/>
              </w:rPr>
              <w:t xml:space="preserve">It has been proposed that an antral follicle count of &gt; 20 follicles and serum AMH values of 3.7 ng/ml are required for obtaining at least 10 IVM oocytes for cryopreservation in cancer patients seeking fertility preservation [110].</w:t>
            </w:r>
          </w:p>
        </w:tc>
        <w:tc>
          <w:tcPr>
            <w:tcW w:w="6018" w:type="dxa"/>
          </w:tcPr>
          <w:p>
            <w:pPr>
              <w:spacing w:before="20" w:after="20" w:line="240" w:lineRule="auto"/>
            </w:pPr>
            <w:r>
              <w:rPr>
                <w:rFonts w:ascii="Times New Roman" w:hAnsi="Times New Roman" w:cs="Times New Roman"/>
                <w:sz w:val="20"/>
                <w:szCs w:val="20"/>
              </w:rPr>
              <w:t xml:space="preserve">It has been proposed that an antral follicle count of &gt; 20 follicles and serum AMH values of 3.7 ng/ml are required for obtaining at least 10 IVM oocytes for cryopreservation in cancer patients seeking fertility preservation.</w:t>
            </w:r>
          </w:p>
        </w:tc>
      </w:tr>
      <w:tr>
        <w:tc>
          <w:tcPr>
            <w:tcW w:w="700" w:type="dxa"/>
          </w:tcPr>
          <w:p>
            <w:pPr>
              <w:spacing w:before="20" w:after="20" w:line="240" w:lineRule="auto"/>
            </w:pPr>
            <w:r>
              <w:rPr>
                <w:rFonts w:ascii="Times New Roman" w:hAnsi="Times New Roman" w:cs="Times New Roman"/>
                <w:sz w:val="20"/>
                <w:szCs w:val="20"/>
              </w:rPr>
              <w:t xml:space="preserve">80</w:t>
            </w:r>
          </w:p>
        </w:tc>
        <w:tc>
          <w:tcPr>
            <w:tcW w:w="2400" w:type="dxa"/>
          </w:tcPr>
          <w:p>
            <w:pPr>
              <w:spacing w:before="20" w:after="20" w:line="240" w:lineRule="auto"/>
            </w:pPr>
            <w:r>
              <w:rPr>
                <w:rFonts w:ascii="Times New Roman" w:hAnsi="Times New Roman" w:cs="Times New Roman"/>
                <w:sz w:val="20"/>
                <w:szCs w:val="20"/>
              </w:rPr>
              <w:t xml:space="preserve">Methods → Applications of IVM in clinical practice → IVM for fertility preservation</w:t>
            </w:r>
          </w:p>
        </w:tc>
        <w:tc>
          <w:tcPr>
            <w:tcW w:w="6018" w:type="dxa"/>
          </w:tcPr>
          <w:p>
            <w:pPr>
              <w:spacing w:before="20" w:after="20" w:line="240" w:lineRule="auto"/>
            </w:pPr>
            <w:r>
              <w:rPr>
                <w:rFonts w:ascii="Times New Roman" w:hAnsi="Times New Roman" w:cs="Times New Roman"/>
                <w:sz w:val="20"/>
                <w:szCs w:val="20"/>
              </w:rPr>
              <w:t xml:space="preserve">In 17 women with breast cancer who underwent 2 cycles of IVM followed by oocyte vitrification, no difference was observed between the first and second IVM outcomes, and the number of cryopreserved oocytes were comparable [111].</w:t>
            </w:r>
          </w:p>
        </w:tc>
        <w:tc>
          <w:tcPr>
            <w:tcW w:w="6018" w:type="dxa"/>
          </w:tcPr>
          <w:p>
            <w:pPr>
              <w:spacing w:before="20" w:after="20" w:line="240" w:lineRule="auto"/>
            </w:pPr>
            <w:r>
              <w:rPr>
                <w:rFonts w:ascii="Times New Roman" w:hAnsi="Times New Roman" w:cs="Times New Roman"/>
                <w:sz w:val="20"/>
                <w:szCs w:val="20"/>
              </w:rPr>
              <w:t xml:space="preserve">In 17 women with breast cancer who underwent 2 cycles of IVM followed by oocyte vitrification, no difference was observed between the first and second IVM outcomes, and the number of cryopreserved oocytes were comparable.</w:t>
            </w:r>
          </w:p>
        </w:tc>
      </w:tr>
      <w:tr>
        <w:tc>
          <w:tcPr>
            <w:tcW w:w="700" w:type="dxa"/>
          </w:tcPr>
          <w:p>
            <w:pPr>
              <w:spacing w:before="20" w:after="20" w:line="240" w:lineRule="auto"/>
            </w:pPr>
            <w:r>
              <w:rPr>
                <w:rFonts w:ascii="Times New Roman" w:hAnsi="Times New Roman" w:cs="Times New Roman"/>
                <w:sz w:val="20"/>
                <w:szCs w:val="20"/>
              </w:rPr>
              <w:t xml:space="preserve">81</w:t>
            </w:r>
          </w:p>
        </w:tc>
        <w:tc>
          <w:tcPr>
            <w:tcW w:w="2400" w:type="dxa"/>
          </w:tcPr>
          <w:p>
            <w:pPr>
              <w:spacing w:before="20" w:after="20" w:line="240" w:lineRule="auto"/>
            </w:pPr>
            <w:r>
              <w:rPr>
                <w:rFonts w:ascii="Times New Roman" w:hAnsi="Times New Roman" w:cs="Times New Roman"/>
                <w:sz w:val="20"/>
                <w:szCs w:val="20"/>
              </w:rPr>
              <w:t xml:space="preserve">Methods → Applications of IVM in clinical practice → IVM for fertility preservation</w:t>
            </w:r>
          </w:p>
        </w:tc>
        <w:tc>
          <w:tcPr>
            <w:tcW w:w="6018" w:type="dxa"/>
          </w:tcPr>
          <w:p>
            <w:pPr>
              <w:spacing w:before="20" w:after="20" w:line="240" w:lineRule="auto"/>
            </w:pPr>
            <w:r>
              <w:rPr>
                <w:rFonts w:ascii="Times New Roman" w:hAnsi="Times New Roman" w:cs="Times New Roman"/>
                <w:sz w:val="20"/>
                <w:szCs w:val="20"/>
              </w:rPr>
              <w:t xml:space="preserve">Segers et al. [113] recently reported three live births after ovarian tissue oocyte IVM, intra-cytoplasmic sperm injection (ICSI) and embryo transfer among patients who underwent unilateral oophorectomy for ovarian tissue cryopreservation.</w:t>
            </w:r>
          </w:p>
        </w:tc>
        <w:tc>
          <w:tcPr>
            <w:tcW w:w="6018" w:type="dxa"/>
          </w:tcPr>
          <w:p>
            <w:pPr>
              <w:spacing w:before="20" w:after="20" w:line="240" w:lineRule="auto"/>
            </w:pPr>
            <w:r>
              <w:rPr>
                <w:rFonts w:ascii="Times New Roman" w:hAnsi="Times New Roman" w:cs="Times New Roman"/>
                <w:sz w:val="20"/>
                <w:szCs w:val="20"/>
              </w:rPr>
              <w:t xml:space="preserve">Segers et al. recently reported three live births after ovarian tissue oocyte IVM, intra-cytoplasmic sperm injection (ICSI) and embryo transfer among patients who underwent unilateral oophorectomy for ovarian tissue cryopreservation.</w:t>
            </w:r>
          </w:p>
        </w:tc>
      </w:tr>
      <w:tr>
        <w:tc>
          <w:tcPr>
            <w:tcW w:w="700" w:type="dxa"/>
          </w:tcPr>
          <w:p>
            <w:pPr>
              <w:spacing w:before="20" w:after="20" w:line="240" w:lineRule="auto"/>
            </w:pPr>
            <w:r>
              <w:rPr>
                <w:rFonts w:ascii="Times New Roman" w:hAnsi="Times New Roman" w:cs="Times New Roman"/>
                <w:sz w:val="20"/>
                <w:szCs w:val="20"/>
              </w:rPr>
              <w:t xml:space="preserve">82</w:t>
            </w:r>
          </w:p>
        </w:tc>
        <w:tc>
          <w:tcPr>
            <w:tcW w:w="2400" w:type="dxa"/>
          </w:tcPr>
          <w:p>
            <w:pPr>
              <w:spacing w:before="20" w:after="20" w:line="240" w:lineRule="auto"/>
            </w:pPr>
            <w:r>
              <w:rPr>
                <w:rFonts w:ascii="Times New Roman" w:hAnsi="Times New Roman" w:cs="Times New Roman"/>
                <w:sz w:val="20"/>
                <w:szCs w:val="20"/>
              </w:rPr>
              <w:t xml:space="preserve">Methods → Applications of IVM in clinical practice → IVM for fertility preservation</w:t>
            </w:r>
          </w:p>
        </w:tc>
        <w:tc>
          <w:tcPr>
            <w:tcW w:w="6018" w:type="dxa"/>
          </w:tcPr>
          <w:p>
            <w:pPr>
              <w:spacing w:before="20" w:after="20" w:line="240" w:lineRule="auto"/>
            </w:pPr>
            <w:r>
              <w:rPr>
                <w:rFonts w:ascii="Times New Roman" w:hAnsi="Times New Roman" w:cs="Times New Roman"/>
                <w:sz w:val="20"/>
                <w:szCs w:val="20"/>
              </w:rPr>
              <w:t xml:space="preserve">Several studies have indicated that vitrified-warmed IVM oocytes exhibit reduced survival rates and less favourable embryological as well as clinical outcomes compared with fresh IVM oocytes [108, 115].</w:t>
            </w:r>
          </w:p>
        </w:tc>
        <w:tc>
          <w:tcPr>
            <w:tcW w:w="6018" w:type="dxa"/>
          </w:tcPr>
          <w:p>
            <w:pPr>
              <w:spacing w:before="20" w:after="20" w:line="240" w:lineRule="auto"/>
            </w:pPr>
            <w:r>
              <w:rPr>
                <w:rFonts w:ascii="Times New Roman" w:hAnsi="Times New Roman" w:cs="Times New Roman"/>
                <w:sz w:val="20"/>
                <w:szCs w:val="20"/>
              </w:rPr>
              <w:t xml:space="preserve">Several studies have indicated that vitrified-warmed IVM oocytes exhibit reduced survival rates and less favourable embryological as well as clinical outcomes compared with fresh IVM oocytes.</w:t>
            </w:r>
          </w:p>
        </w:tc>
      </w:tr>
      <w:tr>
        <w:tc>
          <w:tcPr>
            <w:tcW w:w="700" w:type="dxa"/>
          </w:tcPr>
          <w:p>
            <w:pPr>
              <w:spacing w:before="20" w:after="20" w:line="240" w:lineRule="auto"/>
            </w:pPr>
            <w:r>
              <w:rPr>
                <w:rFonts w:ascii="Times New Roman" w:hAnsi="Times New Roman" w:cs="Times New Roman"/>
                <w:sz w:val="20"/>
                <w:szCs w:val="20"/>
              </w:rPr>
              <w:t xml:space="preserve">83</w:t>
            </w:r>
          </w:p>
        </w:tc>
        <w:tc>
          <w:tcPr>
            <w:tcW w:w="2400" w:type="dxa"/>
          </w:tcPr>
          <w:p>
            <w:pPr>
              <w:spacing w:before="20" w:after="20" w:line="240" w:lineRule="auto"/>
            </w:pPr>
            <w:r>
              <w:rPr>
                <w:rFonts w:ascii="Times New Roman" w:hAnsi="Times New Roman" w:cs="Times New Roman"/>
                <w:sz w:val="20"/>
                <w:szCs w:val="20"/>
              </w:rPr>
              <w:t xml:space="preserve">Methods → Applications of IVM in clinical practice → Natural cycle IVF/IVM</w:t>
            </w:r>
          </w:p>
        </w:tc>
        <w:tc>
          <w:tcPr>
            <w:tcW w:w="6018" w:type="dxa"/>
          </w:tcPr>
          <w:p>
            <w:pPr>
              <w:spacing w:before="20" w:after="20" w:line="240" w:lineRule="auto"/>
            </w:pPr>
            <w:r>
              <w:rPr>
                <w:rFonts w:ascii="Times New Roman" w:hAnsi="Times New Roman" w:cs="Times New Roman"/>
                <w:sz w:val="20"/>
                <w:szCs w:val="20"/>
              </w:rPr>
              <w:t xml:space="preserve">Son et al. [122] reported the results from natural cycle IVF/IVM cycles using an hCG trigger of 10,000 IU, when the diameter of the dominant follicle was over 12 mm.</w:t>
            </w:r>
          </w:p>
        </w:tc>
        <w:tc>
          <w:tcPr>
            <w:tcW w:w="6018" w:type="dxa"/>
          </w:tcPr>
          <w:p>
            <w:pPr>
              <w:spacing w:before="20" w:after="20" w:line="240" w:lineRule="auto"/>
            </w:pPr>
            <w:r>
              <w:rPr>
                <w:rFonts w:ascii="Times New Roman" w:hAnsi="Times New Roman" w:cs="Times New Roman"/>
                <w:sz w:val="20"/>
                <w:szCs w:val="20"/>
              </w:rPr>
              <w:t xml:space="preserve">Son et al. reported the results from natural cycle IVF/IVM cycles using an hCG trigger of 10,000 IU, when the diameter of the dominant follicle was over 12 mm.</w:t>
            </w:r>
          </w:p>
        </w:tc>
      </w:tr>
      <w:tr>
        <w:tc>
          <w:tcPr>
            <w:tcW w:w="700" w:type="dxa"/>
          </w:tcPr>
          <w:p>
            <w:pPr>
              <w:spacing w:before="20" w:after="20" w:line="240" w:lineRule="auto"/>
            </w:pPr>
            <w:r>
              <w:rPr>
                <w:rFonts w:ascii="Times New Roman" w:hAnsi="Times New Roman" w:cs="Times New Roman"/>
                <w:sz w:val="20"/>
                <w:szCs w:val="20"/>
              </w:rPr>
              <w:t xml:space="preserve">84</w:t>
            </w:r>
          </w:p>
        </w:tc>
        <w:tc>
          <w:tcPr>
            <w:tcW w:w="2400" w:type="dxa"/>
          </w:tcPr>
          <w:p>
            <w:pPr>
              <w:spacing w:before="20" w:after="20" w:line="240" w:lineRule="auto"/>
            </w:pPr>
            <w:r>
              <w:rPr>
                <w:rFonts w:ascii="Times New Roman" w:hAnsi="Times New Roman" w:cs="Times New Roman"/>
                <w:sz w:val="20"/>
                <w:szCs w:val="20"/>
              </w:rPr>
              <w:t xml:space="preserve">Methods → Applications of IVM in clinical practice → Natural cycle IVF/IVM</w:t>
            </w:r>
          </w:p>
        </w:tc>
        <w:tc>
          <w:tcPr>
            <w:tcW w:w="6018" w:type="dxa"/>
          </w:tcPr>
          <w:p>
            <w:pPr>
              <w:spacing w:before="20" w:after="20" w:line="240" w:lineRule="auto"/>
            </w:pPr>
            <w:r>
              <w:rPr>
                <w:rFonts w:ascii="Times New Roman" w:hAnsi="Times New Roman" w:cs="Times New Roman"/>
                <w:sz w:val="20"/>
                <w:szCs w:val="20"/>
              </w:rPr>
              <w:t xml:space="preserve">Similarly, a recent study on natural cycle IVF/IVM concluded that a significant portion of the COCs from subordinate follicles have the capacity to develop into normal embryos.</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85</w:t>
            </w:r>
          </w:p>
        </w:tc>
        <w:tc>
          <w:tcPr>
            <w:tcW w:w="2400" w:type="dxa"/>
          </w:tcPr>
          <w:p>
            <w:pPr>
              <w:spacing w:before="20" w:after="20" w:line="240" w:lineRule="auto"/>
            </w:pPr>
            <w:r>
              <w:rPr>
                <w:rFonts w:ascii="Times New Roman" w:hAnsi="Times New Roman" w:cs="Times New Roman"/>
                <w:sz w:val="20"/>
                <w:szCs w:val="20"/>
              </w:rPr>
              <w:t xml:space="preserve">Methods → Applications of IVM in clinical practice → Natural cycle IVF/IVM</w:t>
            </w:r>
          </w:p>
        </w:tc>
        <w:tc>
          <w:tcPr>
            <w:tcW w:w="6018" w:type="dxa"/>
          </w:tcPr>
          <w:p>
            <w:pPr>
              <w:spacing w:before="20" w:after="20" w:line="240" w:lineRule="auto"/>
            </w:pPr>
            <w:r>
              <w:rPr>
                <w:rFonts w:ascii="Times New Roman" w:hAnsi="Times New Roman" w:cs="Times New Roman"/>
                <w:sz w:val="20"/>
                <w:szCs w:val="20"/>
              </w:rPr>
              <w:t xml:space="preserve">The outcome was not influenced by the retrievalof a dominant follicle (12–14 mm diameter) and the developmental and implantation potential of immature oocytes retrieved from the smaller follicles were not affected [123].</w:t>
            </w:r>
          </w:p>
        </w:tc>
        <w:tc>
          <w:tcPr>
            <w:tcW w:w="6018" w:type="dxa"/>
          </w:tcPr>
          <w:p>
            <w:pPr>
              <w:spacing w:before="20" w:after="20" w:line="240" w:lineRule="auto"/>
            </w:pPr>
            <w:r>
              <w:rPr>
                <w:rFonts w:ascii="Times New Roman" w:hAnsi="Times New Roman" w:cs="Times New Roman"/>
                <w:sz w:val="20"/>
                <w:szCs w:val="20"/>
              </w:rPr>
              <w:t xml:space="preserve">The outcome was not influenced by the retrievalof a dominant follicle (12–14 mm diameter) and the developmental and implantation potential of immature oocytes retrieved from the smaller follicles were not affected.</w:t>
            </w:r>
          </w:p>
        </w:tc>
      </w:tr>
      <w:tr>
        <w:tc>
          <w:tcPr>
            <w:tcW w:w="700" w:type="dxa"/>
          </w:tcPr>
          <w:p>
            <w:pPr>
              <w:spacing w:before="20" w:after="20" w:line="240" w:lineRule="auto"/>
            </w:pPr>
            <w:r>
              <w:rPr>
                <w:rFonts w:ascii="Times New Roman" w:hAnsi="Times New Roman" w:cs="Times New Roman"/>
                <w:sz w:val="20"/>
                <w:szCs w:val="20"/>
              </w:rPr>
              <w:t xml:space="preserve">86</w:t>
            </w:r>
          </w:p>
        </w:tc>
        <w:tc>
          <w:tcPr>
            <w:tcW w:w="2400" w:type="dxa"/>
          </w:tcPr>
          <w:p>
            <w:pPr>
              <w:spacing w:before="20" w:after="20" w:line="240" w:lineRule="auto"/>
            </w:pPr>
            <w:r>
              <w:rPr>
                <w:rFonts w:ascii="Times New Roman" w:hAnsi="Times New Roman" w:cs="Times New Roman"/>
                <w:sz w:val="20"/>
                <w:szCs w:val="20"/>
              </w:rPr>
              <w:t xml:space="preserve">Methods → Applications of IVM in clinical practice → Natural cycle IVF/IVM</w:t>
            </w:r>
          </w:p>
        </w:tc>
        <w:tc>
          <w:tcPr>
            <w:tcW w:w="6018" w:type="dxa"/>
          </w:tcPr>
          <w:p>
            <w:pPr>
              <w:spacing w:before="20" w:after="20" w:line="240" w:lineRule="auto"/>
            </w:pPr>
            <w:r>
              <w:rPr>
                <w:rFonts w:ascii="Times New Roman" w:hAnsi="Times New Roman" w:cs="Times New Roman"/>
                <w:sz w:val="20"/>
                <w:szCs w:val="20"/>
              </w:rPr>
              <w:t xml:space="preserve">In a retrospective cohort study of 1,072 patients, Teramoto et al. [124] compared the efficacy and safety of blastocyst transfers derived from small follicles (≤ 10 mm) and large follicles (&gt; 11 mm).</w:t>
            </w:r>
          </w:p>
        </w:tc>
        <w:tc>
          <w:tcPr>
            <w:tcW w:w="6018" w:type="dxa"/>
          </w:tcPr>
          <w:p>
            <w:pPr>
              <w:spacing w:before="20" w:after="20" w:line="240" w:lineRule="auto"/>
            </w:pPr>
            <w:r>
              <w:rPr>
                <w:rFonts w:ascii="Times New Roman" w:hAnsi="Times New Roman" w:cs="Times New Roman"/>
                <w:sz w:val="20"/>
                <w:szCs w:val="20"/>
              </w:rPr>
              <w:t xml:space="preserve">In a retrospective cohort study of 1,072 patients, Teramoto et al. compared the efficacy and safety of blastocyst transfers derived from small follicles (≤ 10 mm) and large follicles (&gt; 11 mm).</w:t>
            </w:r>
          </w:p>
        </w:tc>
      </w:tr>
      <w:tr>
        <w:tc>
          <w:tcPr>
            <w:tcW w:w="700" w:type="dxa"/>
          </w:tcPr>
          <w:p>
            <w:pPr>
              <w:spacing w:before="20" w:after="20" w:line="240" w:lineRule="auto"/>
            </w:pPr>
            <w:r>
              <w:rPr>
                <w:rFonts w:ascii="Times New Roman" w:hAnsi="Times New Roman" w:cs="Times New Roman"/>
                <w:sz w:val="20"/>
                <w:szCs w:val="20"/>
              </w:rPr>
              <w:t xml:space="preserve">87</w:t>
            </w:r>
          </w:p>
        </w:tc>
        <w:tc>
          <w:tcPr>
            <w:tcW w:w="2400" w:type="dxa"/>
          </w:tcPr>
          <w:p>
            <w:pPr>
              <w:spacing w:before="20" w:after="20" w:line="240" w:lineRule="auto"/>
            </w:pPr>
            <w:r>
              <w:rPr>
                <w:rFonts w:ascii="Times New Roman" w:hAnsi="Times New Roman" w:cs="Times New Roman"/>
                <w:sz w:val="20"/>
                <w:szCs w:val="20"/>
              </w:rPr>
              <w:t xml:space="preserve">Methods → Applications of IVM in clinical practice → IVM for poor responders</w:t>
            </w:r>
          </w:p>
        </w:tc>
        <w:tc>
          <w:tcPr>
            <w:tcW w:w="6018" w:type="dxa"/>
          </w:tcPr>
          <w:p>
            <w:pPr>
              <w:spacing w:before="20" w:after="20" w:line="240" w:lineRule="auto"/>
            </w:pPr>
            <w:r>
              <w:rPr>
                <w:rFonts w:ascii="Times New Roman" w:hAnsi="Times New Roman" w:cs="Times New Roman"/>
                <w:sz w:val="20"/>
                <w:szCs w:val="20"/>
              </w:rPr>
              <w:t xml:space="preserve">In another study which included 440 poor responder patients, undergoing ICSI cycles in which fewer than five MII oocytes and at least one immature oocyte was retrieved, patients were divided into two groups based on the injected oocytes' nuclear maturation status.</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88</w:t>
            </w:r>
          </w:p>
        </w:tc>
        <w:tc>
          <w:tcPr>
            <w:tcW w:w="2400" w:type="dxa"/>
          </w:tcPr>
          <w:p>
            <w:pPr>
              <w:spacing w:before="20" w:after="20" w:line="240" w:lineRule="auto"/>
            </w:pPr>
            <w:r>
              <w:rPr>
                <w:rFonts w:ascii="Times New Roman" w:hAnsi="Times New Roman" w:cs="Times New Roman"/>
                <w:sz w:val="20"/>
                <w:szCs w:val="20"/>
              </w:rPr>
              <w:t xml:space="preserve">Methods → Applications of IVM in clinical practice → IVM for poor responders</w:t>
            </w:r>
          </w:p>
        </w:tc>
        <w:tc>
          <w:tcPr>
            <w:tcW w:w="6018" w:type="dxa"/>
          </w:tcPr>
          <w:p>
            <w:pPr>
              <w:spacing w:before="20" w:after="20" w:line="240" w:lineRule="auto"/>
            </w:pPr>
            <w:r>
              <w:rPr>
                <w:rFonts w:ascii="Times New Roman" w:hAnsi="Times New Roman" w:cs="Times New Roman"/>
                <w:sz w:val="20"/>
                <w:szCs w:val="20"/>
              </w:rPr>
              <w:t xml:space="preserve">The group where only embryos derived from mature oocytes were injected were compared with cycles in which least one immature oocyte remained in culture for spontaneous maturation and ICSI.</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89</w:t>
            </w:r>
          </w:p>
        </w:tc>
        <w:tc>
          <w:tcPr>
            <w:tcW w:w="2400" w:type="dxa"/>
          </w:tcPr>
          <w:p>
            <w:pPr>
              <w:spacing w:before="20" w:after="20" w:line="240" w:lineRule="auto"/>
            </w:pPr>
            <w:r>
              <w:rPr>
                <w:rFonts w:ascii="Times New Roman" w:hAnsi="Times New Roman" w:cs="Times New Roman"/>
                <w:sz w:val="20"/>
                <w:szCs w:val="20"/>
              </w:rPr>
              <w:t xml:space="preserve">Methods → Applications of IVM in clinical practice → Long term safety of IVM</w:t>
            </w:r>
          </w:p>
        </w:tc>
        <w:tc>
          <w:tcPr>
            <w:tcW w:w="6018" w:type="dxa"/>
          </w:tcPr>
          <w:p>
            <w:pPr>
              <w:spacing w:before="20" w:after="20" w:line="240" w:lineRule="auto"/>
            </w:pPr>
            <w:r>
              <w:rPr>
                <w:rFonts w:ascii="Times New Roman" w:hAnsi="Times New Roman" w:cs="Times New Roman"/>
                <w:sz w:val="20"/>
                <w:szCs w:val="20"/>
              </w:rPr>
              <w:t xml:space="preserve">Cohen et al. [115] reported five live births after vitrification and warming of oocytes matured in vitro in women diagnosed with polycystic ovary syndrome.</w:t>
            </w:r>
          </w:p>
        </w:tc>
        <w:tc>
          <w:tcPr>
            <w:tcW w:w="6018" w:type="dxa"/>
          </w:tcPr>
          <w:p>
            <w:pPr>
              <w:spacing w:before="20" w:after="20" w:line="240" w:lineRule="auto"/>
            </w:pPr>
            <w:r>
              <w:rPr>
                <w:rFonts w:ascii="Times New Roman" w:hAnsi="Times New Roman" w:cs="Times New Roman"/>
                <w:sz w:val="20"/>
                <w:szCs w:val="20"/>
              </w:rPr>
              <w:t xml:space="preserve">Cohen et al. reported five live births after vitrification and warming of oocytes matured in vitro in women diagnosed with polycystic ovary syndrome.</w:t>
            </w:r>
          </w:p>
        </w:tc>
      </w:tr>
      <w:tr>
        <w:tc>
          <w:tcPr>
            <w:tcW w:w="700" w:type="dxa"/>
          </w:tcPr>
          <w:p>
            <w:pPr>
              <w:spacing w:before="20" w:after="20" w:line="240" w:lineRule="auto"/>
            </w:pPr>
            <w:r>
              <w:rPr>
                <w:rFonts w:ascii="Times New Roman" w:hAnsi="Times New Roman" w:cs="Times New Roman"/>
                <w:sz w:val="20"/>
                <w:szCs w:val="20"/>
              </w:rPr>
              <w:t xml:space="preserve">90</w:t>
            </w:r>
          </w:p>
        </w:tc>
        <w:tc>
          <w:tcPr>
            <w:tcW w:w="2400" w:type="dxa"/>
          </w:tcPr>
          <w:p>
            <w:pPr>
              <w:spacing w:before="20" w:after="20" w:line="240" w:lineRule="auto"/>
            </w:pPr>
            <w:r>
              <w:rPr>
                <w:rFonts w:ascii="Times New Roman" w:hAnsi="Times New Roman" w:cs="Times New Roman"/>
                <w:sz w:val="20"/>
                <w:szCs w:val="20"/>
              </w:rPr>
              <w:t xml:space="preserve">Methods → Improving human IVM: key challenges</w:t>
            </w:r>
          </w:p>
        </w:tc>
        <w:tc>
          <w:tcPr>
            <w:tcW w:w="6018" w:type="dxa"/>
          </w:tcPr>
          <w:p>
            <w:pPr>
              <w:spacing w:before="20" w:after="20" w:line="240" w:lineRule="auto"/>
            </w:pPr>
            <w:r>
              <w:rPr>
                <w:rFonts w:ascii="Times New Roman" w:hAnsi="Times New Roman" w:cs="Times New Roman"/>
                <w:sz w:val="20"/>
                <w:szCs w:val="20"/>
              </w:rPr>
              <w:t xml:space="preserve">Furthermore, various pre-treatment methods, such as FSH- or hCG-priming before oocyte retrieval, have been employed.</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91</w:t>
            </w:r>
          </w:p>
        </w:tc>
        <w:tc>
          <w:tcPr>
            <w:tcW w:w="2400" w:type="dxa"/>
          </w:tcPr>
          <w:p>
            <w:pPr>
              <w:spacing w:before="20" w:after="20" w:line="240" w:lineRule="auto"/>
            </w:pPr>
            <w:r>
              <w:rPr>
                <w:rFonts w:ascii="Times New Roman" w:hAnsi="Times New Roman" w:cs="Times New Roman"/>
                <w:sz w:val="20"/>
                <w:szCs w:val="20"/>
              </w:rPr>
              <w:t xml:space="preserve">Methods → Improving human IVM: key challenges</w:t>
            </w:r>
          </w:p>
        </w:tc>
        <w:tc>
          <w:tcPr>
            <w:tcW w:w="6018" w:type="dxa"/>
          </w:tcPr>
          <w:p>
            <w:pPr>
              <w:spacing w:before="20" w:after="20" w:line="240" w:lineRule="auto"/>
            </w:pPr>
            <w:r>
              <w:rPr>
                <w:rFonts w:ascii="Times New Roman" w:hAnsi="Times New Roman" w:cs="Times New Roman"/>
                <w:sz w:val="20"/>
                <w:szCs w:val="20"/>
              </w:rPr>
              <w:t xml:space="preserve">Identifying COCs in follicular aspirates at the time of collection takes more time since immature oocytes lack the typical expanded CCs observed in IVF cycles (Fig. 1A).</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92</w:t>
            </w:r>
          </w:p>
        </w:tc>
        <w:tc>
          <w:tcPr>
            <w:tcW w:w="2400" w:type="dxa"/>
          </w:tcPr>
          <w:p>
            <w:pPr>
              <w:spacing w:before="20" w:after="20" w:line="240" w:lineRule="auto"/>
            </w:pPr>
            <w:r>
              <w:rPr>
                <w:rFonts w:ascii="Times New Roman" w:hAnsi="Times New Roman" w:cs="Times New Roman"/>
                <w:sz w:val="20"/>
                <w:szCs w:val="20"/>
              </w:rPr>
              <w:t xml:space="preserve">Methods → Improving human IVM: key challenges</w:t>
            </w:r>
          </w:p>
        </w:tc>
        <w:tc>
          <w:tcPr>
            <w:tcW w:w="6018" w:type="dxa"/>
          </w:tcPr>
          <w:p>
            <w:pPr>
              <w:spacing w:before="20" w:after="20" w:line="240" w:lineRule="auto"/>
            </w:pPr>
            <w:r>
              <w:rPr>
                <w:rFonts w:ascii="Times New Roman" w:hAnsi="Times New Roman" w:cs="Times New Roman"/>
                <w:sz w:val="20"/>
                <w:szCs w:val="20"/>
              </w:rPr>
              <w:t xml:space="preserve">Additionally, COCs have a similar colour to granulosa cells, making it more challenging to distinguish immature oocytes from other cell types in the follicular fluid.</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93</w:t>
            </w:r>
          </w:p>
        </w:tc>
        <w:tc>
          <w:tcPr>
            <w:tcW w:w="2400" w:type="dxa"/>
          </w:tcPr>
          <w:p>
            <w:pPr>
              <w:spacing w:before="20" w:after="20" w:line="240" w:lineRule="auto"/>
            </w:pPr>
            <w:r>
              <w:rPr>
                <w:rFonts w:ascii="Times New Roman" w:hAnsi="Times New Roman" w:cs="Times New Roman"/>
                <w:sz w:val="20"/>
                <w:szCs w:val="20"/>
              </w:rPr>
              <w:t xml:space="preserve">Methods → Improving human IVM: key challenges</w:t>
            </w:r>
          </w:p>
        </w:tc>
        <w:tc>
          <w:tcPr>
            <w:tcW w:w="6018" w:type="dxa"/>
          </w:tcPr>
          <w:p>
            <w:pPr>
              <w:spacing w:before="20" w:after="20" w:line="240" w:lineRule="auto"/>
            </w:pPr>
            <w:r>
              <w:rPr>
                <w:rFonts w:ascii="Times New Roman" w:hAnsi="Times New Roman" w:cs="Times New Roman"/>
                <w:sz w:val="20"/>
                <w:szCs w:val="20"/>
              </w:rPr>
              <w:t xml:space="preserve">As a result, each laboratory must prepare its own culture medium, leading to variations in the composition of the medium between different laboratories.</w:t>
            </w:r>
          </w:p>
        </w:tc>
        <w:tc>
          <w:tcPr>
            <w:tcW w:w="6018"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94</w:t>
            </w:r>
          </w:p>
        </w:tc>
        <w:tc>
          <w:tcPr>
            <w:tcW w:w="2400" w:type="dxa"/>
          </w:tcPr>
          <w:p>
            <w:pPr>
              <w:spacing w:before="20" w:after="20" w:line="240" w:lineRule="auto"/>
            </w:pPr>
            <w:r>
              <w:rPr>
                <w:rFonts w:ascii="Times New Roman" w:hAnsi="Times New Roman" w:cs="Times New Roman"/>
                <w:sz w:val="20"/>
                <w:szCs w:val="20"/>
              </w:rPr>
              <w:t xml:space="preserve">Methods → Improving human IVM: key challenges</w:t>
            </w:r>
          </w:p>
        </w:tc>
        <w:tc>
          <w:tcPr>
            <w:tcW w:w="6018" w:type="dxa"/>
          </w:tcPr>
          <w:p>
            <w:pPr>
              <w:spacing w:before="20" w:after="20" w:line="240" w:lineRule="auto"/>
            </w:pPr>
            <w:r>
              <w:rPr>
                <w:rFonts w:ascii="Times New Roman" w:hAnsi="Times New Roman" w:cs="Times New Roman"/>
                <w:sz w:val="20"/>
                <w:szCs w:val="20"/>
              </w:rPr>
              <w:t xml:space="preserve">These factors encompass the composition of the culture medium, the timing and duration of culture, as well as the presence of supportive factors.</w:t>
            </w:r>
          </w:p>
        </w:tc>
        <w:tc>
          <w:tcPr>
            <w:tcW w:w="6018" w:type="dxa"/>
          </w:tcPr>
          <w:p>
            <w:pPr>
              <w:spacing w:before="20" w:after="20" w:line="240" w:lineRule="auto"/>
            </w:pPr>
            <w:r>
              <w:rPr>
                <w:rFonts w:ascii="Times New Roman" w:hAnsi="Times New Roman" w:cs="Times New Roman"/>
                <w:sz w:val="20"/>
                <w:szCs w:val="20"/>
              </w:rPr>
              <w:t xml:space="preserve">—</w:t>
            </w:r>
          </w:p>
        </w:tc>
      </w:tr>
    </w:tbl>
    <w:sectPr>
      <w:pgSz w:w="16838" w:h="11906" w:orient="landscape"/>
      <w:pgMar w:top="851" w:right="851" w:bottom="851" w:left="851" w:header="400" w:footer="400" w:gutter="0"/>
    </w:sectPr>
  </w:body>
</w:document>
</file>

<file path=word/styles.xml><?xml version="1.0" encoding="utf-8"?>
<w:styles xmlns:w="http://schemas.openxmlformats.org/wordprocessingml/2006/main">
  <w:style w:type="paragraph" w:default="1" w:styleId="Normal">
    <w:name w:val="Normal"/>
    <w:qFormat/>
    <w:rPr>
      <w:rFonts w:ascii="Times New Roman" w:hAnsi="Times New Roman" w:cs="Times New Roman"/>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