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МОДЕЛЬ УГРОЗ БЕЗОПАСНОСТИ</w:t>
      </w:r>
    </w:p>
    <w:p>
      <w:pPr>
        <w:pStyle w:val="Heading1"/>
      </w:pPr>
      <w:r>
        <w:t>1. ТЕРМИНЫ И ОПРЕДЕЛЕНИЯ</w:t>
      </w:r>
    </w:p>
    <w:p>
      <w:pPr>
        <w:spacing w:before="57" w:after="57"/>
        <w:ind w:firstLine="709"/>
        <w:jc w:val="both"/>
      </w:pPr>
      <w: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>
      <w:pPr>
        <w:spacing w:before="57" w:after="57"/>
        <w:ind w:firstLine="709"/>
        <w:jc w:val="both"/>
      </w:pPr>
      <w:r>
        <w:t>Автоматизированное рабочее место (АРМ) – программно-технический комплекс АС, предназначенный для автоматизации деятельности определенного вида.</w:t>
      </w:r>
    </w:p>
    <w:p>
      <w:pPr>
        <w:spacing w:before="57" w:after="57"/>
        <w:ind w:firstLine="709"/>
        <w:jc w:val="both"/>
      </w:pPr>
      <w:r>
        <w:t>Архитектура – совокупность основных структурно-функциональных характеристик, свойств, компонентов, воплощенных в информационных ресурсах и компонентах, правилах их взаимодействия, режимах обработки информации.</w:t>
      </w:r>
    </w:p>
    <w:p>
      <w:pPr>
        <w:spacing w:before="57" w:after="57"/>
        <w:ind w:firstLine="709"/>
        <w:jc w:val="both"/>
      </w:pPr>
      <w:r>
        <w:t>Безопасность информации – состояние защищенности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 при ее обработке в информационных системах.</w:t>
      </w:r>
    </w:p>
    <w:p>
      <w:pPr>
        <w:spacing w:before="57" w:after="57"/>
        <w:ind w:firstLine="709"/>
        <w:jc w:val="both"/>
      </w:pPr>
      <w:r>
        <w:t>Взаимодействующая (смежная) система – система или сеть, которая в рамках установленных функций имеет взаимодействие посредством сетевых интерфейсов и не включена оператором системы или сети в границу процесса оценки угроз безопасности информации.</w:t>
      </w:r>
    </w:p>
    <w:p>
      <w:pPr>
        <w:spacing w:before="57" w:after="57"/>
        <w:ind w:firstLine="709"/>
        <w:jc w:val="both"/>
      </w:pPr>
      <w:r>
        <w:t>Вирус (компьютерный, программный) – исполняемый программный код или интерпретируемый набор инструкций, обладающий свойствами несанкционированного распространения и самовоспроизведения. Созданные дубликаты компьютерного вируса не всегда совпадают с оригиналом, но сохраняют способность к дальнейшему распространению и самовоспроизведению.</w:t>
      </w:r>
    </w:p>
    <w:p>
      <w:pPr>
        <w:spacing w:before="57" w:after="57"/>
        <w:ind w:firstLine="709"/>
        <w:jc w:val="both"/>
      </w:pPr>
      <w:r>
        <w:t>Возможности нарушителя – мера усилий нарушителя для реализации угрозы безопасности информации, выраженная в показателях компетентности, оснащенности ресурсами и мотивации нарушителя.</w:t>
      </w:r>
    </w:p>
    <w:p>
      <w:pPr>
        <w:spacing w:before="57" w:after="57"/>
        <w:ind w:firstLine="709"/>
        <w:jc w:val="both"/>
      </w:pPr>
      <w:r>
        <w:t>Вредоносная программа – программа, предназначенная для осуществления несанкционированного доступа и (или) воздействия на информацию или ресурсы информационной системы.</w:t>
      </w:r>
    </w:p>
    <w:p>
      <w:pPr>
        <w:spacing w:before="57" w:after="57"/>
        <w:ind w:firstLine="709"/>
        <w:jc w:val="both"/>
      </w:pPr>
      <w:r>
        <w:t>Вспомогательные технические средства и системы (ВТСС) – технические средства и системы, не предназначенные для передачи, обработки и хранения информации, устанавливаемые совместно с техническими средствами и системами, предназначенными для обработки информации или в помещениях, в которых установлены информационные системы.</w:t>
      </w:r>
    </w:p>
    <w:p>
      <w:pPr>
        <w:spacing w:before="57" w:after="57"/>
        <w:ind w:firstLine="709"/>
        <w:jc w:val="both"/>
      </w:pPr>
      <w: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>
      <w:pPr>
        <w:spacing w:before="57" w:after="57"/>
        <w:ind w:firstLine="709"/>
        <w:jc w:val="both"/>
      </w:pPr>
      <w:r>
        <w:t>Информация – данные, содержащиеся в системах и сетях (в том числе защищаемая информация, персональные данные, информация о конфигурации систем и сетей, данные телеметрии, сведения о событиях безопасности и др.).</w:t>
      </w:r>
    </w:p>
    <w:p>
      <w:pPr>
        <w:spacing w:before="57" w:after="57"/>
        <w:ind w:firstLine="709"/>
        <w:jc w:val="both"/>
      </w:pPr>
      <w:r>
        <w:t>Информационная система (ИС)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>
      <w:pPr>
        <w:spacing w:before="57" w:after="57"/>
        <w:ind w:firstLine="709"/>
        <w:jc w:val="both"/>
      </w:pPr>
      <w:r>
        <w:t>Информационно-телекоммуникационная сеть (ИТКС) 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>
      <w:pPr>
        <w:spacing w:before="57" w:after="57"/>
        <w:ind w:firstLine="709"/>
        <w:jc w:val="both"/>
      </w:pPr>
      <w:r>
        <w:t>Информационные ресурсы – информация, данные, представленные в форме, предназначенной для хранения и обработки в системах и сетях.</w:t>
      </w:r>
    </w:p>
    <w:p>
      <w:pPr>
        <w:spacing w:before="57" w:after="57"/>
        <w:ind w:firstLine="709"/>
        <w:jc w:val="both"/>
      </w:pPr>
      <w:r>
        <w:t>Компонент – программное, программно-аппаратное или техническое средство.</w:t>
      </w:r>
    </w:p>
    <w:p>
      <w:pPr>
        <w:spacing w:before="57" w:after="57"/>
        <w:ind w:firstLine="709"/>
        <w:jc w:val="both"/>
      </w:pPr>
      <w:r>
        <w:t>Контролируемая зона – пространство, в котором исключено неконтролируемое пребывание сотрудников и посетителей оператора и посторонних транспортных, технических и иных материальных средств.</w:t>
      </w:r>
    </w:p>
    <w:p>
      <w:pPr>
        <w:spacing w:before="57" w:after="57"/>
        <w:ind w:firstLine="709"/>
        <w:jc w:val="both"/>
      </w:pPr>
      <w:r>
        <w:t>Недокументированные (недекларированные) возможности –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>
      <w:pPr>
        <w:spacing w:before="57" w:after="57"/>
        <w:ind w:firstLine="709"/>
        <w:jc w:val="both"/>
      </w:pPr>
      <w:r>
        <w:t>Несанкционированный доступ, несанкционированные действия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>
      <w:pPr>
        <w:spacing w:before="57" w:after="57"/>
        <w:ind w:firstLine="709"/>
        <w:jc w:val="both"/>
      </w:pPr>
      <w:r>
        <w:t>Обеспечивающие системы – инженерные системы, включающие системы электроснабжения, вентиляции, охлаждения, кондиционирования, охраны и другие инженерные системы, а также средства, каналы и системы, предназначенные для оказания услуг связи, других услуг и сервисов, предоставляемых сторонними организациями, от которых зависит функционирование систем и сетей.</w:t>
      </w:r>
    </w:p>
    <w:p>
      <w:pPr>
        <w:spacing w:before="57" w:after="57"/>
        <w:ind w:firstLine="709"/>
        <w:jc w:val="both"/>
      </w:pPr>
      <w:r>
        <w:t>Обработка информации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информацией,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информации.</w:t>
      </w:r>
    </w:p>
    <w:p>
      <w:pPr>
        <w:spacing w:before="57" w:after="57"/>
        <w:ind w:firstLine="709"/>
        <w:jc w:val="both"/>
      </w:pPr>
      <w:r>
        <w:t>Основные (критические) процессы (бизнес-процессы) – управленческие, организационные, технологические, производственные, финансово-экономические и иные основные процессы (бизнес-процессы), выполняемые обладателем информации, оператором в рамках реализации функций (полномочий) или осуществления основных видов деятельности, нарушение и (или) прекращение которых может привести к возникновению рисков (ущербу).</w:t>
      </w:r>
    </w:p>
    <w:p>
      <w:pPr>
        <w:spacing w:before="57" w:after="57"/>
        <w:ind w:firstLine="709"/>
        <w:jc w:val="both"/>
      </w:pPr>
      <w:r>
        <w:t>Персональные данные (ПДн)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>
      <w:pPr>
        <w:spacing w:before="57" w:after="57"/>
        <w:ind w:firstLine="709"/>
        <w:jc w:val="both"/>
      </w:pPr>
      <w:r>
        <w:t>Побочные электромагнитные излучения и наводки (ПЭМИН) – электромагнитные излучения технических средств обработки защищаемой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</w:p>
    <w:p>
      <w:pPr>
        <w:spacing w:before="57" w:after="57"/>
        <w:ind w:firstLine="709"/>
        <w:jc w:val="both"/>
      </w:pPr>
      <w:r>
        <w:t>Пользователь – лицо, которому разрешено выполнять некоторые действия (операции) по обработке информации в системе или сети и использующее результаты ее функционирования.</w:t>
      </w:r>
    </w:p>
    <w:p>
      <w:pPr>
        <w:spacing w:before="57" w:after="57"/>
        <w:ind w:firstLine="709"/>
        <w:jc w:val="both"/>
      </w:pPr>
      <w: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>
      <w:pPr>
        <w:spacing w:before="57" w:after="57"/>
        <w:ind w:firstLine="709"/>
        <w:jc w:val="both"/>
      </w:pPr>
      <w:r>
        <w:t>Программная закладка – скрытно внесенный в программное обеспечение функциональный объект, который при определенных условиях способен обеспечить несанкционированное программное воздействие. Программная закладка может быть реализована в виде вредоносной программы или программного кода.</w:t>
      </w:r>
    </w:p>
    <w:p>
      <w:pPr>
        <w:spacing w:before="57" w:after="57"/>
        <w:ind w:firstLine="709"/>
        <w:jc w:val="both"/>
      </w:pPr>
      <w:r>
        <w:t>Программно-аппаратное средство – устройство, состоящее из аппаратного обеспечения и функционирующего на нем программного обеспечения, участвующее в формировании, обработке, передаче или приеме информации.</w:t>
      </w:r>
    </w:p>
    <w:p>
      <w:pPr>
        <w:spacing w:before="57" w:after="57"/>
        <w:ind w:firstLine="709"/>
        <w:jc w:val="both"/>
      </w:pPr>
      <w:r>
        <w:t>Программное обеспечение – совокупность программ системы обработки информации и программных документов, необходимых для эксплуатации этих программ.</w:t>
      </w:r>
    </w:p>
    <w:p>
      <w:pPr>
        <w:spacing w:before="57" w:after="57"/>
        <w:ind w:firstLine="709"/>
        <w:jc w:val="both"/>
      </w:pPr>
      <w:r>
        <w:t>Сеть электросвязи – сеть связи, предназначенная для электросвязи (передача и прием сигналов, отображающих звуки, изображения, письменный текст, знаки или сообщения любого рода по электромагнитным системам).</w:t>
      </w:r>
    </w:p>
    <w:p>
      <w:pPr>
        <w:spacing w:before="57" w:after="57"/>
        <w:ind w:firstLine="709"/>
        <w:jc w:val="both"/>
      </w:pPr>
      <w:r>
        <w:t>Средства криптографической защиты информации (шифровальные (криптографические) средства, криптосредства, СКЗИ) – аппаратные, программные и аппаратно-программные средства, системы и комплексы, реализующие алгоритмы криптографического преобразования информации и предназначенные для защиты информации при передаче по каналам связи и (или) для защиты информации от несанкционированного доступа при ее обработке и хранении.</w:t>
      </w:r>
    </w:p>
    <w:p>
      <w:pPr>
        <w:spacing w:before="57" w:after="57"/>
        <w:ind w:firstLine="709"/>
        <w:jc w:val="both"/>
      </w:pPr>
      <w:r>
        <w:t>Средство защиты информации (СЗИ) – техническое, программное, программнотехническое средство, вещество и (или) материал, предназначенные или используемые для защиты информации.</w:t>
      </w:r>
    </w:p>
    <w:p>
      <w:pPr>
        <w:spacing w:before="57" w:after="57"/>
        <w:ind w:firstLine="709"/>
        <w:jc w:val="both"/>
      </w:pPr>
      <w:r>
        <w:t>Средства вычислительной техники (СВТ) 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>
      <w:pPr>
        <w:spacing w:before="57" w:after="57"/>
        <w:ind w:firstLine="709"/>
        <w:jc w:val="both"/>
      </w:pPr>
      <w:r>
        <w:t>Технический канал утечки информации (ТКЗИ) – совокупность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информация.</w:t>
      </w:r>
    </w:p>
    <w:p>
      <w:pPr>
        <w:spacing w:before="57" w:after="57"/>
        <w:ind w:firstLine="709"/>
        <w:jc w:val="both"/>
      </w:pPr>
      <w:r>
        <w:t>Угроза безопасности информации (УБИ) – совокупность условий и факторов, создающих потенциальную или реально существующую опасность нарушения безопасности информации.</w:t>
      </w:r>
    </w:p>
    <w:p>
      <w:pPr>
        <w:spacing w:before="57" w:after="57"/>
        <w:ind w:firstLine="709"/>
        <w:jc w:val="both"/>
      </w:pPr>
      <w:r>
        <w:t>Уничтожение информации – действия, в результате которых становится невозможным восстановить содержание информации в информационной системе и (или) в результате которых уничтожаются материальные носители информации.</w:t>
      </w:r>
    </w:p>
    <w:p>
      <w:pPr>
        <w:spacing w:before="57" w:after="57"/>
        <w:ind w:firstLine="709"/>
        <w:jc w:val="both"/>
      </w:pPr>
      <w:r>
        <w:t>Утечка (защищаемой) информации по техническим каналам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>
      <w:pPr>
        <w:spacing w:before="57" w:after="57"/>
        <w:ind w:firstLine="709"/>
        <w:jc w:val="both"/>
      </w:pPr>
      <w:r>
        <w:t>Уязвимость – недостаток (слабость) программного (программно-технического) средства или системы и сети в целом, который(ая) может быть использован(а) для реализации угроз безопасности информации.</w:t>
      </w:r>
    </w:p>
    <w:p>
      <w:pPr>
        <w:pStyle w:val="Heading1"/>
      </w:pPr>
      <w:r>
        <w:t>2. ОБЩИЕ ПОЛОЖЕНИЯ</w:t>
      </w:r>
    </w:p>
    <w:p>
      <w:pPr>
        <w:pStyle w:val="Heading2"/>
      </w:pPr>
      <w:r>
        <w:t>2.1. Введение</w:t>
      </w:r>
    </w:p>
    <w:p>
      <w:pPr>
        <w:spacing w:before="57" w:after="57"/>
        <w:ind w:firstLine="709"/>
        <w:jc w:val="both"/>
      </w:pPr>
      <w:r>
        <w:t>Настоящая модель угроз безопасности информации (далее – Модель угроз) содержит результаты оценки угроз безопасности информации.</w:t>
      </w:r>
    </w:p>
    <w:p>
      <w:pPr>
        <w:spacing w:before="57" w:after="57"/>
        <w:ind w:firstLine="709"/>
        <w:jc w:val="both"/>
      </w:pPr>
      <w:r>
        <w:t>Оценка угроз проводится в целях определения угроз безопасности информации, реализация (возникновение) которых возможна в ОРГАНИЗАЦИИ (с учетом архитектуры и условий его функционирования) и может привести к нарушению безопасности обрабатываемой в ОРГАНИЗАЦИИ информации (нарушению конфиденциальности, целостности, доступности, неотказуемости, подотчетности, аутентичности и достоверности информации и (или) средств ее обработки) и (или) к нарушению, прекращению функционирования ОРГАНИЗАЦИИ.</w:t>
      </w:r>
    </w:p>
    <w:p>
      <w:pPr>
        <w:pStyle w:val="Heading2"/>
      </w:pPr>
      <w:r>
        <w:t>2.2. Оцениваемые угрозы</w:t>
      </w:r>
    </w:p>
    <w:p>
      <w:pPr>
        <w:spacing w:before="57" w:after="57"/>
        <w:ind w:firstLine="709"/>
        <w:jc w:val="both"/>
      </w:pPr>
      <w:r>
        <w:t>Модель угроз содержит результаты оценки антропогенных угроз безопасности информации, возникновение которых обусловлено действиями нарушителей. При этом в настоящей Модели угроз не рассматриваются угрозы...</w:t>
      </w:r>
    </w:p>
    <w:p>
      <w:pPr>
        <w:pStyle w:val="Heading2"/>
      </w:pPr>
      <w:r>
        <w:t>2.3. Ответственность за обеспечение защиты информации (безопасности)</w:t>
      </w:r>
    </w:p>
    <w:p>
      <w:pPr>
        <w:spacing w:before="57" w:after="57"/>
        <w:ind w:firstLine="709"/>
        <w:jc w:val="both"/>
      </w:pPr>
      <w:r>
        <w:t>Ответственными за обеспечение информационной безопасности ОРГАНИЗАЦИИ приказом РУКОВОДИТЕЛЯ назначены должностные лица / подразделения, представленные в таблице 1.</w:t>
      </w:r>
    </w:p>
    <w:p>
      <w:pPr>
        <w:spacing w:before="57" w:after="57"/>
        <w:ind w:firstLine="709"/>
        <w:jc w:val="both"/>
      </w:pPr>
      <w:r>
        <w:t>Таблица 1. Ответственные за обеспечение информационной безопасности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Роль подразделения /</w:t>
              <w:br/>
              <w:t>должностного лица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Должностное лицо / подразделение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 Ответственный за обеспечение безопасности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 Руководитель отдела средств защиты</w:t>
            </w:r>
          </w:p>
        </w:tc>
      </w:tr>
    </w:tbl>
    <w:p>
      <w:pPr>
        <w:pStyle w:val="Heading2"/>
      </w:pPr>
      <w:r>
        <w:t>2.4. Особенности пересмотра Модели угроз</w:t>
      </w:r>
    </w:p>
    <w:p>
      <w:pPr>
        <w:spacing w:before="57" w:after="57"/>
        <w:ind w:firstLine="709"/>
        <w:jc w:val="both"/>
      </w:pPr>
      <w:r>
        <w:t>Настоящая Модель угроз может быть пересмотрена:</w:t>
      </w:r>
    </w:p>
    <w:p>
      <w:pPr>
        <w:spacing w:before="57" w:after="57"/>
        <w:ind w:firstLine="709"/>
        <w:jc w:val="both"/>
      </w:pPr>
      <w:r>
        <w:t>– по решению ОРГАНИЗАЦИИ на основе периодически проводимых анализа и оценки угроз безопасности защищаемой информации с учетом особенностей и (или) изменений ОРГАНИЗАЦИИ;</w:t>
      </w:r>
    </w:p>
    <w:p>
      <w:pPr>
        <w:spacing w:before="57" w:after="57"/>
        <w:ind w:firstLine="709"/>
        <w:jc w:val="both"/>
      </w:pPr>
      <w:r>
        <w:t>– в случае возникновения (обнаружения) новых уязвимостей и угроз безопасности информации;</w:t>
      </w:r>
    </w:p>
    <w:p>
      <w:pPr>
        <w:spacing w:before="57" w:after="57"/>
        <w:ind w:firstLine="709"/>
        <w:jc w:val="both"/>
      </w:pPr>
      <w:r>
        <w:t>– в случае изменения федерального законодательства в части оценки угроз безопасности информации;</w:t>
      </w:r>
    </w:p>
    <w:p>
      <w:pPr>
        <w:spacing w:before="57" w:after="57"/>
        <w:ind w:firstLine="709"/>
        <w:jc w:val="both"/>
      </w:pPr>
      <w:r>
        <w:t>– в случае появления новых угроз в используемых источниках данных об угрозах безопасности информации;</w:t>
      </w:r>
    </w:p>
    <w:p>
      <w:pPr>
        <w:spacing w:before="57" w:after="57"/>
        <w:ind w:firstLine="709"/>
        <w:jc w:val="both"/>
      </w:pPr>
      <w:r>
        <w:t>– в случае изменения структурно-функциональных характеристик, применяемых информационных технологий или особенностей функционирования ОРГАНИЗАЦИИ;</w:t>
      </w:r>
    </w:p>
    <w:p>
      <w:pPr>
        <w:spacing w:before="57" w:after="57"/>
        <w:ind w:firstLine="709"/>
        <w:jc w:val="both"/>
      </w:pPr>
      <w:r>
        <w:t>– в случае появления сведений и (или) фактов о новых возможностях потенциальных нарушителей;</w:t>
      </w:r>
    </w:p>
    <w:p>
      <w:pPr>
        <w:spacing w:before="57" w:after="57"/>
        <w:ind w:firstLine="709"/>
        <w:jc w:val="both"/>
      </w:pPr>
      <w:r>
        <w:t>– в случаях выявления инцидентов информационной безопасности в ОРГАНИЗАЦИИ и (или) взаимодействующих (смежных) системах.</w:t>
      </w:r>
    </w:p>
    <w:p>
      <w:pPr>
        <w:pStyle w:val="Heading1"/>
      </w:pPr>
      <w:r>
        <w:t>3. ОПИСАНИЕ СИСТЕМ И СЕТЕЙ И ИХ ХАРАКТЕРИСТИКА КАК ОБЪЕКТОВ ЗАЩИТЫ</w:t>
      </w:r>
    </w:p>
    <w:p>
      <w:pPr>
        <w:pStyle w:val="Heading2"/>
      </w:pPr>
      <w:r>
        <w:t>3.1 Общее описание объекта оценки угроз</w:t>
      </w:r>
    </w:p>
    <w:p>
      <w:pPr>
        <w:spacing w:before="57" w:after="57"/>
        <w:ind w:firstLine="709"/>
        <w:jc w:val="both"/>
      </w:pPr>
      <w:r>
        <w:t>Настоящая Модель угроз разработана в отношении ОРГАНИЗАЦИИ.</w:t>
      </w:r>
    </w:p>
    <w:p>
      <w:pPr>
        <w:spacing w:before="57" w:after="57"/>
        <w:ind w:firstLine="709"/>
        <w:jc w:val="both"/>
      </w:pPr>
      <w:r>
        <w:t>Основные характеристики ОРГАНИЗАЦИИ:</w:t>
      </w:r>
    </w:p>
    <w:p>
      <w:pPr>
        <w:spacing w:before="57" w:after="57"/>
        <w:ind w:firstLine="709"/>
        <w:jc w:val="both"/>
      </w:pPr>
      <w:r>
        <w:t>Состав обрабатываемой информации:</w:t>
      </w:r>
    </w:p>
    <w:p>
      <w:pPr>
        <w:spacing w:before="57" w:after="57"/>
        <w:ind w:firstLine="709"/>
        <w:jc w:val="both"/>
      </w:pPr>
      <w:r>
        <w:t>– Пример: Персональные данные</w:t>
      </w:r>
    </w:p>
    <w:p>
      <w:pPr>
        <w:spacing w:before="57" w:after="57"/>
        <w:ind w:firstLine="709"/>
        <w:jc w:val="both"/>
      </w:pPr>
      <w:r>
        <w:t>Основные процессы (бизнес-процессы):</w:t>
      </w:r>
    </w:p>
    <w:p>
      <w:pPr>
        <w:spacing w:before="57" w:after="57"/>
        <w:ind w:firstLine="709"/>
        <w:jc w:val="both"/>
      </w:pPr>
      <w:r>
        <w:t>– Пример: Осуществление образовательной деятельности (Предполагает организацию и ведение образовательной деятельности в соответствии с законодательством).</w:t>
      </w:r>
    </w:p>
    <w:p>
      <w:pPr>
        <w:spacing w:before="57" w:after="57"/>
        <w:ind w:firstLine="709"/>
        <w:jc w:val="both"/>
      </w:pPr>
      <w:r>
        <w:t>Уровень защищенности ПДн:</w:t>
      </w:r>
    </w:p>
    <w:p>
      <w:pPr>
        <w:pStyle w:val="Heading2"/>
      </w:pPr>
      <w:r>
        <w:t>3.2. Состав и архитектура объекта оценки</w:t>
      </w:r>
    </w:p>
    <w:p>
      <w:pPr>
        <w:spacing w:before="57" w:after="57"/>
        <w:ind w:firstLine="709"/>
        <w:jc w:val="both"/>
      </w:pPr>
      <w:r>
        <w:t>Состав ОРГАНИЗАЦИИ определен в таблице 2.</w:t>
      </w:r>
    </w:p>
    <w:p>
      <w:pPr>
        <w:spacing w:before="57" w:after="57"/>
        <w:ind w:firstLine="709"/>
        <w:jc w:val="both"/>
      </w:pPr>
      <w:r>
        <w:t>Таблица 2. Состав ОРГАНИЗАЦИИ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Характеристика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Значение характеристики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Программно-аппаратные средства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База данных Postgres – 1</w:t>
              <w:br/>
              <w:t>Бухгалтерия ПК – 1</w:t>
              <w:br/>
              <w:t>None – 7</w:t>
              <w:br/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Общесистемное программное обеспечение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Операционные системы:</w:t>
              <w:br/>
              <w:t>- Debian GNU/Linux;</w:t>
              <w:br/>
              <w:t>- Microsoft Windows Server 2019 Standart, русская версия;</w:t>
              <w:br/>
              <w:t>- Microsoft Windows Server 2012 R2 Standart x64;</w:t>
              <w:br/>
              <w:t>- Microsoft Windows 10 Pro, 64-разрядная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Прикладное программное обеспечение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- 1С Бухгалтерия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Средства защиты информации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Средства антивирусной защиты: Kaspersky Endpoint Security для Windows (версия 11.1.1.126)</w:t>
              <w:br/>
              <w:t>Средства криптографической защиты информации: Программный комплекс ViPNet Client 4 (версия 4.5)</w:t>
            </w:r>
          </w:p>
        </w:tc>
      </w:tr>
    </w:tbl>
    <w:p>
      <w:pPr>
        <w:spacing w:before="57" w:after="57"/>
        <w:ind w:firstLine="709"/>
        <w:jc w:val="both"/>
      </w:pPr>
      <w:r>
        <w:t>Организация представляет собой локальную систему (комплекс автоматизированных рабочих мест, коммуникационного и серверного оборудования, территориально размещенных в пределах одного здания (нескольких близко расположенных зданий) и объединенных в единую систему).</w:t>
      </w:r>
    </w:p>
    <w:p>
      <w:pPr>
        <w:spacing w:before="57" w:after="57"/>
        <w:ind w:firstLine="709"/>
        <w:jc w:val="both"/>
      </w:pPr>
      <w:r>
        <w:t>Подключение к сетям электросвязи, включенным в состав единой сети электросвязи Российской Федерации – присутствует, в соответствии с таблицей 3.</w:t>
      </w:r>
    </w:p>
    <w:p>
      <w:pPr>
        <w:spacing w:before="57" w:after="57"/>
        <w:ind w:firstLine="709"/>
        <w:jc w:val="both"/>
      </w:pPr>
      <w:r>
        <w:t>Таблица 3. Подключения к сетям электросвязи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Категория сети электросвязи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Наименование оператора связи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Цель взаимодействия с сетью электросвязи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Способ взаимодействия с сетью электросвязи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Общего пользования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ПАО КОМПАНИЯ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Оказание услуг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Тип доступа: проводной, беспроводной. Протоколы: HTTP, POP3, FTP, SMTP, IMAP4, TCP/IP</w:t>
            </w:r>
          </w:p>
        </w:tc>
      </w:tr>
    </w:tbl>
    <w:p>
      <w:pPr>
        <w:spacing w:before="57" w:after="57"/>
        <w:ind w:firstLine="709"/>
        <w:jc w:val="both"/>
      </w:pPr>
      <w:r>
        <w:t>Подключение к информационно-телекоммуникационным сетям – отсутствует/присутствует.</w:t>
      </w:r>
    </w:p>
    <w:p>
      <w:pPr>
        <w:spacing w:before="57" w:after="57"/>
        <w:ind w:firstLine="709"/>
        <w:jc w:val="both"/>
      </w:pPr>
      <w:r>
        <w:t>Подключение к информационно-телекоммуникационной сети «Интернет» – отсутствует/присутствует.</w:t>
      </w:r>
    </w:p>
    <w:p>
      <w:pPr>
        <w:spacing w:before="57" w:after="57"/>
        <w:ind w:firstLine="709"/>
        <w:jc w:val="both"/>
      </w:pPr>
      <w:r>
        <w:t>Подключение к информационно-телекоммуникационным сетям иных организаций – отсутствует/присутствует.</w:t>
      </w:r>
    </w:p>
    <w:p>
      <w:pPr>
        <w:spacing w:before="57" w:after="57"/>
        <w:ind w:firstLine="709"/>
        <w:jc w:val="both"/>
      </w:pPr>
      <w:r>
        <w:t>В ОРГАНИЗАЦИИ не осуществляется/осуществляет взаимодействие с системами и сетями других организаций.</w:t>
      </w:r>
    </w:p>
    <w:p>
      <w:pPr>
        <w:spacing w:before="57" w:after="57"/>
        <w:ind w:firstLine="709"/>
        <w:jc w:val="both"/>
      </w:pPr>
      <w:r>
        <w:t>В ОРГАНИЗАЦИИ не осуществляется/осуществляет взаимодействие с другими системами и сетями ОРГАНИЗАЦИИ.</w:t>
      </w:r>
    </w:p>
    <w:p>
      <w:pPr>
        <w:spacing w:before="57" w:after="57"/>
        <w:ind w:firstLine="709"/>
        <w:jc w:val="both"/>
      </w:pPr>
      <w:r>
        <w:t>К информационным ресурсам ОРГАНИЗАЦИИ не осуществляется/осуществляет локальный доступ.</w:t>
      </w:r>
    </w:p>
    <w:p>
      <w:pPr>
        <w:spacing w:before="57" w:after="57"/>
        <w:ind w:firstLine="709"/>
        <w:jc w:val="both"/>
      </w:pPr>
      <w:r>
        <w:t>К информационным ресурсам ОРГАНИЗАЦИИ не осуществляется/осуществляет удаленный доступ.</w:t>
      </w:r>
    </w:p>
    <w:p>
      <w:pPr>
        <w:spacing w:before="57" w:after="57"/>
        <w:ind w:firstLine="709"/>
        <w:jc w:val="both"/>
      </w:pPr>
      <w:r>
        <w:t>Технологии, используемые в ОРГАНИЗАЦИИ отражены в таблице 4.</w:t>
      </w:r>
    </w:p>
    <w:p>
      <w:pPr>
        <w:spacing w:before="57" w:after="57"/>
        <w:ind w:firstLine="709"/>
        <w:jc w:val="both"/>
      </w:pPr>
      <w:r>
        <w:t>Таблица 4. Технологии, используемые в ОРГАНИЗАЦИИ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Использование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Съемные носители информации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Не используются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виртуализации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Используются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беспроводного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Мобильные технические средства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Веб-серверы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веб-доступа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Smart-карты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Технологии грид-систем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Технологии суперкомпьютерных систем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Большие данные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Числовое программное оборудование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Электронная почта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передачи видеоинформации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удаленного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удаленного внеполосного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искусственного интеллекта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</w:tbl>
    <w:p>
      <w:pPr>
        <w:pStyle w:val="Heading1"/>
      </w:pPr>
      <w:r>
        <w:t>4. ВОЗМОЖНЫЕ НЕГАТИВНЫЕ ПОСЛЕДСТВИЯ ОТ РЕАЛИЗАЦИИ (ВОЗНИКНОВЕНИЯ)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негативные последствия, которые могут наступить от реализации (возникновения) угроз безопасности информации.</w:t>
      </w:r>
    </w:p>
    <w:p>
      <w:pPr>
        <w:spacing w:before="57" w:after="57"/>
        <w:ind w:firstLine="709"/>
        <w:jc w:val="both"/>
      </w:pPr>
      <w:r>
        <w:t>Негативные последствия определяются применительно к нарушению основных (критических) процессов (бизнес-процессов) ОРГАНИЗАЦИИ и применительно к нарушению безопасности информации.</w:t>
      </w:r>
    </w:p>
    <w:p>
      <w:pPr>
        <w:spacing w:before="57" w:after="57"/>
        <w:ind w:firstLine="709"/>
        <w:jc w:val="both"/>
      </w:pPr>
      <w:r>
        <w:t>На основе анализа исходных данных ОРГАНИЗАЦИИ определены негативные последствия, которые приводят к видам рисков (ущерба), представленные в таблице 5.</w:t>
      </w:r>
    </w:p>
    <w:p>
      <w:pPr>
        <w:spacing w:before="57" w:after="57"/>
        <w:ind w:firstLine="709"/>
        <w:jc w:val="both"/>
      </w:pPr>
      <w:r>
        <w:t>Таблица 5. Виды рисков (ущерба) и негативные последствия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Иденти-</w:t>
              <w:br/>
              <w:t>фикатор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Вид риска (ущерба)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Разглашение персональных данных граждан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неприкосновенности частной жизни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личной, семейной тайны, утрата чести и доброго имени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конфиденциальности (утечка) персональных данных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законодательства Российской Федерации (юридическое лицо, индивидуальный предприниматель)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Необходимость дополнительных (незапланированных) затрат на выплаты штрафов (неустоек) или компенсаций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НП.7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Невозможность решения задач (реализации функций) или снижение эффективности решения задач (реализации функций)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НП.8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Утечка конфиденциальной информации (коммерческой тайны, секретов производства (ноу-хау) и др.)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</w:tbl>
    <w:p>
      <w:pPr>
        <w:pStyle w:val="Heading1"/>
      </w:pPr>
      <w:r>
        <w:t>5. ВОЗМОЖНЫЕ ОБЪЕКТЫ ВОЗДЕЙСТВИЯ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информационные ресурсы и компоненты ОРГАНИЗАЦИИ, несанкционированный доступ к которым или воздействие на которые в ходе реализации (возникновения) угроз безопасности информации может привести к негативным последствиям, определенным в разделе 4 настоящей Модели угроз, – объектов воздействия.</w:t>
      </w:r>
    </w:p>
    <w:p>
      <w:pPr>
        <w:spacing w:before="57" w:after="57"/>
        <w:ind w:firstLine="709"/>
        <w:jc w:val="both"/>
      </w:pPr>
      <w:r>
        <w:t>Объекты воздействия определялись для реальной архитектуры и условий функционирования ОРГАНИЗАЦИИ на основе анализа исходных данных и проведенной инвентаризации.</w:t>
      </w:r>
    </w:p>
    <w:p>
      <w:pPr>
        <w:spacing w:before="57" w:after="57"/>
        <w:ind w:firstLine="709"/>
        <w:jc w:val="both"/>
      </w:pPr>
      <w:r>
        <w:t>Определение объектов воздействия производилось на аппаратном, системном и прикладном уровнях, на уровне сетевой модели взаимодействия, а также на уровне пользователей.</w:t>
      </w:r>
    </w:p>
    <w:p>
      <w:pPr>
        <w:spacing w:before="57" w:after="57"/>
        <w:ind w:firstLine="709"/>
        <w:jc w:val="both"/>
      </w:pPr>
      <w:r>
        <w:t>В отношении каждого объекта воздействия определялись виды воздействия на него, которые могут привести к негативным последствиям. Рассматриваемые виды воздействия представлены в таблице 6.</w:t>
      </w:r>
    </w:p>
    <w:p>
      <w:pPr>
        <w:spacing w:before="57" w:after="57"/>
        <w:ind w:firstLine="709"/>
        <w:jc w:val="both"/>
      </w:pPr>
      <w:r>
        <w:t>Таблица 6. Виды воздействия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Иденти-</w:t>
              <w:br/>
              <w:t>фикатор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Вид воздействия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Утечка (перехват) конфиденциальной информации или отдельных данных (нарушение конфиденциальности)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Несанкционированный доступ к компонентам, защищаемой информации, системным, конфигурационным, иным служебным данным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ВВ.3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Отказ в обслуживании компонентов (нарушение доступности)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ВВ.4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ВВ.5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Несанкционированное использование вычислительных ресурсов систем и сетей в интересах решения несвойственных им задач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ВВ.6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Нарушение функционирования (работоспособности) программно-аппаратных средств обработки, передачи и хранения информации</w:t>
            </w:r>
          </w:p>
        </w:tc>
      </w:tr>
    </w:tbl>
    <w:p>
      <w:pPr>
        <w:spacing w:before="57" w:after="57"/>
        <w:ind w:firstLine="709"/>
        <w:jc w:val="both"/>
      </w:pPr>
      <w:r>
        <w:t>Итоговый перечень объектов воздействия со списком возможных видов воздействия на них, реализация которых может привести к негативным последствиям, представлен в таблице 7.</w:t>
      </w:r>
    </w:p>
    <w:p>
      <w:pPr>
        <w:spacing w:before="57" w:after="57"/>
        <w:ind w:firstLine="709"/>
        <w:jc w:val="both"/>
      </w:pPr>
      <w:r>
        <w:t>Таблица 7. Объекты воздействия и виды воздействия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Объекты воздействия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Виды воздействия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Утечка конфиденциальной информации (коммерческой тайны, секретов производства (ноу-хау) и др.)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База данных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ВВ.1 ВВ.3 ВВ.4 ВВ.6 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Необходимость дополнительных (незапланированных) затрат на выплаты штрафов (неустоек) или компенсаций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Программное обеспечение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ВВ.1 ВВ.2 ВВ.4 ВВ.5 </w:t>
            </w:r>
          </w:p>
        </w:tc>
      </w:tr>
    </w:tbl>
    <w:p>
      <w:pPr>
        <w:pStyle w:val="Heading1"/>
      </w:pPr>
      <w:r>
        <w:t>6. ИСТОЧНИКИ УГРОЗ БЕЗОПАСНОСТИ ИНФОРМАЦИИ</w:t>
      </w:r>
    </w:p>
    <w:p>
      <w:pPr>
        <w:pStyle w:val="Heading2"/>
      </w:pPr>
      <w:r>
        <w:t>6.1. Антропогенные источники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антропогенные источники угроз безопасности информации, к которым относятся лица (группа лиц), осуществляющие(ая) реализацию угроз безопасности информации путем несанкционированного доступа и (или) воздействия на информационные ресурсы и (или) компоненты ОРГАНИЗАЦИИ.</w:t>
      </w:r>
    </w:p>
    <w:p>
      <w:pPr>
        <w:spacing w:before="57" w:after="57"/>
        <w:ind w:firstLine="709"/>
        <w:jc w:val="both"/>
      </w:pPr>
      <w:r>
        <w:t>Формирование перечня рассматриваемых видов нарушителей и их возможных целей по реализации угроз безопасности информации и предположений об их отнесении к числу возможных нарушителей (нарушителей, подлежащих дальнейшей оценке), представлены в таблице 8.</w:t>
      </w:r>
    </w:p>
    <w:p>
      <w:pPr>
        <w:spacing w:before="57" w:after="57"/>
        <w:ind w:firstLine="709"/>
        <w:jc w:val="both"/>
      </w:pPr>
      <w:r>
        <w:t>Таблица 8. Перечень рассматриваемых нарушителей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Вид нарушителя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Возможные цели реализации</w:t>
              <w:br/>
              <w:t>угроз безопасности информации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Актуальность</w:t>
              <w:br/>
              <w:t>возможных нарушителей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Специальные службы иностранных государств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Нанесение ущерба государству в области обороны, безопасности и правопорядка, а также в иных отдельных областях его деятельности или секторах экономики; Дискредитация деятельности отдельных органов государственной власти, организаций; Получение конкурентных преимуществ на уровне государства; Срыв заключения международных договоров; Создание внутриполитического кризиса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Террористические, экстремистские группировки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Совершение террористических актов, угроза жизни граждан; Нанесение ущерба отдельным сферам деятельности или секторам экономики государства; Дестабилизация общества; Дестабилизация деятельности органов государственной власти, организаций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Преступные группы (криминальные структуры)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Желание самореализации (подтверждение статуса)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Отдельные физические лица (хакеры)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выгоды;Любопытство или желание самореализации (подтверждение статуса)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Конкурирующие организации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Разработчики программных, программно-аппаратных средств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Внедрение дополнительных функциональных возможностей в программные или программно-аппаратные средства на этапе разработки;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Поставщики вычислительных услуг, услуг связи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обеспечивающие функционирование систем и сетей или обеспечивающие системы оператора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Авторизованные пользователи систем и сетей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Любопытство или желание самореализации (подтверждение статуса); Непреднамеренные, неосторожные или неквалифицированные действия;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Системные администраторы и администраторы безопасности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Любопытство или желание самореализации (подтверждение статуса); Непреднамеренные, неосторожные или неквалифицированные действия;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Бывшие (уволенные) работники (пользователи)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</w:tbl>
    <w:p>
      <w:pPr>
        <w:spacing w:before="57" w:after="57"/>
        <w:ind w:firstLine="709"/>
        <w:jc w:val="both"/>
      </w:pPr>
      <w:r>
        <w:t>Проведено определение характеристик (категория нарушителя и уровень возможности по реализации угроз безопасности информации) возможных нарушителей, а также сопоставление возможных нарушителей и их целей реализации угроз безопасности информации с возможными негативными последствиями и видами рисков (ущерба) от реализации (возникновения) угроз безопасности информации. По результатам сопоставления определяются актуальные нарушители по следующему принципу: нарушитель признается актуальным, если возможные цели реализации нарушителем угроз безопасности информации могут привести к определенным для ОРГАНИЗАЦИИ негативным последствиям и соответствующим рискам (видам ущерба). Результаты представлены в таблице 9.</w:t>
      </w:r>
    </w:p>
    <w:p>
      <w:pPr>
        <w:spacing w:before="57" w:after="57"/>
        <w:ind w:firstLine="709"/>
        <w:jc w:val="both"/>
      </w:pPr>
      <w:r>
        <w:t>Таблица 9. Характеристики актуальных нарушителей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Вид нарушителя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Категория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Уровень возможностей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Отдельные физические лица (хакеры)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Внешний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H1. Нарушитель, обладающий базовыми возможностями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Системные администраторы и администраторы безопасности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Внутренний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Н2. Нарушитель, обладающий базовыми повышенными возможностями</w:t>
            </w:r>
          </w:p>
        </w:tc>
      </w:tr>
    </w:tbl>
    <w:p>
      <w:pPr>
        <w:spacing w:before="57" w:after="57"/>
        <w:ind w:firstLine="709"/>
        <w:jc w:val="both"/>
      </w:pPr>
      <w:r>
        <w:t>Категория нарушителя определяется исходя из следующих принципов:</w:t>
      </w:r>
    </w:p>
    <w:p>
      <w:pPr>
        <w:spacing w:before="57" w:after="57"/>
        <w:ind w:firstLine="709"/>
        <w:jc w:val="both"/>
      </w:pPr>
      <w:r>
        <w:t>– внешний нарушитель – если нарушитель не имеет прав доступа в контролируемую (охраняемую) зону (территорию) и (или) полномочий по доступу к информационным ресурсам и компонентам ОРГАНИЗАЦИИ, требующим авторизации;</w:t>
      </w:r>
    </w:p>
    <w:p>
      <w:pPr>
        <w:spacing w:before="57" w:after="57"/>
        <w:ind w:firstLine="709"/>
        <w:jc w:val="both"/>
      </w:pPr>
      <w:r>
        <w:t>– внутренний нарушитель – если нарушитель имеет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ОРГАНИЗАЦИИ. К внутренним нарушителям относятся пользователи, имеющие как непривилегированные (пользовательские), так и привилегированные (административные) права доступа к информационным ресурсам и компонентам ОРГАНИЗАЦИИ.</w:t>
      </w:r>
    </w:p>
    <w:p>
      <w:pPr>
        <w:spacing w:before="57" w:after="57"/>
        <w:ind w:firstLine="709"/>
        <w:jc w:val="both"/>
      </w:pPr>
      <w:r>
        <w:t>Внешние нарушители реализуют угрозы безопасности информации преднамеренно (преднамеренные угрозы безопасности информации) с использованием программных, программно-аппаратных средств или без использования таковых. Внутренние нарушители реализуют угрозы безопасности информации преднамеренно (преднамеренные угрозы безопасности информации) с использованием программных, программно-аппаратных средств или без использования таковых или непреднамеренно (непреднамеренные угрозы безопасности информации) без использования программных, программно-аппаратных средств.</w:t>
      </w:r>
    </w:p>
    <w:p>
      <w:pPr>
        <w:spacing w:before="57" w:after="57"/>
        <w:ind w:firstLine="709"/>
        <w:jc w:val="both"/>
      </w:pPr>
      <w: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нарушителя по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Уровень возможности нарушителя определяется исходя из следующих принципов:</w:t>
      </w:r>
    </w:p>
    <w:p>
      <w:pPr>
        <w:spacing w:before="57" w:after="57"/>
        <w:ind w:firstLine="709"/>
        <w:jc w:val="both"/>
      </w:pPr>
      <w:r>
        <w:t>– нарушитель, обладающий базовыми возможностями по реализации угроз безопасности информации – нарушитель имеет возможность реализовывать только известные угрозы, направленные на известные (документированные) уязвимости, с использованием общедоступных инструментов;</w:t>
      </w:r>
    </w:p>
    <w:p>
      <w:pPr>
        <w:spacing w:before="57" w:after="57"/>
        <w:ind w:firstLine="709"/>
        <w:jc w:val="both"/>
      </w:pPr>
      <w:r>
        <w:t>– нарушитель, обладающий базовыми повышенными возможностями по реализации угроз безопасности информации – нарушитель имеет возможность реализовывать угрозы, в том числе направленные на неизвестные (недокументированные) уязвимости, с использованием специально созданных для этого инструментов, свободно распространяемых в сети «Интернет». Не имеет возможностей реализации угроз на физически изолированные сегменты систем и сетей;</w:t>
      </w:r>
    </w:p>
    <w:p>
      <w:pPr>
        <w:spacing w:before="57" w:after="57"/>
        <w:ind w:firstLine="709"/>
        <w:jc w:val="both"/>
      </w:pPr>
      <w:r>
        <w:t>– нарушитель, обладающий средними возможностями по реализации угроз безопасности информации – нарушитель имеет возможность реализовывать угрозы, в том числе на выявленные им неизвестные уязвимости, с использованием самостоятельно разработанных для этого инструментов. Не имеет возможностей реализации угроз на физически изолированные сегменты систем и сетей;</w:t>
      </w:r>
    </w:p>
    <w:p>
      <w:pPr>
        <w:spacing w:before="57" w:after="57"/>
        <w:ind w:firstLine="709"/>
        <w:jc w:val="both"/>
      </w:pPr>
      <w:r>
        <w:t>– нарушитель, обладающий высокими возможностями по реализации угроз безопасности информации – имеет практически неограниченные возможности реализовывать угрозы, в том числе с использованием недекларированных возможностей, программных, программно-аппаратных закладок, встроенных в компоненты систем и сетей.</w:t>
      </w:r>
    </w:p>
    <w:p>
      <w:pPr>
        <w:pStyle w:val="Heading1"/>
      </w:pPr>
      <w:r>
        <w:t>7. СПОСОБЫ РЕАЛИЗАЦИИ (ВОЗНИКНОВЕНИЯ)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способы реализации (возникновения) угроз безопасности информации, за счет использования которых актуальными нарушителями могут быть реализованы угрозы безопасности информации в ОРГАНИЗАЦИИ.</w:t>
      </w:r>
    </w:p>
    <w:p>
      <w:pPr>
        <w:spacing w:before="57" w:after="57"/>
        <w:ind w:firstLine="709"/>
        <w:jc w:val="both"/>
      </w:pPr>
      <w:r>
        <w:t>Перечень возможных способов реализации угроз безопасности информации представлен в таблице 10.</w:t>
      </w:r>
    </w:p>
    <w:p>
      <w:pPr>
        <w:spacing w:before="57" w:after="57"/>
        <w:ind w:firstLine="709"/>
        <w:jc w:val="both"/>
      </w:pPr>
      <w:r>
        <w:t>Таблица 10. Перечень возможных способов реализации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Идентификатор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Использование уязвимостей (уязвимостей кода (программного обеспечения), уязвимостей архитектуры и конфигурации систем и сетей, а также организационных и многофакторных уязвимостей)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Внедрение вредоносного программного обеспечения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СР.3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Использование недекларированных возможностей программного обеспечения и(или) программно-аппаратных средств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СР.4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Установка программных и(или) программно - аппаратных закладок  в программное обеспечение и(или) программно - аппаратные средства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СР.5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Формирование и использование скрытых каналов(по времени, по памяти) для передачи конфиденциальных данных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СР.6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Перехват(измерение) побочных электромагнитных излучений и наводок(других физических полей) для доступа к конфиденциальной информации, содержащейся в аппаратных средствах аутентификации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СР.7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Инвазивные способы доступа к конфиденциальной информации, содержащейся в аппаратных средствах аутентификации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СР.8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СР.9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СР.10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Перехват трафика сети передачи данных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Несанкционированный физический доступ и (или) воздействие на линии, (каналы) связи, технические средства, машинные носители информации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Реализация атак типа отказ в обслуживании в отношении технических средств, программного обеспечения и каналов передачи данных</w:t>
            </w:r>
          </w:p>
        </w:tc>
      </w:tr>
    </w:tbl>
    <w:p>
      <w:pPr>
        <w:spacing w:before="57" w:after="57"/>
        <w:ind w:firstLine="709"/>
        <w:jc w:val="both"/>
      </w:pPr>
      <w:r>
        <w:t>Результаты процесса определения актуальных способов реализации (возникновения) угроз безопасности информации, включающие описание способов реализации (возникновения) угроз безопасности информации, которые могут быть использованы актуальными нарушителями, и описание интерфейсов объектов воздействия, доступных для использования актуальным нарушителям, представлены в таблице 11.</w:t>
      </w:r>
    </w:p>
    <w:p>
      <w:pPr>
        <w:spacing w:before="57" w:after="57"/>
        <w:ind w:firstLine="709"/>
        <w:jc w:val="both"/>
      </w:pPr>
      <w:r>
        <w:t>Таблица 11. Актуальные способы реализации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Объект взаимодействия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Программное обеспечение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 xml:space="preserve">СР.9 СР.11 </w:t>
            </w:r>
          </w:p>
        </w:tc>
      </w:tr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База данных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 xml:space="preserve">СР.2 </w:t>
            </w:r>
          </w:p>
        </w:tc>
      </w:tr>
    </w:tbl>
    <w:p>
      <w:pPr>
        <w:spacing w:before="57" w:after="57"/>
        <w:ind w:firstLine="709"/>
        <w:jc w:val="both"/>
      </w:pPr>
      <w:r>
        <w:t>Соотношение актуальных объектов реализации, выявленных у них интерфейсов и способов реализации угроз безопасности информации представлено в таблице 12.</w:t>
      </w:r>
    </w:p>
    <w:p>
      <w:pPr>
        <w:spacing w:before="57" w:after="57"/>
        <w:ind w:firstLine="709"/>
        <w:jc w:val="both"/>
      </w:pPr>
      <w:r>
        <w:t>Таблица 12. Возможные способы реализации угроз безопасности на интерфейсах объектов взаимодействия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Объекты взаимодействия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Интерфейсы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Программное обеспечение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Каналы связи узлов локальной вычислительной сети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СР.1 СР.3 СР.4 </w:t>
            </w:r>
          </w:p>
        </w:tc>
      </w:tr>
      <w:tr>
        <w:tc>
          <w:tcPr>
            <w:tcW w:type="dxa" w:w="3324"/>
            <w:vMerge w:val="restart"/>
            <w:vAlign w:val="center"/>
          </w:tcPr>
          <w:p>
            <w:pPr>
              <w:jc w:val="center"/>
            </w:pPr>
            <w:r>
              <w:t>База данных</w:t>
            </w:r>
          </w:p>
          <w:p>
            <w:pPr>
              <w:jc w:val="center"/>
            </w:pPr>
            <w:r/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Графический интерфейс локального взаимодействия пользователя с узлом вычислительной сети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СР.5 </w:t>
            </w:r>
          </w:p>
        </w:tc>
      </w:tr>
      <w:tr>
        <w:tc>
          <w:tcPr>
            <w:tcW w:type="dxa" w:w="3324"/>
            <w:vMerge/>
            <w:vAlign w:val="center"/>
          </w:tcPr>
          <w:p/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Каналы удаленного администрирования узла вычислительной сети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СР.9 </w:t>
            </w:r>
          </w:p>
        </w:tc>
      </w:tr>
    </w:tbl>
    <w:p>
      <w:pPr>
        <w:pStyle w:val="Heading1"/>
      </w:pPr>
      <w:r>
        <w:t>8. АКТУАЛЬНЫЕ УГРОЗЫ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угрозы безопасности информации и производится их оценка на актуальность для ОРГАНИЗАЦИИ.</w:t>
      </w:r>
    </w:p>
    <w:p>
      <w:pPr>
        <w:spacing w:before="57" w:after="57"/>
        <w:ind w:firstLine="709"/>
        <w:jc w:val="both"/>
      </w:pPr>
      <w:r>
        <w:t>Процесс определения актуальных угроз безопасности информации включал:</w:t>
      </w:r>
    </w:p>
    <w:p>
      <w:pPr>
        <w:spacing w:before="57" w:after="57"/>
        <w:ind w:firstLine="709"/>
        <w:jc w:val="both"/>
      </w:pPr>
      <w:r>
        <w:t>Выделение из исходного перечня угроз безопасности информации возможных угроз по следующему принципу: угроза безопасности информации признается возможной, если имеются нарушитель или иной источник угрозы, объект, на который осуществляется воздействие, способ реализации угрозы безопасности информации, и реализация угрозы может привести к негативным последствиям:</w:t>
      </w:r>
    </w:p>
    <w:p>
      <w:pPr>
        <w:spacing w:before="57" w:after="57"/>
        <w:ind w:firstLine="709"/>
        <w:jc w:val="both"/>
      </w:pPr>
      <w:r>
        <w:t>УБИi = [нарушитель (источник угрозы); объекты воздействия; способы реализации угрозы; негативные последствия]</w:t>
      </w:r>
    </w:p>
    <w:p>
      <w:pPr>
        <w:spacing w:before="57" w:after="57"/>
        <w:ind w:firstLine="709"/>
        <w:jc w:val="both"/>
      </w:pPr>
      <w:r>
        <w:t>В качестве исходного перечня угроз безопасности информации использовался банк данных угроз безопасности информации, сформированный ФСТЭК России (http://bdu.fstec.ru/).</w:t>
      </w:r>
    </w:p>
    <w:p>
      <w:pPr>
        <w:spacing w:before="57" w:after="57"/>
        <w:ind w:firstLine="709"/>
        <w:jc w:val="both"/>
      </w:pPr>
      <w:r>
        <w:t>Оценку возможных угроз на предмет актуальности по следующему принципу: угроза признается актуальной, если имеется хотя бы один сценарий реализации угрозы безопасности информации.</w:t>
      </w:r>
    </w:p>
    <w:p>
      <w:pPr>
        <w:spacing w:before="57" w:after="57"/>
        <w:ind w:firstLine="709"/>
        <w:jc w:val="both"/>
      </w:pPr>
      <w:r>
        <w:t>Сценарии определяются для соответствующих способов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Итоговый перечень актуальных угроз безопасности информации представлен в таблице 13.</w:t>
      </w:r>
    </w:p>
    <w:p>
      <w:pPr>
        <w:spacing w:before="57" w:after="57"/>
        <w:ind w:firstLine="709"/>
        <w:jc w:val="both"/>
      </w:pPr>
      <w:r>
        <w:t>Таблица 13. Актуальные угрозы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>
            <w:pPr>
              <w:jc w:val="center"/>
            </w:pPr>
            <w:r>
              <w:t>Идентификатор</w:t>
              <w:br/>
              <w:t>угрозы</w:t>
            </w:r>
          </w:p>
        </w:tc>
        <w:tc>
          <w:tcPr>
            <w:tcW w:type="dxa" w:w="3324"/>
          </w:tcPr>
          <w:p>
            <w:pPr>
              <w:jc w:val="center"/>
            </w:pPr>
            <w:r>
              <w:t>Наименование угрозы</w:t>
            </w:r>
          </w:p>
        </w:tc>
        <w:tc>
          <w:tcPr>
            <w:tcW w:type="dxa" w:w="3324"/>
          </w:tcPr>
          <w:p>
            <w:pPr>
              <w:jc w:val="center"/>
            </w:pPr>
            <w:r>
              <w:t>Характеристика нарушителя,</w:t>
              <w:br/>
              <w:t>необходимая для реализации угрозы</w:t>
            </w:r>
          </w:p>
        </w:tc>
      </w:tr>
      <w:tr>
        <w:tc>
          <w:tcPr>
            <w:tcW w:type="dxa" w:w="3324"/>
          </w:tcPr>
          <w:p>
            <w:r>
              <w:t>УБИ.213</w:t>
            </w:r>
          </w:p>
        </w:tc>
        <w:tc>
          <w:tcPr>
            <w:tcW w:type="dxa" w:w="3324"/>
          </w:tcPr>
          <w:p>
            <w:r>
              <w:t>Угроза обхода многофакторной аутентификации</w:t>
            </w:r>
          </w:p>
        </w:tc>
        <w:tc>
          <w:tcPr>
            <w:tcW w:type="dxa" w:w="3324"/>
          </w:tcPr>
          <w:p>
            <w:r>
              <w:t>Внутренний нарушитель с базовыми возможностями</w:t>
              <w:br/>
              <w:br/>
              <w:t>Внешний нарушитель с высокими возможностями</w:t>
            </w:r>
          </w:p>
        </w:tc>
      </w:tr>
      <w:tr>
        <w:tc>
          <w:tcPr>
            <w:tcW w:type="dxa" w:w="3324"/>
          </w:tcPr>
          <w:p>
            <w:r>
              <w:t>УБИ.015</w:t>
            </w:r>
          </w:p>
        </w:tc>
        <w:tc>
          <w:tcPr>
            <w:tcW w:type="dxa" w:w="3324"/>
          </w:tcPr>
          <w:p>
            <w:r>
              <w:t>Угроза доступа к защищаемым файлам с использованием обходного пути</w:t>
            </w:r>
          </w:p>
        </w:tc>
        <w:tc>
          <w:tcPr>
            <w:tcW w:type="dxa" w:w="3324"/>
          </w:tcPr>
          <w:p>
            <w:r>
              <w:t>Внутренний нарушитель с базовыми повышенными возможностями</w:t>
              <w:br/>
              <w:br/>
              <w:t>Внешний нарушитель с базовыми повышенными возможностями</w:t>
            </w:r>
          </w:p>
        </w:tc>
      </w:tr>
    </w:tbl>
    <w:p>
      <w:pPr>
        <w:spacing w:before="57" w:after="57"/>
        <w:ind w:firstLine="709"/>
        <w:jc w:val="both"/>
      </w:pPr>
      <w:r>
        <w:t>Соотношение угрозы, объектов, на которые она распространяется, негативных последствий ее реализации, а также способов ее реализации и сценариев представлено в таблице 14.</w:t>
      </w:r>
    </w:p>
    <w:p>
      <w:pPr>
        <w:spacing w:before="57" w:after="57"/>
        <w:ind w:firstLine="709"/>
        <w:jc w:val="both"/>
      </w:pPr>
      <w:r>
        <w:t>Таблица 14. Результаты оценки возможных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t>Идентификатор</w:t>
              <w:br/>
              <w:t>угрозы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Объекты воздействия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Способы реализации угрозы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Возможные сценарии реализации угрозы</w:t>
            </w:r>
          </w:p>
        </w:tc>
      </w:tr>
      <w:tr>
        <w:tc>
          <w:tcPr>
            <w:tcW w:type="dxa" w:w="1994"/>
          </w:tcPr>
          <w:p>
            <w:r>
              <w:t>УБИ.015</w:t>
            </w:r>
          </w:p>
        </w:tc>
        <w:tc>
          <w:tcPr>
            <w:tcW w:type="dxa" w:w="1994"/>
          </w:tcPr>
          <w:p>
            <w:r>
              <w:t>База данных</w:t>
            </w:r>
          </w:p>
        </w:tc>
        <w:tc>
          <w:tcPr>
            <w:tcW w:type="dxa" w:w="1994"/>
          </w:tcPr>
          <w:p>
            <w:r>
              <w:t>НП.8</w:t>
            </w:r>
          </w:p>
        </w:tc>
        <w:tc>
          <w:tcPr>
            <w:tcW w:type="dxa" w:w="1994"/>
          </w:tcPr>
          <w:p>
            <w:r>
              <w:t>СР.2</w:t>
            </w:r>
          </w:p>
        </w:tc>
        <w:tc>
          <w:tcPr>
            <w:tcW w:type="dxa" w:w="1994"/>
          </w:tcPr>
          <w:p>
            <w:r>
              <w:t>-T2.4</w:t>
              <w:br/>
              <w:t>-T8.4</w:t>
              <w:br/>
              <w:br/>
            </w:r>
          </w:p>
        </w:tc>
      </w:tr>
      <w:tr>
        <w:tc>
          <w:tcPr>
            <w:tcW w:type="dxa" w:w="1994"/>
          </w:tcPr>
          <w:p>
            <w:r>
              <w:t>УБИ.213</w:t>
            </w:r>
          </w:p>
        </w:tc>
        <w:tc>
          <w:tcPr>
            <w:tcW w:type="dxa" w:w="1994"/>
          </w:tcPr>
          <w:p>
            <w:r>
              <w:t>Программное обеспечение</w:t>
            </w:r>
          </w:p>
        </w:tc>
        <w:tc>
          <w:tcPr>
            <w:tcW w:type="dxa" w:w="1994"/>
          </w:tcPr>
          <w:p>
            <w:r>
              <w:t>НП.6</w:t>
            </w:r>
          </w:p>
        </w:tc>
        <w:tc>
          <w:tcPr>
            <w:tcW w:type="dxa" w:w="1994"/>
          </w:tcPr>
          <w:p>
            <w:r>
              <w:t>СР.9, СР.11</w:t>
            </w:r>
          </w:p>
        </w:tc>
        <w:tc>
          <w:tcPr>
            <w:tcW w:type="dxa" w:w="1994"/>
          </w:tcPr>
          <w:p>
            <w:r>
              <w:t>-T1.9</w:t>
              <w:br/>
              <w:t>-T2.3</w:t>
              <w:br/>
              <w:t>-T6.8</w:t>
              <w:br/>
              <w:br/>
            </w:r>
          </w:p>
        </w:tc>
      </w:tr>
    </w:tbl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000000"/>
      <w:spacing w:val="5"/>
      <w:kern w:val="28"/>
      <w:sz w:val="5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