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44"/>
          <w:szCs w:val="44"/>
        </w:rPr>
        <w:t xml:space="preserve">India EV Charging Infrastructure Intelligence</w:t>
      </w:r>
    </w:p>
    <w:p>
      <w:pPr>
        <w:spacing w:after="400" w:before="200"/>
        <w:jc w:val="center"/>
      </w:pPr>
      <w:r>
        <w:rPr>
          <w:i/>
          <w:iCs/>
          <w:color w:val="B8860B"/>
          <w:sz w:val="24"/>
          <w:szCs w:val="24"/>
        </w:rPr>
        <w:t xml:space="preserve">Geographic coverage, demand-supply mismatch, and expansion priorities across Indian states</w:t>
      </w:r>
    </w:p>
    <w:p>
      <w:pPr>
        <w:spacing w:before="800"/>
        <w:jc w:val="center"/>
      </w:pPr>
      <w:r>
        <w:rPr>
          <w:color w:val="666666"/>
          <w:sz w:val="18"/>
          <w:szCs w:val="18"/>
        </w:rPr>
        <w:t xml:space="preserve">Data sources: OpenChargeMap API · Press Information Bureau (Ministry of Power / Heavy Industries) · e-Vahan portal · industry reporting cross-checked against Vahan-derived figures</w:t>
      </w:r>
    </w:p>
    <w:p>
      <w:pPr>
        <w:spacing w:before="100"/>
        <w:jc w:val="center"/>
      </w:pPr>
      <w:r>
        <w:rPr>
          <w:color w:val="666666"/>
          <w:sz w:val="18"/>
          <w:szCs w:val="18"/>
        </w:rPr>
        <w:t xml:space="preserve">Prepared July 2026</w:t>
      </w:r>
    </w:p>
    <w:p>
      <w:r>
        <w:br w:type="page"/>
      </w:r>
    </w:p>
    <w:p>
      <w:pPr>
        <w:pStyle w:val="Heading1"/>
        <w:pBdr>
          <w:bottom w:val="single" w:color="1F3864" w:sz="6" w:space="4"/>
        </w:pBdr>
        <w:spacing w:after="160" w:before="320"/>
      </w:pPr>
      <w:r>
        <w:rPr>
          <w:b/>
          <w:bCs/>
          <w:color w:val="1F3864"/>
          <w:sz w:val="28"/>
          <w:szCs w:val="28"/>
        </w:rPr>
        <w:t xml:space="preserve">Executive Summary</w:t>
      </w:r>
    </w:p>
    <w:p>
      <w:pPr>
        <w:spacing w:after="140" w:line="276"/>
      </w:pPr>
      <w:r>
        <w:rPr>
          <w:sz w:val="21"/>
          <w:szCs w:val="21"/>
        </w:rPr>
        <w:t xml:space="preserve">India's public EV charging network grew from 5,151 stations (Dec 2022) to 29,277 stations (1 Aug 2025) — a near six-fold increase in under three years, per the Ministry of Power / Press Information Bureau. But growth in station count has not been evenly distributed, and it has not tracked EV sales growth state by state. This report combines three real, independently sourced datasets to quantify where the network is genuinely strong, where it is thin, and where crowdsourced platforms (the data most navigation apps and many analysts rely on) materially misrepresent the ground truth.</w:t>
      </w:r>
    </w:p>
    <w:p>
      <w:pPr>
        <w:spacing w:after="140" w:line="276"/>
      </w:pPr>
      <w:r>
        <w:rPr>
          <w:sz w:val="21"/>
          <w:szCs w:val="21"/>
        </w:rPr>
        <w:t xml:space="preserve">Three findings drive the recommendations in this report:</w:t>
      </w:r>
    </w:p>
    <w:p>
      <w:pPr>
        <w:pStyle w:val="ListParagraph"/>
        <w:numPr>
          <w:ilvl w:val="0"/>
          <w:numId w:val="1"/>
        </w:numPr>
        <w:spacing w:after="80" w:line="270"/>
      </w:pPr>
      <w:r>
        <w:rPr>
          <w:sz w:val="21"/>
          <w:szCs w:val="21"/>
        </w:rPr>
        <w:t xml:space="preserve">Uttar Pradesh carries roughly 6x the demand pressure per charging station that Karnataka does, despite having far fewer total stations to show for it — a genuine supply gap, not just a smaller network.</w:t>
      </w:r>
    </w:p>
    <w:p>
      <w:pPr>
        <w:pStyle w:val="ListParagraph"/>
        <w:numPr>
          <w:ilvl w:val="0"/>
          <w:numId w:val="1"/>
        </w:numPr>
        <w:spacing w:after="80" w:line="270"/>
      </w:pPr>
      <w:r>
        <w:rPr>
          <w:sz w:val="21"/>
          <w:szCs w:val="21"/>
        </w:rPr>
        <w:t xml:space="preserve">Crowdsourced mapping platforms (OpenChargeMap, and by extension most apps built on OSM-linked data) capture only about 4% of India's actual installed base of public chargers. Karnataka and Kerala are heavily over-represented in these platforms relative to their real share of the national network.</w:t>
      </w:r>
    </w:p>
    <w:p>
      <w:pPr>
        <w:pStyle w:val="ListParagraph"/>
        <w:numPr>
          <w:ilvl w:val="0"/>
          <w:numId w:val="1"/>
        </w:numPr>
        <w:spacing w:after="80" w:line="270"/>
      </w:pPr>
      <w:r>
        <w:rPr>
          <w:sz w:val="21"/>
          <w:szCs w:val="21"/>
        </w:rPr>
        <w:t xml:space="preserve">Fast-DC (highway-ready) charging capacity is concentrated in three states (Karnataka, Maharashtra, Uttar Pradesh); Rajasthan and Gujarat lag well behind on this specific metric despite reasonable total station counts — a distinction that matters for PM E-DRIVE's 50-highway-corridor target and is invisible if you only look at total station counts.</w:t>
      </w:r>
    </w:p>
    <w:p>
      <w:pPr>
        <w:spacing w:after="200" w:before="60"/>
      </w:pPr>
      <w:r>
        <w:rPr>
          <w:i/>
          <w:iCs/>
          <w:color w:val="666666"/>
          <w:sz w:val="18"/>
          <w:szCs w:val="18"/>
        </w:rPr>
        <w:t xml:space="preserve">Full computation, sourcing, and live formulas for every figure in this report are in the accompanying Excel workbook (EV_Charging_Infrastructure_India.xlsx).</w:t>
      </w:r>
    </w:p>
    <w:p>
      <w:pPr>
        <w:pStyle w:val="Heading1"/>
        <w:pBdr>
          <w:bottom w:val="single" w:color="1F3864" w:sz="6" w:space="4"/>
        </w:pBdr>
        <w:spacing w:after="160" w:before="320"/>
      </w:pPr>
      <w:r>
        <w:rPr>
          <w:b/>
          <w:bCs/>
          <w:color w:val="1F3864"/>
          <w:sz w:val="28"/>
          <w:szCs w:val="28"/>
        </w:rPr>
        <w:t xml:space="preserve">Methodology &amp; Data Sources</w:t>
      </w:r>
    </w:p>
    <w:p>
      <w:pPr>
        <w:spacing w:after="140" w:line="276"/>
      </w:pPr>
      <w:r>
        <w:rPr>
          <w:sz w:val="21"/>
          <w:szCs w:val="21"/>
        </w:rPr>
        <w:t xml:space="preserve">This analysis deliberately combines two categories of data that are usually conflated in EV infrastructure writeups: official government figures (accurate on totals, sparse on granularity) and crowdsourced geolocated data (rich on granularity, systematically incomplete on totals). Treating either one alone as ground truth produces a misleading picture.</w:t>
      </w:r>
    </w:p>
    <w:p>
      <w:pPr>
        <w:pStyle w:val="Heading2"/>
        <w:spacing w:after="100" w:before="240"/>
      </w:pPr>
      <w:r>
        <w:rPr>
          <w:b/>
          <w:bCs/>
          <w:color w:val="1F3864"/>
          <w:sz w:val="23"/>
          <w:szCs w:val="23"/>
        </w:rPr>
        <w:t xml:space="preserve">1. OpenChargeMap (OCM) — geolocated site-level data</w:t>
      </w:r>
    </w:p>
    <w:p>
      <w:pPr>
        <w:spacing w:after="140" w:line="276"/>
      </w:pPr>
      <w:r>
        <w:rPr>
          <w:sz w:val="21"/>
          <w:szCs w:val="21"/>
        </w:rPr>
        <w:t xml:space="preserve">1,178 India-tagged public charging sites with latitude/longitude, port counts, and power ratings, filtered from a 242,417-site global dataset assembled via the Open Charge Map API (CC BY-SA 4.0), retrieved from github.com/tarekmasryo/global-ev-infra-dataset. This is volunteer/crowdsourced data — it is precise where it exists, but its coverage is a function of who has bothered to map a given area, not how much real infrastructure exists there.</w:t>
      </w:r>
    </w:p>
    <w:p>
      <w:pPr>
        <w:pStyle w:val="Heading2"/>
        <w:spacing w:after="100" w:before="240"/>
      </w:pPr>
      <w:r>
        <w:rPr>
          <w:b/>
          <w:bCs/>
          <w:color w:val="1F3864"/>
          <w:sz w:val="23"/>
          <w:szCs w:val="23"/>
        </w:rPr>
        <w:t xml:space="preserve">2. Press Information Bureau (PIB) — official station counts</w:t>
      </w:r>
    </w:p>
    <w:p>
      <w:pPr>
        <w:spacing w:after="140" w:line="276"/>
      </w:pPr>
      <w:r>
        <w:rPr>
          <w:sz w:val="21"/>
          <w:szCs w:val="21"/>
        </w:rPr>
        <w:t xml:space="preserve">The Ministry of Heavy Industries, in a written Rajya Sabha reply dated 8 August 2025 (PRID 2154127), disclosed the official national total (29,277 stations as of 1 Aug 2025) and a year-wise growth series back to 2022, sourced from the Ministry of Power. A state-wise top-7 breakdown (Karnataka, Maharashtra, Uttar Pradesh, Delhi, Tamil Nadu, Rajasthan, Kerala) is cross-cited from this same PIB release via a secondary industry analysis (TeslaVolts, Table 3.1) that reproduces the official figures; the Uttar Pradesh figure is confirmed directly from the PIB release's own annexure, down to district level.</w:t>
      </w:r>
    </w:p>
    <w:p>
      <w:pPr>
        <w:pStyle w:val="Heading2"/>
        <w:spacing w:after="100" w:before="240"/>
      </w:pPr>
      <w:r>
        <w:rPr>
          <w:b/>
          <w:bCs/>
          <w:color w:val="1F3864"/>
          <w:sz w:val="23"/>
          <w:szCs w:val="23"/>
        </w:rPr>
        <w:t xml:space="preserve">3. EV sales data — the demand side</w:t>
      </w:r>
    </w:p>
    <w:p>
      <w:pPr>
        <w:spacing w:after="140" w:line="276"/>
      </w:pPr>
      <w:r>
        <w:rPr>
          <w:sz w:val="21"/>
          <w:szCs w:val="21"/>
        </w:rPr>
        <w:t xml:space="preserve">State-level 2025 EV sales volumes were only available, at the time of writing, for three states with recent public reporting: Uttar Pradesh (~4 lakh units, 18% of national 2025 sales), Maharashtra (2.66 lakh units, 12%), and Karnataka (~1.73 lakh units, FY24-25). No sales figures are fabricated or estimated for states without a citable source — this is a genuine limitation of the analysis and is treated as such rather than papered over with interpolated numbers.</w:t>
      </w:r>
    </w:p>
    <w:p>
      <w:pPr>
        <w:pStyle w:val="Heading2"/>
        <w:spacing w:after="100" w:before="240"/>
      </w:pPr>
      <w:r>
        <w:rPr>
          <w:b/>
          <w:bCs/>
          <w:color w:val="1F3864"/>
          <w:sz w:val="23"/>
          <w:szCs w:val="23"/>
        </w:rPr>
        <w:t xml:space="preserve">Data cleaning performed</w:t>
      </w:r>
    </w:p>
    <w:p>
      <w:pPr>
        <w:pStyle w:val="ListParagraph"/>
        <w:numPr>
          <w:ilvl w:val="0"/>
          <w:numId w:val="1"/>
        </w:numPr>
        <w:spacing w:after="80" w:line="270"/>
      </w:pPr>
      <w:r>
        <w:rPr>
          <w:sz w:val="21"/>
          <w:szCs w:val="21"/>
        </w:rPr>
        <w:t xml:space="preserve">Removed one OCM record (SRM Institute, Chennai) with a corrupted power rating of 1,000,000 kW at a single-port site — a data-entry error typical of unmoderated crowdsourced platforms.</w:t>
      </w:r>
    </w:p>
    <w:p>
      <w:pPr>
        <w:pStyle w:val="ListParagraph"/>
        <w:numPr>
          <w:ilvl w:val="0"/>
          <w:numId w:val="1"/>
        </w:numPr>
        <w:spacing w:after="80" w:line="270"/>
      </w:pPr>
      <w:r>
        <w:rPr>
          <w:sz w:val="21"/>
          <w:szCs w:val="21"/>
        </w:rPr>
        <w:t xml:space="preserve">Canonicalized 10+ inconsistent state-name variants in the raw OCM data (e.g. "Keraka", "Mahrashtra", "KA", "Tamil Nasdu") into standard state names; dropped 10 rows with unresolvable labels.</w:t>
      </w:r>
    </w:p>
    <w:p>
      <w:pPr>
        <w:pStyle w:val="ListParagraph"/>
        <w:numPr>
          <w:ilvl w:val="0"/>
          <w:numId w:val="1"/>
        </w:numPr>
        <w:spacing w:after="80" w:line="270"/>
      </w:pPr>
      <w:r>
        <w:rPr>
          <w:sz w:val="21"/>
          <w:szCs w:val="21"/>
        </w:rPr>
        <w:t xml:space="preserve">Cross-checked OCM's implied station counts against PIB's official counts rather than presenting OCM totals as if they were the national picture — this cross-check is itself one of the report's core findings, not just a QA step.</w:t>
      </w:r>
    </w:p>
    <w:p>
      <w:pPr>
        <w:pStyle w:val="Heading1"/>
        <w:pBdr>
          <w:bottom w:val="single" w:color="1F3864" w:sz="6" w:space="4"/>
        </w:pBdr>
        <w:spacing w:after="160" w:before="320"/>
      </w:pPr>
      <w:r>
        <w:rPr>
          <w:b/>
          <w:bCs/>
          <w:color w:val="1F3864"/>
          <w:sz w:val="28"/>
          <w:szCs w:val="28"/>
        </w:rPr>
        <w:t xml:space="preserve">Findings</w:t>
      </w:r>
    </w:p>
    <w:p>
      <w:pPr>
        <w:pStyle w:val="Heading2"/>
        <w:spacing w:after="100" w:before="240"/>
      </w:pPr>
      <w:r>
        <w:rPr>
          <w:b/>
          <w:bCs/>
          <w:color w:val="1F3864"/>
          <w:sz w:val="23"/>
          <w:szCs w:val="23"/>
        </w:rPr>
        <w:t xml:space="preserve">1. National network growth and the crowdsourcing coverage gap</w:t>
      </w:r>
    </w:p>
    <w:p>
      <w:pPr>
        <w:spacing w:after="140" w:line="276"/>
      </w:pPr>
      <w:r>
        <w:rPr>
          <w:sz w:val="21"/>
          <w:szCs w:val="21"/>
        </w:rPr>
        <w:t xml:space="preserve">India's public EVCS count more than doubled in each of the last two full years (11,903 → 25,202 → 29,277). Against this real base of 29,277, OCM's crowdsourced platform lists only 1,178 India sites — roughly 4% national coverage. Coverage is wildly uneven by state: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2400"/>
        <w:gridCol w:w="2200"/>
      </w:tblGrid>
      <w:tr>
        <w:trPr>
          <w:tblHeader/>
        </w:trPr>
        <w:tc>
          <w:tcPr>
            <w:tcW w:type="dxa" w:w="2600"/>
            <w:shd w:fill="1F3864" w:val="clear"/>
            <w:tcMar>
              <w:top w:type="dxa" w:w="80"/>
              <w:left w:type="dxa" w:w="100"/>
              <w:bottom w:type="dxa" w:w="80"/>
              <w:right w:type="dxa" w:w="100"/>
            </w:tcMar>
          </w:tcPr>
          <w:p>
            <w:pPr>
              <w:jc w:val="center"/>
            </w:pPr>
            <w:r>
              <w:rPr>
                <w:b/>
                <w:bCs/>
                <w:color w:val="FFFFFF"/>
                <w:sz w:val="19"/>
                <w:szCs w:val="19"/>
              </w:rPr>
              <w:t xml:space="preserve">State</w:t>
            </w:r>
          </w:p>
        </w:tc>
        <w:tc>
          <w:tcPr>
            <w:tcW w:type="dxa" w:w="3000"/>
            <w:shd w:fill="1F3864" w:val="clear"/>
            <w:tcMar>
              <w:top w:type="dxa" w:w="80"/>
              <w:left w:type="dxa" w:w="100"/>
              <w:bottom w:type="dxa" w:w="80"/>
              <w:right w:type="dxa" w:w="100"/>
            </w:tcMar>
          </w:tcPr>
          <w:p>
            <w:pPr>
              <w:jc w:val="center"/>
            </w:pPr>
            <w:r>
              <w:rPr>
                <w:b/>
                <w:bCs/>
                <w:color w:val="FFFFFF"/>
                <w:sz w:val="19"/>
                <w:szCs w:val="19"/>
              </w:rPr>
              <w:t xml:space="preserve">Official PIB EVCS (Aug-2025)</w:t>
            </w:r>
          </w:p>
        </w:tc>
        <w:tc>
          <w:tcPr>
            <w:tcW w:type="dxa" w:w="2400"/>
            <w:shd w:fill="1F3864" w:val="clear"/>
            <w:tcMar>
              <w:top w:type="dxa" w:w="80"/>
              <w:left w:type="dxa" w:w="100"/>
              <w:bottom w:type="dxa" w:w="80"/>
              <w:right w:type="dxa" w:w="100"/>
            </w:tcMar>
          </w:tcPr>
          <w:p>
            <w:pPr>
              <w:jc w:val="center"/>
            </w:pPr>
            <w:r>
              <w:rPr>
                <w:b/>
                <w:bCs/>
                <w:color w:val="FFFFFF"/>
                <w:sz w:val="19"/>
                <w:szCs w:val="19"/>
              </w:rPr>
              <w:t xml:space="preserve">OCM-Mapped Sites</w:t>
            </w:r>
          </w:p>
        </w:tc>
        <w:tc>
          <w:tcPr>
            <w:tcW w:type="dxa" w:w="2200"/>
            <w:shd w:fill="1F3864" w:val="clear"/>
            <w:tcMar>
              <w:top w:type="dxa" w:w="80"/>
              <w:left w:type="dxa" w:w="100"/>
              <w:bottom w:type="dxa" w:w="80"/>
              <w:right w:type="dxa" w:w="100"/>
            </w:tcMar>
          </w:tcPr>
          <w:p>
            <w:pPr>
              <w:jc w:val="center"/>
            </w:pPr>
            <w:r>
              <w:rPr>
                <w:b/>
                <w:bCs/>
                <w:color w:val="FFFFFF"/>
                <w:sz w:val="19"/>
                <w:szCs w:val="19"/>
              </w:rPr>
              <w:t xml:space="preserve">OCM Coverage %</w:t>
            </w:r>
          </w:p>
        </w:tc>
      </w:tr>
      <w:tr>
        <w:tc>
          <w:tcPr>
            <w:tcW w:type="dxa" w:w="2600"/>
            <w:tcMar>
              <w:top w:type="dxa" w:w="80"/>
              <w:left w:type="dxa" w:w="100"/>
              <w:bottom w:type="dxa" w:w="80"/>
              <w:right w:type="dxa" w:w="100"/>
            </w:tcMar>
          </w:tcPr>
          <w:p>
            <w:pPr>
              <w:jc w:val="left"/>
            </w:pPr>
            <w:r>
              <w:rPr>
                <w:b w:val="false"/>
                <w:bCs w:val="false"/>
                <w:color w:val="000000"/>
                <w:sz w:val="19"/>
                <w:szCs w:val="19"/>
              </w:rPr>
              <w:t xml:space="preserve">Kerala</w:t>
            </w:r>
          </w:p>
        </w:tc>
        <w:tc>
          <w:tcPr>
            <w:tcW w:type="dxa" w:w="3000"/>
            <w:tcMar>
              <w:top w:type="dxa" w:w="80"/>
              <w:left w:type="dxa" w:w="100"/>
              <w:bottom w:type="dxa" w:w="80"/>
              <w:right w:type="dxa" w:w="100"/>
            </w:tcMar>
          </w:tcPr>
          <w:p>
            <w:pPr>
              <w:jc w:val="left"/>
            </w:pPr>
            <w:r>
              <w:rPr>
                <w:b w:val="false"/>
                <w:bCs w:val="false"/>
                <w:color w:val="000000"/>
                <w:sz w:val="19"/>
                <w:szCs w:val="19"/>
              </w:rPr>
              <w:t xml:space="preserve">1,392</w:t>
            </w:r>
          </w:p>
        </w:tc>
        <w:tc>
          <w:tcPr>
            <w:tcW w:type="dxa" w:w="2400"/>
            <w:tcMar>
              <w:top w:type="dxa" w:w="80"/>
              <w:left w:type="dxa" w:w="100"/>
              <w:bottom w:type="dxa" w:w="80"/>
              <w:right w:type="dxa" w:w="100"/>
            </w:tcMar>
          </w:tcPr>
          <w:p>
            <w:pPr>
              <w:jc w:val="left"/>
            </w:pPr>
            <w:r>
              <w:rPr>
                <w:b w:val="false"/>
                <w:bCs w:val="false"/>
                <w:color w:val="000000"/>
                <w:sz w:val="19"/>
                <w:szCs w:val="19"/>
              </w:rPr>
              <w:t xml:space="preserve">454</w:t>
            </w:r>
          </w:p>
        </w:tc>
        <w:tc>
          <w:tcPr>
            <w:tcW w:type="dxa" w:w="2200"/>
            <w:tcMar>
              <w:top w:type="dxa" w:w="80"/>
              <w:left w:type="dxa" w:w="100"/>
              <w:bottom w:type="dxa" w:w="80"/>
              <w:right w:type="dxa" w:w="100"/>
            </w:tcMar>
          </w:tcPr>
          <w:p>
            <w:pPr>
              <w:jc w:val="left"/>
            </w:pPr>
            <w:r>
              <w:rPr>
                <w:b w:val="false"/>
                <w:bCs w:val="false"/>
                <w:color w:val="000000"/>
                <w:sz w:val="19"/>
                <w:szCs w:val="19"/>
              </w:rPr>
              <w:t xml:space="preserve">32.6%</w:t>
            </w:r>
          </w:p>
        </w:tc>
      </w:tr>
      <w:tr>
        <w:tc>
          <w:tcPr>
            <w:tcW w:type="dxa" w:w="2600"/>
            <w:shd w:fill="F2F2F2" w:val="clear"/>
            <w:tcMar>
              <w:top w:type="dxa" w:w="80"/>
              <w:left w:type="dxa" w:w="100"/>
              <w:bottom w:type="dxa" w:w="80"/>
              <w:right w:type="dxa" w:w="100"/>
            </w:tcMar>
          </w:tcPr>
          <w:p>
            <w:pPr>
              <w:jc w:val="left"/>
            </w:pPr>
            <w:r>
              <w:rPr>
                <w:b w:val="false"/>
                <w:bCs w:val="false"/>
                <w:color w:val="000000"/>
                <w:sz w:val="19"/>
                <w:szCs w:val="19"/>
              </w:rPr>
              <w:t xml:space="preserve">Tamil Nadu</w:t>
            </w:r>
          </w:p>
        </w:tc>
        <w:tc>
          <w:tcPr>
            <w:tcW w:type="dxa" w:w="3000"/>
            <w:shd w:fill="F2F2F2" w:val="clear"/>
            <w:tcMar>
              <w:top w:type="dxa" w:w="80"/>
              <w:left w:type="dxa" w:w="100"/>
              <w:bottom w:type="dxa" w:w="80"/>
              <w:right w:type="dxa" w:w="100"/>
            </w:tcMar>
          </w:tcPr>
          <w:p>
            <w:pPr>
              <w:jc w:val="left"/>
            </w:pPr>
            <w:r>
              <w:rPr>
                <w:b w:val="false"/>
                <w:bCs w:val="false"/>
                <w:color w:val="000000"/>
                <w:sz w:val="19"/>
                <w:szCs w:val="19"/>
              </w:rPr>
              <w:t xml:space="preserve">1,781</w:t>
            </w:r>
          </w:p>
        </w:tc>
        <w:tc>
          <w:tcPr>
            <w:tcW w:type="dxa" w:w="2400"/>
            <w:shd w:fill="F2F2F2" w:val="clear"/>
            <w:tcMar>
              <w:top w:type="dxa" w:w="80"/>
              <w:left w:type="dxa" w:w="100"/>
              <w:bottom w:type="dxa" w:w="80"/>
              <w:right w:type="dxa" w:w="100"/>
            </w:tcMar>
          </w:tcPr>
          <w:p>
            <w:pPr>
              <w:jc w:val="left"/>
            </w:pPr>
            <w:r>
              <w:rPr>
                <w:b w:val="false"/>
                <w:bCs w:val="false"/>
                <w:color w:val="000000"/>
                <w:sz w:val="19"/>
                <w:szCs w:val="19"/>
              </w:rPr>
              <w:t xml:space="preserve">182</w:t>
            </w:r>
          </w:p>
        </w:tc>
        <w:tc>
          <w:tcPr>
            <w:tcW w:type="dxa" w:w="2200"/>
            <w:shd w:fill="F2F2F2" w:val="clear"/>
            <w:tcMar>
              <w:top w:type="dxa" w:w="80"/>
              <w:left w:type="dxa" w:w="100"/>
              <w:bottom w:type="dxa" w:w="80"/>
              <w:right w:type="dxa" w:w="100"/>
            </w:tcMar>
          </w:tcPr>
          <w:p>
            <w:pPr>
              <w:jc w:val="left"/>
            </w:pPr>
            <w:r>
              <w:rPr>
                <w:b w:val="false"/>
                <w:bCs w:val="false"/>
                <w:color w:val="000000"/>
                <w:sz w:val="19"/>
                <w:szCs w:val="19"/>
              </w:rPr>
              <w:t xml:space="preserve">10.2%</w:t>
            </w:r>
          </w:p>
        </w:tc>
      </w:tr>
      <w:tr>
        <w:tc>
          <w:tcPr>
            <w:tcW w:type="dxa" w:w="2600"/>
            <w:tcMar>
              <w:top w:type="dxa" w:w="80"/>
              <w:left w:type="dxa" w:w="100"/>
              <w:bottom w:type="dxa" w:w="80"/>
              <w:right w:type="dxa" w:w="100"/>
            </w:tcMar>
          </w:tcPr>
          <w:p>
            <w:pPr>
              <w:jc w:val="left"/>
            </w:pPr>
            <w:r>
              <w:rPr>
                <w:b w:val="false"/>
                <w:bCs w:val="false"/>
                <w:color w:val="000000"/>
                <w:sz w:val="19"/>
                <w:szCs w:val="19"/>
              </w:rPr>
              <w:t xml:space="preserve">Rajasthan</w:t>
            </w:r>
          </w:p>
        </w:tc>
        <w:tc>
          <w:tcPr>
            <w:tcW w:type="dxa" w:w="3000"/>
            <w:tcMar>
              <w:top w:type="dxa" w:w="80"/>
              <w:left w:type="dxa" w:w="100"/>
              <w:bottom w:type="dxa" w:w="80"/>
              <w:right w:type="dxa" w:w="100"/>
            </w:tcMar>
          </w:tcPr>
          <w:p>
            <w:pPr>
              <w:jc w:val="left"/>
            </w:pPr>
            <w:r>
              <w:rPr>
                <w:b w:val="false"/>
                <w:bCs w:val="false"/>
                <w:color w:val="000000"/>
                <w:sz w:val="19"/>
                <w:szCs w:val="19"/>
              </w:rPr>
              <w:t xml:space="preserve">1,531</w:t>
            </w:r>
          </w:p>
        </w:tc>
        <w:tc>
          <w:tcPr>
            <w:tcW w:type="dxa" w:w="2400"/>
            <w:tcMar>
              <w:top w:type="dxa" w:w="80"/>
              <w:left w:type="dxa" w:w="100"/>
              <w:bottom w:type="dxa" w:w="80"/>
              <w:right w:type="dxa" w:w="100"/>
            </w:tcMar>
          </w:tcPr>
          <w:p>
            <w:pPr>
              <w:jc w:val="left"/>
            </w:pPr>
            <w:r>
              <w:rPr>
                <w:b w:val="false"/>
                <w:bCs w:val="false"/>
                <w:color w:val="000000"/>
                <w:sz w:val="19"/>
                <w:szCs w:val="19"/>
              </w:rPr>
              <w:t xml:space="preserve">34</w:t>
            </w:r>
          </w:p>
        </w:tc>
        <w:tc>
          <w:tcPr>
            <w:tcW w:type="dxa" w:w="2200"/>
            <w:tcMar>
              <w:top w:type="dxa" w:w="80"/>
              <w:left w:type="dxa" w:w="100"/>
              <w:bottom w:type="dxa" w:w="80"/>
              <w:right w:type="dxa" w:w="100"/>
            </w:tcMar>
          </w:tcPr>
          <w:p>
            <w:pPr>
              <w:jc w:val="left"/>
            </w:pPr>
            <w:r>
              <w:rPr>
                <w:b w:val="false"/>
                <w:bCs w:val="false"/>
                <w:color w:val="000000"/>
                <w:sz w:val="19"/>
                <w:szCs w:val="19"/>
              </w:rPr>
              <w:t xml:space="preserve">2.2%</w:t>
            </w:r>
          </w:p>
        </w:tc>
      </w:tr>
      <w:tr>
        <w:tc>
          <w:tcPr>
            <w:tcW w:type="dxa" w:w="2600"/>
            <w:shd w:fill="F2F2F2" w:val="clear"/>
            <w:tcMar>
              <w:top w:type="dxa" w:w="80"/>
              <w:left w:type="dxa" w:w="100"/>
              <w:bottom w:type="dxa" w:w="80"/>
              <w:right w:type="dxa" w:w="100"/>
            </w:tcMar>
          </w:tcPr>
          <w:p>
            <w:pPr>
              <w:jc w:val="left"/>
            </w:pPr>
            <w:r>
              <w:rPr>
                <w:b w:val="false"/>
                <w:bCs w:val="false"/>
                <w:color w:val="000000"/>
                <w:sz w:val="19"/>
                <w:szCs w:val="19"/>
              </w:rPr>
              <w:t xml:space="preserve">Delhi</w:t>
            </w:r>
          </w:p>
        </w:tc>
        <w:tc>
          <w:tcPr>
            <w:tcW w:type="dxa" w:w="3000"/>
            <w:shd w:fill="F2F2F2" w:val="clear"/>
            <w:tcMar>
              <w:top w:type="dxa" w:w="80"/>
              <w:left w:type="dxa" w:w="100"/>
              <w:bottom w:type="dxa" w:w="80"/>
              <w:right w:type="dxa" w:w="100"/>
            </w:tcMar>
          </w:tcPr>
          <w:p>
            <w:pPr>
              <w:jc w:val="left"/>
            </w:pPr>
            <w:r>
              <w:rPr>
                <w:b w:val="false"/>
                <w:bCs w:val="false"/>
                <w:color w:val="000000"/>
                <w:sz w:val="19"/>
                <w:szCs w:val="19"/>
              </w:rPr>
              <w:t xml:space="preserve">1,967</w:t>
            </w:r>
          </w:p>
        </w:tc>
        <w:tc>
          <w:tcPr>
            <w:tcW w:type="dxa" w:w="2400"/>
            <w:shd w:fill="F2F2F2" w:val="clear"/>
            <w:tcMar>
              <w:top w:type="dxa" w:w="80"/>
              <w:left w:type="dxa" w:w="100"/>
              <w:bottom w:type="dxa" w:w="80"/>
              <w:right w:type="dxa" w:w="100"/>
            </w:tcMar>
          </w:tcPr>
          <w:p>
            <w:pPr>
              <w:jc w:val="left"/>
            </w:pPr>
            <w:r>
              <w:rPr>
                <w:b w:val="false"/>
                <w:bCs w:val="false"/>
                <w:color w:val="000000"/>
                <w:sz w:val="19"/>
                <w:szCs w:val="19"/>
              </w:rPr>
              <w:t xml:space="preserve">30</w:t>
            </w:r>
          </w:p>
        </w:tc>
        <w:tc>
          <w:tcPr>
            <w:tcW w:type="dxa" w:w="2200"/>
            <w:shd w:fill="F2F2F2" w:val="clear"/>
            <w:tcMar>
              <w:top w:type="dxa" w:w="80"/>
              <w:left w:type="dxa" w:w="100"/>
              <w:bottom w:type="dxa" w:w="80"/>
              <w:right w:type="dxa" w:w="100"/>
            </w:tcMar>
          </w:tcPr>
          <w:p>
            <w:pPr>
              <w:jc w:val="left"/>
            </w:pPr>
            <w:r>
              <w:rPr>
                <w:b w:val="false"/>
                <w:bCs w:val="false"/>
                <w:color w:val="000000"/>
                <w:sz w:val="19"/>
                <w:szCs w:val="19"/>
              </w:rPr>
              <w:t xml:space="preserve">1.5%</w:t>
            </w:r>
          </w:p>
        </w:tc>
      </w:tr>
      <w:tr>
        <w:tc>
          <w:tcPr>
            <w:tcW w:type="dxa" w:w="2600"/>
            <w:tcMar>
              <w:top w:type="dxa" w:w="80"/>
              <w:left w:type="dxa" w:w="100"/>
              <w:bottom w:type="dxa" w:w="80"/>
              <w:right w:type="dxa" w:w="100"/>
            </w:tcMar>
          </w:tcPr>
          <w:p>
            <w:pPr>
              <w:jc w:val="left"/>
            </w:pPr>
            <w:r>
              <w:rPr>
                <w:b w:val="false"/>
                <w:bCs w:val="false"/>
                <w:color w:val="000000"/>
                <w:sz w:val="19"/>
                <w:szCs w:val="19"/>
              </w:rPr>
              <w:t xml:space="preserve">Uttar Pradesh</w:t>
            </w:r>
          </w:p>
        </w:tc>
        <w:tc>
          <w:tcPr>
            <w:tcW w:type="dxa" w:w="3000"/>
            <w:tcMar>
              <w:top w:type="dxa" w:w="80"/>
              <w:left w:type="dxa" w:w="100"/>
              <w:bottom w:type="dxa" w:w="80"/>
              <w:right w:type="dxa" w:w="100"/>
            </w:tcMar>
          </w:tcPr>
          <w:p>
            <w:pPr>
              <w:jc w:val="left"/>
            </w:pPr>
            <w:r>
              <w:rPr>
                <w:b w:val="false"/>
                <w:bCs w:val="false"/>
                <w:color w:val="000000"/>
                <w:sz w:val="19"/>
                <w:szCs w:val="19"/>
              </w:rPr>
              <w:t xml:space="preserve">2,326</w:t>
            </w:r>
          </w:p>
        </w:tc>
        <w:tc>
          <w:tcPr>
            <w:tcW w:type="dxa" w:w="2400"/>
            <w:tcMar>
              <w:top w:type="dxa" w:w="80"/>
              <w:left w:type="dxa" w:w="100"/>
              <w:bottom w:type="dxa" w:w="80"/>
              <w:right w:type="dxa" w:w="100"/>
            </w:tcMar>
          </w:tcPr>
          <w:p>
            <w:pPr>
              <w:jc w:val="left"/>
            </w:pPr>
            <w:r>
              <w:rPr>
                <w:b w:val="false"/>
                <w:bCs w:val="false"/>
                <w:color w:val="000000"/>
                <w:sz w:val="19"/>
                <w:szCs w:val="19"/>
              </w:rPr>
              <w:t xml:space="preserve">21</w:t>
            </w:r>
          </w:p>
        </w:tc>
        <w:tc>
          <w:tcPr>
            <w:tcW w:type="dxa" w:w="2200"/>
            <w:tcMar>
              <w:top w:type="dxa" w:w="80"/>
              <w:left w:type="dxa" w:w="100"/>
              <w:bottom w:type="dxa" w:w="80"/>
              <w:right w:type="dxa" w:w="100"/>
            </w:tcMar>
          </w:tcPr>
          <w:p>
            <w:pPr>
              <w:jc w:val="left"/>
            </w:pPr>
            <w:r>
              <w:rPr>
                <w:b w:val="false"/>
                <w:bCs w:val="false"/>
                <w:color w:val="000000"/>
                <w:sz w:val="19"/>
                <w:szCs w:val="19"/>
              </w:rPr>
              <w:t xml:space="preserve">0.9%</w:t>
            </w:r>
          </w:p>
        </w:tc>
      </w:tr>
      <w:tr>
        <w:tc>
          <w:tcPr>
            <w:tcW w:type="dxa" w:w="2600"/>
            <w:shd w:fill="F2F2F2" w:val="clear"/>
            <w:tcMar>
              <w:top w:type="dxa" w:w="80"/>
              <w:left w:type="dxa" w:w="100"/>
              <w:bottom w:type="dxa" w:w="80"/>
              <w:right w:type="dxa" w:w="100"/>
            </w:tcMar>
          </w:tcPr>
          <w:p>
            <w:pPr>
              <w:jc w:val="left"/>
            </w:pPr>
            <w:r>
              <w:rPr>
                <w:b w:val="false"/>
                <w:bCs w:val="false"/>
                <w:color w:val="000000"/>
                <w:sz w:val="19"/>
                <w:szCs w:val="19"/>
              </w:rPr>
              <w:t xml:space="preserve">Maharashtra</w:t>
            </w:r>
          </w:p>
        </w:tc>
        <w:tc>
          <w:tcPr>
            <w:tcW w:type="dxa" w:w="3000"/>
            <w:shd w:fill="F2F2F2" w:val="clear"/>
            <w:tcMar>
              <w:top w:type="dxa" w:w="80"/>
              <w:left w:type="dxa" w:w="100"/>
              <w:bottom w:type="dxa" w:w="80"/>
              <w:right w:type="dxa" w:w="100"/>
            </w:tcMar>
          </w:tcPr>
          <w:p>
            <w:pPr>
              <w:jc w:val="left"/>
            </w:pPr>
            <w:r>
              <w:rPr>
                <w:b w:val="false"/>
                <w:bCs w:val="false"/>
                <w:color w:val="000000"/>
                <w:sz w:val="19"/>
                <w:szCs w:val="19"/>
              </w:rPr>
              <w:t xml:space="preserve">4,155</w:t>
            </w:r>
          </w:p>
        </w:tc>
        <w:tc>
          <w:tcPr>
            <w:tcW w:type="dxa" w:w="2400"/>
            <w:shd w:fill="F2F2F2" w:val="clear"/>
            <w:tcMar>
              <w:top w:type="dxa" w:w="80"/>
              <w:left w:type="dxa" w:w="100"/>
              <w:bottom w:type="dxa" w:w="80"/>
              <w:right w:type="dxa" w:w="100"/>
            </w:tcMar>
          </w:tcPr>
          <w:p>
            <w:pPr>
              <w:jc w:val="left"/>
            </w:pPr>
            <w:r>
              <w:rPr>
                <w:b w:val="false"/>
                <w:bCs w:val="false"/>
                <w:color w:val="000000"/>
                <w:sz w:val="19"/>
                <w:szCs w:val="19"/>
              </w:rPr>
              <w:t xml:space="preserve">16</w:t>
            </w:r>
          </w:p>
        </w:tc>
        <w:tc>
          <w:tcPr>
            <w:tcW w:type="dxa" w:w="2200"/>
            <w:shd w:fill="F2F2F2" w:val="clear"/>
            <w:tcMar>
              <w:top w:type="dxa" w:w="80"/>
              <w:left w:type="dxa" w:w="100"/>
              <w:bottom w:type="dxa" w:w="80"/>
              <w:right w:type="dxa" w:w="100"/>
            </w:tcMar>
          </w:tcPr>
          <w:p>
            <w:pPr>
              <w:jc w:val="left"/>
            </w:pPr>
            <w:r>
              <w:rPr>
                <w:b w:val="false"/>
                <w:bCs w:val="false"/>
                <w:color w:val="000000"/>
                <w:sz w:val="19"/>
                <w:szCs w:val="19"/>
              </w:rPr>
              <w:t xml:space="preserve">0.4%</w:t>
            </w:r>
          </w:p>
        </w:tc>
      </w:tr>
      <w:tr>
        <w:tc>
          <w:tcPr>
            <w:tcW w:type="dxa" w:w="2600"/>
            <w:tcMar>
              <w:top w:type="dxa" w:w="80"/>
              <w:left w:type="dxa" w:w="100"/>
              <w:bottom w:type="dxa" w:w="80"/>
              <w:right w:type="dxa" w:w="100"/>
            </w:tcMar>
          </w:tcPr>
          <w:p>
            <w:pPr>
              <w:jc w:val="left"/>
            </w:pPr>
            <w:r>
              <w:rPr>
                <w:b w:val="false"/>
                <w:bCs w:val="false"/>
                <w:color w:val="000000"/>
                <w:sz w:val="19"/>
                <w:szCs w:val="19"/>
              </w:rPr>
              <w:t xml:space="preserve">Karnataka</w:t>
            </w:r>
          </w:p>
        </w:tc>
        <w:tc>
          <w:tcPr>
            <w:tcW w:type="dxa" w:w="3000"/>
            <w:tcMar>
              <w:top w:type="dxa" w:w="80"/>
              <w:left w:type="dxa" w:w="100"/>
              <w:bottom w:type="dxa" w:w="80"/>
              <w:right w:type="dxa" w:w="100"/>
            </w:tcMar>
          </w:tcPr>
          <w:p>
            <w:pPr>
              <w:jc w:val="left"/>
            </w:pPr>
            <w:r>
              <w:rPr>
                <w:b w:val="false"/>
                <w:bCs w:val="false"/>
                <w:color w:val="000000"/>
                <w:sz w:val="19"/>
                <w:szCs w:val="19"/>
              </w:rPr>
              <w:t xml:space="preserve">6,097</w:t>
            </w:r>
          </w:p>
        </w:tc>
        <w:tc>
          <w:tcPr>
            <w:tcW w:type="dxa" w:w="2400"/>
            <w:tcMar>
              <w:top w:type="dxa" w:w="80"/>
              <w:left w:type="dxa" w:w="100"/>
              <w:bottom w:type="dxa" w:w="80"/>
              <w:right w:type="dxa" w:w="100"/>
            </w:tcMar>
          </w:tcPr>
          <w:p>
            <w:pPr>
              <w:jc w:val="left"/>
            </w:pPr>
            <w:r>
              <w:rPr>
                <w:b w:val="false"/>
                <w:bCs w:val="false"/>
                <w:color w:val="000000"/>
                <w:sz w:val="19"/>
                <w:szCs w:val="19"/>
              </w:rPr>
              <w:t xml:space="preserve">362</w:t>
            </w:r>
          </w:p>
        </w:tc>
        <w:tc>
          <w:tcPr>
            <w:tcW w:type="dxa" w:w="2200"/>
            <w:tcMar>
              <w:top w:type="dxa" w:w="80"/>
              <w:left w:type="dxa" w:w="100"/>
              <w:bottom w:type="dxa" w:w="80"/>
              <w:right w:type="dxa" w:w="100"/>
            </w:tcMar>
          </w:tcPr>
          <w:p>
            <w:pPr>
              <w:jc w:val="left"/>
            </w:pPr>
            <w:r>
              <w:rPr>
                <w:b w:val="false"/>
                <w:bCs w:val="false"/>
                <w:color w:val="000000"/>
                <w:sz w:val="19"/>
                <w:szCs w:val="19"/>
              </w:rPr>
              <w:t xml:space="preserve">5.9%</w:t>
            </w:r>
          </w:p>
        </w:tc>
      </w:tr>
    </w:tbl>
    <w:p>
      <w:pPr>
        <w:spacing w:after="200" w:before="60"/>
      </w:pPr>
      <w:r>
        <w:rPr>
          <w:i/>
          <w:iCs/>
          <w:color w:val="666666"/>
          <w:sz w:val="18"/>
          <w:szCs w:val="18"/>
        </w:rPr>
        <w:t xml:space="preserve">Source: Official_vs_Crowdsourced sheet, EV_Charging_Infrastructure_India.xlsx.</w:t>
      </w:r>
    </w:p>
    <w:p>
      <w:pPr>
        <w:spacing w:after="140" w:line="276"/>
      </w:pPr>
      <w:r>
        <w:rPr>
          <w:sz w:val="21"/>
          <w:szCs w:val="21"/>
        </w:rPr>
        <w:t xml:space="preserve">The practical implication: an app, dashboard, or analysis built purely on OpenChargeMap or OSM-derived charger data will show Kerala as disproportionately well-served and Maharashtra as nearly bare — the opposite of the real picture, where Maharashtra has almost 3x Kerala's actual station count. Any charge-point-locator product, market-entry study, or investment thesis that leans on free crowdsourced maps without this correction will draw the wrong conclusions about where infrastructure is actually thin.</w:t>
      </w:r>
    </w:p>
    <w:p>
      <w:pPr>
        <w:pStyle w:val="Heading2"/>
        <w:spacing w:after="100" w:before="240"/>
      </w:pPr>
      <w:r>
        <w:rPr>
          <w:b/>
          <w:bCs/>
          <w:color w:val="1F3864"/>
          <w:sz w:val="23"/>
          <w:szCs w:val="23"/>
        </w:rPr>
        <w:t xml:space="preserve">2. Demand-supply mismatch: EVs sold per existing station (2025)</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800"/>
        <w:gridCol w:w="2000"/>
      </w:tblGrid>
      <w:tr>
        <w:trPr>
          <w:tblHeader/>
        </w:trPr>
        <w:tc>
          <w:tcPr>
            <w:tcW w:type="dxa" w:w="2600"/>
            <w:shd w:fill="1F3864" w:val="clear"/>
            <w:tcMar>
              <w:top w:type="dxa" w:w="80"/>
              <w:left w:type="dxa" w:w="100"/>
              <w:bottom w:type="dxa" w:w="80"/>
              <w:right w:type="dxa" w:w="100"/>
            </w:tcMar>
          </w:tcPr>
          <w:p>
            <w:pPr>
              <w:jc w:val="center"/>
            </w:pPr>
            <w:r>
              <w:rPr>
                <w:b/>
                <w:bCs/>
                <w:color w:val="FFFFFF"/>
                <w:sz w:val="19"/>
                <w:szCs w:val="19"/>
              </w:rPr>
              <w:t xml:space="preserve">State</w:t>
            </w:r>
          </w:p>
        </w:tc>
        <w:tc>
          <w:tcPr>
            <w:tcW w:type="dxa" w:w="2800"/>
            <w:shd w:fill="1F3864" w:val="clear"/>
            <w:tcMar>
              <w:top w:type="dxa" w:w="80"/>
              <w:left w:type="dxa" w:w="100"/>
              <w:bottom w:type="dxa" w:w="80"/>
              <w:right w:type="dxa" w:w="100"/>
            </w:tcMar>
          </w:tcPr>
          <w:p>
            <w:pPr>
              <w:jc w:val="center"/>
            </w:pPr>
            <w:r>
              <w:rPr>
                <w:b/>
                <w:bCs/>
                <w:color w:val="FFFFFF"/>
                <w:sz w:val="19"/>
                <w:szCs w:val="19"/>
              </w:rPr>
              <w:t xml:space="preserve">Official EVCS (Aug-2025)</w:t>
            </w:r>
          </w:p>
        </w:tc>
        <w:tc>
          <w:tcPr>
            <w:tcW w:type="dxa" w:w="2800"/>
            <w:shd w:fill="1F3864" w:val="clear"/>
            <w:tcMar>
              <w:top w:type="dxa" w:w="80"/>
              <w:left w:type="dxa" w:w="100"/>
              <w:bottom w:type="dxa" w:w="80"/>
              <w:right w:type="dxa" w:w="100"/>
            </w:tcMar>
          </w:tcPr>
          <w:p>
            <w:pPr>
              <w:jc w:val="center"/>
            </w:pPr>
            <w:r>
              <w:rPr>
                <w:b/>
                <w:bCs/>
                <w:color w:val="FFFFFF"/>
                <w:sz w:val="19"/>
                <w:szCs w:val="19"/>
              </w:rPr>
              <w:t xml:space="preserve">2025 EV Sales (units)</w:t>
            </w:r>
          </w:p>
        </w:tc>
        <w:tc>
          <w:tcPr>
            <w:tcW w:type="dxa" w:w="2000"/>
            <w:shd w:fill="1F3864" w:val="clear"/>
            <w:tcMar>
              <w:top w:type="dxa" w:w="80"/>
              <w:left w:type="dxa" w:w="100"/>
              <w:bottom w:type="dxa" w:w="80"/>
              <w:right w:type="dxa" w:w="100"/>
            </w:tcMar>
          </w:tcPr>
          <w:p>
            <w:pPr>
              <w:jc w:val="center"/>
            </w:pPr>
            <w:r>
              <w:rPr>
                <w:b/>
                <w:bCs/>
                <w:color w:val="FFFFFF"/>
                <w:sz w:val="19"/>
                <w:szCs w:val="19"/>
              </w:rPr>
              <w:t xml:space="preserve">New EVs Sold / Station</w:t>
            </w:r>
          </w:p>
        </w:tc>
      </w:tr>
      <w:tr>
        <w:tc>
          <w:tcPr>
            <w:tcW w:type="dxa" w:w="2600"/>
            <w:tcMar>
              <w:top w:type="dxa" w:w="80"/>
              <w:left w:type="dxa" w:w="100"/>
              <w:bottom w:type="dxa" w:w="80"/>
              <w:right w:type="dxa" w:w="100"/>
            </w:tcMar>
          </w:tcPr>
          <w:p>
            <w:pPr>
              <w:jc w:val="left"/>
            </w:pPr>
            <w:r>
              <w:rPr>
                <w:b w:val="false"/>
                <w:bCs w:val="false"/>
                <w:color w:val="000000"/>
                <w:sz w:val="19"/>
                <w:szCs w:val="19"/>
              </w:rPr>
              <w:t xml:space="preserve">Karnataka</w:t>
            </w:r>
          </w:p>
        </w:tc>
        <w:tc>
          <w:tcPr>
            <w:tcW w:type="dxa" w:w="2800"/>
            <w:tcMar>
              <w:top w:type="dxa" w:w="80"/>
              <w:left w:type="dxa" w:w="100"/>
              <w:bottom w:type="dxa" w:w="80"/>
              <w:right w:type="dxa" w:w="100"/>
            </w:tcMar>
          </w:tcPr>
          <w:p>
            <w:pPr>
              <w:jc w:val="left"/>
            </w:pPr>
            <w:r>
              <w:rPr>
                <w:b w:val="false"/>
                <w:bCs w:val="false"/>
                <w:color w:val="000000"/>
                <w:sz w:val="19"/>
                <w:szCs w:val="19"/>
              </w:rPr>
              <w:t xml:space="preserve">6,097</w:t>
            </w:r>
          </w:p>
        </w:tc>
        <w:tc>
          <w:tcPr>
            <w:tcW w:type="dxa" w:w="2800"/>
            <w:tcMar>
              <w:top w:type="dxa" w:w="80"/>
              <w:left w:type="dxa" w:w="100"/>
              <w:bottom w:type="dxa" w:w="80"/>
              <w:right w:type="dxa" w:w="100"/>
            </w:tcMar>
          </w:tcPr>
          <w:p>
            <w:pPr>
              <w:jc w:val="left"/>
            </w:pPr>
            <w:r>
              <w:rPr>
                <w:b w:val="false"/>
                <w:bCs w:val="false"/>
                <w:color w:val="000000"/>
                <w:sz w:val="19"/>
                <w:szCs w:val="19"/>
              </w:rPr>
              <w:t xml:space="preserve">~173,000 (FY24-25)</w:t>
            </w:r>
          </w:p>
        </w:tc>
        <w:tc>
          <w:tcPr>
            <w:tcW w:type="dxa" w:w="2000"/>
            <w:tcMar>
              <w:top w:type="dxa" w:w="80"/>
              <w:left w:type="dxa" w:w="100"/>
              <w:bottom w:type="dxa" w:w="80"/>
              <w:right w:type="dxa" w:w="100"/>
            </w:tcMar>
          </w:tcPr>
          <w:p>
            <w:pPr>
              <w:jc w:val="left"/>
            </w:pPr>
            <w:r>
              <w:rPr>
                <w:b w:val="false"/>
                <w:bCs w:val="false"/>
                <w:color w:val="000000"/>
                <w:sz w:val="19"/>
                <w:szCs w:val="19"/>
              </w:rPr>
              <w:t xml:space="preserve">28</w:t>
            </w:r>
          </w:p>
        </w:tc>
      </w:tr>
      <w:tr>
        <w:tc>
          <w:tcPr>
            <w:tcW w:type="dxa" w:w="2600"/>
            <w:shd w:fill="F2F2F2" w:val="clear"/>
            <w:tcMar>
              <w:top w:type="dxa" w:w="80"/>
              <w:left w:type="dxa" w:w="100"/>
              <w:bottom w:type="dxa" w:w="80"/>
              <w:right w:type="dxa" w:w="100"/>
            </w:tcMar>
          </w:tcPr>
          <w:p>
            <w:pPr>
              <w:jc w:val="left"/>
            </w:pPr>
            <w:r>
              <w:rPr>
                <w:b w:val="false"/>
                <w:bCs w:val="false"/>
                <w:color w:val="000000"/>
                <w:sz w:val="19"/>
                <w:szCs w:val="19"/>
              </w:rPr>
              <w:t xml:space="preserve">Maharashtra</w:t>
            </w:r>
          </w:p>
        </w:tc>
        <w:tc>
          <w:tcPr>
            <w:tcW w:type="dxa" w:w="2800"/>
            <w:shd w:fill="F2F2F2" w:val="clear"/>
            <w:tcMar>
              <w:top w:type="dxa" w:w="80"/>
              <w:left w:type="dxa" w:w="100"/>
              <w:bottom w:type="dxa" w:w="80"/>
              <w:right w:type="dxa" w:w="100"/>
            </w:tcMar>
          </w:tcPr>
          <w:p>
            <w:pPr>
              <w:jc w:val="left"/>
            </w:pPr>
            <w:r>
              <w:rPr>
                <w:b w:val="false"/>
                <w:bCs w:val="false"/>
                <w:color w:val="000000"/>
                <w:sz w:val="19"/>
                <w:szCs w:val="19"/>
              </w:rPr>
              <w:t xml:space="preserve">4,155</w:t>
            </w:r>
          </w:p>
        </w:tc>
        <w:tc>
          <w:tcPr>
            <w:tcW w:type="dxa" w:w="2800"/>
            <w:shd w:fill="F2F2F2" w:val="clear"/>
            <w:tcMar>
              <w:top w:type="dxa" w:w="80"/>
              <w:left w:type="dxa" w:w="100"/>
              <w:bottom w:type="dxa" w:w="80"/>
              <w:right w:type="dxa" w:w="100"/>
            </w:tcMar>
          </w:tcPr>
          <w:p>
            <w:pPr>
              <w:jc w:val="left"/>
            </w:pPr>
            <w:r>
              <w:rPr>
                <w:b w:val="false"/>
                <w:bCs w:val="false"/>
                <w:color w:val="000000"/>
                <w:sz w:val="19"/>
                <w:szCs w:val="19"/>
              </w:rPr>
              <w:t xml:space="preserve">266,000</w:t>
            </w:r>
          </w:p>
        </w:tc>
        <w:tc>
          <w:tcPr>
            <w:tcW w:type="dxa" w:w="2000"/>
            <w:shd w:fill="F2F2F2" w:val="clear"/>
            <w:tcMar>
              <w:top w:type="dxa" w:w="80"/>
              <w:left w:type="dxa" w:w="100"/>
              <w:bottom w:type="dxa" w:w="80"/>
              <w:right w:type="dxa" w:w="100"/>
            </w:tcMar>
          </w:tcPr>
          <w:p>
            <w:pPr>
              <w:jc w:val="left"/>
            </w:pPr>
            <w:r>
              <w:rPr>
                <w:b w:val="false"/>
                <w:bCs w:val="false"/>
                <w:color w:val="000000"/>
                <w:sz w:val="19"/>
                <w:szCs w:val="19"/>
              </w:rPr>
              <w:t xml:space="preserve">64</w:t>
            </w:r>
          </w:p>
        </w:tc>
      </w:tr>
      <w:tr>
        <w:tc>
          <w:tcPr>
            <w:tcW w:type="dxa" w:w="2600"/>
            <w:tcMar>
              <w:top w:type="dxa" w:w="80"/>
              <w:left w:type="dxa" w:w="100"/>
              <w:bottom w:type="dxa" w:w="80"/>
              <w:right w:type="dxa" w:w="100"/>
            </w:tcMar>
          </w:tcPr>
          <w:p>
            <w:pPr>
              <w:jc w:val="left"/>
            </w:pPr>
            <w:r>
              <w:rPr>
                <w:b w:val="false"/>
                <w:bCs w:val="false"/>
                <w:color w:val="000000"/>
                <w:sz w:val="19"/>
                <w:szCs w:val="19"/>
              </w:rPr>
              <w:t xml:space="preserve">Uttar Pradesh</w:t>
            </w:r>
          </w:p>
        </w:tc>
        <w:tc>
          <w:tcPr>
            <w:tcW w:type="dxa" w:w="2800"/>
            <w:tcMar>
              <w:top w:type="dxa" w:w="80"/>
              <w:left w:type="dxa" w:w="100"/>
              <w:bottom w:type="dxa" w:w="80"/>
              <w:right w:type="dxa" w:w="100"/>
            </w:tcMar>
          </w:tcPr>
          <w:p>
            <w:pPr>
              <w:jc w:val="left"/>
            </w:pPr>
            <w:r>
              <w:rPr>
                <w:b w:val="false"/>
                <w:bCs w:val="false"/>
                <w:color w:val="000000"/>
                <w:sz w:val="19"/>
                <w:szCs w:val="19"/>
              </w:rPr>
              <w:t xml:space="preserve">2,326</w:t>
            </w:r>
          </w:p>
        </w:tc>
        <w:tc>
          <w:tcPr>
            <w:tcW w:type="dxa" w:w="2800"/>
            <w:tcMar>
              <w:top w:type="dxa" w:w="80"/>
              <w:left w:type="dxa" w:w="100"/>
              <w:bottom w:type="dxa" w:w="80"/>
              <w:right w:type="dxa" w:w="100"/>
            </w:tcMar>
          </w:tcPr>
          <w:p>
            <w:pPr>
              <w:jc w:val="left"/>
            </w:pPr>
            <w:r>
              <w:rPr>
                <w:b w:val="false"/>
                <w:bCs w:val="false"/>
                <w:color w:val="000000"/>
                <w:sz w:val="19"/>
                <w:szCs w:val="19"/>
              </w:rPr>
              <w:t xml:space="preserve">400,000</w:t>
            </w:r>
          </w:p>
        </w:tc>
        <w:tc>
          <w:tcPr>
            <w:tcW w:type="dxa" w:w="2000"/>
            <w:tcMar>
              <w:top w:type="dxa" w:w="80"/>
              <w:left w:type="dxa" w:w="100"/>
              <w:bottom w:type="dxa" w:w="80"/>
              <w:right w:type="dxa" w:w="100"/>
            </w:tcMar>
          </w:tcPr>
          <w:p>
            <w:pPr>
              <w:jc w:val="left"/>
            </w:pPr>
            <w:r>
              <w:rPr>
                <w:b w:val="false"/>
                <w:bCs w:val="false"/>
                <w:color w:val="000000"/>
                <w:sz w:val="19"/>
                <w:szCs w:val="19"/>
              </w:rPr>
              <w:t xml:space="preserve">172</w:t>
            </w:r>
          </w:p>
        </w:tc>
      </w:tr>
    </w:tbl>
    <w:p>
      <w:pPr>
        <w:spacing w:after="200" w:before="60"/>
      </w:pPr>
      <w:r>
        <w:rPr>
          <w:i/>
          <w:iCs/>
          <w:color w:val="666666"/>
          <w:sz w:val="18"/>
          <w:szCs w:val="18"/>
        </w:rPr>
        <w:t xml:space="preserve">This is a pressure/stress ratio on the existing network, not a literal chargers-needed count — most EV sales in UP and Maharashtra are two- and three-wheelers, which lean more on home/depot charging than public DC infrastructure. It should be read as a directional signal, not a siting formula.</w:t>
      </w:r>
    </w:p>
    <w:p>
      <w:pPr>
        <w:spacing w:after="140" w:line="276"/>
      </w:pPr>
      <w:r>
        <w:rPr>
          <w:sz w:val="21"/>
          <w:szCs w:val="21"/>
        </w:rPr>
        <w:t xml:space="preserve">Uttar Pradesh's ratio is roughly 6x Karnataka's. Even discounting for two/three-wheeler dominance in UP's EV mix (which reduces reliance on public charging relative to four-wheelers), a state that is simultaneously India's largest EV market by volume and only its third-largest charging market by station count is a legitimate expansion priority — more so than Karnataka, which already leads on both fronts.</w:t>
      </w:r>
    </w:p>
    <w:p>
      <w:pPr>
        <w:pStyle w:val="Heading2"/>
        <w:spacing w:after="100" w:before="240"/>
      </w:pPr>
      <w:r>
        <w:rPr>
          <w:b/>
          <w:bCs/>
          <w:color w:val="1F3864"/>
          <w:sz w:val="23"/>
          <w:szCs w:val="23"/>
        </w:rPr>
        <w:t xml:space="preserve">3. Fast-DC (highway-ready) capacity is concentrated in three states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800"/>
        <w:gridCol w:w="2400"/>
      </w:tblGrid>
      <w:tr>
        <w:trPr>
          <w:tblHeader/>
        </w:trPr>
        <w:tc>
          <w:tcPr>
            <w:tcW w:type="dxa" w:w="2400"/>
            <w:shd w:fill="1F3864" w:val="clear"/>
            <w:tcMar>
              <w:top w:type="dxa" w:w="80"/>
              <w:left w:type="dxa" w:w="100"/>
              <w:bottom w:type="dxa" w:w="80"/>
              <w:right w:type="dxa" w:w="100"/>
            </w:tcMar>
          </w:tcPr>
          <w:p>
            <w:pPr>
              <w:jc w:val="center"/>
            </w:pPr>
            <w:r>
              <w:rPr>
                <w:b/>
                <w:bCs/>
                <w:color w:val="FFFFFF"/>
                <w:sz w:val="19"/>
                <w:szCs w:val="19"/>
              </w:rPr>
              <w:t xml:space="preserve">State</w:t>
            </w:r>
          </w:p>
        </w:tc>
        <w:tc>
          <w:tcPr>
            <w:tcW w:type="dxa" w:w="2400"/>
            <w:shd w:fill="1F3864" w:val="clear"/>
            <w:tcMar>
              <w:top w:type="dxa" w:w="80"/>
              <w:left w:type="dxa" w:w="100"/>
              <w:bottom w:type="dxa" w:w="80"/>
              <w:right w:type="dxa" w:w="100"/>
            </w:tcMar>
          </w:tcPr>
          <w:p>
            <w:pPr>
              <w:jc w:val="center"/>
            </w:pPr>
            <w:r>
              <w:rPr>
                <w:b/>
                <w:bCs/>
                <w:color w:val="FFFFFF"/>
                <w:sz w:val="19"/>
                <w:szCs w:val="19"/>
              </w:rPr>
              <w:t xml:space="preserve">OCM-mapped sites</w:t>
            </w:r>
          </w:p>
        </w:tc>
        <w:tc>
          <w:tcPr>
            <w:tcW w:type="dxa" w:w="2800"/>
            <w:shd w:fill="1F3864" w:val="clear"/>
            <w:tcMar>
              <w:top w:type="dxa" w:w="80"/>
              <w:left w:type="dxa" w:w="100"/>
              <w:bottom w:type="dxa" w:w="80"/>
              <w:right w:type="dxa" w:w="100"/>
            </w:tcMar>
          </w:tcPr>
          <w:p>
            <w:pPr>
              <w:jc w:val="center"/>
            </w:pPr>
            <w:r>
              <w:rPr>
                <w:b/>
                <w:bCs/>
                <w:color w:val="FFFFFF"/>
                <w:sz w:val="19"/>
                <w:szCs w:val="19"/>
              </w:rPr>
              <w:t xml:space="preserve">Fast-DC share (of mapped sites)</w:t>
            </w:r>
          </w:p>
        </w:tc>
        <w:tc>
          <w:tcPr>
            <w:tcW w:type="dxa" w:w="2400"/>
            <w:shd w:fill="1F3864" w:val="clear"/>
            <w:tcMar>
              <w:top w:type="dxa" w:w="80"/>
              <w:left w:type="dxa" w:w="100"/>
              <w:bottom w:type="dxa" w:w="80"/>
              <w:right w:type="dxa" w:w="100"/>
            </w:tcMar>
          </w:tcPr>
          <w:p>
            <w:pPr>
              <w:jc w:val="center"/>
            </w:pPr>
            <w:r>
              <w:rPr>
                <w:b/>
                <w:bCs/>
                <w:color w:val="FFFFFF"/>
                <w:sz w:val="19"/>
                <w:szCs w:val="19"/>
              </w:rPr>
              <w:t xml:space="preserve">Avg power (kW)</w:t>
            </w:r>
          </w:p>
        </w:tc>
      </w:tr>
      <w:tr>
        <w:tc>
          <w:tcPr>
            <w:tcW w:type="dxa" w:w="2400"/>
            <w:tcMar>
              <w:top w:type="dxa" w:w="80"/>
              <w:left w:type="dxa" w:w="100"/>
              <w:bottom w:type="dxa" w:w="80"/>
              <w:right w:type="dxa" w:w="100"/>
            </w:tcMar>
          </w:tcPr>
          <w:p>
            <w:pPr>
              <w:jc w:val="left"/>
            </w:pPr>
            <w:r>
              <w:rPr>
                <w:b w:val="false"/>
                <w:bCs w:val="false"/>
                <w:color w:val="000000"/>
                <w:sz w:val="19"/>
                <w:szCs w:val="19"/>
              </w:rPr>
              <w:t xml:space="preserve">Maharashtra</w:t>
            </w:r>
          </w:p>
        </w:tc>
        <w:tc>
          <w:tcPr>
            <w:tcW w:type="dxa" w:w="2400"/>
            <w:tcMar>
              <w:top w:type="dxa" w:w="80"/>
              <w:left w:type="dxa" w:w="100"/>
              <w:bottom w:type="dxa" w:w="80"/>
              <w:right w:type="dxa" w:w="100"/>
            </w:tcMar>
          </w:tcPr>
          <w:p>
            <w:pPr>
              <w:jc w:val="left"/>
            </w:pPr>
            <w:r>
              <w:rPr>
                <w:b w:val="false"/>
                <w:bCs w:val="false"/>
                <w:color w:val="000000"/>
                <w:sz w:val="19"/>
                <w:szCs w:val="19"/>
              </w:rPr>
              <w:t xml:space="preserve">16</w:t>
            </w:r>
          </w:p>
        </w:tc>
        <w:tc>
          <w:tcPr>
            <w:tcW w:type="dxa" w:w="2800"/>
            <w:tcMar>
              <w:top w:type="dxa" w:w="80"/>
              <w:left w:type="dxa" w:w="100"/>
              <w:bottom w:type="dxa" w:w="80"/>
              <w:right w:type="dxa" w:w="100"/>
            </w:tcMar>
          </w:tcPr>
          <w:p>
            <w:pPr>
              <w:jc w:val="left"/>
            </w:pPr>
            <w:r>
              <w:rPr>
                <w:b w:val="false"/>
                <w:bCs w:val="false"/>
                <w:color w:val="000000"/>
                <w:sz w:val="19"/>
                <w:szCs w:val="19"/>
              </w:rPr>
              <w:t xml:space="preserve">62.5%</w:t>
            </w:r>
          </w:p>
        </w:tc>
        <w:tc>
          <w:tcPr>
            <w:tcW w:type="dxa" w:w="2400"/>
            <w:tcMar>
              <w:top w:type="dxa" w:w="80"/>
              <w:left w:type="dxa" w:w="100"/>
              <w:bottom w:type="dxa" w:w="80"/>
              <w:right w:type="dxa" w:w="100"/>
            </w:tcMar>
          </w:tcPr>
          <w:p>
            <w:pPr>
              <w:jc w:val="left"/>
            </w:pPr>
            <w:r>
              <w:rPr>
                <w:b w:val="false"/>
                <w:bCs w:val="false"/>
                <w:color w:val="000000"/>
                <w:sz w:val="19"/>
                <w:szCs w:val="19"/>
              </w:rPr>
              <w:t xml:space="preserve">58.1</w:t>
            </w:r>
          </w:p>
        </w:tc>
      </w:tr>
      <w:tr>
        <w:tc>
          <w:tcPr>
            <w:tcW w:type="dxa" w:w="2400"/>
            <w:shd w:fill="F2F2F2" w:val="clear"/>
            <w:tcMar>
              <w:top w:type="dxa" w:w="80"/>
              <w:left w:type="dxa" w:w="100"/>
              <w:bottom w:type="dxa" w:w="80"/>
              <w:right w:type="dxa" w:w="100"/>
            </w:tcMar>
          </w:tcPr>
          <w:p>
            <w:pPr>
              <w:jc w:val="left"/>
            </w:pPr>
            <w:r>
              <w:rPr>
                <w:b w:val="false"/>
                <w:bCs w:val="false"/>
                <w:color w:val="000000"/>
                <w:sz w:val="19"/>
                <w:szCs w:val="19"/>
              </w:rPr>
              <w:t xml:space="preserve">Goa</w:t>
            </w:r>
          </w:p>
        </w:tc>
        <w:tc>
          <w:tcPr>
            <w:tcW w:type="dxa" w:w="2400"/>
            <w:shd w:fill="F2F2F2" w:val="clear"/>
            <w:tcMar>
              <w:top w:type="dxa" w:w="80"/>
              <w:left w:type="dxa" w:w="100"/>
              <w:bottom w:type="dxa" w:w="80"/>
              <w:right w:type="dxa" w:w="100"/>
            </w:tcMar>
          </w:tcPr>
          <w:p>
            <w:pPr>
              <w:jc w:val="left"/>
            </w:pPr>
            <w:r>
              <w:rPr>
                <w:b w:val="false"/>
                <w:bCs w:val="false"/>
                <w:color w:val="000000"/>
                <w:sz w:val="19"/>
                <w:szCs w:val="19"/>
              </w:rPr>
              <w:t xml:space="preserve">6</w:t>
            </w:r>
          </w:p>
        </w:tc>
        <w:tc>
          <w:tcPr>
            <w:tcW w:type="dxa" w:w="2800"/>
            <w:shd w:fill="F2F2F2" w:val="clear"/>
            <w:tcMar>
              <w:top w:type="dxa" w:w="80"/>
              <w:left w:type="dxa" w:w="100"/>
              <w:bottom w:type="dxa" w:w="80"/>
              <w:right w:type="dxa" w:w="100"/>
            </w:tcMar>
          </w:tcPr>
          <w:p>
            <w:pPr>
              <w:jc w:val="left"/>
            </w:pPr>
            <w:r>
              <w:rPr>
                <w:b w:val="false"/>
                <w:bCs w:val="false"/>
                <w:color w:val="000000"/>
                <w:sz w:val="19"/>
                <w:szCs w:val="19"/>
              </w:rPr>
              <w:t xml:space="preserve">66.7%</w:t>
            </w:r>
          </w:p>
        </w:tc>
        <w:tc>
          <w:tcPr>
            <w:tcW w:type="dxa" w:w="2400"/>
            <w:shd w:fill="F2F2F2" w:val="clear"/>
            <w:tcMar>
              <w:top w:type="dxa" w:w="80"/>
              <w:left w:type="dxa" w:w="100"/>
              <w:bottom w:type="dxa" w:w="80"/>
              <w:right w:type="dxa" w:w="100"/>
            </w:tcMar>
          </w:tcPr>
          <w:p>
            <w:pPr>
              <w:jc w:val="left"/>
            </w:pPr>
            <w:r>
              <w:rPr>
                <w:b w:val="false"/>
                <w:bCs w:val="false"/>
                <w:color w:val="000000"/>
                <w:sz w:val="19"/>
                <w:szCs w:val="19"/>
              </w:rPr>
              <w:t xml:space="preserve">50.0</w:t>
            </w:r>
          </w:p>
        </w:tc>
      </w:tr>
      <w:tr>
        <w:tc>
          <w:tcPr>
            <w:tcW w:type="dxa" w:w="2400"/>
            <w:tcMar>
              <w:top w:type="dxa" w:w="80"/>
              <w:left w:type="dxa" w:w="100"/>
              <w:bottom w:type="dxa" w:w="80"/>
              <w:right w:type="dxa" w:w="100"/>
            </w:tcMar>
          </w:tcPr>
          <w:p>
            <w:pPr>
              <w:jc w:val="left"/>
            </w:pPr>
            <w:r>
              <w:rPr>
                <w:b w:val="false"/>
                <w:bCs w:val="false"/>
                <w:color w:val="000000"/>
                <w:sz w:val="19"/>
                <w:szCs w:val="19"/>
              </w:rPr>
              <w:t xml:space="preserve">Karnataka</w:t>
            </w:r>
          </w:p>
        </w:tc>
        <w:tc>
          <w:tcPr>
            <w:tcW w:type="dxa" w:w="2400"/>
            <w:tcMar>
              <w:top w:type="dxa" w:w="80"/>
              <w:left w:type="dxa" w:w="100"/>
              <w:bottom w:type="dxa" w:w="80"/>
              <w:right w:type="dxa" w:w="100"/>
            </w:tcMar>
          </w:tcPr>
          <w:p>
            <w:pPr>
              <w:jc w:val="left"/>
            </w:pPr>
            <w:r>
              <w:rPr>
                <w:b w:val="false"/>
                <w:bCs w:val="false"/>
                <w:color w:val="000000"/>
                <w:sz w:val="19"/>
                <w:szCs w:val="19"/>
              </w:rPr>
              <w:t xml:space="preserve">362</w:t>
            </w:r>
          </w:p>
        </w:tc>
        <w:tc>
          <w:tcPr>
            <w:tcW w:type="dxa" w:w="2800"/>
            <w:tcMar>
              <w:top w:type="dxa" w:w="80"/>
              <w:left w:type="dxa" w:w="100"/>
              <w:bottom w:type="dxa" w:w="80"/>
              <w:right w:type="dxa" w:w="100"/>
            </w:tcMar>
          </w:tcPr>
          <w:p>
            <w:pPr>
              <w:jc w:val="left"/>
            </w:pPr>
            <w:r>
              <w:rPr>
                <w:b w:val="false"/>
                <w:bCs w:val="false"/>
                <w:color w:val="000000"/>
                <w:sz w:val="19"/>
                <w:szCs w:val="19"/>
              </w:rPr>
              <w:t xml:space="preserve">54.1%</w:t>
            </w:r>
          </w:p>
        </w:tc>
        <w:tc>
          <w:tcPr>
            <w:tcW w:type="dxa" w:w="2400"/>
            <w:tcMar>
              <w:top w:type="dxa" w:w="80"/>
              <w:left w:type="dxa" w:w="100"/>
              <w:bottom w:type="dxa" w:w="80"/>
              <w:right w:type="dxa" w:w="100"/>
            </w:tcMar>
          </w:tcPr>
          <w:p>
            <w:pPr>
              <w:jc w:val="left"/>
            </w:pPr>
            <w:r>
              <w:rPr>
                <w:b w:val="false"/>
                <w:bCs w:val="false"/>
                <w:color w:val="000000"/>
                <w:sz w:val="19"/>
                <w:szCs w:val="19"/>
              </w:rPr>
              <w:t xml:space="preserve">52.6</w:t>
            </w:r>
          </w:p>
        </w:tc>
      </w:tr>
      <w:tr>
        <w:tc>
          <w:tcPr>
            <w:tcW w:type="dxa" w:w="2400"/>
            <w:shd w:fill="F2F2F2" w:val="clear"/>
            <w:tcMar>
              <w:top w:type="dxa" w:w="80"/>
              <w:left w:type="dxa" w:w="100"/>
              <w:bottom w:type="dxa" w:w="80"/>
              <w:right w:type="dxa" w:w="100"/>
            </w:tcMar>
          </w:tcPr>
          <w:p>
            <w:pPr>
              <w:jc w:val="left"/>
            </w:pPr>
            <w:r>
              <w:rPr>
                <w:b w:val="false"/>
                <w:bCs w:val="false"/>
                <w:color w:val="000000"/>
                <w:sz w:val="19"/>
                <w:szCs w:val="19"/>
              </w:rPr>
              <w:t xml:space="preserve">Uttar Pradesh</w:t>
            </w:r>
          </w:p>
        </w:tc>
        <w:tc>
          <w:tcPr>
            <w:tcW w:type="dxa" w:w="2400"/>
            <w:shd w:fill="F2F2F2" w:val="clear"/>
            <w:tcMar>
              <w:top w:type="dxa" w:w="80"/>
              <w:left w:type="dxa" w:w="100"/>
              <w:bottom w:type="dxa" w:w="80"/>
              <w:right w:type="dxa" w:w="100"/>
            </w:tcMar>
          </w:tcPr>
          <w:p>
            <w:pPr>
              <w:jc w:val="left"/>
            </w:pPr>
            <w:r>
              <w:rPr>
                <w:b w:val="false"/>
                <w:bCs w:val="false"/>
                <w:color w:val="000000"/>
                <w:sz w:val="19"/>
                <w:szCs w:val="19"/>
              </w:rPr>
              <w:t xml:space="preserve">21</w:t>
            </w:r>
          </w:p>
        </w:tc>
        <w:tc>
          <w:tcPr>
            <w:tcW w:type="dxa" w:w="2800"/>
            <w:shd w:fill="F2F2F2" w:val="clear"/>
            <w:tcMar>
              <w:top w:type="dxa" w:w="80"/>
              <w:left w:type="dxa" w:w="100"/>
              <w:bottom w:type="dxa" w:w="80"/>
              <w:right w:type="dxa" w:w="100"/>
            </w:tcMar>
          </w:tcPr>
          <w:p>
            <w:pPr>
              <w:jc w:val="left"/>
            </w:pPr>
            <w:r>
              <w:rPr>
                <w:b w:val="false"/>
                <w:bCs w:val="false"/>
                <w:color w:val="000000"/>
                <w:sz w:val="19"/>
                <w:szCs w:val="19"/>
              </w:rPr>
              <w:t xml:space="preserve">47.6%</w:t>
            </w:r>
          </w:p>
        </w:tc>
        <w:tc>
          <w:tcPr>
            <w:tcW w:type="dxa" w:w="2400"/>
            <w:shd w:fill="F2F2F2" w:val="clear"/>
            <w:tcMar>
              <w:top w:type="dxa" w:w="80"/>
              <w:left w:type="dxa" w:w="100"/>
              <w:bottom w:type="dxa" w:w="80"/>
              <w:right w:type="dxa" w:w="100"/>
            </w:tcMar>
          </w:tcPr>
          <w:p>
            <w:pPr>
              <w:jc w:val="left"/>
            </w:pPr>
            <w:r>
              <w:rPr>
                <w:b w:val="false"/>
                <w:bCs w:val="false"/>
                <w:color w:val="000000"/>
                <w:sz w:val="19"/>
                <w:szCs w:val="19"/>
              </w:rPr>
              <w:t xml:space="preserve">52.4</w:t>
            </w:r>
          </w:p>
        </w:tc>
      </w:tr>
      <w:tr>
        <w:tc>
          <w:tcPr>
            <w:tcW w:type="dxa" w:w="2400"/>
            <w:tcMar>
              <w:top w:type="dxa" w:w="80"/>
              <w:left w:type="dxa" w:w="100"/>
              <w:bottom w:type="dxa" w:w="80"/>
              <w:right w:type="dxa" w:w="100"/>
            </w:tcMar>
          </w:tcPr>
          <w:p>
            <w:pPr>
              <w:jc w:val="left"/>
            </w:pPr>
            <w:r>
              <w:rPr>
                <w:b w:val="false"/>
                <w:bCs w:val="false"/>
                <w:color w:val="000000"/>
                <w:sz w:val="19"/>
                <w:szCs w:val="19"/>
              </w:rPr>
              <w:t xml:space="preserve">Haryana</w:t>
            </w:r>
          </w:p>
        </w:tc>
        <w:tc>
          <w:tcPr>
            <w:tcW w:type="dxa" w:w="2400"/>
            <w:tcMar>
              <w:top w:type="dxa" w:w="80"/>
              <w:left w:type="dxa" w:w="100"/>
              <w:bottom w:type="dxa" w:w="80"/>
              <w:right w:type="dxa" w:w="100"/>
            </w:tcMar>
          </w:tcPr>
          <w:p>
            <w:pPr>
              <w:jc w:val="left"/>
            </w:pPr>
            <w:r>
              <w:rPr>
                <w:b w:val="false"/>
                <w:bCs w:val="false"/>
                <w:color w:val="000000"/>
                <w:sz w:val="19"/>
                <w:szCs w:val="19"/>
              </w:rPr>
              <w:t xml:space="preserve">27</w:t>
            </w:r>
          </w:p>
        </w:tc>
        <w:tc>
          <w:tcPr>
            <w:tcW w:type="dxa" w:w="2800"/>
            <w:tcMar>
              <w:top w:type="dxa" w:w="80"/>
              <w:left w:type="dxa" w:w="100"/>
              <w:bottom w:type="dxa" w:w="80"/>
              <w:right w:type="dxa" w:w="100"/>
            </w:tcMar>
          </w:tcPr>
          <w:p>
            <w:pPr>
              <w:jc w:val="left"/>
            </w:pPr>
            <w:r>
              <w:rPr>
                <w:b w:val="false"/>
                <w:bCs w:val="false"/>
                <w:color w:val="000000"/>
                <w:sz w:val="19"/>
                <w:szCs w:val="19"/>
              </w:rPr>
              <w:t xml:space="preserve">40.7%</w:t>
            </w:r>
          </w:p>
        </w:tc>
        <w:tc>
          <w:tcPr>
            <w:tcW w:type="dxa" w:w="2400"/>
            <w:tcMar>
              <w:top w:type="dxa" w:w="80"/>
              <w:left w:type="dxa" w:w="100"/>
              <w:bottom w:type="dxa" w:w="80"/>
              <w:right w:type="dxa" w:w="100"/>
            </w:tcMar>
          </w:tcPr>
          <w:p>
            <w:pPr>
              <w:jc w:val="left"/>
            </w:pPr>
            <w:r>
              <w:rPr>
                <w:b w:val="false"/>
                <w:bCs w:val="false"/>
                <w:color w:val="000000"/>
                <w:sz w:val="19"/>
                <w:szCs w:val="19"/>
              </w:rPr>
              <w:t xml:space="preserve">49.5</w:t>
            </w:r>
          </w:p>
        </w:tc>
      </w:tr>
      <w:tr>
        <w:tc>
          <w:tcPr>
            <w:tcW w:type="dxa" w:w="2400"/>
            <w:shd w:fill="F2F2F2" w:val="clear"/>
            <w:tcMar>
              <w:top w:type="dxa" w:w="80"/>
              <w:left w:type="dxa" w:w="100"/>
              <w:bottom w:type="dxa" w:w="80"/>
              <w:right w:type="dxa" w:w="100"/>
            </w:tcMar>
          </w:tcPr>
          <w:p>
            <w:pPr>
              <w:jc w:val="left"/>
            </w:pPr>
            <w:r>
              <w:rPr>
                <w:b w:val="false"/>
                <w:bCs w:val="false"/>
                <w:color w:val="000000"/>
                <w:sz w:val="19"/>
                <w:szCs w:val="19"/>
              </w:rPr>
              <w:t xml:space="preserve">Tamil Nadu</w:t>
            </w:r>
          </w:p>
        </w:tc>
        <w:tc>
          <w:tcPr>
            <w:tcW w:type="dxa" w:w="2400"/>
            <w:shd w:fill="F2F2F2" w:val="clear"/>
            <w:tcMar>
              <w:top w:type="dxa" w:w="80"/>
              <w:left w:type="dxa" w:w="100"/>
              <w:bottom w:type="dxa" w:w="80"/>
              <w:right w:type="dxa" w:w="100"/>
            </w:tcMar>
          </w:tcPr>
          <w:p>
            <w:pPr>
              <w:jc w:val="left"/>
            </w:pPr>
            <w:r>
              <w:rPr>
                <w:b w:val="false"/>
                <w:bCs w:val="false"/>
                <w:color w:val="000000"/>
                <w:sz w:val="19"/>
                <w:szCs w:val="19"/>
              </w:rPr>
              <w:t xml:space="preserve">182</w:t>
            </w:r>
          </w:p>
        </w:tc>
        <w:tc>
          <w:tcPr>
            <w:tcW w:type="dxa" w:w="2800"/>
            <w:shd w:fill="F2F2F2" w:val="clear"/>
            <w:tcMar>
              <w:top w:type="dxa" w:w="80"/>
              <w:left w:type="dxa" w:w="100"/>
              <w:bottom w:type="dxa" w:w="80"/>
              <w:right w:type="dxa" w:w="100"/>
            </w:tcMar>
          </w:tcPr>
          <w:p>
            <w:pPr>
              <w:jc w:val="left"/>
            </w:pPr>
            <w:r>
              <w:rPr>
                <w:b w:val="false"/>
                <w:bCs w:val="false"/>
                <w:color w:val="000000"/>
                <w:sz w:val="19"/>
                <w:szCs w:val="19"/>
              </w:rPr>
              <w:t xml:space="preserve">32.4%</w:t>
            </w:r>
          </w:p>
        </w:tc>
        <w:tc>
          <w:tcPr>
            <w:tcW w:type="dxa" w:w="2400"/>
            <w:shd w:fill="F2F2F2" w:val="clear"/>
            <w:tcMar>
              <w:top w:type="dxa" w:w="80"/>
              <w:left w:type="dxa" w:w="100"/>
              <w:bottom w:type="dxa" w:w="80"/>
              <w:right w:type="dxa" w:w="100"/>
            </w:tcMar>
          </w:tcPr>
          <w:p>
            <w:pPr>
              <w:jc w:val="left"/>
            </w:pPr>
            <w:r>
              <w:rPr>
                <w:b w:val="false"/>
                <w:bCs w:val="false"/>
                <w:color w:val="000000"/>
                <w:sz w:val="19"/>
                <w:szCs w:val="19"/>
              </w:rPr>
              <w:t xml:space="preserve">41.6</w:t>
            </w:r>
          </w:p>
        </w:tc>
      </w:tr>
      <w:tr>
        <w:tc>
          <w:tcPr>
            <w:tcW w:type="dxa" w:w="2400"/>
            <w:tcMar>
              <w:top w:type="dxa" w:w="80"/>
              <w:left w:type="dxa" w:w="100"/>
              <w:bottom w:type="dxa" w:w="80"/>
              <w:right w:type="dxa" w:w="100"/>
            </w:tcMar>
          </w:tcPr>
          <w:p>
            <w:pPr>
              <w:jc w:val="left"/>
            </w:pPr>
            <w:r>
              <w:rPr>
                <w:b w:val="false"/>
                <w:bCs w:val="false"/>
                <w:color w:val="000000"/>
                <w:sz w:val="19"/>
                <w:szCs w:val="19"/>
              </w:rPr>
              <w:t xml:space="preserve">Kerala</w:t>
            </w:r>
          </w:p>
        </w:tc>
        <w:tc>
          <w:tcPr>
            <w:tcW w:type="dxa" w:w="2400"/>
            <w:tcMar>
              <w:top w:type="dxa" w:w="80"/>
              <w:left w:type="dxa" w:w="100"/>
              <w:bottom w:type="dxa" w:w="80"/>
              <w:right w:type="dxa" w:w="100"/>
            </w:tcMar>
          </w:tcPr>
          <w:p>
            <w:pPr>
              <w:jc w:val="left"/>
            </w:pPr>
            <w:r>
              <w:rPr>
                <w:b w:val="false"/>
                <w:bCs w:val="false"/>
                <w:color w:val="000000"/>
                <w:sz w:val="19"/>
                <w:szCs w:val="19"/>
              </w:rPr>
              <w:t xml:space="preserve">454</w:t>
            </w:r>
          </w:p>
        </w:tc>
        <w:tc>
          <w:tcPr>
            <w:tcW w:type="dxa" w:w="2800"/>
            <w:tcMar>
              <w:top w:type="dxa" w:w="80"/>
              <w:left w:type="dxa" w:w="100"/>
              <w:bottom w:type="dxa" w:w="80"/>
              <w:right w:type="dxa" w:w="100"/>
            </w:tcMar>
          </w:tcPr>
          <w:p>
            <w:pPr>
              <w:jc w:val="left"/>
            </w:pPr>
            <w:r>
              <w:rPr>
                <w:b w:val="false"/>
                <w:bCs w:val="false"/>
                <w:color w:val="000000"/>
                <w:sz w:val="19"/>
                <w:szCs w:val="19"/>
              </w:rPr>
              <w:t xml:space="preserve">30.0%</w:t>
            </w:r>
          </w:p>
        </w:tc>
        <w:tc>
          <w:tcPr>
            <w:tcW w:type="dxa" w:w="2400"/>
            <w:tcMar>
              <w:top w:type="dxa" w:w="80"/>
              <w:left w:type="dxa" w:w="100"/>
              <w:bottom w:type="dxa" w:w="80"/>
              <w:right w:type="dxa" w:w="100"/>
            </w:tcMar>
          </w:tcPr>
          <w:p>
            <w:pPr>
              <w:jc w:val="left"/>
            </w:pPr>
            <w:r>
              <w:rPr>
                <w:b w:val="false"/>
                <w:bCs w:val="false"/>
                <w:color w:val="000000"/>
                <w:sz w:val="19"/>
                <w:szCs w:val="19"/>
              </w:rPr>
              <w:t xml:space="preserve">38.4</w:t>
            </w:r>
          </w:p>
        </w:tc>
      </w:tr>
      <w:tr>
        <w:tc>
          <w:tcPr>
            <w:tcW w:type="dxa" w:w="2400"/>
            <w:shd w:fill="F2F2F2" w:val="clear"/>
            <w:tcMar>
              <w:top w:type="dxa" w:w="80"/>
              <w:left w:type="dxa" w:w="100"/>
              <w:bottom w:type="dxa" w:w="80"/>
              <w:right w:type="dxa" w:w="100"/>
            </w:tcMar>
          </w:tcPr>
          <w:p>
            <w:pPr>
              <w:jc w:val="left"/>
            </w:pPr>
            <w:r>
              <w:rPr>
                <w:b w:val="false"/>
                <w:bCs w:val="false"/>
                <w:color w:val="000000"/>
                <w:sz w:val="19"/>
                <w:szCs w:val="19"/>
              </w:rPr>
              <w:t xml:space="preserve">Delhi</w:t>
            </w:r>
          </w:p>
        </w:tc>
        <w:tc>
          <w:tcPr>
            <w:tcW w:type="dxa" w:w="2400"/>
            <w:shd w:fill="F2F2F2" w:val="clear"/>
            <w:tcMar>
              <w:top w:type="dxa" w:w="80"/>
              <w:left w:type="dxa" w:w="100"/>
              <w:bottom w:type="dxa" w:w="80"/>
              <w:right w:type="dxa" w:w="100"/>
            </w:tcMar>
          </w:tcPr>
          <w:p>
            <w:pPr>
              <w:jc w:val="left"/>
            </w:pPr>
            <w:r>
              <w:rPr>
                <w:b w:val="false"/>
                <w:bCs w:val="false"/>
                <w:color w:val="000000"/>
                <w:sz w:val="19"/>
                <w:szCs w:val="19"/>
              </w:rPr>
              <w:t xml:space="preserve">30</w:t>
            </w:r>
          </w:p>
        </w:tc>
        <w:tc>
          <w:tcPr>
            <w:tcW w:type="dxa" w:w="2800"/>
            <w:shd w:fill="F2F2F2" w:val="clear"/>
            <w:tcMar>
              <w:top w:type="dxa" w:w="80"/>
              <w:left w:type="dxa" w:w="100"/>
              <w:bottom w:type="dxa" w:w="80"/>
              <w:right w:type="dxa" w:w="100"/>
            </w:tcMar>
          </w:tcPr>
          <w:p>
            <w:pPr>
              <w:jc w:val="left"/>
            </w:pPr>
            <w:r>
              <w:rPr>
                <w:b w:val="false"/>
                <w:bCs w:val="false"/>
                <w:color w:val="000000"/>
                <w:sz w:val="19"/>
                <w:szCs w:val="19"/>
              </w:rPr>
              <w:t xml:space="preserve">26.7%</w:t>
            </w:r>
          </w:p>
        </w:tc>
        <w:tc>
          <w:tcPr>
            <w:tcW w:type="dxa" w:w="2400"/>
            <w:shd w:fill="F2F2F2" w:val="clear"/>
            <w:tcMar>
              <w:top w:type="dxa" w:w="80"/>
              <w:left w:type="dxa" w:w="100"/>
              <w:bottom w:type="dxa" w:w="80"/>
              <w:right w:type="dxa" w:w="100"/>
            </w:tcMar>
          </w:tcPr>
          <w:p>
            <w:pPr>
              <w:jc w:val="left"/>
            </w:pPr>
            <w:r>
              <w:rPr>
                <w:b w:val="false"/>
                <w:bCs w:val="false"/>
                <w:color w:val="000000"/>
                <w:sz w:val="19"/>
                <w:szCs w:val="19"/>
              </w:rPr>
              <w:t xml:space="preserve">31.3</w:t>
            </w:r>
          </w:p>
        </w:tc>
      </w:tr>
      <w:tr>
        <w:tc>
          <w:tcPr>
            <w:tcW w:type="dxa" w:w="2400"/>
            <w:tcMar>
              <w:top w:type="dxa" w:w="80"/>
              <w:left w:type="dxa" w:w="100"/>
              <w:bottom w:type="dxa" w:w="80"/>
              <w:right w:type="dxa" w:w="100"/>
            </w:tcMar>
          </w:tcPr>
          <w:p>
            <w:pPr>
              <w:jc w:val="left"/>
            </w:pPr>
            <w:r>
              <w:rPr>
                <w:b w:val="false"/>
                <w:bCs w:val="false"/>
                <w:color w:val="000000"/>
                <w:sz w:val="19"/>
                <w:szCs w:val="19"/>
              </w:rPr>
              <w:t xml:space="preserve">Gujarat</w:t>
            </w:r>
          </w:p>
        </w:tc>
        <w:tc>
          <w:tcPr>
            <w:tcW w:type="dxa" w:w="2400"/>
            <w:tcMar>
              <w:top w:type="dxa" w:w="80"/>
              <w:left w:type="dxa" w:w="100"/>
              <w:bottom w:type="dxa" w:w="80"/>
              <w:right w:type="dxa" w:w="100"/>
            </w:tcMar>
          </w:tcPr>
          <w:p>
            <w:pPr>
              <w:jc w:val="left"/>
            </w:pPr>
            <w:r>
              <w:rPr>
                <w:b w:val="false"/>
                <w:bCs w:val="false"/>
                <w:color w:val="000000"/>
                <w:sz w:val="19"/>
                <w:szCs w:val="19"/>
              </w:rPr>
              <w:t xml:space="preserve">23</w:t>
            </w:r>
          </w:p>
        </w:tc>
        <w:tc>
          <w:tcPr>
            <w:tcW w:type="dxa" w:w="2800"/>
            <w:tcMar>
              <w:top w:type="dxa" w:w="80"/>
              <w:left w:type="dxa" w:w="100"/>
              <w:bottom w:type="dxa" w:w="80"/>
              <w:right w:type="dxa" w:w="100"/>
            </w:tcMar>
          </w:tcPr>
          <w:p>
            <w:pPr>
              <w:jc w:val="left"/>
            </w:pPr>
            <w:r>
              <w:rPr>
                <w:b w:val="false"/>
                <w:bCs w:val="false"/>
                <w:color w:val="000000"/>
                <w:sz w:val="19"/>
                <w:szCs w:val="19"/>
              </w:rPr>
              <w:t xml:space="preserve">13.0%</w:t>
            </w:r>
          </w:p>
        </w:tc>
        <w:tc>
          <w:tcPr>
            <w:tcW w:type="dxa" w:w="2400"/>
            <w:tcMar>
              <w:top w:type="dxa" w:w="80"/>
              <w:left w:type="dxa" w:w="100"/>
              <w:bottom w:type="dxa" w:w="80"/>
              <w:right w:type="dxa" w:w="100"/>
            </w:tcMar>
          </w:tcPr>
          <w:p>
            <w:pPr>
              <w:jc w:val="left"/>
            </w:pPr>
            <w:r>
              <w:rPr>
                <w:b w:val="false"/>
                <w:bCs w:val="false"/>
                <w:color w:val="000000"/>
                <w:sz w:val="19"/>
                <w:szCs w:val="19"/>
              </w:rPr>
              <w:t xml:space="preserve">31.2</w:t>
            </w:r>
          </w:p>
        </w:tc>
      </w:tr>
      <w:tr>
        <w:tc>
          <w:tcPr>
            <w:tcW w:type="dxa" w:w="2400"/>
            <w:shd w:fill="F2F2F2" w:val="clear"/>
            <w:tcMar>
              <w:top w:type="dxa" w:w="80"/>
              <w:left w:type="dxa" w:w="100"/>
              <w:bottom w:type="dxa" w:w="80"/>
              <w:right w:type="dxa" w:w="100"/>
            </w:tcMar>
          </w:tcPr>
          <w:p>
            <w:pPr>
              <w:jc w:val="left"/>
            </w:pPr>
            <w:r>
              <w:rPr>
                <w:b w:val="false"/>
                <w:bCs w:val="false"/>
                <w:color w:val="000000"/>
                <w:sz w:val="19"/>
                <w:szCs w:val="19"/>
              </w:rPr>
              <w:t xml:space="preserve">Rajasthan</w:t>
            </w:r>
          </w:p>
        </w:tc>
        <w:tc>
          <w:tcPr>
            <w:tcW w:type="dxa" w:w="2400"/>
            <w:shd w:fill="F2F2F2" w:val="clear"/>
            <w:tcMar>
              <w:top w:type="dxa" w:w="80"/>
              <w:left w:type="dxa" w:w="100"/>
              <w:bottom w:type="dxa" w:w="80"/>
              <w:right w:type="dxa" w:w="100"/>
            </w:tcMar>
          </w:tcPr>
          <w:p>
            <w:pPr>
              <w:jc w:val="left"/>
            </w:pPr>
            <w:r>
              <w:rPr>
                <w:b w:val="false"/>
                <w:bCs w:val="false"/>
                <w:color w:val="000000"/>
                <w:sz w:val="19"/>
                <w:szCs w:val="19"/>
              </w:rPr>
              <w:t xml:space="preserve">34</w:t>
            </w:r>
          </w:p>
        </w:tc>
        <w:tc>
          <w:tcPr>
            <w:tcW w:type="dxa" w:w="2800"/>
            <w:shd w:fill="F2F2F2" w:val="clear"/>
            <w:tcMar>
              <w:top w:type="dxa" w:w="80"/>
              <w:left w:type="dxa" w:w="100"/>
              <w:bottom w:type="dxa" w:w="80"/>
              <w:right w:type="dxa" w:w="100"/>
            </w:tcMar>
          </w:tcPr>
          <w:p>
            <w:pPr>
              <w:jc w:val="left"/>
            </w:pPr>
            <w:r>
              <w:rPr>
                <w:b w:val="false"/>
                <w:bCs w:val="false"/>
                <w:color w:val="000000"/>
                <w:sz w:val="19"/>
                <w:szCs w:val="19"/>
              </w:rPr>
              <w:t xml:space="preserve">5.9%</w:t>
            </w:r>
          </w:p>
        </w:tc>
        <w:tc>
          <w:tcPr>
            <w:tcW w:type="dxa" w:w="2400"/>
            <w:shd w:fill="F2F2F2" w:val="clear"/>
            <w:tcMar>
              <w:top w:type="dxa" w:w="80"/>
              <w:left w:type="dxa" w:w="100"/>
              <w:bottom w:type="dxa" w:w="80"/>
              <w:right w:type="dxa" w:w="100"/>
            </w:tcMar>
          </w:tcPr>
          <w:p>
            <w:pPr>
              <w:jc w:val="left"/>
            </w:pPr>
            <w:r>
              <w:rPr>
                <w:b w:val="false"/>
                <w:bCs w:val="false"/>
                <w:color w:val="000000"/>
                <w:sz w:val="19"/>
                <w:szCs w:val="19"/>
              </w:rPr>
              <w:t xml:space="preserve">30.5</w:t>
            </w:r>
          </w:p>
        </w:tc>
      </w:tr>
    </w:tbl>
    <w:p>
      <w:pPr>
        <w:spacing w:after="200" w:before="60"/>
      </w:pPr>
      <w:r>
        <w:rPr>
          <w:i/>
          <w:iCs/>
          <w:color w:val="666666"/>
          <w:sz w:val="18"/>
          <w:szCs w:val="18"/>
        </w:rPr>
        <w:t xml:space="preserve">Fast-DC share computed on the OCM-mapped subset (site-level metadata is not published at this granularity in the official PIB release) — read as a directional signal of AC/DC mix by state, not an exact national fast-DC count.</w:t>
      </w:r>
    </w:p>
    <w:p>
      <w:pPr>
        <w:spacing w:after="140" w:line="276"/>
      </w:pPr>
      <w:r>
        <w:rPr>
          <w:sz w:val="21"/>
          <w:szCs w:val="21"/>
        </w:rPr>
        <w:t xml:space="preserve">Rajasthan stands out: a respectable total station count (1,531, 6th nationally) but the lowest fast-DC share of any state with meaningful sample size in this dataset. Given Rajasthan's role in Delhi–Mumbai and Delhi–Ahmedabad highway corridors, this is a real gap for PM E-DRIVE's stated 50-corridor electrification target, and it would not surface at all from a total-station-count view.</w:t>
      </w:r>
    </w:p>
    <w:p>
      <w:pPr>
        <w:pStyle w:val="Heading2"/>
        <w:spacing w:after="100" w:before="240"/>
      </w:pPr>
      <w:r>
        <w:rPr>
          <w:b/>
          <w:bCs/>
          <w:color w:val="1F3864"/>
          <w:sz w:val="23"/>
          <w:szCs w:val="23"/>
        </w:rPr>
        <w:t xml:space="preserve">4. Data quality as a finding, not just a caveat</w:t>
      </w:r>
    </w:p>
    <w:p>
      <w:pPr>
        <w:spacing w:after="140" w:line="276"/>
      </w:pPr>
      <w:r>
        <w:rPr>
          <w:sz w:val="21"/>
          <w:szCs w:val="21"/>
        </w:rPr>
        <w:t xml:space="preserve">The raw OCM dataset — the kind of data a junior analyst might pull from a public API and plot without inspection — contained a single-port site listed at 1,000,000 kW (roughly 2,500x the most powerful real DC fast charger in India) and more than a dozen misspelled or truncated state labels. Neither is unusual for unmoderated crowdsourced infrastructure data; both would have silently distorted every average and every chart in this report if left uncleaned. This is presented as a finding in its own right: any pipeline built on OCM/OSM-style sources needs explicit validation rules (plausible power-rating bounds, state-name canonicalization) before the data can be trusted for reporting.</w:t>
      </w:r>
    </w:p>
    <w:p>
      <w:pPr>
        <w:pStyle w:val="Heading1"/>
        <w:pBdr>
          <w:bottom w:val="single" w:color="1F3864" w:sz="6" w:space="4"/>
        </w:pBdr>
        <w:spacing w:after="160" w:before="320"/>
      </w:pPr>
      <w:r>
        <w:rPr>
          <w:b/>
          <w:bCs/>
          <w:color w:val="1F3864"/>
          <w:sz w:val="28"/>
          <w:szCs w:val="28"/>
        </w:rPr>
        <w:t xml:space="preserve">Recommendations</w:t>
      </w:r>
    </w:p>
    <w:p>
      <w:pPr>
        <w:pStyle w:val="ListParagraph"/>
        <w:numPr>
          <w:ilvl w:val="0"/>
          <w:numId w:val="1"/>
        </w:numPr>
        <w:spacing w:after="80" w:line="270"/>
      </w:pPr>
      <w:r>
        <w:rPr>
          <w:sz w:val="21"/>
          <w:szCs w:val="21"/>
        </w:rPr>
        <w:t xml:space="preserve">Prioritize Uttar Pradesh for the next wave of public four-wheeler DC charging investment — it is the only state in this analysis where EV sales growth is meaningfully outrunning charging supply growth.</w:t>
      </w:r>
    </w:p>
    <w:p>
      <w:pPr>
        <w:pStyle w:val="ListParagraph"/>
        <w:numPr>
          <w:ilvl w:val="0"/>
          <w:numId w:val="1"/>
        </w:numPr>
        <w:spacing w:after="80" w:line="270"/>
      </w:pPr>
      <w:r>
        <w:rPr>
          <w:sz w:val="21"/>
          <w:szCs w:val="21"/>
        </w:rPr>
        <w:t xml:space="preserve">Treat Rajasthan and Gujarat as fast-DC / highway-corridor priorities specifically, not general infrastructure priorities — their AC/DC mix, not their total count, is the gap.</w:t>
      </w:r>
    </w:p>
    <w:p>
      <w:pPr>
        <w:pStyle w:val="ListParagraph"/>
        <w:numPr>
          <w:ilvl w:val="0"/>
          <w:numId w:val="1"/>
        </w:numPr>
        <w:spacing w:after="80" w:line="270"/>
      </w:pPr>
      <w:r>
        <w:rPr>
          <w:sz w:val="21"/>
          <w:szCs w:val="21"/>
        </w:rPr>
        <w:t xml:space="preserve">Do not use OpenChargeMap or other crowdsourced/OSM-linked datasets as a proxy for real infrastructure adequacy in India without a correction factor benchmarked against PIB figures — the ~96% national coverage gap makes this data source unreliable for anything beyond site-level spatial detail in the small number of well-mapped metros.</w:t>
      </w:r>
    </w:p>
    <w:p>
      <w:pPr>
        <w:pStyle w:val="ListParagraph"/>
        <w:numPr>
          <w:ilvl w:val="0"/>
          <w:numId w:val="1"/>
        </w:numPr>
        <w:spacing w:after="80" w:line="270"/>
      </w:pPr>
      <w:r>
        <w:rPr>
          <w:sz w:val="21"/>
          <w:szCs w:val="21"/>
        </w:rPr>
        <w:t xml:space="preserve">Commission or request a state-wise EV sales breakdown from Vahan/FADA for the remaining states (this report could only source three) before finalizing a national investment-priority ranking — the current ranking is directionally sound but incomplete.</w:t>
      </w:r>
    </w:p>
    <w:p>
      <w:pPr>
        <w:pStyle w:val="Heading1"/>
        <w:pBdr>
          <w:bottom w:val="single" w:color="1F3864" w:sz="6" w:space="4"/>
        </w:pBdr>
        <w:spacing w:after="160" w:before="320"/>
      </w:pPr>
      <w:r>
        <w:rPr>
          <w:b/>
          <w:bCs/>
          <w:color w:val="1F3864"/>
          <w:sz w:val="28"/>
          <w:szCs w:val="28"/>
        </w:rPr>
        <w:t xml:space="preserve">Limitations</w:t>
      </w:r>
    </w:p>
    <w:p>
      <w:pPr>
        <w:pStyle w:val="ListParagraph"/>
        <w:numPr>
          <w:ilvl w:val="0"/>
          <w:numId w:val="1"/>
        </w:numPr>
        <w:spacing w:after="80" w:line="270"/>
      </w:pPr>
      <w:r>
        <w:rPr>
          <w:sz w:val="21"/>
          <w:szCs w:val="21"/>
        </w:rPr>
        <w:t xml:space="preserve">OCM's crowdsourced coverage bias (detailed above) means all OCM-derived percentages (fast-DC share, avg power, ports/site) are only representative of the sites that happen to be mapped, which skew toward Kerala, Karnataka, and Tamil Nadu.</w:t>
      </w:r>
    </w:p>
    <w:p>
      <w:pPr>
        <w:pStyle w:val="ListParagraph"/>
        <w:numPr>
          <w:ilvl w:val="0"/>
          <w:numId w:val="1"/>
        </w:numPr>
        <w:spacing w:after="80" w:line="270"/>
      </w:pPr>
      <w:r>
        <w:rPr>
          <w:sz w:val="21"/>
          <w:szCs w:val="21"/>
        </w:rPr>
        <w:t xml:space="preserve">EV sales figures are available for only 3 of 36 states/UTs in this analysis; the demand-supply gap findings should not be generalized to states without cited sales data.</w:t>
      </w:r>
    </w:p>
    <w:p>
      <w:pPr>
        <w:pStyle w:val="ListParagraph"/>
        <w:numPr>
          <w:ilvl w:val="0"/>
          <w:numId w:val="1"/>
        </w:numPr>
        <w:spacing w:after="80" w:line="270"/>
      </w:pPr>
      <w:r>
        <w:rPr>
          <w:sz w:val="21"/>
          <w:szCs w:val="21"/>
        </w:rPr>
        <w:t xml:space="preserve">PIB's state-wise official breakdown, as sourced here, covers only the top 7 states — the remaining ~10,000 stations (29,277 minus the top-7 total of 19,249) are not attributed to specific states in any source found during this research.</w:t>
      </w:r>
    </w:p>
    <w:p>
      <w:pPr>
        <w:pStyle w:val="ListParagraph"/>
        <w:numPr>
          <w:ilvl w:val="0"/>
          <w:numId w:val="1"/>
        </w:numPr>
        <w:spacing w:after="80" w:line="270"/>
      </w:pPr>
      <w:r>
        <w:rPr>
          <w:sz w:val="21"/>
          <w:szCs w:val="21"/>
        </w:rPr>
        <w:t xml:space="preserve">This report does not include GIS corridor-gap analysis (e.g. distance between consecutive highway chargers) — the underlying OCM data has the lat/long fields needed for this, but given its ~4% national coverage, a corridor analysis built on it alone would be unreliable without ground-truthing against official highway-charger lists.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India EV Charging Infrastructure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2026-07-19T04:44:58.552Z</dcterms:created>
  <dcterms:modified xsi:type="dcterms:W3CDTF">2026-07-19T04:44:58.562Z</dcterms:modified>
</cp:coreProperties>
</file>

<file path=docProps/custom.xml><?xml version="1.0" encoding="utf-8"?>
<Properties xmlns="http://schemas.openxmlformats.org/officeDocument/2006/custom-properties" xmlns:vt="http://schemas.openxmlformats.org/officeDocument/2006/docPropsVTypes"/>
</file>