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475569"/>
          <w:sz w:val="28"/>
        </w:rPr>
        <w:t>DEPARTMENT OF ROBOTICS &amp; AUTOMATION</w:t>
        <w:br/>
      </w:r>
      <w:r>
        <w:rPr>
          <w:color w:val="64748B"/>
          <w:sz w:val="24"/>
        </w:rPr>
        <w:t>Academic Year 2026–27 | Batch 2024–28, Semester V</w:t>
        <w:br/>
        <w:t>CA2 — Activity 13: Design for the Unseen</w:t>
        <w:br/>
        <w:br/>
        <w:br/>
      </w:r>
      <w:r>
        <w:rPr>
          <w:b/>
          <w:color w:val="0F172A"/>
          <w:sz w:val="36"/>
        </w:rPr>
        <w:t>MEDSKILL AI:</w:t>
        <w:br/>
        <w:t>AN AI-POWERED PRACTICAL VIVA TRAINING PLATFORM FOR HEALTHCARE TECHNOLOGY STUDENTS</w:t>
        <w:br/>
        <w:br/>
      </w:r>
      <w:r>
        <w:rPr>
          <w:i/>
          <w:color w:val="334155"/>
          <w:sz w:val="24"/>
        </w:rPr>
        <w:t>A Human-Centered Engineering Project Report Documenting the Empathize, Define, Ideate, Prototype, and Testing Methodology for Practical Clinical Viva Preparation</w:t>
        <w:br/>
        <w:br/>
        <w:br/>
      </w:r>
    </w:p>
    <w:tbl>
      <w:tblPr>
        <w:tblW w:type="auto" w:w="0"/>
        <w:jc w:val="center"/>
        <w:tblLook w:firstColumn="1" w:firstRow="1" w:lastColumn="0" w:lastRow="0" w:noHBand="0" w:noVBand="1" w:val="04A0"/>
      </w:tblPr>
      <w:tblGrid>
        <w:gridCol w:w="4680"/>
        <w:gridCol w:w="4680"/>
      </w:tblGrid>
      <w:tr>
        <w:trPr>
          <w:cantSplit/>
        </w:trPr>
        <w:tc>
          <w:tcPr>
            <w:tcW w:type="dxa" w:w="3600"/>
            <w:tcMar>
              <w:top w:w="120" w:type="dxa"/>
              <w:bottom w:w="120" w:type="dxa"/>
              <w:left w:w="160" w:type="dxa"/>
              <w:right w:w="160" w:type="dxa"/>
            </w:tcMar>
            <w:shd w:fill="0F172A"/>
            <w:shd w:fill="F1F5F9"/>
          </w:tcPr>
          <w:p>
            <w:pPr>
              <w:jc w:val="center"/>
            </w:pPr>
            <w:r>
              <w:rPr>
                <w:rFonts w:ascii="Times New Roman" w:hAnsi="Times New Roman"/>
                <w:b/>
                <w:color w:val="0F172A"/>
                <w:sz w:val="19"/>
              </w:rPr>
              <w:t>Course Assignment:</w:t>
            </w:r>
          </w:p>
        </w:tc>
        <w:tc>
          <w:tcPr>
            <w:tcW w:type="dxa" w:w="5760"/>
            <w:tcMar>
              <w:top w:w="120" w:type="dxa"/>
              <w:bottom w:w="120" w:type="dxa"/>
              <w:left w:w="160" w:type="dxa"/>
              <w:right w:w="160" w:type="dxa"/>
            </w:tcMar>
            <w:shd w:fill="0F172A"/>
            <w:shd w:fill="FFFFFF"/>
          </w:tcPr>
          <w:p>
            <w:pPr>
              <w:jc w:val="center"/>
            </w:pPr>
            <w:r>
              <w:rPr>
                <w:rFonts w:ascii="Times New Roman" w:hAnsi="Times New Roman"/>
                <w:b/>
                <w:color w:val="FFFFFF"/>
                <w:sz w:val="19"/>
              </w:rPr>
              <w:t>Continuous Assessment 2 (CA2) — Activity 13 (40 Marks)</w:t>
            </w:r>
          </w:p>
        </w:tc>
      </w:tr>
      <w:tr>
        <w:trPr>
          <w:cantSplit/>
        </w:trPr>
        <w:tc>
          <w:tcPr>
            <w:tcW w:type="dxa" w:w="3600"/>
            <w:tcMar>
              <w:top w:w="120" w:type="dxa"/>
              <w:bottom w:w="120" w:type="dxa"/>
              <w:left w:w="160" w:type="dxa"/>
              <w:right w:w="160" w:type="dxa"/>
            </w:tcMar>
            <w:shd w:fill="F8FAFC"/>
          </w:tcPr>
          <w:p>
            <w:r>
              <w:rPr>
                <w:rFonts w:ascii="Times New Roman" w:hAnsi="Times New Roman"/>
                <w:b/>
                <w:sz w:val="19"/>
              </w:rPr>
              <w:t>Live Web Deployment:</w:t>
            </w:r>
          </w:p>
        </w:tc>
        <w:tc>
          <w:tcPr>
            <w:tcW w:type="dxa" w:w="5760"/>
            <w:tcMar>
              <w:top w:w="120" w:type="dxa"/>
              <w:bottom w:w="120" w:type="dxa"/>
              <w:left w:w="160" w:type="dxa"/>
              <w:right w:w="160" w:type="dxa"/>
            </w:tcMar>
            <w:shd w:fill="F8FAFC"/>
          </w:tcPr>
          <w:p>
            <w:r>
              <w:rPr>
                <w:rFonts w:ascii="Times New Roman" w:hAnsi="Times New Roman"/>
                <w:sz w:val="19"/>
              </w:rPr>
              <w:t>https://medskill-ai.streamlit.app/</w:t>
            </w:r>
          </w:p>
        </w:tc>
      </w:tr>
      <w:tr>
        <w:trPr>
          <w:cantSplit/>
        </w:trPr>
        <w:tc>
          <w:tcPr>
            <w:tcW w:type="dxa" w:w="3600"/>
            <w:tcMar>
              <w:top w:w="120" w:type="dxa"/>
              <w:bottom w:w="120" w:type="dxa"/>
              <w:left w:w="160" w:type="dxa"/>
              <w:right w:w="160" w:type="dxa"/>
            </w:tcMar>
          </w:tcPr>
          <w:p>
            <w:r>
              <w:rPr>
                <w:rFonts w:ascii="Times New Roman" w:hAnsi="Times New Roman"/>
                <w:b/>
                <w:sz w:val="19"/>
              </w:rPr>
              <w:t>Source Code Repository:</w:t>
            </w:r>
          </w:p>
        </w:tc>
        <w:tc>
          <w:tcPr>
            <w:tcW w:type="dxa" w:w="5760"/>
            <w:tcMar>
              <w:top w:w="120" w:type="dxa"/>
              <w:bottom w:w="120" w:type="dxa"/>
              <w:left w:w="160" w:type="dxa"/>
              <w:right w:w="160" w:type="dxa"/>
            </w:tcMar>
          </w:tcPr>
          <w:p>
            <w:r>
              <w:rPr>
                <w:rFonts w:ascii="Times New Roman" w:hAnsi="Times New Roman"/>
                <w:sz w:val="19"/>
              </w:rPr>
              <w:t>https://github.com/Tarun-Teja-74/MEDskill-ai</w:t>
            </w:r>
          </w:p>
        </w:tc>
      </w:tr>
      <w:tr>
        <w:trPr>
          <w:cantSplit/>
        </w:trPr>
        <w:tc>
          <w:tcPr>
            <w:tcW w:type="dxa" w:w="3600"/>
            <w:tcMar>
              <w:top w:w="120" w:type="dxa"/>
              <w:bottom w:w="120" w:type="dxa"/>
              <w:left w:w="160" w:type="dxa"/>
              <w:right w:w="160" w:type="dxa"/>
            </w:tcMar>
            <w:shd w:fill="F8FAFC"/>
          </w:tcPr>
          <w:p>
            <w:r>
              <w:rPr>
                <w:rFonts w:ascii="Times New Roman" w:hAnsi="Times New Roman"/>
                <w:b/>
                <w:sz w:val="19"/>
              </w:rPr>
              <w:t>Submission Date:</w:t>
            </w:r>
          </w:p>
        </w:tc>
        <w:tc>
          <w:tcPr>
            <w:tcW w:type="dxa" w:w="5760"/>
            <w:tcMar>
              <w:top w:w="120" w:type="dxa"/>
              <w:bottom w:w="120" w:type="dxa"/>
              <w:left w:w="160" w:type="dxa"/>
              <w:right w:w="160" w:type="dxa"/>
            </w:tcMar>
            <w:shd w:fill="F8FAFC"/>
          </w:tcPr>
          <w:p>
            <w:r>
              <w:rPr>
                <w:rFonts w:ascii="Times New Roman" w:hAnsi="Times New Roman"/>
                <w:sz w:val="19"/>
              </w:rPr>
              <w:t>October 2026</w:t>
            </w:r>
          </w:p>
        </w:tc>
      </w:tr>
    </w:tbl>
    <w:p>
      <w:r>
        <w:br w:type="page"/>
      </w:r>
    </w:p>
    <w:p>
      <w:pPr>
        <w:pStyle w:val="Heading1"/>
        <w:spacing w:before="360" w:after="160"/>
      </w:pPr>
      <w:r>
        <w:rPr>
          <w:rFonts w:ascii="Times New Roman" w:hAnsi="Times New Roman"/>
          <w:b/>
          <w:color w:val="0F172A"/>
          <w:sz w:val="32"/>
        </w:rPr>
        <w:t>DECLARATION</w:t>
      </w:r>
    </w:p>
    <w:p>
      <w:pPr>
        <w:spacing w:line="360" w:lineRule="auto" w:after="120"/>
        <w:jc w:val="both"/>
      </w:pPr>
      <w:r>
        <w:rPr>
          <w:rFonts w:ascii="Times New Roman" w:hAnsi="Times New Roman"/>
          <w:color w:val="0F172A"/>
          <w:sz w:val="24"/>
        </w:rPr>
        <w:t>We hereby declare that the engineering project entitled 'MedSkill AI: An AI-Powered Practical Viva Training Platform for Healthcare Technology Students' submitted for CA2 Activity 13 ('Design for the Unseen') in the Department of Robotics &amp; Automation is an authentic record of our collaborative human-centered design work. The field observations, user interviews, software implementation, and testing evidence described herein reflect genuine student-led activities conducted during Semester V.</w:t>
      </w:r>
    </w:p>
    <w:p>
      <w:pPr>
        <w:spacing w:before="600"/>
      </w:pPr>
      <w:r>
        <w:t>Team Members:</w:t>
        <w:br/>
        <w:t>1. ____________________________ (PRN: _________________)</w:t>
        <w:br/>
        <w:t>2. ____________________________ (PRN: _________________)</w:t>
        <w:br/>
        <w:t>3. ____________________________ (PRN: _________________)</w:t>
        <w:br/>
        <w:t>4. ____________________________ (PRN: _________________)</w:t>
      </w:r>
    </w:p>
    <w:p>
      <w:r>
        <w:br w:type="page"/>
      </w:r>
    </w:p>
    <w:p>
      <w:pPr>
        <w:pStyle w:val="Heading1"/>
        <w:spacing w:before="360" w:after="160"/>
      </w:pPr>
      <w:r>
        <w:rPr>
          <w:rFonts w:ascii="Times New Roman" w:hAnsi="Times New Roman"/>
          <w:b/>
          <w:color w:val="0F172A"/>
          <w:sz w:val="32"/>
        </w:rPr>
        <w:t>ABSTRACT</w:t>
      </w:r>
    </w:p>
    <w:p>
      <w:pPr>
        <w:spacing w:line="360" w:lineRule="auto" w:after="120"/>
        <w:jc w:val="both"/>
      </w:pPr>
      <w:r>
        <w:rPr>
          <w:rFonts w:ascii="Times New Roman" w:hAnsi="Times New Roman"/>
          <w:color w:val="0F172A"/>
          <w:sz w:val="24"/>
        </w:rPr>
        <w:t>Undergraduate healthcare technology students training in Respiratory Therapy, Anaesthesia Technology, and Dialysis Technology spend up to 80% of their clinical postings operating advanced life-support machinery. Despite demonstrating procedural competence in routine hospital tasks, these students frequently experience severe performance breakdown during oral university practical viva examinations. In viva settings, external examiners evaluate verbal reasoning, equipment physics, and emergency troubleshooting under intense verbal interrogation. Conventional educational resources—consisting predominantly of static 800-page textbooks and photocopied PDF question banks—foster 'Passive Revision Syndrome', leaving students without a low-stakes formative environment to practice oral synthesis and identify conceptual misconceptions.</w:t>
      </w:r>
    </w:p>
    <w:p>
      <w:pPr>
        <w:spacing w:line="360" w:lineRule="auto" w:after="120"/>
        <w:jc w:val="both"/>
      </w:pPr>
      <w:r>
        <w:rPr>
          <w:rFonts w:ascii="Times New Roman" w:hAnsi="Times New Roman"/>
          <w:color w:val="0F172A"/>
          <w:sz w:val="24"/>
        </w:rPr>
        <w:t>Applying the five stages of the Design Thinking methodology (Empathize, Define, Ideate, Prototype, and Test), our team shadowed clinical postings and conducted deep interviews with 16 stakeholders (14 students and 2 clinical faculty). These interactions revealed 25 persistent bedside operational bottlenecks and demonstrated that students lacked an interactive diagnostic self-evaluation tool. We killed our initial obvious solution—a complex 3D virtual reality knob-turning simulator—due to high hardware barriers and clinical misalignment. Instead, we developed MedSkill AI (https://medskill-ai.streamlit.app/), a lightweight, responsive, zero-database web platform.</w:t>
      </w:r>
    </w:p>
    <w:p>
      <w:pPr>
        <w:spacing w:line="360" w:lineRule="auto" w:after="120"/>
        <w:jc w:val="both"/>
      </w:pPr>
      <w:r>
        <w:rPr>
          <w:rFonts w:ascii="Times New Roman" w:hAnsi="Times New Roman"/>
          <w:color w:val="0F172A"/>
          <w:sz w:val="24"/>
        </w:rPr>
        <w:t>MedSkill AI integrates 144 verified curriculum viva questions (exactly 12 questions across 12 distinct topic areas), a dual-mode training interface (Objective MCQ Practice and Oral Quick Viva mode), instant clinical explanations, and a rule-based recommendation engine featuring a 1-click retry on missed items. Crucially, the platform incorporates an offline-first architecture that searches local curriculum records with zero latency and requires no API keys, alongside an optional Google Gemini LLM concept tutor with strict educational guardrails. User testing with 14 students demonstrated high satisfaction with oral answer comparison and identified critical dark-mode legibility defects that were resolved in Prototype 2.</w:t>
      </w:r>
    </w:p>
    <w:p>
      <w:r>
        <w:br w:type="page"/>
      </w:r>
    </w:p>
    <w:p>
      <w:pPr>
        <w:pStyle w:val="Heading1"/>
        <w:spacing w:before="360" w:after="160"/>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4680"/>
        <w:gridCol w:w="4680"/>
      </w:tblGrid>
      <w:tr>
        <w:trPr>
          <w:cantSplit/>
        </w:trPr>
        <w:tc>
          <w:tcPr>
            <w:tcW w:type="dxa" w:w="7920"/>
            <w:tcMar>
              <w:top w:w="120" w:type="dxa"/>
              <w:bottom w:w="120" w:type="dxa"/>
              <w:left w:w="160" w:type="dxa"/>
              <w:right w:w="160" w:type="dxa"/>
            </w:tcMar>
            <w:shd w:fill="0F172A"/>
          </w:tcPr>
          <w:p>
            <w:pPr>
              <w:jc w:val="center"/>
            </w:pPr>
            <w:r>
              <w:rPr>
                <w:rFonts w:ascii="Times New Roman" w:hAnsi="Times New Roman"/>
                <w:b/>
                <w:color w:val="FFFFFF"/>
                <w:sz w:val="19"/>
              </w:rPr>
              <w:t>1. Introduction</w:t>
            </w:r>
          </w:p>
        </w:tc>
        <w:tc>
          <w:tcPr>
            <w:tcW w:type="dxa" w:w="1440"/>
            <w:tcMar>
              <w:top w:w="120" w:type="dxa"/>
              <w:bottom w:w="120" w:type="dxa"/>
              <w:left w:w="160" w:type="dxa"/>
              <w:right w:w="160" w:type="dxa"/>
            </w:tcMar>
            <w:shd w:fill="0F172A"/>
          </w:tcPr>
          <w:p>
            <w:pPr>
              <w:jc w:val="center"/>
            </w:pPr>
            <w:r>
              <w:rPr>
                <w:rFonts w:ascii="Times New Roman" w:hAnsi="Times New Roman"/>
                <w:b/>
                <w:color w:val="FFFFFF"/>
                <w:sz w:val="19"/>
              </w:rPr>
              <w:t>1</w:t>
            </w:r>
          </w:p>
        </w:tc>
      </w:tr>
      <w:tr>
        <w:trPr>
          <w:cantSplit/>
        </w:trPr>
        <w:tc>
          <w:tcPr>
            <w:tcW w:type="dxa" w:w="7920"/>
            <w:tcMar>
              <w:top w:w="120" w:type="dxa"/>
              <w:bottom w:w="120" w:type="dxa"/>
              <w:left w:w="160" w:type="dxa"/>
              <w:right w:w="160" w:type="dxa"/>
            </w:tcMar>
            <w:shd w:fill="F8FAFC"/>
          </w:tcPr>
          <w:p>
            <w:r>
              <w:rPr>
                <w:rFonts w:ascii="Times New Roman" w:hAnsi="Times New Roman"/>
                <w:sz w:val="19"/>
              </w:rPr>
              <w:t>2. Problem Identification and Background</w:t>
            </w:r>
          </w:p>
        </w:tc>
        <w:tc>
          <w:tcPr>
            <w:tcW w:type="dxa" w:w="1440"/>
            <w:tcMar>
              <w:top w:w="120" w:type="dxa"/>
              <w:bottom w:w="120" w:type="dxa"/>
              <w:left w:w="160" w:type="dxa"/>
              <w:right w:w="160" w:type="dxa"/>
            </w:tcMar>
            <w:shd w:fill="F8FAFC"/>
          </w:tcPr>
          <w:p>
            <w:pPr>
              <w:jc w:val="right"/>
            </w:pPr>
            <w:r>
              <w:rPr>
                <w:rFonts w:ascii="Times New Roman" w:hAnsi="Times New Roman"/>
                <w:b/>
                <w:sz w:val="19"/>
              </w:rPr>
              <w:t>3</w:t>
            </w:r>
          </w:p>
        </w:tc>
      </w:tr>
      <w:tr>
        <w:trPr>
          <w:cantSplit/>
        </w:trPr>
        <w:tc>
          <w:tcPr>
            <w:tcW w:type="dxa" w:w="7920"/>
            <w:tcMar>
              <w:top w:w="120" w:type="dxa"/>
              <w:bottom w:w="120" w:type="dxa"/>
              <w:left w:w="160" w:type="dxa"/>
              <w:right w:w="160" w:type="dxa"/>
            </w:tcMar>
          </w:tcPr>
          <w:p>
            <w:r>
              <w:rPr>
                <w:rFonts w:ascii="Times New Roman" w:hAnsi="Times New Roman"/>
                <w:sz w:val="19"/>
              </w:rPr>
              <w:t>3. Design Thinking Methodology</w:t>
            </w:r>
          </w:p>
        </w:tc>
        <w:tc>
          <w:tcPr>
            <w:tcW w:type="dxa" w:w="1440"/>
            <w:tcMar>
              <w:top w:w="120" w:type="dxa"/>
              <w:bottom w:w="120" w:type="dxa"/>
              <w:left w:w="160" w:type="dxa"/>
              <w:right w:w="160" w:type="dxa"/>
            </w:tcMar>
          </w:tcPr>
          <w:p>
            <w:pPr>
              <w:jc w:val="right"/>
            </w:pPr>
            <w:r>
              <w:rPr>
                <w:rFonts w:ascii="Times New Roman" w:hAnsi="Times New Roman"/>
                <w:b/>
                <w:sz w:val="19"/>
              </w:rPr>
              <w:t>6</w:t>
            </w:r>
          </w:p>
        </w:tc>
      </w:tr>
      <w:tr>
        <w:trPr>
          <w:cantSplit/>
        </w:trPr>
        <w:tc>
          <w:tcPr>
            <w:tcW w:type="dxa" w:w="7920"/>
            <w:tcMar>
              <w:top w:w="120" w:type="dxa"/>
              <w:bottom w:w="120" w:type="dxa"/>
              <w:left w:w="160" w:type="dxa"/>
              <w:right w:w="160" w:type="dxa"/>
            </w:tcMar>
            <w:shd w:fill="F8FAFC"/>
          </w:tcPr>
          <w:p>
            <w:r>
              <w:rPr>
                <w:rFonts w:ascii="Times New Roman" w:hAnsi="Times New Roman"/>
                <w:sz w:val="19"/>
              </w:rPr>
              <w:t>4. User Research and Findings</w:t>
            </w:r>
          </w:p>
        </w:tc>
        <w:tc>
          <w:tcPr>
            <w:tcW w:type="dxa" w:w="1440"/>
            <w:tcMar>
              <w:top w:w="120" w:type="dxa"/>
              <w:bottom w:w="120" w:type="dxa"/>
              <w:left w:w="160" w:type="dxa"/>
              <w:right w:w="160" w:type="dxa"/>
            </w:tcMar>
            <w:shd w:fill="F8FAFC"/>
          </w:tcPr>
          <w:p>
            <w:pPr>
              <w:jc w:val="right"/>
            </w:pPr>
            <w:r>
              <w:rPr>
                <w:rFonts w:ascii="Times New Roman" w:hAnsi="Times New Roman"/>
                <w:b/>
                <w:sz w:val="19"/>
              </w:rPr>
              <w:t>8</w:t>
            </w:r>
          </w:p>
        </w:tc>
      </w:tr>
      <w:tr>
        <w:trPr>
          <w:cantSplit/>
        </w:trPr>
        <w:tc>
          <w:tcPr>
            <w:tcW w:type="dxa" w:w="7920"/>
            <w:tcMar>
              <w:top w:w="120" w:type="dxa"/>
              <w:bottom w:w="120" w:type="dxa"/>
              <w:left w:w="160" w:type="dxa"/>
              <w:right w:w="160" w:type="dxa"/>
            </w:tcMar>
          </w:tcPr>
          <w:p>
            <w:r>
              <w:rPr>
                <w:rFonts w:ascii="Times New Roman" w:hAnsi="Times New Roman"/>
                <w:sz w:val="19"/>
              </w:rPr>
              <w:t>5. Problem Definition and Root-Cause Analysis</w:t>
            </w:r>
          </w:p>
        </w:tc>
        <w:tc>
          <w:tcPr>
            <w:tcW w:type="dxa" w:w="1440"/>
            <w:tcMar>
              <w:top w:w="120" w:type="dxa"/>
              <w:bottom w:w="120" w:type="dxa"/>
              <w:left w:w="160" w:type="dxa"/>
              <w:right w:w="160" w:type="dxa"/>
            </w:tcMar>
          </w:tcPr>
          <w:p>
            <w:pPr>
              <w:jc w:val="right"/>
            </w:pPr>
            <w:r>
              <w:rPr>
                <w:rFonts w:ascii="Times New Roman" w:hAnsi="Times New Roman"/>
                <w:b/>
                <w:sz w:val="19"/>
              </w:rPr>
              <w:t>12</w:t>
            </w:r>
          </w:p>
        </w:tc>
      </w:tr>
      <w:tr>
        <w:trPr>
          <w:cantSplit/>
        </w:trPr>
        <w:tc>
          <w:tcPr>
            <w:tcW w:type="dxa" w:w="7920"/>
            <w:tcMar>
              <w:top w:w="120" w:type="dxa"/>
              <w:bottom w:w="120" w:type="dxa"/>
              <w:left w:w="160" w:type="dxa"/>
              <w:right w:w="160" w:type="dxa"/>
            </w:tcMar>
            <w:shd w:fill="F8FAFC"/>
          </w:tcPr>
          <w:p>
            <w:r>
              <w:rPr>
                <w:rFonts w:ascii="Times New Roman" w:hAnsi="Times New Roman"/>
                <w:sz w:val="19"/>
              </w:rPr>
              <w:t>6. Ideation and Concept Selection</w:t>
            </w:r>
          </w:p>
        </w:tc>
        <w:tc>
          <w:tcPr>
            <w:tcW w:type="dxa" w:w="1440"/>
            <w:tcMar>
              <w:top w:w="120" w:type="dxa"/>
              <w:bottom w:w="120" w:type="dxa"/>
              <w:left w:w="160" w:type="dxa"/>
              <w:right w:w="160" w:type="dxa"/>
            </w:tcMar>
            <w:shd w:fill="F8FAFC"/>
          </w:tcPr>
          <w:p>
            <w:pPr>
              <w:jc w:val="right"/>
            </w:pPr>
            <w:r>
              <w:rPr>
                <w:rFonts w:ascii="Times New Roman" w:hAnsi="Times New Roman"/>
                <w:b/>
                <w:sz w:val="19"/>
              </w:rPr>
              <w:t>15</w:t>
            </w:r>
          </w:p>
        </w:tc>
      </w:tr>
      <w:tr>
        <w:trPr>
          <w:cantSplit/>
        </w:trPr>
        <w:tc>
          <w:tcPr>
            <w:tcW w:type="dxa" w:w="7920"/>
            <w:tcMar>
              <w:top w:w="120" w:type="dxa"/>
              <w:bottom w:w="120" w:type="dxa"/>
              <w:left w:w="160" w:type="dxa"/>
              <w:right w:w="160" w:type="dxa"/>
            </w:tcMar>
          </w:tcPr>
          <w:p>
            <w:r>
              <w:rPr>
                <w:rFonts w:ascii="Times New Roman" w:hAnsi="Times New Roman"/>
                <w:sz w:val="19"/>
              </w:rPr>
              <w:t>7. System Requirements and Architecture</w:t>
            </w:r>
          </w:p>
        </w:tc>
        <w:tc>
          <w:tcPr>
            <w:tcW w:type="dxa" w:w="1440"/>
            <w:tcMar>
              <w:top w:w="120" w:type="dxa"/>
              <w:bottom w:w="120" w:type="dxa"/>
              <w:left w:w="160" w:type="dxa"/>
              <w:right w:w="160" w:type="dxa"/>
            </w:tcMar>
          </w:tcPr>
          <w:p>
            <w:pPr>
              <w:jc w:val="right"/>
            </w:pPr>
            <w:r>
              <w:rPr>
                <w:rFonts w:ascii="Times New Roman" w:hAnsi="Times New Roman"/>
                <w:b/>
                <w:sz w:val="19"/>
              </w:rPr>
              <w:t>18</w:t>
            </w:r>
          </w:p>
        </w:tc>
      </w:tr>
      <w:tr>
        <w:trPr>
          <w:cantSplit/>
        </w:trPr>
        <w:tc>
          <w:tcPr>
            <w:tcW w:type="dxa" w:w="7920"/>
            <w:tcMar>
              <w:top w:w="120" w:type="dxa"/>
              <w:bottom w:w="120" w:type="dxa"/>
              <w:left w:w="160" w:type="dxa"/>
              <w:right w:w="160" w:type="dxa"/>
            </w:tcMar>
            <w:shd w:fill="F8FAFC"/>
          </w:tcPr>
          <w:p>
            <w:r>
              <w:rPr>
                <w:rFonts w:ascii="Times New Roman" w:hAnsi="Times New Roman"/>
                <w:sz w:val="19"/>
              </w:rPr>
              <w:t>8. Implementation of MedSkill AI</w:t>
            </w:r>
          </w:p>
        </w:tc>
        <w:tc>
          <w:tcPr>
            <w:tcW w:type="dxa" w:w="1440"/>
            <w:tcMar>
              <w:top w:w="120" w:type="dxa"/>
              <w:bottom w:w="120" w:type="dxa"/>
              <w:left w:w="160" w:type="dxa"/>
              <w:right w:w="160" w:type="dxa"/>
            </w:tcMar>
            <w:shd w:fill="F8FAFC"/>
          </w:tcPr>
          <w:p>
            <w:pPr>
              <w:jc w:val="right"/>
            </w:pPr>
            <w:r>
              <w:rPr>
                <w:rFonts w:ascii="Times New Roman" w:hAnsi="Times New Roman"/>
                <w:b/>
                <w:sz w:val="19"/>
              </w:rPr>
              <w:t>21</w:t>
            </w:r>
          </w:p>
        </w:tc>
      </w:tr>
      <w:tr>
        <w:trPr>
          <w:cantSplit/>
        </w:trPr>
        <w:tc>
          <w:tcPr>
            <w:tcW w:type="dxa" w:w="7920"/>
            <w:tcMar>
              <w:top w:w="120" w:type="dxa"/>
              <w:bottom w:w="120" w:type="dxa"/>
              <w:left w:w="160" w:type="dxa"/>
              <w:right w:w="160" w:type="dxa"/>
            </w:tcMar>
          </w:tcPr>
          <w:p>
            <w:r>
              <w:rPr>
                <w:rFonts w:ascii="Times New Roman" w:hAnsi="Times New Roman"/>
                <w:sz w:val="19"/>
              </w:rPr>
              <w:t>9. Usability Evaluation and User Feedback</w:t>
            </w:r>
          </w:p>
        </w:tc>
        <w:tc>
          <w:tcPr>
            <w:tcW w:type="dxa" w:w="1440"/>
            <w:tcMar>
              <w:top w:w="120" w:type="dxa"/>
              <w:bottom w:w="120" w:type="dxa"/>
              <w:left w:w="160" w:type="dxa"/>
              <w:right w:w="160" w:type="dxa"/>
            </w:tcMar>
          </w:tcPr>
          <w:p>
            <w:pPr>
              <w:jc w:val="right"/>
            </w:pPr>
            <w:r>
              <w:rPr>
                <w:rFonts w:ascii="Times New Roman" w:hAnsi="Times New Roman"/>
                <w:b/>
                <w:sz w:val="19"/>
              </w:rPr>
              <w:t>25</w:t>
            </w:r>
          </w:p>
        </w:tc>
      </w:tr>
      <w:tr>
        <w:trPr>
          <w:cantSplit/>
        </w:trPr>
        <w:tc>
          <w:tcPr>
            <w:tcW w:type="dxa" w:w="7920"/>
            <w:tcMar>
              <w:top w:w="120" w:type="dxa"/>
              <w:bottom w:w="120" w:type="dxa"/>
              <w:left w:w="160" w:type="dxa"/>
              <w:right w:w="160" w:type="dxa"/>
            </w:tcMar>
            <w:shd w:fill="F8FAFC"/>
          </w:tcPr>
          <w:p>
            <w:r>
              <w:rPr>
                <w:rFonts w:ascii="Times New Roman" w:hAnsi="Times New Roman"/>
                <w:sz w:val="19"/>
              </w:rPr>
              <w:t>10. Prototype Improvements and Final Solution</w:t>
            </w:r>
          </w:p>
        </w:tc>
        <w:tc>
          <w:tcPr>
            <w:tcW w:type="dxa" w:w="1440"/>
            <w:tcMar>
              <w:top w:w="120" w:type="dxa"/>
              <w:bottom w:w="120" w:type="dxa"/>
              <w:left w:w="160" w:type="dxa"/>
              <w:right w:w="160" w:type="dxa"/>
            </w:tcMar>
            <w:shd w:fill="F8FAFC"/>
          </w:tcPr>
          <w:p>
            <w:pPr>
              <w:jc w:val="right"/>
            </w:pPr>
            <w:r>
              <w:rPr>
                <w:rFonts w:ascii="Times New Roman" w:hAnsi="Times New Roman"/>
                <w:b/>
                <w:sz w:val="19"/>
              </w:rPr>
              <w:t>29</w:t>
            </w:r>
          </w:p>
        </w:tc>
      </w:tr>
      <w:tr>
        <w:trPr>
          <w:cantSplit/>
        </w:trPr>
        <w:tc>
          <w:tcPr>
            <w:tcW w:type="dxa" w:w="7920"/>
            <w:tcMar>
              <w:top w:w="120" w:type="dxa"/>
              <w:bottom w:w="120" w:type="dxa"/>
              <w:left w:w="160" w:type="dxa"/>
              <w:right w:w="160" w:type="dxa"/>
            </w:tcMar>
          </w:tcPr>
          <w:p>
            <w:r>
              <w:rPr>
                <w:rFonts w:ascii="Times New Roman" w:hAnsi="Times New Roman"/>
                <w:sz w:val="19"/>
              </w:rPr>
              <w:t>11. Testing and Verification Results</w:t>
            </w:r>
          </w:p>
        </w:tc>
        <w:tc>
          <w:tcPr>
            <w:tcW w:type="dxa" w:w="1440"/>
            <w:tcMar>
              <w:top w:w="120" w:type="dxa"/>
              <w:bottom w:w="120" w:type="dxa"/>
              <w:left w:w="160" w:type="dxa"/>
              <w:right w:w="160" w:type="dxa"/>
            </w:tcMar>
          </w:tcPr>
          <w:p>
            <w:pPr>
              <w:jc w:val="right"/>
            </w:pPr>
            <w:r>
              <w:rPr>
                <w:rFonts w:ascii="Times New Roman" w:hAnsi="Times New Roman"/>
                <w:b/>
                <w:sz w:val="19"/>
              </w:rPr>
              <w:t>32</w:t>
            </w:r>
          </w:p>
        </w:tc>
      </w:tr>
      <w:tr>
        <w:trPr>
          <w:cantSplit/>
        </w:trPr>
        <w:tc>
          <w:tcPr>
            <w:tcW w:type="dxa" w:w="7920"/>
            <w:tcMar>
              <w:top w:w="120" w:type="dxa"/>
              <w:bottom w:w="120" w:type="dxa"/>
              <w:left w:w="160" w:type="dxa"/>
              <w:right w:w="160" w:type="dxa"/>
            </w:tcMar>
            <w:shd w:fill="F8FAFC"/>
          </w:tcPr>
          <w:p>
            <w:r>
              <w:rPr>
                <w:rFonts w:ascii="Times New Roman" w:hAnsi="Times New Roman"/>
                <w:sz w:val="19"/>
              </w:rPr>
              <w:t>12. Limitations and Future Scope</w:t>
            </w:r>
          </w:p>
        </w:tc>
        <w:tc>
          <w:tcPr>
            <w:tcW w:type="dxa" w:w="1440"/>
            <w:tcMar>
              <w:top w:w="120" w:type="dxa"/>
              <w:bottom w:w="120" w:type="dxa"/>
              <w:left w:w="160" w:type="dxa"/>
              <w:right w:w="160" w:type="dxa"/>
            </w:tcMar>
            <w:shd w:fill="F8FAFC"/>
          </w:tcPr>
          <w:p>
            <w:pPr>
              <w:jc w:val="right"/>
            </w:pPr>
            <w:r>
              <w:rPr>
                <w:rFonts w:ascii="Times New Roman" w:hAnsi="Times New Roman"/>
                <w:b/>
                <w:sz w:val="19"/>
              </w:rPr>
              <w:t>35</w:t>
            </w:r>
          </w:p>
        </w:tc>
      </w:tr>
      <w:tr>
        <w:trPr>
          <w:cantSplit/>
        </w:trPr>
        <w:tc>
          <w:tcPr>
            <w:tcW w:type="dxa" w:w="7920"/>
            <w:tcMar>
              <w:top w:w="120" w:type="dxa"/>
              <w:bottom w:w="120" w:type="dxa"/>
              <w:left w:w="160" w:type="dxa"/>
              <w:right w:w="160" w:type="dxa"/>
            </w:tcMar>
          </w:tcPr>
          <w:p>
            <w:r>
              <w:rPr>
                <w:rFonts w:ascii="Times New Roman" w:hAnsi="Times New Roman"/>
                <w:sz w:val="19"/>
              </w:rPr>
              <w:t>13. Conclusion</w:t>
            </w:r>
          </w:p>
        </w:tc>
        <w:tc>
          <w:tcPr>
            <w:tcW w:type="dxa" w:w="1440"/>
            <w:tcMar>
              <w:top w:w="120" w:type="dxa"/>
              <w:bottom w:w="120" w:type="dxa"/>
              <w:left w:w="160" w:type="dxa"/>
              <w:right w:w="160" w:type="dxa"/>
            </w:tcMar>
          </w:tcPr>
          <w:p>
            <w:pPr>
              <w:jc w:val="right"/>
            </w:pPr>
            <w:r>
              <w:rPr>
                <w:rFonts w:ascii="Times New Roman" w:hAnsi="Times New Roman"/>
                <w:b/>
                <w:sz w:val="19"/>
              </w:rPr>
              <w:t>37</w:t>
            </w:r>
          </w:p>
        </w:tc>
      </w:tr>
      <w:tr>
        <w:trPr>
          <w:cantSplit/>
        </w:trPr>
        <w:tc>
          <w:tcPr>
            <w:tcW w:type="dxa" w:w="7920"/>
            <w:tcMar>
              <w:top w:w="120" w:type="dxa"/>
              <w:bottom w:w="120" w:type="dxa"/>
              <w:left w:w="160" w:type="dxa"/>
              <w:right w:w="160" w:type="dxa"/>
            </w:tcMar>
            <w:shd w:fill="F8FAFC"/>
          </w:tcPr>
          <w:p>
            <w:r>
              <w:rPr>
                <w:rFonts w:ascii="Times New Roman" w:hAnsi="Times New Roman"/>
                <w:sz w:val="19"/>
              </w:rPr>
              <w:t>References</w:t>
            </w:r>
          </w:p>
        </w:tc>
        <w:tc>
          <w:tcPr>
            <w:tcW w:type="dxa" w:w="1440"/>
            <w:tcMar>
              <w:top w:w="120" w:type="dxa"/>
              <w:bottom w:w="120" w:type="dxa"/>
              <w:left w:w="160" w:type="dxa"/>
              <w:right w:w="160" w:type="dxa"/>
            </w:tcMar>
            <w:shd w:fill="F8FAFC"/>
          </w:tcPr>
          <w:p>
            <w:pPr>
              <w:jc w:val="right"/>
            </w:pPr>
            <w:r>
              <w:rPr>
                <w:rFonts w:ascii="Times New Roman" w:hAnsi="Times New Roman"/>
                <w:b/>
                <w:sz w:val="19"/>
              </w:rPr>
              <w:t>39</w:t>
            </w:r>
          </w:p>
        </w:tc>
      </w:tr>
      <w:tr>
        <w:trPr>
          <w:cantSplit/>
        </w:trPr>
        <w:tc>
          <w:tcPr>
            <w:tcW w:type="dxa" w:w="7920"/>
            <w:tcMar>
              <w:top w:w="120" w:type="dxa"/>
              <w:bottom w:w="120" w:type="dxa"/>
              <w:left w:w="160" w:type="dxa"/>
              <w:right w:w="160" w:type="dxa"/>
            </w:tcMar>
          </w:tcPr>
          <w:p>
            <w:r>
              <w:rPr>
                <w:rFonts w:ascii="Times New Roman" w:hAnsi="Times New Roman"/>
                <w:sz w:val="19"/>
              </w:rPr>
              <w:t>Appendix A: 144-Question Curriculum Distribution</w:t>
            </w:r>
          </w:p>
        </w:tc>
        <w:tc>
          <w:tcPr>
            <w:tcW w:type="dxa" w:w="1440"/>
            <w:tcMar>
              <w:top w:w="120" w:type="dxa"/>
              <w:bottom w:w="120" w:type="dxa"/>
              <w:left w:w="160" w:type="dxa"/>
              <w:right w:w="160" w:type="dxa"/>
            </w:tcMar>
          </w:tcPr>
          <w:p>
            <w:pPr>
              <w:jc w:val="right"/>
            </w:pPr>
            <w:r>
              <w:rPr>
                <w:rFonts w:ascii="Times New Roman" w:hAnsi="Times New Roman"/>
                <w:b/>
                <w:sz w:val="19"/>
              </w:rPr>
              <w:t>41</w:t>
            </w:r>
          </w:p>
        </w:tc>
      </w:tr>
      <w:tr>
        <w:trPr>
          <w:cantSplit/>
        </w:trPr>
        <w:tc>
          <w:tcPr>
            <w:tcW w:type="dxa" w:w="7920"/>
            <w:tcMar>
              <w:top w:w="120" w:type="dxa"/>
              <w:bottom w:w="120" w:type="dxa"/>
              <w:left w:w="160" w:type="dxa"/>
              <w:right w:w="160" w:type="dxa"/>
            </w:tcMar>
            <w:shd w:fill="F8FAFC"/>
          </w:tcPr>
          <w:p>
            <w:r>
              <w:rPr>
                <w:rFonts w:ascii="Times New Roman" w:hAnsi="Times New Roman"/>
                <w:sz w:val="19"/>
              </w:rPr>
              <w:t>Appendix B: Standardized User Observation Protocol</w:t>
            </w:r>
          </w:p>
        </w:tc>
        <w:tc>
          <w:tcPr>
            <w:tcW w:type="dxa" w:w="1440"/>
            <w:tcMar>
              <w:top w:w="120" w:type="dxa"/>
              <w:bottom w:w="120" w:type="dxa"/>
              <w:left w:w="160" w:type="dxa"/>
              <w:right w:w="160" w:type="dxa"/>
            </w:tcMar>
            <w:shd w:fill="F8FAFC"/>
          </w:tcPr>
          <w:p>
            <w:pPr>
              <w:jc w:val="right"/>
            </w:pPr>
            <w:r>
              <w:rPr>
                <w:rFonts w:ascii="Times New Roman" w:hAnsi="Times New Roman"/>
                <w:b/>
                <w:sz w:val="19"/>
              </w:rPr>
              <w:t>43</w:t>
            </w:r>
          </w:p>
        </w:tc>
      </w:tr>
    </w:tbl>
    <w:p>
      <w:r>
        <w:br w:type="page"/>
      </w:r>
    </w:p>
    <w:p>
      <w:pPr>
        <w:pStyle w:val="Heading1"/>
        <w:spacing w:before="360" w:after="160"/>
      </w:pPr>
      <w:r>
        <w:rPr>
          <w:rFonts w:ascii="Times New Roman" w:hAnsi="Times New Roman"/>
          <w:b/>
          <w:color w:val="0F172A"/>
          <w:sz w:val="32"/>
        </w:rPr>
        <w:t>CHAPTER 1: INTRODUCTION</w:t>
      </w:r>
    </w:p>
    <w:p>
      <w:pPr>
        <w:pStyle w:val="Heading2"/>
        <w:spacing w:before="280" w:after="120"/>
      </w:pPr>
      <w:r>
        <w:rPr>
          <w:rFonts w:ascii="Times New Roman" w:hAnsi="Times New Roman"/>
          <w:b/>
          <w:color w:val="1E293B"/>
          <w:sz w:val="28"/>
        </w:rPr>
        <w:t>1.1 Project Background</w:t>
      </w:r>
    </w:p>
    <w:p>
      <w:pPr>
        <w:spacing w:line="360" w:lineRule="auto" w:after="120"/>
        <w:jc w:val="both"/>
      </w:pPr>
      <w:r>
        <w:rPr>
          <w:rFonts w:ascii="Times New Roman" w:hAnsi="Times New Roman"/>
          <w:color w:val="0F172A"/>
          <w:sz w:val="24"/>
        </w:rPr>
        <w:t>Modern tertiary healthcare relies extensively on specialized medical technology operators. Allied health science disciplines—specifically Respiratory Therapy (RT), Anaesthesia Technology (AT), and Dialysis Technology (DT)—constitute the frontline human workforce responsible for operating mechanical ventilators in ICUs, anaesthesia delivery workstations in surgical suites, and extracorporeal hollow-fiber dialyzers in renal replacement units. The clinical competence of these professionals directly affects patient survival during respiratory arrest, perioperative hemodynamic collapse, and acute dialysis emergencies.</w:t>
      </w:r>
    </w:p>
    <w:p>
      <w:pPr>
        <w:spacing w:line="360" w:lineRule="auto" w:after="120"/>
        <w:jc w:val="both"/>
      </w:pPr>
      <w:r>
        <w:rPr>
          <w:rFonts w:ascii="Times New Roman" w:hAnsi="Times New Roman"/>
          <w:color w:val="0F172A"/>
          <w:sz w:val="24"/>
        </w:rPr>
        <w:t>Despite the technological sophistication of the medical devices they operate, the academic training of healthcare technology students is characterized by an acute pedagogical dichotomy. While clinical rotations provide exposure to routine procedural tasks (e.g., priming tubing circuits, refilling humidifiers, recording vital signs), the summative evaluation determining graduation consists of rigorous, viva voce oral practical examinations conducted by external university professors.</w:t>
      </w:r>
    </w:p>
    <w:p>
      <w:pPr>
        <w:pStyle w:val="Heading2"/>
        <w:spacing w:before="280" w:after="120"/>
      </w:pPr>
      <w:r>
        <w:rPr>
          <w:rFonts w:ascii="Times New Roman" w:hAnsi="Times New Roman"/>
          <w:b/>
          <w:color w:val="1E293B"/>
          <w:sz w:val="28"/>
        </w:rPr>
        <w:t>1.2 Problem Context</w:t>
      </w:r>
    </w:p>
    <w:p>
      <w:pPr>
        <w:spacing w:line="360" w:lineRule="auto" w:after="120"/>
        <w:jc w:val="both"/>
      </w:pPr>
      <w:r>
        <w:rPr>
          <w:rFonts w:ascii="Times New Roman" w:hAnsi="Times New Roman"/>
          <w:color w:val="0F172A"/>
          <w:sz w:val="24"/>
        </w:rPr>
        <w:t>In university practical vivas, students are interrogated without notes or warning on the underlying physics, mechanical fail-safes, gas laws, and emergency alarm pathways of life-support equipment. In this high-stakes, verbally pressured environment, students routinely freeze or fail to articulate concise clinical reasoning. Mainstream educational technology solutions cater almost exclusively to MBBS medical students preparing for NEET-PG or software engineers practicing coding interviews. Allied health technology students remain an overlooked, 'unseen' user group, left with dense clinical manuals and static photocopied PDF question banks.</w:t>
      </w:r>
    </w:p>
    <w:p>
      <w:pPr>
        <w:pStyle w:val="Heading2"/>
        <w:spacing w:before="280" w:after="120"/>
      </w:pPr>
      <w:r>
        <w:rPr>
          <w:rFonts w:ascii="Times New Roman" w:hAnsi="Times New Roman"/>
          <w:b/>
          <w:color w:val="1E293B"/>
          <w:sz w:val="28"/>
        </w:rPr>
        <w:t>1.3 Project Objectives</w:t>
      </w:r>
    </w:p>
    <w:p>
      <w:pPr>
        <w:spacing w:line="360" w:lineRule="auto" w:after="120"/>
        <w:jc w:val="both"/>
      </w:pPr>
      <w:r>
        <w:rPr>
          <w:rFonts w:ascii="Times New Roman" w:hAnsi="Times New Roman"/>
          <w:color w:val="0F172A"/>
          <w:sz w:val="24"/>
        </w:rPr>
        <w:t>The primary objective of this project is to develop MedSkill AI, an accessible, web-based digital practical viva training platform engineered to bridge the divide between routine hands-on hospital task execution and oral viva competence. Specific objectives include:</w:t>
      </w:r>
    </w:p>
    <w:p>
      <w:pPr>
        <w:spacing w:line="360" w:lineRule="auto" w:after="120"/>
        <w:jc w:val="both"/>
      </w:pPr>
      <w:r>
        <w:rPr>
          <w:rFonts w:ascii="Times New Roman" w:hAnsi="Times New Roman"/>
          <w:color w:val="0F172A"/>
          <w:sz w:val="24"/>
        </w:rPr>
        <w:t>1. Investigating genuine operational bottlenecks experienced by allied health students during hospital clinical postings through ethnographic observation and unstructured interviews.</w:t>
      </w:r>
    </w:p>
    <w:p>
      <w:pPr>
        <w:spacing w:line="360" w:lineRule="auto" w:after="120"/>
        <w:jc w:val="both"/>
      </w:pPr>
      <w:r>
        <w:rPr>
          <w:rFonts w:ascii="Times New Roman" w:hAnsi="Times New Roman"/>
          <w:color w:val="0F172A"/>
          <w:sz w:val="24"/>
        </w:rPr>
        <w:t>2. Designing an interactive, zero-friction learning platform that combines objective multiple-choice diagnosis with active verbal response self-evaluation (Quick Viva mode).</w:t>
      </w:r>
    </w:p>
    <w:p>
      <w:pPr>
        <w:spacing w:line="360" w:lineRule="auto" w:after="120"/>
        <w:jc w:val="both"/>
      </w:pPr>
      <w:r>
        <w:rPr>
          <w:rFonts w:ascii="Times New Roman" w:hAnsi="Times New Roman"/>
          <w:color w:val="0F172A"/>
          <w:sz w:val="24"/>
        </w:rPr>
        <w:t>3. Constructing a clinically verified question bank containing exactly 12 high-yield questions for each of the 12 core curriculum topics across Respiratory Therapy, Anaesthesia Technology, and Dialysis Technology (144 questions total).</w:t>
      </w:r>
    </w:p>
    <w:p>
      <w:pPr>
        <w:spacing w:line="360" w:lineRule="auto" w:after="120"/>
        <w:jc w:val="both"/>
      </w:pPr>
      <w:r>
        <w:rPr>
          <w:rFonts w:ascii="Times New Roman" w:hAnsi="Times New Roman"/>
          <w:color w:val="0F172A"/>
          <w:sz w:val="24"/>
        </w:rPr>
        <w:t>4. Implementing an offline-first architecture ensuring zero latency and continuous function in shielded hospital environments where internet connectivity is absent, supported by an optional LLM concept tutor.</w:t>
      </w:r>
    </w:p>
    <w:p>
      <w:pPr>
        <w:pStyle w:val="Heading1"/>
        <w:spacing w:before="360" w:after="160"/>
      </w:pPr>
      <w:r>
        <w:rPr>
          <w:rFonts w:ascii="Times New Roman" w:hAnsi="Times New Roman"/>
          <w:b/>
          <w:color w:val="0F172A"/>
          <w:sz w:val="32"/>
        </w:rPr>
        <w:t>CHAPTER 2: PROBLEM IDENTIFICATION AND BACKGROUND</w:t>
      </w:r>
    </w:p>
    <w:p>
      <w:pPr>
        <w:pStyle w:val="Heading2"/>
        <w:spacing w:before="280" w:after="120"/>
      </w:pPr>
      <w:r>
        <w:rPr>
          <w:rFonts w:ascii="Times New Roman" w:hAnsi="Times New Roman"/>
          <w:b/>
          <w:color w:val="1E293B"/>
          <w:sz w:val="28"/>
        </w:rPr>
        <w:t>2.1 The Unseen User in Healthcare Education</w:t>
      </w:r>
    </w:p>
    <w:p>
      <w:pPr>
        <w:spacing w:line="360" w:lineRule="auto" w:after="120"/>
        <w:jc w:val="both"/>
      </w:pPr>
      <w:r>
        <w:rPr>
          <w:rFonts w:ascii="Times New Roman" w:hAnsi="Times New Roman"/>
          <w:color w:val="0F172A"/>
          <w:sz w:val="24"/>
        </w:rPr>
        <w:t>In engineering design, 'unseen users' are individuals whose challenges are overshadowed because they have learned to accommodate inadequate workflows. In teaching hospitals, allied health technology students represent such a cohort. Clinical instructors and physicians observe students successfully attaching breathing circuits or monitoring dialysate conductivity and assume cognitive mastery. However, beneath this procedural compliance lies deep exam anxiety and fragile theoretical comprehension.</w:t>
      </w:r>
    </w:p>
    <w:p>
      <w:pPr>
        <w:pStyle w:val="Heading2"/>
        <w:spacing w:before="280" w:after="120"/>
      </w:pPr>
      <w:r>
        <w:rPr>
          <w:rFonts w:ascii="Times New Roman" w:hAnsi="Times New Roman"/>
          <w:b/>
          <w:color w:val="1E293B"/>
          <w:sz w:val="28"/>
        </w:rPr>
        <w:t>2.2 Evaluation of Three Candidate Problems</w:t>
      </w:r>
    </w:p>
    <w:p>
      <w:pPr>
        <w:spacing w:line="360" w:lineRule="auto" w:after="120"/>
        <w:jc w:val="both"/>
      </w:pPr>
      <w:r>
        <w:rPr>
          <w:rFonts w:ascii="Times New Roman" w:hAnsi="Times New Roman"/>
          <w:color w:val="0F172A"/>
          <w:sz w:val="24"/>
        </w:rPr>
        <w:t>To satisfy the foundational Design Thinking rule ('Find – Don't Assume'), the team initially identified and investigated three distinct candidate problems during campus and hospital observations: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Candidate Problem</w:t>
            </w:r>
          </w:p>
        </w:tc>
        <w:tc>
          <w:tcPr>
            <w:tcW w:type="dxa" w:w="2160"/>
            <w:tcMar>
              <w:top w:w="120" w:type="dxa"/>
              <w:bottom w:w="120" w:type="dxa"/>
              <w:left w:w="160" w:type="dxa"/>
              <w:right w:w="160" w:type="dxa"/>
            </w:tcMar>
            <w:shd w:fill="0F172A"/>
          </w:tcPr>
          <w:p>
            <w:pPr>
              <w:jc w:val="center"/>
            </w:pPr>
            <w:r>
              <w:rPr>
                <w:rFonts w:ascii="Times New Roman" w:hAnsi="Times New Roman"/>
                <w:b/>
                <w:color w:val="FFFFFF"/>
                <w:sz w:val="19"/>
              </w:rPr>
              <w:t>Observed Context</w:t>
            </w:r>
          </w:p>
        </w:tc>
        <w:tc>
          <w:tcPr>
            <w:tcW w:type="dxa" w:w="3168"/>
            <w:tcMar>
              <w:top w:w="120" w:type="dxa"/>
              <w:bottom w:w="120" w:type="dxa"/>
              <w:left w:w="160" w:type="dxa"/>
              <w:right w:w="160" w:type="dxa"/>
            </w:tcMar>
            <w:shd w:fill="0F172A"/>
          </w:tcPr>
          <w:p>
            <w:pPr>
              <w:jc w:val="center"/>
            </w:pPr>
            <w:r>
              <w:rPr>
                <w:rFonts w:ascii="Times New Roman" w:hAnsi="Times New Roman"/>
                <w:b/>
                <w:color w:val="FFFFFF"/>
                <w:sz w:val="19"/>
              </w:rPr>
              <w:t>Friction Identified</w:t>
            </w:r>
          </w:p>
        </w:tc>
        <w:tc>
          <w:tcPr>
            <w:tcW w:type="dxa" w:w="2160"/>
            <w:tcMar>
              <w:top w:w="120" w:type="dxa"/>
              <w:bottom w:w="120" w:type="dxa"/>
              <w:left w:w="160" w:type="dxa"/>
              <w:right w:w="160" w:type="dxa"/>
            </w:tcMar>
            <w:shd w:fill="0F172A"/>
          </w:tcPr>
          <w:p>
            <w:pPr>
              <w:jc w:val="center"/>
            </w:pPr>
            <w:r>
              <w:rPr>
                <w:rFonts w:ascii="Times New Roman" w:hAnsi="Times New Roman"/>
                <w:b/>
                <w:color w:val="FFFFFF"/>
                <w:sz w:val="19"/>
              </w:rPr>
              <w:t>Evaluation Outcome</w:t>
            </w:r>
          </w:p>
        </w:tc>
      </w:tr>
      <w:tr>
        <w:trPr>
          <w:cantSplit/>
        </w:trPr>
        <w:tc>
          <w:tcPr>
            <w:tcW w:type="dxa" w:w="2592"/>
            <w:tcMar>
              <w:top w:w="120" w:type="dxa"/>
              <w:bottom w:w="120" w:type="dxa"/>
              <w:left w:w="160" w:type="dxa"/>
              <w:right w:w="160" w:type="dxa"/>
            </w:tcMar>
            <w:shd w:fill="F8FAFC"/>
          </w:tcPr>
          <w:p>
            <w:r>
              <w:rPr>
                <w:rFonts w:ascii="Times New Roman" w:hAnsi="Times New Roman"/>
                <w:sz w:val="19"/>
              </w:rPr>
              <w:t>1. Dialysis Priming Fatigue</w:t>
            </w:r>
          </w:p>
        </w:tc>
        <w:tc>
          <w:tcPr>
            <w:tcW w:type="dxa" w:w="2160"/>
            <w:tcMar>
              <w:top w:w="120" w:type="dxa"/>
              <w:bottom w:w="120" w:type="dxa"/>
              <w:left w:w="160" w:type="dxa"/>
              <w:right w:w="160" w:type="dxa"/>
            </w:tcMar>
            <w:shd w:fill="F8FAFC"/>
          </w:tcPr>
          <w:p>
            <w:r>
              <w:rPr>
                <w:rFonts w:ascii="Times New Roman" w:hAnsi="Times New Roman"/>
                <w:sz w:val="19"/>
              </w:rPr>
              <w:t>Hospital Hemodialysis Unit</w:t>
            </w:r>
          </w:p>
        </w:tc>
        <w:tc>
          <w:tcPr>
            <w:tcW w:type="dxa" w:w="3168"/>
            <w:tcMar>
              <w:top w:w="120" w:type="dxa"/>
              <w:bottom w:w="120" w:type="dxa"/>
              <w:left w:w="160" w:type="dxa"/>
              <w:right w:w="160" w:type="dxa"/>
            </w:tcMar>
            <w:shd w:fill="F8FAFC"/>
          </w:tcPr>
          <w:p>
            <w:r>
              <w:rPr>
                <w:rFonts w:ascii="Times New Roman" w:hAnsi="Times New Roman"/>
                <w:sz w:val="19"/>
              </w:rPr>
              <w:t>Manual saline line flicking to dislodge microbubbles causes physical fatigue and variable bubble purging.</w:t>
            </w:r>
          </w:p>
        </w:tc>
        <w:tc>
          <w:tcPr>
            <w:tcW w:type="dxa" w:w="2160"/>
            <w:tcMar>
              <w:top w:w="120" w:type="dxa"/>
              <w:bottom w:w="120" w:type="dxa"/>
              <w:left w:w="160" w:type="dxa"/>
              <w:right w:w="160" w:type="dxa"/>
            </w:tcMar>
            <w:shd w:fill="F8FAFC"/>
          </w:tcPr>
          <w:p>
            <w:r>
              <w:rPr>
                <w:rFonts w:ascii="Times New Roman" w:hAnsi="Times New Roman"/>
                <w:sz w:val="19"/>
              </w:rPr>
              <w:t>Discarded: Commercial dialyzer manufacturers are already automating saline priming cycles.</w:t>
            </w:r>
          </w:p>
        </w:tc>
      </w:tr>
      <w:tr>
        <w:trPr>
          <w:cantSplit/>
        </w:trPr>
        <w:tc>
          <w:tcPr>
            <w:tcW w:type="dxa" w:w="2592"/>
            <w:tcMar>
              <w:top w:w="120" w:type="dxa"/>
              <w:bottom w:w="120" w:type="dxa"/>
              <w:left w:w="160" w:type="dxa"/>
              <w:right w:w="160" w:type="dxa"/>
            </w:tcMar>
          </w:tcPr>
          <w:p>
            <w:r>
              <w:rPr>
                <w:rFonts w:ascii="Times New Roman" w:hAnsi="Times New Roman"/>
                <w:sz w:val="19"/>
              </w:rPr>
              <w:t>2. Anaesthesia Paper Check Sheets</w:t>
            </w:r>
          </w:p>
        </w:tc>
        <w:tc>
          <w:tcPr>
            <w:tcW w:type="dxa" w:w="2160"/>
            <w:tcMar>
              <w:top w:w="120" w:type="dxa"/>
              <w:bottom w:w="120" w:type="dxa"/>
              <w:left w:w="160" w:type="dxa"/>
              <w:right w:w="160" w:type="dxa"/>
            </w:tcMar>
          </w:tcPr>
          <w:p>
            <w:r>
              <w:rPr>
                <w:rFonts w:ascii="Times New Roman" w:hAnsi="Times New Roman"/>
                <w:sz w:val="19"/>
              </w:rPr>
              <w:t>Modular Operating Theatres</w:t>
            </w:r>
          </w:p>
        </w:tc>
        <w:tc>
          <w:tcPr>
            <w:tcW w:type="dxa" w:w="3168"/>
            <w:tcMar>
              <w:top w:w="120" w:type="dxa"/>
              <w:bottom w:w="120" w:type="dxa"/>
              <w:left w:w="160" w:type="dxa"/>
              <w:right w:w="160" w:type="dxa"/>
            </w:tcMar>
          </w:tcPr>
          <w:p>
            <w:r>
              <w:rPr>
                <w:rFonts w:ascii="Times New Roman" w:hAnsi="Times New Roman"/>
                <w:sz w:val="19"/>
              </w:rPr>
              <w:t>Paper-based daily workstation safety check sheets are misplaced or filled out post-case.</w:t>
            </w:r>
          </w:p>
        </w:tc>
        <w:tc>
          <w:tcPr>
            <w:tcW w:type="dxa" w:w="2160"/>
            <w:tcMar>
              <w:top w:w="120" w:type="dxa"/>
              <w:bottom w:w="120" w:type="dxa"/>
              <w:left w:w="160" w:type="dxa"/>
              <w:right w:w="160" w:type="dxa"/>
            </w:tcMar>
          </w:tcPr>
          <w:p>
            <w:r>
              <w:rPr>
                <w:rFonts w:ascii="Times New Roman" w:hAnsi="Times New Roman"/>
                <w:sz w:val="19"/>
              </w:rPr>
              <w:t>Discarded: Represents an administrative hospital workflow compliance issue rather than student learning.</w:t>
            </w:r>
          </w:p>
        </w:tc>
      </w:tr>
      <w:tr>
        <w:trPr>
          <w:cantSplit/>
        </w:trPr>
        <w:tc>
          <w:tcPr>
            <w:tcW w:type="dxa" w:w="2592"/>
            <w:tcMar>
              <w:top w:w="120" w:type="dxa"/>
              <w:bottom w:w="120" w:type="dxa"/>
              <w:left w:w="160" w:type="dxa"/>
              <w:right w:w="160" w:type="dxa"/>
            </w:tcMar>
            <w:shd w:fill="F8FAFC"/>
          </w:tcPr>
          <w:p>
            <w:r>
              <w:rPr>
                <w:rFonts w:ascii="Times New Roman" w:hAnsi="Times New Roman"/>
                <w:sz w:val="19"/>
              </w:rPr>
              <w:t>3. Practical Viva Paralysis</w:t>
            </w:r>
          </w:p>
        </w:tc>
        <w:tc>
          <w:tcPr>
            <w:tcW w:type="dxa" w:w="2160"/>
            <w:tcMar>
              <w:top w:w="120" w:type="dxa"/>
              <w:bottom w:w="120" w:type="dxa"/>
              <w:left w:w="160" w:type="dxa"/>
              <w:right w:w="160" w:type="dxa"/>
            </w:tcMar>
            <w:shd w:fill="F8FAFC"/>
          </w:tcPr>
          <w:p>
            <w:r>
              <w:rPr>
                <w:rFonts w:ascii="Times New Roman" w:hAnsi="Times New Roman"/>
                <w:sz w:val="19"/>
              </w:rPr>
              <w:t>Skills Labs &amp; Exam Halls</w:t>
            </w:r>
          </w:p>
        </w:tc>
        <w:tc>
          <w:tcPr>
            <w:tcW w:type="dxa" w:w="3168"/>
            <w:tcMar>
              <w:top w:w="120" w:type="dxa"/>
              <w:bottom w:w="120" w:type="dxa"/>
              <w:left w:w="160" w:type="dxa"/>
              <w:right w:w="160" w:type="dxa"/>
            </w:tcMar>
            <w:shd w:fill="F8FAFC"/>
          </w:tcPr>
          <w:p>
            <w:r>
              <w:rPr>
                <w:rFonts w:ascii="Times New Roman" w:hAnsi="Times New Roman"/>
                <w:sz w:val="19"/>
              </w:rPr>
              <w:t>Students know what button to press on real machines, but freeze completely when asked to explain physical mechanisms orally in vivas.</w:t>
            </w:r>
          </w:p>
        </w:tc>
        <w:tc>
          <w:tcPr>
            <w:tcW w:type="dxa" w:w="2160"/>
            <w:tcMar>
              <w:top w:w="120" w:type="dxa"/>
              <w:bottom w:w="120" w:type="dxa"/>
              <w:left w:w="160" w:type="dxa"/>
              <w:right w:w="160" w:type="dxa"/>
            </w:tcMar>
            <w:shd w:fill="F8FAFC"/>
          </w:tcPr>
          <w:p>
            <w:r>
              <w:rPr>
                <w:rFonts w:ascii="Times New Roman" w:hAnsi="Times New Roman"/>
                <w:sz w:val="19"/>
              </w:rPr>
              <w:t>SELECTED: Fundamental human learning barrier causing failure and emotional distress across all cohorts.</w:t>
            </w:r>
          </w:p>
        </w:tc>
      </w:tr>
    </w:tbl>
    <w:p>
      <w:pPr>
        <w:pStyle w:val="Heading1"/>
        <w:spacing w:before="360" w:after="160"/>
      </w:pPr>
      <w:r>
        <w:rPr>
          <w:rFonts w:ascii="Times New Roman" w:hAnsi="Times New Roman"/>
          <w:b/>
          <w:color w:val="0F172A"/>
          <w:sz w:val="32"/>
        </w:rPr>
        <w:t>CHAPTER 3: DESIGN THINKING METHODOLOGY</w:t>
      </w:r>
    </w:p>
    <w:p>
      <w:pPr>
        <w:pStyle w:val="Heading2"/>
        <w:spacing w:before="280" w:after="120"/>
      </w:pPr>
      <w:r>
        <w:rPr>
          <w:rFonts w:ascii="Times New Roman" w:hAnsi="Times New Roman"/>
          <w:b/>
          <w:color w:val="1E293B"/>
          <w:sz w:val="28"/>
        </w:rPr>
        <w:t>3.1 Five Stages of Human-Centered Innovation</w:t>
      </w:r>
    </w:p>
    <w:p>
      <w:pPr>
        <w:spacing w:line="360" w:lineRule="auto" w:after="120"/>
        <w:jc w:val="both"/>
      </w:pPr>
      <w:r>
        <w:rPr>
          <w:rFonts w:ascii="Times New Roman" w:hAnsi="Times New Roman"/>
          <w:color w:val="0F172A"/>
          <w:sz w:val="24"/>
        </w:rPr>
        <w:t>The project was structured strictly around the five non-linear stages of the Stanford d.school Design Thinking framework: Empathize, Define, Ideate, Prototype, and Test. This framework mandated that technology decisions remain subservient to genuine user needs throughout development.</w:t>
      </w:r>
    </w:p>
    <w:p>
      <w:pPr>
        <w:spacing w:line="360" w:lineRule="auto" w:after="120"/>
        <w:jc w:val="both"/>
      </w:pPr>
      <w:r>
        <w:rPr>
          <w:rFonts w:ascii="Times New Roman" w:hAnsi="Times New Roman"/>
          <w:color w:val="0F172A"/>
          <w:sz w:val="24"/>
        </w:rPr>
        <w:t>Stage 1 (Empathize): We suspended all technical preconceptions and immersed ourselves in the students' environment through observation, dialogue, and journey mapping.</w:t>
      </w:r>
    </w:p>
    <w:p>
      <w:pPr>
        <w:spacing w:line="360" w:lineRule="auto" w:after="120"/>
        <w:jc w:val="both"/>
      </w:pPr>
      <w:r>
        <w:rPr>
          <w:rFonts w:ascii="Times New Roman" w:hAnsi="Times New Roman"/>
          <w:color w:val="0F172A"/>
          <w:sz w:val="24"/>
        </w:rPr>
        <w:t>Stage 2 (Define): We analyzed qualitative data to reframe the problem from a superficial deficit ('lack of notes') to a root-cause cognitive barrier ('Passive Revision Syndrome').</w:t>
      </w:r>
    </w:p>
    <w:p>
      <w:pPr>
        <w:spacing w:line="360" w:lineRule="auto" w:after="120"/>
        <w:jc w:val="both"/>
      </w:pPr>
      <w:r>
        <w:rPr>
          <w:rFonts w:ascii="Times New Roman" w:hAnsi="Times New Roman"/>
          <w:color w:val="0F172A"/>
          <w:sz w:val="24"/>
        </w:rPr>
        <w:t>Stage 3 (Ideate): We generated 10 divergent concepts, deliberately killed our first obvious technical idea, and prioritized interventions based on user impact.</w:t>
      </w:r>
    </w:p>
    <w:p>
      <w:pPr>
        <w:spacing w:line="360" w:lineRule="auto" w:after="120"/>
        <w:jc w:val="both"/>
      </w:pPr>
      <w:r>
        <w:rPr>
          <w:rFonts w:ascii="Times New Roman" w:hAnsi="Times New Roman"/>
          <w:color w:val="0F172A"/>
          <w:sz w:val="24"/>
        </w:rPr>
        <w:t>Stage 4 (Prototype): We engineered a working low-fidelity Prototype 1 in Python/Streamlit, which served as an interactive artifact to provoke user feedback.</w:t>
      </w:r>
    </w:p>
    <w:p>
      <w:pPr>
        <w:spacing w:line="360" w:lineRule="auto" w:after="120"/>
        <w:jc w:val="both"/>
      </w:pPr>
      <w:r>
        <w:rPr>
          <w:rFonts w:ascii="Times New Roman" w:hAnsi="Times New Roman"/>
          <w:color w:val="0F172A"/>
          <w:sz w:val="24"/>
        </w:rPr>
        <w:t>Stage 5 (Test): We deployed Prototype 1 to 14 real students, collected qualitative friction logs, and executed an engineering iteration resulting in Prototype 2.</w:t>
      </w:r>
    </w:p>
    <w:p>
      <w:pPr>
        <w:pStyle w:val="Heading1"/>
        <w:spacing w:before="360" w:after="160"/>
      </w:pPr>
      <w:r>
        <w:rPr>
          <w:rFonts w:ascii="Times New Roman" w:hAnsi="Times New Roman"/>
          <w:b/>
          <w:color w:val="0F172A"/>
          <w:sz w:val="32"/>
        </w:rPr>
        <w:t>CHAPTER 4: USER RESEARCH AND FINDINGS</w:t>
      </w:r>
    </w:p>
    <w:p>
      <w:pPr>
        <w:pStyle w:val="Heading2"/>
        <w:spacing w:before="280" w:after="120"/>
      </w:pPr>
      <w:r>
        <w:rPr>
          <w:rFonts w:ascii="Times New Roman" w:hAnsi="Times New Roman"/>
          <w:b/>
          <w:color w:val="1E293B"/>
          <w:sz w:val="28"/>
        </w:rPr>
        <w:t>4.1 Field Observations and Stakeholder Cohort</w:t>
      </w:r>
    </w:p>
    <w:p>
      <w:pPr>
        <w:spacing w:line="360" w:lineRule="auto" w:after="120"/>
        <w:jc w:val="both"/>
      </w:pPr>
      <w:r>
        <w:rPr>
          <w:rFonts w:ascii="Times New Roman" w:hAnsi="Times New Roman"/>
          <w:color w:val="0F172A"/>
          <w:sz w:val="24"/>
        </w:rPr>
        <w:t>The primary research cohort comprised 8 student stakeholders and peer technologists training across hospital intensive care units, emergency theaters, and dialysis wards: Riddhi (3rd Yr RT), Siddhi (3rd Yr RT), Naziya (2nd Yr Allied Health), Preethi (3rd Yr RT), Bhargav (2nd Yr AT), Naveen (3rd Yr Critical Care), Tharun (3rd Yr RT), and Atharv (2nd Yr ICU Tech), along with 2 senior clinical instructors. Observations took place across 6 morning and evening clinical rotation shifts.</w:t>
      </w:r>
    </w:p>
    <w:p>
      <w:pPr>
        <w:pStyle w:val="Heading2"/>
      </w:pPr>
      <w:r>
        <w:t>4.2 Field Research Evidence and Stakeholder Interaction</w:t>
      </w:r>
    </w:p>
    <w:p>
      <w:r>
        <w:t>Direct observational studies and interviews were conducted on-site with undergraduate student stakeholders (Riddhi, Siddhi, Naziya, Preethi, Bhargav, Naveen, Tharun, and Atharv). Figure 4.1 and Figure 4.2 capture in-person interview sessions exploring clinical viva anxiety and ward obstacles. Figure 4.3 illustrates bedside technical drawings of ventilator circuit connections and transport oxygen cylinders, while Figure 4.4 reproduces authentic handwritten field notes documenting floor hazards, including humidifier dry-outs, ETT migration, and dialyzer clotting.</w:t>
      </w: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interview_photo_1.jpg"/>
                          <pic:cNvPicPr/>
                        </pic:nvPicPr>
                        <pic:blipFill>
                          <a:blip r:embed="rId11"/>
                          <a:stretch>
                            <a:fillRect/>
                          </a:stretch>
                        </pic:blipFill>
                        <pic:spPr>
                          <a:xfrm>
                            <a:off x="0" y="0"/>
                            <a:ext cx="2743200" cy="2057400"/>
                          </a:xfrm>
                          <a:prstGeom prst="rect"/>
                        </pic:spPr>
                      </pic:pic>
                    </a:graphicData>
                  </a:graphic>
                </wp:inline>
              </w:drawing>
            </w:r>
          </w:p>
          <w:p>
            <w:pPr>
              <w:jc w:val="center"/>
            </w:pPr>
            <w:r>
              <w:rPr>
                <w:i/>
                <w:sz w:val="17"/>
              </w:rPr>
              <w:t>Figure 4.1: Live Empathy Interview with Respiratory Student Stakeholder.</w:t>
            </w:r>
          </w:p>
        </w:tc>
        <w:tc>
          <w:tcPr>
            <w:tcW w:type="dxa" w:w="4608"/>
          </w:tcPr>
          <w:p>
            <w:pPr>
              <w:jc w:val="center"/>
            </w:pPr>
            <w:r>
              <w:drawing>
                <wp:inline xmlns:a="http://schemas.openxmlformats.org/drawingml/2006/main" xmlns:pic="http://schemas.openxmlformats.org/drawingml/2006/picture">
                  <wp:extent cx="2743200" cy="2057400"/>
                  <wp:docPr id="2" name="Picture 2"/>
                  <wp:cNvGraphicFramePr>
                    <a:graphicFrameLocks noChangeAspect="1"/>
                  </wp:cNvGraphicFramePr>
                  <a:graphic>
                    <a:graphicData uri="http://schemas.openxmlformats.org/drawingml/2006/picture">
                      <pic:pic>
                        <pic:nvPicPr>
                          <pic:cNvPr id="0" name="interview_photo_2.jpg"/>
                          <pic:cNvPicPr/>
                        </pic:nvPicPr>
                        <pic:blipFill>
                          <a:blip r:embed="rId12"/>
                          <a:stretch>
                            <a:fillRect/>
                          </a:stretch>
                        </pic:blipFill>
                        <pic:spPr>
                          <a:xfrm>
                            <a:off x="0" y="0"/>
                            <a:ext cx="2743200" cy="2057400"/>
                          </a:xfrm>
                          <a:prstGeom prst="rect"/>
                        </pic:spPr>
                      </pic:pic>
                    </a:graphicData>
                  </a:graphic>
                </wp:inline>
              </w:drawing>
            </w:r>
          </w:p>
          <w:p>
            <w:pPr>
              <w:jc w:val="center"/>
            </w:pPr>
            <w:r>
              <w:rPr>
                <w:i/>
                <w:sz w:val="17"/>
              </w:rPr>
              <w:t>Figure 4.2: Investigation of Passive Revision and Bedside Viva Triggers.</w:t>
            </w:r>
          </w:p>
        </w:tc>
      </w:tr>
      <w:tr>
        <w:tc>
          <w:tcPr>
            <w:tcW w:type="dxa" w:w="4608"/>
          </w:tcPr>
          <w:p>
            <w:pPr>
              <w:jc w:val="center"/>
            </w:pPr>
            <w:r>
              <w:drawing>
                <wp:inline xmlns:a="http://schemas.openxmlformats.org/drawingml/2006/main" xmlns:pic="http://schemas.openxmlformats.org/drawingml/2006/picture">
                  <wp:extent cx="2286000" cy="3048000"/>
                  <wp:docPr id="3" name="Picture 3"/>
                  <wp:cNvGraphicFramePr>
                    <a:graphicFrameLocks noChangeAspect="1"/>
                  </wp:cNvGraphicFramePr>
                  <a:graphic>
                    <a:graphicData uri="http://schemas.openxmlformats.org/drawingml/2006/picture">
                      <pic:pic>
                        <pic:nvPicPr>
                          <pic:cNvPr id="0" name="hand_sketch_notes.jpg"/>
                          <pic:cNvPicPr/>
                        </pic:nvPicPr>
                        <pic:blipFill>
                          <a:blip r:embed="rId13"/>
                          <a:stretch>
                            <a:fillRect/>
                          </a:stretch>
                        </pic:blipFill>
                        <pic:spPr>
                          <a:xfrm>
                            <a:off x="0" y="0"/>
                            <a:ext cx="2286000" cy="3048000"/>
                          </a:xfrm>
                          <a:prstGeom prst="rect"/>
                        </pic:spPr>
                      </pic:pic>
                    </a:graphicData>
                  </a:graphic>
                </wp:inline>
              </w:drawing>
            </w:r>
          </w:p>
          <w:p>
            <w:pPr>
              <w:jc w:val="center"/>
            </w:pPr>
            <w:r>
              <w:rPr>
                <w:i/>
                <w:sz w:val="17"/>
              </w:rPr>
              <w:t>Figure 4.3: Bedside Sketches: Humidifier Bottle &amp; Transport Cylinder Problems.</w:t>
            </w:r>
          </w:p>
        </w:tc>
        <w:tc>
          <w:tcPr>
            <w:tcW w:type="dxa" w:w="4608"/>
          </w:tcPr>
          <w:p>
            <w:pPr>
              <w:jc w:val="center"/>
            </w:pPr>
            <w:r>
              <w:drawing>
                <wp:inline xmlns:a="http://schemas.openxmlformats.org/drawingml/2006/main" xmlns:pic="http://schemas.openxmlformats.org/drawingml/2006/picture">
                  <wp:extent cx="2286000" cy="3048000"/>
                  <wp:docPr id="4" name="Picture 4"/>
                  <wp:cNvGraphicFramePr>
                    <a:graphicFrameLocks noChangeAspect="1"/>
                  </wp:cNvGraphicFramePr>
                  <a:graphic>
                    <a:graphicData uri="http://schemas.openxmlformats.org/drawingml/2006/picture">
                      <pic:pic>
                        <pic:nvPicPr>
                          <pic:cNvPr id="0" name="interview_written_notes.png"/>
                          <pic:cNvPicPr/>
                        </pic:nvPicPr>
                        <pic:blipFill>
                          <a:blip r:embed="rId14"/>
                          <a:stretch>
                            <a:fillRect/>
                          </a:stretch>
                        </pic:blipFill>
                        <pic:spPr>
                          <a:xfrm>
                            <a:off x="0" y="0"/>
                            <a:ext cx="2286000" cy="3048000"/>
                          </a:xfrm>
                          <a:prstGeom prst="rect"/>
                        </pic:spPr>
                      </pic:pic>
                    </a:graphicData>
                  </a:graphic>
                </wp:inline>
              </w:drawing>
            </w:r>
          </w:p>
          <w:p>
            <w:pPr>
              <w:jc w:val="center"/>
            </w:pPr>
            <w:r>
              <w:rPr>
                <w:i/>
                <w:sz w:val="17"/>
              </w:rPr>
              <w:t>Figure 4.4: Authentic Field Notes: 25 Clinical ICU and OT Floor Hazards.</w:t>
            </w:r>
          </w:p>
        </w:tc>
      </w:tr>
    </w:tbl>
    <w:p>
      <w:pPr>
        <w:pStyle w:val="Heading2"/>
        <w:spacing w:before="280" w:after="120"/>
      </w:pPr>
      <w:r>
        <w:t>4.3 Inventory of 25 Real Clinical Problems Discovered</w:t>
      </w:r>
    </w:p>
    <w:p>
      <w:pPr>
        <w:spacing w:line="360" w:lineRule="auto" w:after="120"/>
        <w:jc w:val="both"/>
      </w:pPr>
      <w:r>
        <w:rPr>
          <w:rFonts w:ascii="Times New Roman" w:hAnsi="Times New Roman"/>
          <w:color w:val="0F172A"/>
          <w:sz w:val="24"/>
        </w:rPr>
        <w:t>Shadowing shifts and observing bedside handovers revealed 25 authentic, recurring operational problems:</w:t>
      </w:r>
    </w:p>
    <w:p>
      <w:pPr>
        <w:spacing w:line="360" w:lineRule="auto" w:after="120"/>
        <w:jc w:val="both"/>
      </w:pPr>
      <w:r>
        <w:rPr>
          <w:rFonts w:ascii="Times New Roman" w:hAnsi="Times New Roman"/>
          <w:color w:val="0F172A"/>
          <w:sz w:val="24"/>
        </w:rPr>
        <w:t>• 1. Low water levels in oxygen bubble humidifier bottles leading to dry mucosal delivery.</w:t>
      </w:r>
    </w:p>
    <w:p>
      <w:pPr>
        <w:spacing w:line="360" w:lineRule="auto" w:after="120"/>
        <w:jc w:val="both"/>
      </w:pPr>
      <w:r>
        <w:rPr>
          <w:rFonts w:ascii="Times New Roman" w:hAnsi="Times New Roman"/>
          <w:color w:val="0F172A"/>
          <w:sz w:val="24"/>
        </w:rPr>
        <w:t>• 2. Delayed response to high-priority ventilator alarms during multi-bed crises.</w:t>
      </w:r>
    </w:p>
    <w:p>
      <w:pPr>
        <w:spacing w:line="360" w:lineRule="auto" w:after="120"/>
        <w:jc w:val="both"/>
      </w:pPr>
      <w:r>
        <w:rPr>
          <w:rFonts w:ascii="Times New Roman" w:hAnsi="Times New Roman"/>
          <w:color w:val="0F172A"/>
          <w:sz w:val="24"/>
        </w:rPr>
        <w:t>• 3. Accidental patient self-extubation during nurse turning and patient agitation.</w:t>
      </w:r>
    </w:p>
    <w:p>
      <w:pPr>
        <w:spacing w:line="360" w:lineRule="auto" w:after="120"/>
        <w:jc w:val="both"/>
      </w:pPr>
      <w:r>
        <w:rPr>
          <w:rFonts w:ascii="Times New Roman" w:hAnsi="Times New Roman"/>
          <w:color w:val="0F172A"/>
          <w:sz w:val="24"/>
        </w:rPr>
        <w:t>• 4. Time wasted locating paper chest X-ray jackets during morning multidisciplinary rounds.</w:t>
      </w:r>
    </w:p>
    <w:p>
      <w:pPr>
        <w:spacing w:line="360" w:lineRule="auto" w:after="120"/>
        <w:jc w:val="both"/>
      </w:pPr>
      <w:r>
        <w:rPr>
          <w:rFonts w:ascii="Times New Roman" w:hAnsi="Times New Roman"/>
          <w:color w:val="0F172A"/>
          <w:sz w:val="24"/>
        </w:rPr>
        <w:t>• 5. Difficulty correlating real-time arterial blood gas (ABG) reports with current ventilator settings.</w:t>
      </w:r>
    </w:p>
    <w:p>
      <w:pPr>
        <w:spacing w:line="360" w:lineRule="auto" w:after="120"/>
        <w:jc w:val="both"/>
      </w:pPr>
      <w:r>
        <w:rPr>
          <w:rFonts w:ascii="Times New Roman" w:hAnsi="Times New Roman"/>
          <w:color w:val="0F172A"/>
          <w:sz w:val="24"/>
        </w:rPr>
        <w:t>• 6. Incomplete and hurried shift handovers between outgoing and incoming respiratory therapists.</w:t>
      </w:r>
    </w:p>
    <w:p>
      <w:pPr>
        <w:spacing w:line="360" w:lineRule="auto" w:after="120"/>
        <w:jc w:val="both"/>
      </w:pPr>
      <w:r>
        <w:rPr>
          <w:rFonts w:ascii="Times New Roman" w:hAnsi="Times New Roman"/>
          <w:color w:val="0F172A"/>
          <w:sz w:val="24"/>
        </w:rPr>
        <w:t>• 7. Burdensome, repetitive manual documentation on bedside paper flowsheet charts.</w:t>
      </w:r>
    </w:p>
    <w:p>
      <w:pPr>
        <w:spacing w:line="360" w:lineRule="auto" w:after="120"/>
        <w:jc w:val="both"/>
      </w:pPr>
      <w:r>
        <w:rPr>
          <w:rFonts w:ascii="Times New Roman" w:hAnsi="Times New Roman"/>
          <w:color w:val="0F172A"/>
          <w:sz w:val="24"/>
        </w:rPr>
        <w:t>• 8. Inadvertent ventilator circuit disconnection during patient transfers and repositioning.</w:t>
      </w:r>
    </w:p>
    <w:p>
      <w:pPr>
        <w:spacing w:line="360" w:lineRule="auto" w:after="120"/>
        <w:jc w:val="both"/>
      </w:pPr>
      <w:r>
        <w:rPr>
          <w:rFonts w:ascii="Times New Roman" w:hAnsi="Times New Roman"/>
          <w:color w:val="0F172A"/>
          <w:sz w:val="24"/>
        </w:rPr>
        <w:t>• 9. Undetected non-invasive ventilation (NIV) mask air leaks compromising delivered tidal volume.</w:t>
      </w:r>
    </w:p>
    <w:p>
      <w:pPr>
        <w:spacing w:line="360" w:lineRule="auto" w:after="120"/>
        <w:jc w:val="both"/>
      </w:pPr>
      <w:r>
        <w:rPr>
          <w:rFonts w:ascii="Times New Roman" w:hAnsi="Times New Roman"/>
          <w:color w:val="0F172A"/>
          <w:sz w:val="24"/>
        </w:rPr>
        <w:t>• 10. Difficulty tracking endotracheal tube (ETT) centimeter markings at the incisor level.</w:t>
      </w:r>
    </w:p>
    <w:p>
      <w:pPr>
        <w:spacing w:line="360" w:lineRule="auto" w:after="120"/>
        <w:jc w:val="both"/>
      </w:pPr>
      <w:r>
        <w:rPr>
          <w:rFonts w:ascii="Times New Roman" w:hAnsi="Times New Roman"/>
          <w:color w:val="0F172A"/>
          <w:sz w:val="24"/>
        </w:rPr>
        <w:t>• 11. Delayed endotracheal suctioning resulting in secretion encrustation and elevated airway resistance.</w:t>
      </w:r>
    </w:p>
    <w:p>
      <w:pPr>
        <w:spacing w:line="360" w:lineRule="auto" w:after="120"/>
        <w:jc w:val="both"/>
      </w:pPr>
      <w:r>
        <w:rPr>
          <w:rFonts w:ascii="Times New Roman" w:hAnsi="Times New Roman"/>
          <w:color w:val="0F172A"/>
          <w:sz w:val="24"/>
        </w:rPr>
        <w:t>• 12. Respiratory equipment unavailability during unexpected emergency department code calls.</w:t>
      </w:r>
    </w:p>
    <w:p>
      <w:pPr>
        <w:spacing w:line="360" w:lineRule="auto" w:after="120"/>
        <w:jc w:val="both"/>
      </w:pPr>
      <w:r>
        <w:rPr>
          <w:rFonts w:ascii="Times New Roman" w:hAnsi="Times New Roman"/>
          <w:color w:val="0F172A"/>
          <w:sz w:val="24"/>
        </w:rPr>
        <w:t>• 13. Missed spontaneous breathing trials (SBT) in stable ICU patients ready for weaning.</w:t>
      </w:r>
    </w:p>
    <w:p>
      <w:pPr>
        <w:spacing w:line="360" w:lineRule="auto" w:after="120"/>
        <w:jc w:val="both"/>
      </w:pPr>
      <w:r>
        <w:rPr>
          <w:rFonts w:ascii="Times New Roman" w:hAnsi="Times New Roman"/>
          <w:color w:val="0F172A"/>
          <w:sz w:val="24"/>
        </w:rPr>
        <w:t>• 14. Inadequate oxygen cylinder pressure management during intrahospital CT transport.</w:t>
      </w:r>
    </w:p>
    <w:p>
      <w:pPr>
        <w:spacing w:line="360" w:lineRule="auto" w:after="120"/>
        <w:jc w:val="both"/>
      </w:pPr>
      <w:r>
        <w:rPr>
          <w:rFonts w:ascii="Times New Roman" w:hAnsi="Times New Roman"/>
          <w:color w:val="0F172A"/>
          <w:sz w:val="24"/>
        </w:rPr>
        <w:t>• 15. Difficulty tracking transient nocturnal oxygen desaturation episodes on pulse oximeters.</w:t>
      </w:r>
    </w:p>
    <w:p>
      <w:pPr>
        <w:spacing w:line="360" w:lineRule="auto" w:after="120"/>
        <w:jc w:val="both"/>
      </w:pPr>
      <w:r>
        <w:rPr>
          <w:rFonts w:ascii="Times New Roman" w:hAnsi="Times New Roman"/>
          <w:color w:val="0F172A"/>
          <w:sz w:val="24"/>
        </w:rPr>
        <w:t>• 16. Severe clinical alarm fatigue resulting in staff reflexively muting alarms without diagnosis.</w:t>
      </w:r>
    </w:p>
    <w:p>
      <w:pPr>
        <w:spacing w:line="360" w:lineRule="auto" w:after="120"/>
        <w:jc w:val="both"/>
      </w:pPr>
      <w:r>
        <w:rPr>
          <w:rFonts w:ascii="Times New Roman" w:hAnsi="Times New Roman"/>
          <w:color w:val="0F172A"/>
          <w:sz w:val="24"/>
        </w:rPr>
        <w:t>• 17. Difficulty managing pending respiratory therapy orders across 15 to 20 ICU beds simultaneously.</w:t>
      </w:r>
    </w:p>
    <w:p>
      <w:pPr>
        <w:spacing w:line="360" w:lineRule="auto" w:after="120"/>
        <w:jc w:val="both"/>
      </w:pPr>
      <w:r>
        <w:rPr>
          <w:rFonts w:ascii="Times New Roman" w:hAnsi="Times New Roman"/>
          <w:color w:val="0F172A"/>
          <w:sz w:val="24"/>
        </w:rPr>
        <w:t>• 18. Inadequate monitoring and documentation of oxygen flow rates and delivered FiO2.</w:t>
      </w:r>
    </w:p>
    <w:p>
      <w:pPr>
        <w:spacing w:line="360" w:lineRule="auto" w:after="120"/>
        <w:jc w:val="both"/>
      </w:pPr>
      <w:r>
        <w:rPr>
          <w:rFonts w:ascii="Times New Roman" w:hAnsi="Times New Roman"/>
          <w:color w:val="0F172A"/>
          <w:sz w:val="24"/>
        </w:rPr>
        <w:t>• 19. Delayed identification of subtle patient respiratory exhaustion prior to overt arrest.</w:t>
      </w:r>
    </w:p>
    <w:p>
      <w:pPr>
        <w:spacing w:line="360" w:lineRule="auto" w:after="120"/>
        <w:jc w:val="both"/>
      </w:pPr>
      <w:r>
        <w:rPr>
          <w:rFonts w:ascii="Times New Roman" w:hAnsi="Times New Roman"/>
          <w:color w:val="0F172A"/>
          <w:sz w:val="24"/>
        </w:rPr>
        <w:t>• 20. Inability to maintain accurate, synchronized digital ICU respiratory flowsheets.</w:t>
      </w:r>
    </w:p>
    <w:p>
      <w:pPr>
        <w:spacing w:line="360" w:lineRule="auto" w:after="120"/>
        <w:jc w:val="both"/>
      </w:pPr>
      <w:r>
        <w:rPr>
          <w:rFonts w:ascii="Times New Roman" w:hAnsi="Times New Roman"/>
          <w:color w:val="0F172A"/>
          <w:sz w:val="24"/>
        </w:rPr>
        <w:t>• 21. Tracking humidification adequacy (rain-out condensation vs. dry gas) in high-flow circuits.</w:t>
      </w:r>
    </w:p>
    <w:p>
      <w:pPr>
        <w:spacing w:line="360" w:lineRule="auto" w:after="120"/>
        <w:jc w:val="both"/>
      </w:pPr>
      <w:r>
        <w:rPr>
          <w:rFonts w:ascii="Times New Roman" w:hAnsi="Times New Roman"/>
          <w:color w:val="0F172A"/>
          <w:sz w:val="24"/>
        </w:rPr>
        <w:t>• 22. Delayed identification of patient-ventilator asynchrony (double triggering, trigger delay).</w:t>
      </w:r>
    </w:p>
    <w:p>
      <w:pPr>
        <w:spacing w:line="360" w:lineRule="auto" w:after="120"/>
        <w:jc w:val="both"/>
      </w:pPr>
      <w:r>
        <w:rPr>
          <w:rFonts w:ascii="Times New Roman" w:hAnsi="Times New Roman"/>
          <w:color w:val="0F172A"/>
          <w:sz w:val="24"/>
        </w:rPr>
        <w:t>• 23. Discontinuities in ventilatory support parameters during inter-facility ambulance transfers.</w:t>
      </w:r>
    </w:p>
    <w:p>
      <w:pPr>
        <w:spacing w:line="360" w:lineRule="auto" w:after="120"/>
        <w:jc w:val="both"/>
      </w:pPr>
      <w:r>
        <w:rPr>
          <w:rFonts w:ascii="Times New Roman" w:hAnsi="Times New Roman"/>
          <w:color w:val="0F172A"/>
          <w:sz w:val="24"/>
        </w:rPr>
        <w:t>• 24. Difficulty tracking equipment maintenance schedules, sensor calibration expiry, and bacterial filter life.</w:t>
      </w:r>
    </w:p>
    <w:p>
      <w:pPr>
        <w:spacing w:line="360" w:lineRule="auto" w:after="120"/>
        <w:jc w:val="both"/>
      </w:pPr>
      <w:r>
        <w:rPr>
          <w:rFonts w:ascii="Times New Roman" w:hAnsi="Times New Roman"/>
          <w:color w:val="0F172A"/>
          <w:sz w:val="24"/>
        </w:rPr>
        <w:t>• 25. Complete absence of a centralized bedside respiratory monitoring dashboard.</w:t>
      </w:r>
    </w:p>
    <w:p>
      <w:pPr>
        <w:pStyle w:val="Heading1"/>
        <w:spacing w:before="360" w:after="160"/>
      </w:pPr>
      <w:r>
        <w:rPr>
          <w:rFonts w:ascii="Times New Roman" w:hAnsi="Times New Roman"/>
          <w:b/>
          <w:color w:val="0F172A"/>
          <w:sz w:val="32"/>
        </w:rPr>
        <w:t>CHAPTER 5: PROBLEM DEFINITION AND ROOT-CAUSE ANALYSIS</w:t>
      </w:r>
    </w:p>
    <w:p>
      <w:pPr>
        <w:pStyle w:val="Heading2"/>
        <w:spacing w:before="280" w:after="120"/>
      </w:pPr>
      <w:r>
        <w:rPr>
          <w:rFonts w:ascii="Times New Roman" w:hAnsi="Times New Roman"/>
          <w:b/>
          <w:color w:val="1E293B"/>
          <w:sz w:val="28"/>
        </w:rPr>
        <w:t>5.1 The 'Problem Behind the Problem'</w:t>
      </w:r>
    </w:p>
    <w:p>
      <w:pPr>
        <w:spacing w:line="360" w:lineRule="auto" w:after="120"/>
        <w:jc w:val="both"/>
      </w:pPr>
      <w:r>
        <w:rPr>
          <w:rFonts w:ascii="Times New Roman" w:hAnsi="Times New Roman"/>
          <w:color w:val="0F172A"/>
          <w:sz w:val="24"/>
        </w:rPr>
        <w:t>Affinity clustering of the 25 observed problems revealed that the underlying crisis was not logistical, but cognitive. In hospital postings, students are pressured into rote execution: resetting alarms, silencing beeps, and filling humidifier jars. When an external examiner confronts them in a practical viva with diagnostic questions—such as 'Why did peak pressure spike while plateau pressure remained normal?'—students experience cognitive paralysis.</w:t>
      </w:r>
    </w:p>
    <w:p>
      <w:pPr>
        <w:spacing w:line="360" w:lineRule="auto" w:after="120"/>
        <w:jc w:val="both"/>
      </w:pPr>
      <w:r>
        <w:rPr>
          <w:rFonts w:ascii="Times New Roman" w:hAnsi="Times New Roman"/>
          <w:color w:val="0F172A"/>
          <w:sz w:val="24"/>
        </w:rPr>
        <w:t>We termed this phenomenon Passive Revision Syndrome. Students possess extensive PDF notes, but passive reading creates an illusion of competence. Reading does not stimulate the active retrieval pathways required to synthesize verbal explanations under oral examination pressure.</w:t>
      </w:r>
    </w:p>
    <w:p>
      <w:pPr>
        <w:pStyle w:val="Heading2"/>
        <w:spacing w:before="280" w:after="120"/>
      </w:pPr>
      <w:r>
        <w:rPr>
          <w:rFonts w:ascii="Times New Roman" w:hAnsi="Times New Roman"/>
          <w:b/>
          <w:color w:val="1E293B"/>
          <w:sz w:val="28"/>
        </w:rPr>
        <w:t>5.2 Reframed Problem Statement</w:t>
      </w:r>
    </w:p>
    <w:p>
      <w:pPr>
        <w:spacing w:line="360" w:lineRule="auto" w:after="120"/>
        <w:jc w:val="both"/>
      </w:pPr>
      <w:r>
        <w:rPr>
          <w:rFonts w:ascii="Times New Roman" w:hAnsi="Times New Roman"/>
          <w:color w:val="0F172A"/>
          <w:sz w:val="24"/>
        </w:rPr>
        <w:t>The problem was formally reframed as follows: 'How might we design a lightweight, accessible digital practical viva simulator that diagnoses conceptual misunderstandings in healthcare technology students and enables verbal response self-evaluation without requiring complex infrastructure or login friction?'</w:t>
      </w:r>
    </w:p>
    <w:p>
      <w:pPr>
        <w:pStyle w:val="Heading1"/>
        <w:spacing w:before="360" w:after="160"/>
      </w:pPr>
      <w:r>
        <w:rPr>
          <w:rFonts w:ascii="Times New Roman" w:hAnsi="Times New Roman"/>
          <w:b/>
          <w:color w:val="0F172A"/>
          <w:sz w:val="32"/>
        </w:rPr>
        <w:t>CHAPTER 6: IDEATION AND CONCEPT SELECTION</w:t>
      </w:r>
    </w:p>
    <w:p>
      <w:pPr>
        <w:pStyle w:val="Heading2"/>
        <w:spacing w:before="280" w:after="120"/>
      </w:pPr>
      <w:r>
        <w:rPr>
          <w:rFonts w:ascii="Times New Roman" w:hAnsi="Times New Roman"/>
          <w:b/>
          <w:color w:val="1E293B"/>
          <w:sz w:val="28"/>
        </w:rPr>
        <w:t>6.1 'Killing Our First Idea'</w:t>
      </w:r>
    </w:p>
    <w:p>
      <w:pPr>
        <w:spacing w:line="360" w:lineRule="auto" w:after="120"/>
        <w:jc w:val="both"/>
      </w:pPr>
      <w:r>
        <w:rPr>
          <w:rFonts w:ascii="Times New Roman" w:hAnsi="Times New Roman"/>
          <w:color w:val="0F172A"/>
          <w:sz w:val="24"/>
        </w:rPr>
        <w:t>Our team's initial obvious concept was developing a 3D virtual reality simulator where students would navigate an ICU room and rotate virtual ventilator knobs. We deliberately killed this concept early in the engineering cycle for three evidence-based reasons:</w:t>
      </w:r>
    </w:p>
    <w:p>
      <w:pPr>
        <w:spacing w:line="360" w:lineRule="auto" w:after="120"/>
        <w:jc w:val="both"/>
      </w:pPr>
      <w:r>
        <w:rPr>
          <w:rFonts w:ascii="Times New Roman" w:hAnsi="Times New Roman"/>
          <w:color w:val="0F172A"/>
          <w:sz w:val="24"/>
        </w:rPr>
        <w:t>1. Wrong Problem: Students already touch real ventilators daily during hospital shifts; their deficit is verbal reasoning, not knob-turning motor skill.</w:t>
      </w:r>
    </w:p>
    <w:p>
      <w:pPr>
        <w:spacing w:line="360" w:lineRule="auto" w:after="120"/>
        <w:jc w:val="both"/>
      </w:pPr>
      <w:r>
        <w:rPr>
          <w:rFonts w:ascii="Times New Roman" w:hAnsi="Times New Roman"/>
          <w:color w:val="0F172A"/>
          <w:sz w:val="24"/>
        </w:rPr>
        <w:t>2. Extreme Access Barrier: High-end VR headsets and gaming graphics cards are unaffordable for government medical college students.</w:t>
      </w:r>
    </w:p>
    <w:p>
      <w:pPr>
        <w:spacing w:line="360" w:lineRule="auto" w:after="120"/>
        <w:jc w:val="both"/>
      </w:pPr>
      <w:r>
        <w:rPr>
          <w:rFonts w:ascii="Times New Roman" w:hAnsi="Times New Roman"/>
          <w:color w:val="0F172A"/>
          <w:sz w:val="24"/>
        </w:rPr>
        <w:t>3. High Friction: Large downloads prevent quick 5-minute study sessions during hospital tea breaks.</w:t>
      </w:r>
    </w:p>
    <w:p>
      <w:pPr>
        <w:pStyle w:val="Heading2"/>
        <w:spacing w:before="280" w:after="120"/>
      </w:pPr>
      <w:r>
        <w:rPr>
          <w:rFonts w:ascii="Times New Roman" w:hAnsi="Times New Roman"/>
          <w:b/>
          <w:color w:val="1E293B"/>
          <w:sz w:val="28"/>
        </w:rPr>
        <w:t>6.2 Concept Generation and Decision Matrix</w:t>
      </w:r>
    </w:p>
    <w:p>
      <w:pPr>
        <w:spacing w:line="360" w:lineRule="auto" w:after="120"/>
        <w:jc w:val="both"/>
      </w:pPr>
      <w:r>
        <w:rPr>
          <w:rFonts w:ascii="Times New Roman" w:hAnsi="Times New Roman"/>
          <w:color w:val="0F172A"/>
          <w:sz w:val="24"/>
        </w:rPr>
        <w:t>Using Brainstorming and SCAMPER techniques, ten divergent concepts were formulated and evaluated against four criteria: Educational Impact (30%), Accessibility (30%), Feasibility in 10 Days (20%), and Low Friction (20%). The highest-scoring concept was a responsive web-based dual-mode practical viva trainer combining objective MCQ diagnosis with spoken response self-evaluation.</w:t>
      </w:r>
    </w:p>
    <w:p>
      <w:pPr>
        <w:pStyle w:val="Heading2"/>
        <w:spacing w:before="280" w:after="120"/>
      </w:pPr>
      <w:r>
        <w:rPr>
          <w:rFonts w:ascii="Times New Roman" w:hAnsi="Times New Roman"/>
          <w:b/>
          <w:color w:val="1E293B"/>
          <w:sz w:val="28"/>
        </w:rPr>
        <w:t>6.3 Critical Differentiator: Generic AI Chatbot vs. Dedicated Viva Trainer</w:t>
      </w:r>
    </w:p>
    <w:p>
      <w:pPr>
        <w:spacing w:line="360" w:lineRule="auto" w:after="120"/>
        <w:jc w:val="both"/>
      </w:pPr>
      <w:r>
        <w:rPr>
          <w:rFonts w:ascii="Times New Roman" w:hAnsi="Times New Roman"/>
          <w:color w:val="0F172A"/>
          <w:sz w:val="24"/>
        </w:rPr>
        <w:t>A central question in medical educational engineering is: 'Why build a dedicated platform when students could simply ask a generic chatbot like ChatGPT, Claude, or Microsoft Copilot?' Through empirical testing and student feedback, we established six fundamental failure modes of generic chatbots for viva preparation, and engineered MedSkill AI to solve them:</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Evaluation Dimension</w:t>
            </w:r>
          </w:p>
        </w:tc>
        <w:tc>
          <w:tcPr>
            <w:tcW w:type="dxa" w:w="3744"/>
            <w:tcMar>
              <w:top w:w="120" w:type="dxa"/>
              <w:bottom w:w="120" w:type="dxa"/>
              <w:left w:w="160" w:type="dxa"/>
              <w:right w:w="160" w:type="dxa"/>
            </w:tcMar>
            <w:shd w:fill="0F172A"/>
          </w:tcPr>
          <w:p>
            <w:pPr>
              <w:jc w:val="center"/>
            </w:pPr>
            <w:r>
              <w:rPr>
                <w:rFonts w:ascii="Times New Roman" w:hAnsi="Times New Roman"/>
                <w:b/>
                <w:color w:val="FFFFFF"/>
                <w:sz w:val="19"/>
              </w:rPr>
              <w:t>Generic AI Chatbot (ChatGPT / Copilot / Claude)</w:t>
            </w:r>
          </w:p>
        </w:tc>
        <w:tc>
          <w:tcPr>
            <w:tcW w:type="dxa" w:w="3744"/>
            <w:tcMar>
              <w:top w:w="120" w:type="dxa"/>
              <w:bottom w:w="120" w:type="dxa"/>
              <w:left w:w="160" w:type="dxa"/>
              <w:right w:w="160" w:type="dxa"/>
            </w:tcMar>
            <w:shd w:fill="0F172A"/>
          </w:tcPr>
          <w:p>
            <w:pPr>
              <w:jc w:val="center"/>
            </w:pPr>
            <w:r>
              <w:rPr>
                <w:rFonts w:ascii="Times New Roman" w:hAnsi="Times New Roman"/>
                <w:b/>
                <w:color w:val="FFFFFF"/>
                <w:sz w:val="19"/>
              </w:rPr>
              <w:t>MedSkill AI (Dedicated Viva Simulator)</w:t>
            </w:r>
          </w:p>
        </w:tc>
      </w:tr>
      <w:tr>
        <w:trPr>
          <w:cantSplit/>
        </w:trPr>
        <w:tc>
          <w:tcPr>
            <w:tcW w:type="dxa" w:w="2592"/>
            <w:tcMar>
              <w:top w:w="120" w:type="dxa"/>
              <w:bottom w:w="120" w:type="dxa"/>
              <w:left w:w="160" w:type="dxa"/>
              <w:right w:w="160" w:type="dxa"/>
            </w:tcMar>
            <w:shd w:fill="F8FAFC"/>
          </w:tcPr>
          <w:p>
            <w:r>
              <w:rPr>
                <w:rFonts w:ascii="Times New Roman" w:hAnsi="Times New Roman"/>
                <w:sz w:val="19"/>
              </w:rPr>
              <w:t>Curriculum Grounding</w:t>
            </w:r>
          </w:p>
        </w:tc>
        <w:tc>
          <w:tcPr>
            <w:tcW w:type="dxa" w:w="3744"/>
            <w:tcMar>
              <w:top w:w="120" w:type="dxa"/>
              <w:bottom w:w="120" w:type="dxa"/>
              <w:left w:w="160" w:type="dxa"/>
              <w:right w:w="160" w:type="dxa"/>
            </w:tcMar>
            <w:shd w:fill="F8FAFC"/>
          </w:tcPr>
          <w:p>
            <w:r>
              <w:rPr>
                <w:rFonts w:ascii="Times New Roman" w:hAnsi="Times New Roman"/>
                <w:sz w:val="19"/>
              </w:rPr>
              <w:t>Generates generic, unbounded text; prone to clinical hallucinations, conflicting drug dosages, and non-syllabus guidelines.</w:t>
            </w:r>
          </w:p>
        </w:tc>
        <w:tc>
          <w:tcPr>
            <w:tcW w:type="dxa" w:w="3744"/>
            <w:tcMar>
              <w:top w:w="120" w:type="dxa"/>
              <w:bottom w:w="120" w:type="dxa"/>
              <w:left w:w="160" w:type="dxa"/>
              <w:right w:w="160" w:type="dxa"/>
            </w:tcMar>
            <w:shd w:fill="F8FAFC"/>
          </w:tcPr>
          <w:p>
            <w:r>
              <w:rPr>
                <w:rFonts w:ascii="Times New Roman" w:hAnsi="Times New Roman"/>
                <w:sz w:val="19"/>
              </w:rPr>
              <w:t>Strictly anchored to 144 verified curriculum viva items from Egan, Miller, and Daugirdas textbooks.</w:t>
            </w:r>
          </w:p>
        </w:tc>
      </w:tr>
      <w:tr>
        <w:trPr>
          <w:cantSplit/>
        </w:trPr>
        <w:tc>
          <w:tcPr>
            <w:tcW w:type="dxa" w:w="2592"/>
            <w:tcMar>
              <w:top w:w="120" w:type="dxa"/>
              <w:bottom w:w="120" w:type="dxa"/>
              <w:left w:w="160" w:type="dxa"/>
              <w:right w:w="160" w:type="dxa"/>
            </w:tcMar>
          </w:tcPr>
          <w:p>
            <w:r>
              <w:rPr>
                <w:rFonts w:ascii="Times New Roman" w:hAnsi="Times New Roman"/>
                <w:sz w:val="19"/>
              </w:rPr>
              <w:t>Psychological Viva Urgency</w:t>
            </w:r>
          </w:p>
        </w:tc>
        <w:tc>
          <w:tcPr>
            <w:tcW w:type="dxa" w:w="3744"/>
            <w:tcMar>
              <w:top w:w="120" w:type="dxa"/>
              <w:bottom w:w="120" w:type="dxa"/>
              <w:left w:w="160" w:type="dxa"/>
              <w:right w:w="160" w:type="dxa"/>
            </w:tcMar>
          </w:tcPr>
          <w:p>
            <w:r>
              <w:rPr>
                <w:rFonts w:ascii="Times New Roman" w:hAnsi="Times New Roman"/>
                <w:sz w:val="19"/>
              </w:rPr>
              <w:t>Completely static. Chatbots wait indefinitely for user input with zero psychological stress stimulus.</w:t>
            </w:r>
          </w:p>
        </w:tc>
        <w:tc>
          <w:tcPr>
            <w:tcW w:type="dxa" w:w="3744"/>
            <w:tcMar>
              <w:top w:w="120" w:type="dxa"/>
              <w:bottom w:w="120" w:type="dxa"/>
              <w:left w:w="160" w:type="dxa"/>
              <w:right w:w="160" w:type="dxa"/>
            </w:tcMar>
          </w:tcPr>
          <w:p>
            <w:r>
              <w:rPr>
                <w:rFonts w:ascii="Times New Roman" w:hAnsi="Times New Roman"/>
                <w:sz w:val="19"/>
              </w:rPr>
              <w:t>Active 30-Second Examiner Pressure Mode: Rapid countdown timer with color-coded urgency alerts replicating oral viva anxiety.</w:t>
            </w:r>
          </w:p>
        </w:tc>
      </w:tr>
      <w:tr>
        <w:trPr>
          <w:cantSplit/>
        </w:trPr>
        <w:tc>
          <w:tcPr>
            <w:tcW w:type="dxa" w:w="2592"/>
            <w:tcMar>
              <w:top w:w="120" w:type="dxa"/>
              <w:bottom w:w="120" w:type="dxa"/>
              <w:left w:w="160" w:type="dxa"/>
              <w:right w:w="160" w:type="dxa"/>
            </w:tcMar>
            <w:shd w:fill="F8FAFC"/>
          </w:tcPr>
          <w:p>
            <w:r>
              <w:rPr>
                <w:rFonts w:ascii="Times New Roman" w:hAnsi="Times New Roman"/>
                <w:sz w:val="19"/>
              </w:rPr>
              <w:t>Offline Floor Resilience</w:t>
            </w:r>
          </w:p>
        </w:tc>
        <w:tc>
          <w:tcPr>
            <w:tcW w:type="dxa" w:w="3744"/>
            <w:tcMar>
              <w:top w:w="120" w:type="dxa"/>
              <w:bottom w:w="120" w:type="dxa"/>
              <w:left w:w="160" w:type="dxa"/>
              <w:right w:w="160" w:type="dxa"/>
            </w:tcMar>
            <w:shd w:fill="F8FAFC"/>
          </w:tcPr>
          <w:p>
            <w:r>
              <w:rPr>
                <w:rFonts w:ascii="Times New Roman" w:hAnsi="Times New Roman"/>
                <w:sz w:val="19"/>
              </w:rPr>
              <w:t>Requires uninterrupted broadband connectivity; completely unworkable in shielded hospital basements and ICU corridors.</w:t>
            </w:r>
          </w:p>
        </w:tc>
        <w:tc>
          <w:tcPr>
            <w:tcW w:type="dxa" w:w="3744"/>
            <w:tcMar>
              <w:top w:w="120" w:type="dxa"/>
              <w:bottom w:w="120" w:type="dxa"/>
              <w:left w:w="160" w:type="dxa"/>
              <w:right w:w="160" w:type="dxa"/>
            </w:tcMar>
            <w:shd w:fill="F8FAFC"/>
          </w:tcPr>
          <w:p>
            <w:r>
              <w:rPr>
                <w:rFonts w:ascii="Times New Roman" w:hAnsi="Times New Roman"/>
                <w:sz w:val="19"/>
              </w:rPr>
              <w:t>100% Offline-First Architecture: Tier 1 local retrieval operates with zero latency, zero internet, and zero API dependencies.</w:t>
            </w:r>
          </w:p>
        </w:tc>
      </w:tr>
      <w:tr>
        <w:trPr>
          <w:cantSplit/>
        </w:trPr>
        <w:tc>
          <w:tcPr>
            <w:tcW w:type="dxa" w:w="2592"/>
            <w:tcMar>
              <w:top w:w="120" w:type="dxa"/>
              <w:bottom w:w="120" w:type="dxa"/>
              <w:left w:w="160" w:type="dxa"/>
              <w:right w:w="160" w:type="dxa"/>
            </w:tcMar>
          </w:tcPr>
          <w:p>
            <w:r>
              <w:rPr>
                <w:rFonts w:ascii="Times New Roman" w:hAnsi="Times New Roman"/>
                <w:sz w:val="19"/>
              </w:rPr>
              <w:t>Structured Practice Flow</w:t>
            </w:r>
          </w:p>
        </w:tc>
        <w:tc>
          <w:tcPr>
            <w:tcW w:type="dxa" w:w="3744"/>
            <w:tcMar>
              <w:top w:w="120" w:type="dxa"/>
              <w:bottom w:w="120" w:type="dxa"/>
              <w:left w:w="160" w:type="dxa"/>
              <w:right w:w="160" w:type="dxa"/>
            </w:tcMar>
          </w:tcPr>
          <w:p>
            <w:r>
              <w:rPr>
                <w:rFonts w:ascii="Times New Roman" w:hAnsi="Times New Roman"/>
                <w:sz w:val="19"/>
              </w:rPr>
              <w:t>Open-ended conversational stream lacking objective difficulty tiers, question tracking, or topic-level mastery metrics.</w:t>
            </w:r>
          </w:p>
        </w:tc>
        <w:tc>
          <w:tcPr>
            <w:tcW w:type="dxa" w:w="3744"/>
            <w:tcMar>
              <w:top w:w="120" w:type="dxa"/>
              <w:bottom w:w="120" w:type="dxa"/>
              <w:left w:w="160" w:type="dxa"/>
              <w:right w:w="160" w:type="dxa"/>
            </w:tcMar>
          </w:tcPr>
          <w:p>
            <w:r>
              <w:rPr>
                <w:rFonts w:ascii="Times New Roman" w:hAnsi="Times New Roman"/>
                <w:sz w:val="19"/>
              </w:rPr>
              <w:t>Dual Practice Modes: Objective MCQ diagnostic mode + Spoken Quick Viva self-evaluation against reference instructor models.</w:t>
            </w:r>
          </w:p>
        </w:tc>
      </w:tr>
      <w:tr>
        <w:trPr>
          <w:cantSplit/>
        </w:trPr>
        <w:tc>
          <w:tcPr>
            <w:tcW w:type="dxa" w:w="2592"/>
            <w:tcMar>
              <w:top w:w="120" w:type="dxa"/>
              <w:bottom w:w="120" w:type="dxa"/>
              <w:left w:w="160" w:type="dxa"/>
              <w:right w:w="160" w:type="dxa"/>
            </w:tcMar>
            <w:shd w:fill="F8FAFC"/>
          </w:tcPr>
          <w:p>
            <w:r>
              <w:rPr>
                <w:rFonts w:ascii="Times New Roman" w:hAnsi="Times New Roman"/>
                <w:sz w:val="19"/>
              </w:rPr>
              <w:t>Targeted Remediation</w:t>
            </w:r>
          </w:p>
        </w:tc>
        <w:tc>
          <w:tcPr>
            <w:tcW w:type="dxa" w:w="3744"/>
            <w:tcMar>
              <w:top w:w="120" w:type="dxa"/>
              <w:bottom w:w="120" w:type="dxa"/>
              <w:left w:w="160" w:type="dxa"/>
              <w:right w:w="160" w:type="dxa"/>
            </w:tcMar>
            <w:shd w:fill="F8FAFC"/>
          </w:tcPr>
          <w:p>
            <w:r>
              <w:rPr>
                <w:rFonts w:ascii="Times New Roman" w:hAnsi="Times New Roman"/>
                <w:sz w:val="19"/>
              </w:rPr>
              <w:t>No automated gap analysis. The student must manually ask 'what did I get wrong?' with no persistence.</w:t>
            </w:r>
          </w:p>
        </w:tc>
        <w:tc>
          <w:tcPr>
            <w:tcW w:type="dxa" w:w="3744"/>
            <w:tcMar>
              <w:top w:w="120" w:type="dxa"/>
              <w:bottom w:w="120" w:type="dxa"/>
              <w:left w:w="160" w:type="dxa"/>
              <w:right w:w="160" w:type="dxa"/>
            </w:tcMar>
            <w:shd w:fill="F8FAFC"/>
          </w:tcPr>
          <w:p>
            <w:r>
              <w:rPr>
                <w:rFonts w:ascii="Times New Roman" w:hAnsi="Times New Roman"/>
                <w:sz w:val="19"/>
              </w:rPr>
              <w:t>1-Click Quick Retry Quiz isolating only failed items + 1-Click Pocket Viva Cram Sheet (.docx) generator.</w:t>
            </w:r>
          </w:p>
        </w:tc>
      </w:tr>
      <w:tr>
        <w:trPr>
          <w:cantSplit/>
        </w:trPr>
        <w:tc>
          <w:tcPr>
            <w:tcW w:type="dxa" w:w="2592"/>
            <w:tcMar>
              <w:top w:w="120" w:type="dxa"/>
              <w:bottom w:w="120" w:type="dxa"/>
              <w:left w:w="160" w:type="dxa"/>
              <w:right w:w="160" w:type="dxa"/>
            </w:tcMar>
          </w:tcPr>
          <w:p>
            <w:r>
              <w:rPr>
                <w:rFonts w:ascii="Times New Roman" w:hAnsi="Times New Roman"/>
                <w:sz w:val="19"/>
              </w:rPr>
              <w:t>Clinical Safety Boundaries</w:t>
            </w:r>
          </w:p>
        </w:tc>
        <w:tc>
          <w:tcPr>
            <w:tcW w:type="dxa" w:w="3744"/>
            <w:tcMar>
              <w:top w:w="120" w:type="dxa"/>
              <w:bottom w:w="120" w:type="dxa"/>
              <w:left w:w="160" w:type="dxa"/>
              <w:right w:w="160" w:type="dxa"/>
            </w:tcMar>
          </w:tcPr>
          <w:p>
            <w:r>
              <w:rPr>
                <w:rFonts w:ascii="Times New Roman" w:hAnsi="Times New Roman"/>
                <w:sz w:val="19"/>
              </w:rPr>
              <w:t>Unbounded generative conversational AI; presents high liability risk for unauthorized medical advice.</w:t>
            </w:r>
          </w:p>
        </w:tc>
        <w:tc>
          <w:tcPr>
            <w:tcW w:type="dxa" w:w="3744"/>
            <w:tcMar>
              <w:top w:w="120" w:type="dxa"/>
              <w:bottom w:w="120" w:type="dxa"/>
              <w:left w:w="160" w:type="dxa"/>
              <w:right w:w="160" w:type="dxa"/>
            </w:tcMar>
          </w:tcPr>
          <w:p>
            <w:r>
              <w:rPr>
                <w:rFonts w:ascii="Times New Roman" w:hAnsi="Times New Roman"/>
                <w:sz w:val="19"/>
              </w:rPr>
              <w:t>Non-prescriptive educational sandbox with prominent institutional disclaimers and verified answer keys.</w:t>
            </w:r>
          </w:p>
        </w:tc>
      </w:tr>
    </w:tbl>
    <w:p>
      <w:pPr>
        <w:pStyle w:val="Heading1"/>
        <w:spacing w:before="360" w:after="160"/>
      </w:pPr>
      <w:r>
        <w:rPr>
          <w:rFonts w:ascii="Times New Roman" w:hAnsi="Times New Roman"/>
          <w:b/>
          <w:color w:val="0F172A"/>
          <w:sz w:val="32"/>
        </w:rPr>
        <w:t>CHAPTER 7: SYSTEM REQUIREMENTS AND ARCHITECTURE</w:t>
      </w:r>
    </w:p>
    <w:p>
      <w:pPr>
        <w:pStyle w:val="Heading2"/>
        <w:spacing w:before="280" w:after="120"/>
      </w:pPr>
      <w:r>
        <w:rPr>
          <w:rFonts w:ascii="Times New Roman" w:hAnsi="Times New Roman"/>
          <w:b/>
          <w:color w:val="1E293B"/>
          <w:sz w:val="28"/>
        </w:rPr>
        <w:t>7.1 Architectural Overview</w:t>
      </w:r>
    </w:p>
    <w:p>
      <w:pPr>
        <w:spacing w:line="360" w:lineRule="auto" w:after="120"/>
        <w:jc w:val="both"/>
      </w:pPr>
      <w:r>
        <w:rPr>
          <w:rFonts w:ascii="Times New Roman" w:hAnsi="Times New Roman"/>
          <w:color w:val="0F172A"/>
          <w:sz w:val="24"/>
        </w:rPr>
        <w:t>MedSkill AI is engineered as a stateless, lightweight web platform built in Python 3.13 utilizing Streamlit 1.66. To ensure zero client barrier and immediate startup, the system uses an in-memory structured data model (questions.py) rather than a heavy relational database. The intelligence layer uses a dual-tier design: Tier 1 performs deterministic keyword-based retrieval across 144 verified curriculum records, operating with zero latency and zero external dependencies; Tier 2 provides optional connectivity to Google Gemini 1.5 Flash API when credentials are configured.</w:t>
      </w:r>
    </w:p>
    <w:p>
      <w:pPr>
        <w:pStyle w:val="Heading1"/>
        <w:spacing w:before="360" w:after="160"/>
      </w:pPr>
      <w:r>
        <w:rPr>
          <w:rFonts w:ascii="Times New Roman" w:hAnsi="Times New Roman"/>
          <w:b/>
          <w:color w:val="0F172A"/>
          <w:sz w:val="32"/>
        </w:rPr>
        <w:t>CHAPTER 8: IMPLEMENTATION OF MEDSKILL AI</w:t>
      </w:r>
    </w:p>
    <w:p>
      <w:pPr>
        <w:pStyle w:val="Heading2"/>
        <w:spacing w:before="280" w:after="120"/>
      </w:pPr>
      <w:r>
        <w:rPr>
          <w:rFonts w:ascii="Times New Roman" w:hAnsi="Times New Roman"/>
          <w:b/>
          <w:color w:val="1E293B"/>
          <w:sz w:val="28"/>
        </w:rPr>
        <w:t>8.1 Curriculum Question Bank (144 Questions)</w:t>
      </w:r>
    </w:p>
    <w:p>
      <w:pPr>
        <w:spacing w:line="360" w:lineRule="auto" w:after="120"/>
        <w:jc w:val="both"/>
      </w:pPr>
      <w:r>
        <w:rPr>
          <w:rFonts w:ascii="Times New Roman" w:hAnsi="Times New Roman"/>
          <w:color w:val="0F172A"/>
          <w:sz w:val="24"/>
        </w:rPr>
        <w:t>The core educational asset is an expanded curriculum question bank containing exactly 12 questions for each of the 12 core topics across the three target specialties (144 questions total). Each entry contains a unique alphanumeric identifier, specialty, topic, difficulty tier (Beginner, Intermediate, Advanced), four balanced options, a verified answer key, a detailed clinical explanation, bulleted revision talking points, and an instructor-approved sample oral viva response.</w:t>
      </w:r>
    </w:p>
    <w:p>
      <w:r>
        <w:t>The deployed web application interface (accessible at https://medskill-ai.streamlit.app/) is depicted in Figure 8.1. The design enforces a crisp, academic high-contrast visual architecture ensuring full legibility across both mobile and desktop viewport resolutions. It incorporates active clinical simulation timers, curriculum specialty selectors, and immediate transparent answer feedback.</w:t>
      </w:r>
    </w:p>
    <w:p>
      <w:pPr>
        <w:jc w:val="center"/>
      </w:pPr>
      <w:r>
        <w:drawing>
          <wp:inline xmlns:a="http://schemas.openxmlformats.org/drawingml/2006/main" xmlns:pic="http://schemas.openxmlformats.org/drawingml/2006/picture">
            <wp:extent cx="5029200" cy="2966442"/>
            <wp:docPr id="5" name="Picture 5"/>
            <wp:cNvGraphicFramePr>
              <a:graphicFrameLocks noChangeAspect="1"/>
            </wp:cNvGraphicFramePr>
            <a:graphic>
              <a:graphicData uri="http://schemas.openxmlformats.org/drawingml/2006/picture">
                <pic:pic>
                  <pic:nvPicPr>
                    <pic:cNvPr id="0" name="app_screenshot.png"/>
                    <pic:cNvPicPr/>
                  </pic:nvPicPr>
                  <pic:blipFill>
                    <a:blip r:embed="rId15"/>
                    <a:stretch>
                      <a:fillRect/>
                    </a:stretch>
                  </pic:blipFill>
                  <pic:spPr>
                    <a:xfrm>
                      <a:off x="0" y="0"/>
                      <a:ext cx="5029200" cy="2966442"/>
                    </a:xfrm>
                    <a:prstGeom prst="rect"/>
                  </pic:spPr>
                </pic:pic>
              </a:graphicData>
            </a:graphic>
          </wp:inline>
        </w:drawing>
      </w:r>
    </w:p>
    <w:p>
      <w:pPr>
        <w:jc w:val="center"/>
      </w:pPr>
      <w:r>
        <w:rPr>
          <w:i/>
          <w:sz w:val="18"/>
        </w:rPr>
        <w:t>Figure 8.1: Live MedSkill AI Web Interface with High-Contrast Typography &amp; Specialty Navigation.</w:t>
      </w:r>
    </w:p>
    <w:p>
      <w:pPr>
        <w:pStyle w:val="Heading2"/>
        <w:spacing w:before="280" w:after="120"/>
      </w:pPr>
      <w:r>
        <w:rPr>
          <w:rFonts w:ascii="Times New Roman" w:hAnsi="Times New Roman"/>
          <w:b/>
          <w:color w:val="1E293B"/>
          <w:sz w:val="28"/>
        </w:rPr>
        <w:t>8.2 User Interface and Styling Architecture</w:t>
      </w:r>
    </w:p>
    <w:p>
      <w:pPr>
        <w:spacing w:line="360" w:lineRule="auto" w:after="120"/>
        <w:jc w:val="both"/>
      </w:pPr>
      <w:r>
        <w:rPr>
          <w:rFonts w:ascii="Times New Roman" w:hAnsi="Times New Roman"/>
          <w:color w:val="0F172A"/>
          <w:sz w:val="24"/>
        </w:rPr>
        <w:t>The user interface enforces a high-contrast academic aesthetic. Streamlit's configuration is locked to a light base theme via .streamlit/config.toml, and custom CSS overrides ensure that all radio labels, typography, and card containers render with dark navy text (#0F172A), preventing illegible white-on-white text when client devices run in system dark mode.</w:t>
      </w:r>
    </w:p>
    <w:p>
      <w:pPr>
        <w:pStyle w:val="Heading1"/>
        <w:spacing w:before="360" w:after="160"/>
      </w:pPr>
      <w:r>
        <w:rPr>
          <w:rFonts w:ascii="Times New Roman" w:hAnsi="Times New Roman"/>
          <w:b/>
          <w:color w:val="0F172A"/>
          <w:sz w:val="32"/>
        </w:rPr>
        <w:t>CHAPTER 9: USABILITY EVALUATION AND USER FEEDBACK</w:t>
      </w:r>
    </w:p>
    <w:p>
      <w:pPr>
        <w:pStyle w:val="Heading2"/>
        <w:spacing w:before="280" w:after="120"/>
      </w:pPr>
      <w:r>
        <w:rPr>
          <w:rFonts w:ascii="Times New Roman" w:hAnsi="Times New Roman"/>
          <w:b/>
          <w:color w:val="1E293B"/>
          <w:sz w:val="28"/>
        </w:rPr>
        <w:t>9.1 Formal Feature-Level Review (18 Functional Features)</w:t>
      </w:r>
    </w:p>
    <w:p>
      <w:pPr>
        <w:spacing w:line="360" w:lineRule="auto" w:after="120"/>
        <w:jc w:val="both"/>
      </w:pPr>
      <w:r>
        <w:rPr>
          <w:rFonts w:ascii="Times New Roman" w:hAnsi="Times New Roman"/>
          <w:color w:val="0F172A"/>
          <w:sz w:val="24"/>
        </w:rPr>
        <w:t>Every feature of the application was audited across functional, usability, and resilience dimensions: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Feature Evaluated</w:t>
            </w:r>
          </w:p>
        </w:tc>
        <w:tc>
          <w:tcPr>
            <w:tcW w:type="dxa" w:w="3168"/>
            <w:tcMar>
              <w:top w:w="120" w:type="dxa"/>
              <w:bottom w:w="120" w:type="dxa"/>
              <w:left w:w="160" w:type="dxa"/>
              <w:right w:w="160" w:type="dxa"/>
            </w:tcMar>
            <w:shd w:fill="0F172A"/>
          </w:tcPr>
          <w:p>
            <w:pPr>
              <w:jc w:val="center"/>
            </w:pPr>
            <w:r>
              <w:rPr>
                <w:rFonts w:ascii="Times New Roman" w:hAnsi="Times New Roman"/>
                <w:b/>
                <w:color w:val="FFFFFF"/>
                <w:sz w:val="19"/>
              </w:rPr>
              <w:t>Observed Behavior</w:t>
            </w:r>
          </w:p>
        </w:tc>
        <w:tc>
          <w:tcPr>
            <w:tcW w:type="dxa" w:w="1728"/>
            <w:tcMar>
              <w:top w:w="120" w:type="dxa"/>
              <w:bottom w:w="120" w:type="dxa"/>
              <w:left w:w="160" w:type="dxa"/>
              <w:right w:w="160" w:type="dxa"/>
            </w:tcMar>
            <w:shd w:fill="0F172A"/>
          </w:tcPr>
          <w:p>
            <w:pPr>
              <w:jc w:val="center"/>
            </w:pPr>
            <w:r>
              <w:rPr>
                <w:rFonts w:ascii="Times New Roman" w:hAnsi="Times New Roman"/>
                <w:b/>
                <w:color w:val="FFFFFF"/>
                <w:sz w:val="19"/>
              </w:rPr>
              <w:t>Verification Status</w:t>
            </w:r>
          </w:p>
        </w:tc>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Identified Issue &amp; Action Taken</w:t>
            </w:r>
          </w:p>
        </w:tc>
      </w:tr>
      <w:tr>
        <w:trPr>
          <w:cantSplit/>
        </w:trPr>
        <w:tc>
          <w:tcPr>
            <w:tcW w:type="dxa" w:w="2592"/>
            <w:tcMar>
              <w:top w:w="120" w:type="dxa"/>
              <w:bottom w:w="120" w:type="dxa"/>
              <w:left w:w="160" w:type="dxa"/>
              <w:right w:w="160" w:type="dxa"/>
            </w:tcMar>
            <w:shd w:fill="F8FAFC"/>
          </w:tcPr>
          <w:p>
            <w:r>
              <w:rPr>
                <w:rFonts w:ascii="Times New Roman" w:hAnsi="Times New Roman"/>
                <w:sz w:val="19"/>
              </w:rPr>
              <w:t>Home Dashboard</w:t>
            </w:r>
          </w:p>
        </w:tc>
        <w:tc>
          <w:tcPr>
            <w:tcW w:type="dxa" w:w="3168"/>
            <w:tcMar>
              <w:top w:w="120" w:type="dxa"/>
              <w:bottom w:w="120" w:type="dxa"/>
              <w:left w:w="160" w:type="dxa"/>
              <w:right w:w="160" w:type="dxa"/>
            </w:tcMar>
            <w:shd w:fill="F8FAFC"/>
          </w:tcPr>
          <w:p>
            <w:r>
              <w:rPr>
                <w:rFonts w:ascii="Times New Roman" w:hAnsi="Times New Roman"/>
                <w:sz w:val="19"/>
              </w:rPr>
              <w:t>Loads 144 question count, session attempts, score, and specialty cards cleanly.</w:t>
            </w:r>
          </w:p>
        </w:tc>
        <w:tc>
          <w:tcPr>
            <w:tcW w:type="dxa" w:w="1728"/>
            <w:tcMar>
              <w:top w:w="120" w:type="dxa"/>
              <w:bottom w:w="120" w:type="dxa"/>
              <w:left w:w="160" w:type="dxa"/>
              <w:right w:w="160" w:type="dxa"/>
            </w:tcMar>
            <w:shd w:fill="F8FAFC"/>
          </w:tcPr>
          <w:p>
            <w:r>
              <w:rPr>
                <w:rFonts w:ascii="Times New Roman" w:hAnsi="Times New Roman"/>
                <w:sz w:val="19"/>
              </w:rPr>
              <w:t>Passed</w:t>
            </w:r>
          </w:p>
        </w:tc>
        <w:tc>
          <w:tcPr>
            <w:tcW w:type="dxa" w:w="2592"/>
            <w:tcMar>
              <w:top w:w="120" w:type="dxa"/>
              <w:bottom w:w="120" w:type="dxa"/>
              <w:left w:w="160" w:type="dxa"/>
              <w:right w:w="160" w:type="dxa"/>
            </w:tcMar>
            <w:shd w:fill="F8FAFC"/>
          </w:tcPr>
          <w:p>
            <w:r>
              <w:rPr>
                <w:rFonts w:ascii="Times New Roman" w:hAnsi="Times New Roman"/>
                <w:sz w:val="19"/>
              </w:rPr>
              <w:t>None. Metrics correctly initialize to 0.</w:t>
            </w:r>
          </w:p>
        </w:tc>
      </w:tr>
      <w:tr>
        <w:trPr>
          <w:cantSplit/>
        </w:trPr>
        <w:tc>
          <w:tcPr>
            <w:tcW w:type="dxa" w:w="2592"/>
            <w:tcMar>
              <w:top w:w="120" w:type="dxa"/>
              <w:bottom w:w="120" w:type="dxa"/>
              <w:left w:w="160" w:type="dxa"/>
              <w:right w:w="160" w:type="dxa"/>
            </w:tcMar>
          </w:tcPr>
          <w:p>
            <w:r>
              <w:rPr>
                <w:rFonts w:ascii="Times New Roman" w:hAnsi="Times New Roman"/>
                <w:sz w:val="19"/>
              </w:rPr>
              <w:t>MCQ Practice Mode</w:t>
            </w:r>
          </w:p>
        </w:tc>
        <w:tc>
          <w:tcPr>
            <w:tcW w:type="dxa" w:w="3168"/>
            <w:tcMar>
              <w:top w:w="120" w:type="dxa"/>
              <w:bottom w:w="120" w:type="dxa"/>
              <w:left w:w="160" w:type="dxa"/>
              <w:right w:w="160" w:type="dxa"/>
            </w:tcMar>
          </w:tcPr>
          <w:p>
            <w:r>
              <w:rPr>
                <w:rFonts w:ascii="Times New Roman" w:hAnsi="Times New Roman"/>
                <w:sz w:val="19"/>
              </w:rPr>
              <w:t>Renders 4 options as distinct cards; prevents duplicate scoring via state flags.</w:t>
            </w:r>
          </w:p>
        </w:tc>
        <w:tc>
          <w:tcPr>
            <w:tcW w:type="dxa" w:w="1728"/>
            <w:tcMar>
              <w:top w:w="120" w:type="dxa"/>
              <w:bottom w:w="120" w:type="dxa"/>
              <w:left w:w="160" w:type="dxa"/>
              <w:right w:w="160" w:type="dxa"/>
            </w:tcMar>
          </w:tcPr>
          <w:p>
            <w:r>
              <w:rPr>
                <w:rFonts w:ascii="Times New Roman" w:hAnsi="Times New Roman"/>
                <w:sz w:val="19"/>
              </w:rPr>
              <w:t>Passed</w:t>
            </w:r>
          </w:p>
        </w:tc>
        <w:tc>
          <w:tcPr>
            <w:tcW w:type="dxa" w:w="2592"/>
            <w:tcMar>
              <w:top w:w="120" w:type="dxa"/>
              <w:bottom w:w="120" w:type="dxa"/>
              <w:left w:w="160" w:type="dxa"/>
              <w:right w:w="160" w:type="dxa"/>
            </w:tcMar>
          </w:tcPr>
          <w:p>
            <w:r>
              <w:rPr>
                <w:rFonts w:ascii="Times New Roman" w:hAnsi="Times New Roman"/>
                <w:sz w:val="19"/>
              </w:rPr>
              <w:t>Initial dark-mode white text bug resolved via custom CSS.</w:t>
            </w:r>
          </w:p>
        </w:tc>
      </w:tr>
      <w:tr>
        <w:trPr>
          <w:cantSplit/>
        </w:trPr>
        <w:tc>
          <w:tcPr>
            <w:tcW w:type="dxa" w:w="2592"/>
            <w:tcMar>
              <w:top w:w="120" w:type="dxa"/>
              <w:bottom w:w="120" w:type="dxa"/>
              <w:left w:w="160" w:type="dxa"/>
              <w:right w:w="160" w:type="dxa"/>
            </w:tcMar>
            <w:shd w:fill="F8FAFC"/>
          </w:tcPr>
          <w:p>
            <w:r>
              <w:rPr>
                <w:rFonts w:ascii="Times New Roman" w:hAnsi="Times New Roman"/>
                <w:sz w:val="19"/>
              </w:rPr>
              <w:t>Quick Viva Mode</w:t>
            </w:r>
          </w:p>
        </w:tc>
        <w:tc>
          <w:tcPr>
            <w:tcW w:type="dxa" w:w="3168"/>
            <w:tcMar>
              <w:top w:w="120" w:type="dxa"/>
              <w:bottom w:w="120" w:type="dxa"/>
              <w:left w:w="160" w:type="dxa"/>
              <w:right w:w="160" w:type="dxa"/>
            </w:tcMar>
            <w:shd w:fill="F8FAFC"/>
          </w:tcPr>
          <w:p>
            <w:r>
              <w:rPr>
                <w:rFonts w:ascii="Times New Roman" w:hAnsi="Times New Roman"/>
                <w:sz w:val="19"/>
              </w:rPr>
              <w:t>Provides text input area and compares student formulation with model response.</w:t>
            </w:r>
          </w:p>
        </w:tc>
        <w:tc>
          <w:tcPr>
            <w:tcW w:type="dxa" w:w="1728"/>
            <w:tcMar>
              <w:top w:w="120" w:type="dxa"/>
              <w:bottom w:w="120" w:type="dxa"/>
              <w:left w:w="160" w:type="dxa"/>
              <w:right w:w="160" w:type="dxa"/>
            </w:tcMar>
            <w:shd w:fill="F8FAFC"/>
          </w:tcPr>
          <w:p>
            <w:r>
              <w:rPr>
                <w:rFonts w:ascii="Times New Roman" w:hAnsi="Times New Roman"/>
                <w:sz w:val="19"/>
              </w:rPr>
              <w:t>Passed</w:t>
            </w:r>
          </w:p>
        </w:tc>
        <w:tc>
          <w:tcPr>
            <w:tcW w:type="dxa" w:w="2592"/>
            <w:tcMar>
              <w:top w:w="120" w:type="dxa"/>
              <w:bottom w:w="120" w:type="dxa"/>
              <w:left w:w="160" w:type="dxa"/>
              <w:right w:w="160" w:type="dxa"/>
            </w:tcMar>
            <w:shd w:fill="F8FAFC"/>
          </w:tcPr>
          <w:p>
            <w:r>
              <w:rPr>
                <w:rFonts w:ascii="Times New Roman" w:hAnsi="Times New Roman"/>
                <w:sz w:val="19"/>
              </w:rPr>
              <w:t>Clarified that it is a self-evaluation comparison, not automated grading.</w:t>
            </w:r>
          </w:p>
        </w:tc>
      </w:tr>
      <w:tr>
        <w:trPr>
          <w:cantSplit/>
        </w:trPr>
        <w:tc>
          <w:tcPr>
            <w:tcW w:type="dxa" w:w="2592"/>
            <w:tcMar>
              <w:top w:w="120" w:type="dxa"/>
              <w:bottom w:w="120" w:type="dxa"/>
              <w:left w:w="160" w:type="dxa"/>
              <w:right w:w="160" w:type="dxa"/>
            </w:tcMar>
          </w:tcPr>
          <w:p>
            <w:r>
              <w:rPr>
                <w:rFonts w:ascii="Times New Roman" w:hAnsi="Times New Roman"/>
                <w:sz w:val="19"/>
              </w:rPr>
              <w:t>Retry Missed Items</w:t>
            </w:r>
          </w:p>
        </w:tc>
        <w:tc>
          <w:tcPr>
            <w:tcW w:type="dxa" w:w="3168"/>
            <w:tcMar>
              <w:top w:w="120" w:type="dxa"/>
              <w:bottom w:w="120" w:type="dxa"/>
              <w:left w:w="160" w:type="dxa"/>
              <w:right w:w="160" w:type="dxa"/>
            </w:tcMar>
          </w:tcPr>
          <w:p>
            <w:r>
              <w:rPr>
                <w:rFonts w:ascii="Times New Roman" w:hAnsi="Times New Roman"/>
                <w:sz w:val="19"/>
              </w:rPr>
              <w:t>1-click 'Quick Retry' filters active list to only questions user missed.</w:t>
            </w:r>
          </w:p>
        </w:tc>
        <w:tc>
          <w:tcPr>
            <w:tcW w:type="dxa" w:w="1728"/>
            <w:tcMar>
              <w:top w:w="120" w:type="dxa"/>
              <w:bottom w:w="120" w:type="dxa"/>
              <w:left w:w="160" w:type="dxa"/>
              <w:right w:w="160" w:type="dxa"/>
            </w:tcMar>
          </w:tcPr>
          <w:p>
            <w:r>
              <w:rPr>
                <w:rFonts w:ascii="Times New Roman" w:hAnsi="Times New Roman"/>
                <w:sz w:val="19"/>
              </w:rPr>
              <w:t>Passed</w:t>
            </w:r>
          </w:p>
        </w:tc>
        <w:tc>
          <w:tcPr>
            <w:tcW w:type="dxa" w:w="2592"/>
            <w:tcMar>
              <w:top w:w="120" w:type="dxa"/>
              <w:bottom w:w="120" w:type="dxa"/>
              <w:left w:w="160" w:type="dxa"/>
              <w:right w:w="160" w:type="dxa"/>
            </w:tcMar>
          </w:tcPr>
          <w:p>
            <w:r>
              <w:rPr>
                <w:rFonts w:ascii="Times New Roman" w:hAnsi="Times New Roman"/>
                <w:sz w:val="19"/>
              </w:rPr>
              <w:t>Initial build required redoing all 12 items; resolved in P2.</w:t>
            </w:r>
          </w:p>
        </w:tc>
      </w:tr>
      <w:tr>
        <w:trPr>
          <w:cantSplit/>
        </w:trPr>
        <w:tc>
          <w:tcPr>
            <w:tcW w:type="dxa" w:w="2592"/>
            <w:tcMar>
              <w:top w:w="120" w:type="dxa"/>
              <w:bottom w:w="120" w:type="dxa"/>
              <w:left w:w="160" w:type="dxa"/>
              <w:right w:w="160" w:type="dxa"/>
            </w:tcMar>
            <w:shd w:fill="F8FAFC"/>
          </w:tcPr>
          <w:p>
            <w:r>
              <w:rPr>
                <w:rFonts w:ascii="Times New Roman" w:hAnsi="Times New Roman"/>
                <w:sz w:val="19"/>
              </w:rPr>
              <w:t>Offline Intelligence</w:t>
            </w:r>
          </w:p>
        </w:tc>
        <w:tc>
          <w:tcPr>
            <w:tcW w:type="dxa" w:w="3168"/>
            <w:tcMar>
              <w:top w:w="120" w:type="dxa"/>
              <w:bottom w:w="120" w:type="dxa"/>
              <w:left w:w="160" w:type="dxa"/>
              <w:right w:w="160" w:type="dxa"/>
            </w:tcMar>
            <w:shd w:fill="F8FAFC"/>
          </w:tcPr>
          <w:p>
            <w:r>
              <w:rPr>
                <w:rFonts w:ascii="Times New Roman" w:hAnsi="Times New Roman"/>
                <w:sz w:val="19"/>
              </w:rPr>
              <w:t>Searches 144 records by keyword overlap when API key is missing.</w:t>
            </w:r>
          </w:p>
        </w:tc>
        <w:tc>
          <w:tcPr>
            <w:tcW w:type="dxa" w:w="1728"/>
            <w:tcMar>
              <w:top w:w="120" w:type="dxa"/>
              <w:bottom w:w="120" w:type="dxa"/>
              <w:left w:w="160" w:type="dxa"/>
              <w:right w:w="160" w:type="dxa"/>
            </w:tcMar>
            <w:shd w:fill="F8FAFC"/>
          </w:tcPr>
          <w:p>
            <w:r>
              <w:rPr>
                <w:rFonts w:ascii="Times New Roman" w:hAnsi="Times New Roman"/>
                <w:sz w:val="19"/>
              </w:rPr>
              <w:t>Passed</w:t>
            </w:r>
          </w:p>
        </w:tc>
        <w:tc>
          <w:tcPr>
            <w:tcW w:type="dxa" w:w="2592"/>
            <w:tcMar>
              <w:top w:w="120" w:type="dxa"/>
              <w:bottom w:w="120" w:type="dxa"/>
              <w:left w:w="160" w:type="dxa"/>
              <w:right w:w="160" w:type="dxa"/>
            </w:tcMar>
            <w:shd w:fill="F8FAFC"/>
          </w:tcPr>
          <w:p>
            <w:r>
              <w:rPr>
                <w:rFonts w:ascii="Times New Roman" w:hAnsi="Times New Roman"/>
                <w:sz w:val="19"/>
              </w:rPr>
              <w:t>Fixed StreamlitSecretNotFoundError using exception-wrapped get_secret().</w:t>
            </w:r>
          </w:p>
        </w:tc>
      </w:tr>
      <w:tr>
        <w:trPr>
          <w:cantSplit/>
        </w:trPr>
        <w:tc>
          <w:tcPr>
            <w:tcW w:type="dxa" w:w="2592"/>
            <w:tcMar>
              <w:top w:w="120" w:type="dxa"/>
              <w:bottom w:w="120" w:type="dxa"/>
              <w:left w:w="160" w:type="dxa"/>
              <w:right w:w="160" w:type="dxa"/>
            </w:tcMar>
          </w:tcPr>
          <w:p>
            <w:r>
              <w:rPr>
                <w:rFonts w:ascii="Times New Roman" w:hAnsi="Times New Roman"/>
                <w:sz w:val="19"/>
              </w:rPr>
              <w:t>Disclaimer Visibility</w:t>
            </w:r>
          </w:p>
        </w:tc>
        <w:tc>
          <w:tcPr>
            <w:tcW w:type="dxa" w:w="3168"/>
            <w:tcMar>
              <w:top w:w="120" w:type="dxa"/>
              <w:bottom w:w="120" w:type="dxa"/>
              <w:left w:w="160" w:type="dxa"/>
              <w:right w:w="160" w:type="dxa"/>
            </w:tcMar>
          </w:tcPr>
          <w:p>
            <w:r>
              <w:rPr>
                <w:rFonts w:ascii="Times New Roman" w:hAnsi="Times New Roman"/>
                <w:sz w:val="19"/>
              </w:rPr>
              <w:t>Displays prototype boundaries on sidebar footer and AI concept tutor page.</w:t>
            </w:r>
          </w:p>
        </w:tc>
        <w:tc>
          <w:tcPr>
            <w:tcW w:type="dxa" w:w="1728"/>
            <w:tcMar>
              <w:top w:w="120" w:type="dxa"/>
              <w:bottom w:w="120" w:type="dxa"/>
              <w:left w:w="160" w:type="dxa"/>
              <w:right w:w="160" w:type="dxa"/>
            </w:tcMar>
          </w:tcPr>
          <w:p>
            <w:r>
              <w:rPr>
                <w:rFonts w:ascii="Times New Roman" w:hAnsi="Times New Roman"/>
                <w:sz w:val="19"/>
              </w:rPr>
              <w:t>Passed</w:t>
            </w:r>
          </w:p>
        </w:tc>
        <w:tc>
          <w:tcPr>
            <w:tcW w:type="dxa" w:w="2592"/>
            <w:tcMar>
              <w:top w:w="120" w:type="dxa"/>
              <w:bottom w:w="120" w:type="dxa"/>
              <w:left w:w="160" w:type="dxa"/>
              <w:right w:w="160" w:type="dxa"/>
            </w:tcMar>
          </w:tcPr>
          <w:p>
            <w:r>
              <w:rPr>
                <w:rFonts w:ascii="Times New Roman" w:hAnsi="Times New Roman"/>
                <w:sz w:val="19"/>
              </w:rPr>
              <w:t>Affirmed non-clinical educational scope.</w:t>
            </w:r>
          </w:p>
        </w:tc>
      </w:tr>
    </w:tbl>
    <w:p>
      <w:pPr>
        <w:pStyle w:val="Heading1"/>
        <w:spacing w:before="360" w:after="160"/>
      </w:pPr>
      <w:r>
        <w:rPr>
          <w:rFonts w:ascii="Times New Roman" w:hAnsi="Times New Roman"/>
          <w:b/>
          <w:color w:val="0F172A"/>
          <w:sz w:val="32"/>
        </w:rPr>
        <w:t>CHAPTER 10: PROTOTYPE IMPROVEMENTS AND FINAL SOLUTION</w:t>
      </w:r>
    </w:p>
    <w:p>
      <w:pPr>
        <w:pStyle w:val="Heading2"/>
        <w:spacing w:before="280" w:after="120"/>
      </w:pPr>
      <w:r>
        <w:rPr>
          <w:rFonts w:ascii="Times New Roman" w:hAnsi="Times New Roman"/>
          <w:b/>
          <w:color w:val="1E293B"/>
          <w:sz w:val="28"/>
        </w:rPr>
        <w:t>10.1 Tangible Evolution: Prototype 1 vs. Prototype 2</w:t>
      </w:r>
    </w:p>
    <w:p>
      <w:pPr>
        <w:spacing w:line="360" w:lineRule="auto" w:after="120"/>
        <w:jc w:val="both"/>
      </w:pPr>
      <w:r>
        <w:rPr>
          <w:rFonts w:ascii="Times New Roman" w:hAnsi="Times New Roman"/>
          <w:color w:val="0F172A"/>
          <w:sz w:val="24"/>
        </w:rPr>
        <w:t>The transition from Prototype 1 to Prototype 2 was driven entirely by genuine student feedback:</w:t>
      </w:r>
    </w:p>
    <w:p>
      <w:pPr>
        <w:spacing w:line="360" w:lineRule="auto" w:after="120"/>
        <w:jc w:val="both"/>
      </w:pPr>
      <w:r>
        <w:rPr>
          <w:rFonts w:ascii="Times New Roman" w:hAnsi="Times New Roman"/>
          <w:color w:val="0F172A"/>
          <w:sz w:val="24"/>
        </w:rPr>
        <w:t>1. Question Volume: Expanded from 24 questions (2 per topic) to 144 questions (exactly 12 per topic) in response to feedback from Siddhi and Tharun.</w:t>
      </w:r>
    </w:p>
    <w:p>
      <w:pPr>
        <w:spacing w:line="360" w:lineRule="auto" w:after="120"/>
        <w:jc w:val="both"/>
      </w:pPr>
      <w:r>
        <w:rPr>
          <w:rFonts w:ascii="Times New Roman" w:hAnsi="Times New Roman"/>
          <w:color w:val="0F172A"/>
          <w:sz w:val="24"/>
        </w:rPr>
        <w:t>2. Spoken Articulation: Added Quick Viva Mode based on Naziya's observation that university examiners test verbal speech rather than multiple choice.</w:t>
      </w:r>
    </w:p>
    <w:p>
      <w:pPr>
        <w:spacing w:line="360" w:lineRule="auto" w:after="120"/>
        <w:jc w:val="both"/>
      </w:pPr>
      <w:r>
        <w:rPr>
          <w:rFonts w:ascii="Times New Roman" w:hAnsi="Times New Roman"/>
          <w:color w:val="0F172A"/>
          <w:sz w:val="24"/>
        </w:rPr>
        <w:t>3. Targeted Remediation: Added the 1-click Quick Retry Quiz based on Bhargav's complaint that repeating completed questions wasted revision time.</w:t>
      </w:r>
    </w:p>
    <w:p>
      <w:pPr>
        <w:spacing w:line="360" w:lineRule="auto" w:after="120"/>
        <w:jc w:val="both"/>
      </w:pPr>
      <w:r>
        <w:rPr>
          <w:rFonts w:ascii="Times New Roman" w:hAnsi="Times New Roman"/>
          <w:color w:val="0F172A"/>
          <w:sz w:val="24"/>
        </w:rPr>
        <w:t>4. High-Contrast Contrast Lock: Resolved the critical dark-mode white font defect reported by Riddhi using .streamlit/config.toml.</w:t>
      </w:r>
    </w:p>
    <w:p>
      <w:pPr>
        <w:spacing w:line="360" w:lineRule="auto" w:after="120"/>
        <w:jc w:val="both"/>
      </w:pPr>
      <w:r>
        <w:rPr>
          <w:rFonts w:ascii="Times New Roman" w:hAnsi="Times New Roman"/>
          <w:color w:val="0F172A"/>
          <w:sz w:val="24"/>
        </w:rPr>
        <w:t>5. Offline Resilience: Built a local keyword retrieval engine in query_optional_ai() to satisfy Naveen's requirement for functioning in hospital basements with zero internet.</w:t>
      </w:r>
    </w:p>
    <w:p>
      <w:pPr>
        <w:spacing w:line="360" w:lineRule="auto" w:after="120"/>
        <w:jc w:val="both"/>
      </w:pPr>
      <w:r>
        <w:rPr>
          <w:rFonts w:ascii="Times New Roman" w:hAnsi="Times New Roman"/>
          <w:color w:val="0F172A"/>
          <w:sz w:val="24"/>
        </w:rPr>
        <w:t>6. Psychological Viva Urgency (Examiner Pressure Mode): Added an optional 30-second rapid countdown timer with color-coded urgency alerts to simulate real examiner questioning speed, addressing Preethi's feedback regarding exam panic.</w:t>
      </w:r>
    </w:p>
    <w:p>
      <w:pPr>
        <w:spacing w:line="360" w:lineRule="auto" w:after="120"/>
        <w:jc w:val="both"/>
      </w:pPr>
      <w:r>
        <w:rPr>
          <w:rFonts w:ascii="Times New Roman" w:hAnsi="Times New Roman"/>
          <w:color w:val="0F172A"/>
          <w:sz w:val="24"/>
        </w:rPr>
        <w:t>7. Portable Clinical Revision (Pocket Viva Cram Sheet Generator): Integrated a 1-click Word document generator (.docx) producing an ultra-compact, high-yield cheat-sheet of missed questions, physiological rationales, and examiner buzzwords for students waiting outside the exam hall.</w:t>
      </w:r>
    </w:p>
    <w:p>
      <w:pPr>
        <w:pStyle w:val="Heading1"/>
        <w:spacing w:before="360" w:after="160"/>
      </w:pPr>
      <w:r>
        <w:rPr>
          <w:rFonts w:ascii="Times New Roman" w:hAnsi="Times New Roman"/>
          <w:b/>
          <w:color w:val="0F172A"/>
          <w:sz w:val="32"/>
        </w:rPr>
        <w:t>CHAPTER 11: TESTING AND RESULTS</w:t>
      </w:r>
    </w:p>
    <w:p>
      <w:pPr>
        <w:pStyle w:val="Heading2"/>
        <w:spacing w:before="280" w:after="120"/>
      </w:pPr>
      <w:r>
        <w:rPr>
          <w:rFonts w:ascii="Times New Roman" w:hAnsi="Times New Roman"/>
          <w:b/>
          <w:color w:val="1E293B"/>
          <w:sz w:val="28"/>
        </w:rPr>
        <w:t>11.1 Automated Test Execution</w:t>
      </w:r>
    </w:p>
    <w:p>
      <w:pPr>
        <w:spacing w:line="360" w:lineRule="auto" w:after="120"/>
        <w:jc w:val="both"/>
      </w:pPr>
      <w:r>
        <w:rPr>
          <w:rFonts w:ascii="Times New Roman" w:hAnsi="Times New Roman"/>
          <w:color w:val="0F172A"/>
          <w:sz w:val="24"/>
        </w:rPr>
        <w:t>Automated unit tests in test_medskill.py verify data schema integrity across the 144 questions. Execution confirmed that all 144 entries contain unique identifiers, exactly 4 options, valid correct indices, and that every single topic contains at least 12 questions with zero syntax or runtime errors.</w:t>
      </w:r>
    </w:p>
    <w:p>
      <w:pPr>
        <w:pStyle w:val="Heading1"/>
        <w:spacing w:before="360" w:after="160"/>
      </w:pPr>
      <w:r>
        <w:rPr>
          <w:rFonts w:ascii="Times New Roman" w:hAnsi="Times New Roman"/>
          <w:b/>
          <w:color w:val="0F172A"/>
          <w:sz w:val="32"/>
        </w:rPr>
        <w:t>CHAPTER 12: LIMITATIONS AND FUTURE SCOPE</w:t>
      </w:r>
    </w:p>
    <w:p>
      <w:pPr>
        <w:pStyle w:val="Heading2"/>
        <w:spacing w:before="280" w:after="120"/>
      </w:pPr>
      <w:r>
        <w:rPr>
          <w:rFonts w:ascii="Times New Roman" w:hAnsi="Times New Roman"/>
          <w:b/>
          <w:color w:val="1E293B"/>
          <w:sz w:val="28"/>
        </w:rPr>
        <w:t>12.1 Academic Honesty &amp; Study Limitations</w:t>
      </w:r>
    </w:p>
    <w:p>
      <w:pPr>
        <w:spacing w:line="360" w:lineRule="auto" w:after="120"/>
        <w:jc w:val="both"/>
      </w:pPr>
      <w:r>
        <w:rPr>
          <w:rFonts w:ascii="Times New Roman" w:hAnsi="Times New Roman"/>
          <w:color w:val="0F172A"/>
          <w:sz w:val="24"/>
        </w:rPr>
        <w:t>In accordance with academic standards, we distinguish usability success from proof of clinical learning efficacy. Usability testing demonstrated that students navigate the interface and appreciate the rationales. However, proving that MedSkill AI 'significantly improves student exam scores' requires a controlled longitudinal cohort study comparing intervention and control groups across academic terms, which was beyond the scope of a 10-day engineering prototype.</w:t>
      </w:r>
    </w:p>
    <w:p>
      <w:pPr>
        <w:spacing w:line="360" w:lineRule="auto" w:after="120"/>
        <w:jc w:val="both"/>
      </w:pPr>
      <w:r>
        <w:rPr>
          <w:rFonts w:ascii="Times New Roman" w:hAnsi="Times New Roman"/>
          <w:color w:val="0F172A"/>
          <w:sz w:val="24"/>
        </w:rPr>
        <w:t>Technical limitations include the absence of persistent multi-session progress tracking (by design, to avoid database and privacy barriers) and reliance on text-based typing rather than speech recognition for the Quick Viva mode.</w:t>
      </w:r>
    </w:p>
    <w:p>
      <w:pPr>
        <w:pStyle w:val="Heading2"/>
        <w:spacing w:before="280" w:after="120"/>
      </w:pPr>
      <w:r>
        <w:rPr>
          <w:rFonts w:ascii="Times New Roman" w:hAnsi="Times New Roman"/>
          <w:b/>
          <w:color w:val="1E293B"/>
          <w:sz w:val="28"/>
        </w:rPr>
        <w:t>12.2 Future Scope</w:t>
      </w:r>
    </w:p>
    <w:p>
      <w:pPr>
        <w:spacing w:line="360" w:lineRule="auto" w:after="120"/>
        <w:jc w:val="both"/>
      </w:pPr>
      <w:r>
        <w:rPr>
          <w:rFonts w:ascii="Times New Roman" w:hAnsi="Times New Roman"/>
          <w:color w:val="0F172A"/>
          <w:sz w:val="24"/>
        </w:rPr>
        <w:t>Future phases will investigate: 1) integrating the browser Web Speech API for oral speech-to-text dictation; 2) expanding the curriculum bank to Perfusion Technology and Cardiac Care; and 3) conducting formal pedagogical trials with faculty evaluation.</w:t>
      </w:r>
    </w:p>
    <w:p>
      <w:pPr>
        <w:pStyle w:val="Heading1"/>
        <w:spacing w:before="360" w:after="160"/>
      </w:pPr>
      <w:r>
        <w:rPr>
          <w:rFonts w:ascii="Times New Roman" w:hAnsi="Times New Roman"/>
          <w:b/>
          <w:color w:val="0F172A"/>
          <w:sz w:val="32"/>
        </w:rPr>
        <w:t>CHAPTER 13: CONCLUSION</w:t>
      </w:r>
    </w:p>
    <w:p>
      <w:pPr>
        <w:spacing w:line="360" w:lineRule="auto" w:after="120"/>
        <w:jc w:val="both"/>
      </w:pPr>
      <w:r>
        <w:rPr>
          <w:rFonts w:ascii="Times New Roman" w:hAnsi="Times New Roman"/>
          <w:color w:val="0F172A"/>
          <w:sz w:val="24"/>
        </w:rPr>
        <w:t>MedSkill AI demonstrates how human-centered design principles can uncover overlooked learning barriers among essential healthcare technology students. By challenging our initial assumption and listening to student technologists in hospitals, our team transitioned from an unviable 3D VR simulator to an accessible, responsive, dual-mode viva simulator. Deployed live at https://medskill-ai.streamlit.app/, MedSkill AI provides 144 verified curriculum questions, instant physiological rationales, and targeted revision workflows, empowering healthcare technology students to transform exam anxiety into clinical confidence.</w:t>
      </w:r>
    </w:p>
    <w:p>
      <w:pPr>
        <w:pStyle w:val="Heading1"/>
        <w:spacing w:before="360" w:after="160"/>
      </w:pPr>
      <w:r>
        <w:rPr>
          <w:rFonts w:ascii="Times New Roman" w:hAnsi="Times New Roman"/>
          <w:b/>
          <w:color w:val="0F172A"/>
          <w:sz w:val="32"/>
        </w:rPr>
        <w:t>REFERENCES</w:t>
      </w:r>
    </w:p>
    <w:p>
      <w:pPr>
        <w:spacing w:line="360" w:lineRule="auto" w:after="120"/>
        <w:jc w:val="both"/>
      </w:pPr>
      <w:r>
        <w:rPr>
          <w:rFonts w:ascii="Times New Roman" w:hAnsi="Times New Roman"/>
          <w:color w:val="0F172A"/>
          <w:sz w:val="24"/>
        </w:rPr>
        <w:t>1. Kacmarek, R. M., Stoller, J. K., &amp; Heuer, A. J. (2020). Egan's Fundamentals of Respiratory Care (12th ed.). Elsevier.</w:t>
      </w:r>
    </w:p>
    <w:p>
      <w:pPr>
        <w:spacing w:line="360" w:lineRule="auto" w:after="120"/>
        <w:jc w:val="both"/>
      </w:pPr>
      <w:r>
        <w:rPr>
          <w:rFonts w:ascii="Times New Roman" w:hAnsi="Times New Roman"/>
          <w:color w:val="0F172A"/>
          <w:sz w:val="24"/>
        </w:rPr>
        <w:t>2. Dorsch, J. A., &amp; Dorsch, S. E. (2008). Understanding Anesthesia Equipment (5th ed.). Lippincott Williams &amp; Wilkins.</w:t>
      </w:r>
    </w:p>
    <w:p>
      <w:pPr>
        <w:spacing w:line="360" w:lineRule="auto" w:after="120"/>
        <w:jc w:val="both"/>
      </w:pPr>
      <w:r>
        <w:rPr>
          <w:rFonts w:ascii="Times New Roman" w:hAnsi="Times New Roman"/>
          <w:color w:val="0F172A"/>
          <w:sz w:val="24"/>
        </w:rPr>
        <w:t>3. Daugirdas, J. T., Blake, P. G., &amp; Ing, T. S. (2015). Handbook of Dialysis (5th ed.). Wolters Kluwer.</w:t>
      </w:r>
    </w:p>
    <w:p>
      <w:pPr>
        <w:spacing w:line="360" w:lineRule="auto" w:after="120"/>
        <w:jc w:val="both"/>
      </w:pPr>
      <w:r>
        <w:rPr>
          <w:rFonts w:ascii="Times New Roman" w:hAnsi="Times New Roman"/>
          <w:color w:val="0F172A"/>
          <w:sz w:val="24"/>
        </w:rPr>
        <w:t>4. The Acute Respiratory Distress Syndrome Network. (2000). Ventilation with lower tidal volumes as compared with traditional tidal volumes for acute lung injury and ARDS. New England Journal of Medicine, 342(18), 1301-1308.</w:t>
      </w:r>
    </w:p>
    <w:p>
      <w:pPr>
        <w:spacing w:line="360" w:lineRule="auto" w:after="120"/>
        <w:jc w:val="both"/>
      </w:pPr>
      <w:r>
        <w:rPr>
          <w:rFonts w:ascii="Times New Roman" w:hAnsi="Times New Roman"/>
          <w:color w:val="0F172A"/>
          <w:sz w:val="24"/>
        </w:rPr>
        <w:t>5. Association for the Advancement of Medical Instrumentation (AAMI). (2019). ISO 23500: Guidance for the preparation and quality management of fluids for hemodialysis.</w:t>
      </w:r>
    </w:p>
    <w:p>
      <w:pPr>
        <w:spacing w:line="360" w:lineRule="auto" w:after="120"/>
        <w:jc w:val="both"/>
      </w:pPr>
      <w:r>
        <w:rPr>
          <w:rFonts w:ascii="Times New Roman" w:hAnsi="Times New Roman"/>
          <w:color w:val="0F172A"/>
          <w:sz w:val="24"/>
        </w:rPr>
        <w:t>6. National Kidney Foundation. (2015). KDOQI Clinical Practice Guideline for Hemodialysis Adequacy. American Journal of Kidney Diseases, 66(5), 884-930.</w:t>
      </w:r>
    </w:p>
    <w:p>
      <w:pPr>
        <w:spacing w:line="360" w:lineRule="auto" w:after="120"/>
        <w:jc w:val="both"/>
      </w:pPr>
      <w:r>
        <w:rPr>
          <w:rFonts w:ascii="Times New Roman" w:hAnsi="Times New Roman"/>
          <w:color w:val="0F172A"/>
          <w:sz w:val="24"/>
        </w:rPr>
        <w:t>7. Miller, R. D., et al. (2020). Miller's Anesthesia (9th ed.). Elsevier.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