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Hydris AI — Basin Intelligence &amp; Water Risk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DataCraft’26 · Problem Statement 1 · Project Report</w:t>
      </w:r>
    </w:p>
    <w:p>
      <w:pPr>
        <w:pBdr>
          <w:bottom w:val="single" w:color="9DB4CC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PROBLEM STATEMENT</w:t>
      </w:r>
    </w:p>
    <w:p>
      <w:pPr>
        <w:spacing w:after="40" w:line="250"/>
      </w:pPr>
      <w:r>
        <w:rPr>
          <w:rFonts w:ascii="Calibri" w:cs="Calibri" w:eastAsia="Calibri" w:hAnsi="Calibri"/>
          <w:sz w:val="18"/>
          <w:szCs w:val="18"/>
        </w:rPr>
        <w:t xml:space="preserve">Companies with factories worldwide cannot easily answer: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“How water-risky is each of my sites, why, and how will that change?”</w:t>
      </w:r>
      <w:r>
        <w:rPr>
          <w:rFonts w:ascii="Calibri" w:cs="Calibri" w:eastAsia="Calibri" w:hAnsi="Calibri"/>
          <w:sz w:val="18"/>
          <w:szCs w:val="18"/>
        </w:rPr>
        <w:t xml:space="preserve"> Our goal: take a factory location, automatically resolve its watershed, and return a multi-risk profile (scarcity, flood, drought, groundwater) for today and 2030/2050 scenarios, with an explanation of what drives every score — aligned with the Positive Water Impact (PWI) framework of Availability, Quality and Accessibility.</w:t>
      </w:r>
    </w:p>
    <w:p>
      <w:pPr>
        <w:pBdr>
          <w:bottom w:val="single" w:color="9DB4CC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DATASET DESCRIPTION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Core source: </w:t>
      </w:r>
      <w:r>
        <w:rPr>
          <w:rFonts w:ascii="Calibri" w:cs="Calibri" w:eastAsia="Calibri" w:hAnsi="Calibri"/>
          <w:sz w:val="18"/>
          <w:szCs w:val="18"/>
        </w:rPr>
        <w:t xml:space="preserve">WRI Aqueduct 4.0 (CC-BY 4.0) via Google Earth Engine — baseline_annual (13 indicators, e.g. baseline water stress, drought, riverine/coastal flood, groundwater decline) and future_annual (optimistic/BAU/pessimistic × 2030/50/80), at HydroBASINS level-6 basin resolution.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Driver datasets (all probed live in GEE before use): </w:t>
      </w:r>
      <w:r>
        <w:rPr>
          <w:rFonts w:ascii="Calibri" w:cs="Calibri" w:eastAsia="Calibri" w:hAnsi="Calibri"/>
          <w:sz w:val="18"/>
          <w:szCs w:val="18"/>
        </w:rPr>
        <w:t xml:space="preserve">CHIRPS daily rainfall (30 yr), MODIS MOD16 evapotranspiration &amp; MOD13Q1 NDVI, NASA GLDAS soil moisture/runoff, GRACE groundwater storage, SMAP soil saturation, HydroSHEDS flow/elevation, HYSOGs250m soil groups, ESA WorldCover, SoilGrids, JRC GHSL built-up; plus Nominatim geocoding and NewsAPI clippings.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Pilot set: </w:t>
      </w:r>
      <w:r>
        <w:rPr>
          <w:rFonts w:ascii="Calibri" w:cs="Calibri" w:eastAsia="Calibri" w:hAnsi="Calibri"/>
          <w:sz w:val="18"/>
          <w:szCs w:val="18"/>
        </w:rPr>
        <w:t xml:space="preserve">5 factories on 4 continents (Chennai, Tiruppur, Fresno, Hamburg, Riyadh) × 3 driver engines = 15 driver profiles; any point on Earth can be added live.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Preprocessing: </w:t>
      </w:r>
      <w:r>
        <w:rPr>
          <w:rFonts w:ascii="Calibri" w:cs="Calibri" w:eastAsia="Calibri" w:hAnsi="Calibri"/>
          <w:sz w:val="18"/>
          <w:szCs w:val="18"/>
        </w:rPr>
        <w:t xml:space="preserve">Aqueduct –9999 → null (excluded, weights renormalized, never set to 0); +9999 kept as arid-mask; annual series built with a batched, gap-safe yearly() helper (handles MODIS pre-2000 and GRACE 2017–18 gaps); unit scaling; severities normalized to 0–1; GEE polygons repaired (GeometryCollection → Polygon) and simplified for the map.</w:t>
      </w:r>
    </w:p>
    <w:p>
      <w:pPr>
        <w:pBdr>
          <w:bottom w:val="single" w:color="9DB4CC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1. Basin resolution &amp; headline scores: </w:t>
      </w:r>
      <w:r>
        <w:rPr>
          <w:rFonts w:ascii="Calibri" w:cs="Calibri" w:eastAsia="Calibri" w:hAnsi="Calibri"/>
          <w:sz w:val="18"/>
          <w:szCs w:val="18"/>
        </w:rPr>
        <w:t xml:space="preserve">point-in-polygon lookup in Aqueduct returns 13 indicators, mapped to three PWI dimensions (Availability = scarcity composite 0.36·bws + 0.36·bwd + 0.18·iav + 0.10·sev, flood, drought, groundwater; Quality = ucw, cep, rri; Accessibility = mean(udw, usa)). Future scenarios use WRI projections.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2. Driver engines (the “why”):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Drought </w:t>
      </w:r>
      <w:r>
        <w:rPr>
          <w:rFonts w:ascii="Calibri" w:cs="Calibri" w:eastAsia="Calibri" w:hAnsi="Calibri"/>
          <w:sz w:val="18"/>
          <w:szCs w:val="18"/>
        </w:rPr>
        <w:t xml:space="preserve">D = 0.35·Meteorological (gamma-fit SPI, SPEI-lite) + 0.30·Agricultural (soil moisture, NDVI) + 0.35·Hydrological (runoff, GRACE).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Groundwater </w:t>
      </w:r>
      <w:r>
        <w:rPr>
          <w:rFonts w:ascii="Calibri" w:cs="Calibri" w:eastAsia="Calibri" w:hAnsi="Calibri"/>
          <w:sz w:val="18"/>
          <w:szCs w:val="18"/>
        </w:rPr>
        <w:t xml:space="preserve">G = 0.35·extraction pressure + 0.30·aquifer decline (GRACE trend) + 0.20·recharge weakness.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Flood </w:t>
      </w:r>
      <w:r>
        <w:rPr>
          <w:rFonts w:ascii="Calibri" w:cs="Calibri" w:eastAsia="Calibri" w:hAnsi="Calibri"/>
          <w:sz w:val="18"/>
          <w:szCs w:val="18"/>
        </w:rPr>
        <w:t xml:space="preserve">= rain .25 + SCS-CN runoff .25 + catchment .20 + soil saturation .15 + urbanization .15 (Hazard × Exposure × Vulnerability). Output: hazard 0–5 plus attribution % per driver.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3. Validated AI layer: </w:t>
      </w:r>
      <w:r>
        <w:rPr>
          <w:rFonts w:ascii="Calibri" w:cs="Calibri" w:eastAsia="Calibri" w:hAnsi="Calibri"/>
          <w:sz w:val="18"/>
          <w:szCs w:val="18"/>
        </w:rPr>
        <w:t xml:space="preserve">Groq Llama 3.3 70B (temperature 0) writes plain-language narratives and tags news sentiment; a numeral validator checks every number against the computed JSON, retries, then falls back to a deterministic template.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4. Product: </w:t>
      </w:r>
      <w:r>
        <w:rPr>
          <w:rFonts w:ascii="Calibri" w:cs="Calibri" w:eastAsia="Calibri" w:hAnsi="Calibri"/>
          <w:sz w:val="18"/>
          <w:szCs w:val="18"/>
        </w:rPr>
        <w:t xml:space="preserve">FastAPI backend + Supabase cache + React/MapLibre dark map with PWI ring gauges, 13 indicator bars, 2030/2050 toggle, custom weights and add-a-factory.</w:t>
      </w:r>
    </w:p>
    <w:p>
      <w:pPr>
        <w:pBdr>
          <w:bottom w:val="single" w:color="9DB4CC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RESULTS &amp; INSIGHTS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18"/>
        <w:gridCol w:w="4500"/>
      </w:tblGrid>
      <w:tr>
        <w:tc>
          <w:tcPr>
            <w:tcW w:type="dxa" w:w="5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Distinct risk fingerprints: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driver engines separate sites that WRI’s single overall score lumps together. Chennai is flood-led (3.57/5, rainfall-driven), Fresno groundwater-led (3.97/5, extraction + GRACE decline), Riyadh groundwater-led (3.26/5).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Surfaced hidden risk: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Hamburg is “Low” overall (0.75/5) yet its drought hazard is 2.98/5 — a signal the overall score hides.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Explainability: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attribution sums to 100% for every site × risk (15/15); top drivers vary by site (SPEI, SCS-CN runoff, GRACE storage, extraction pressure).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Physical plausibility: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Chennai curve number ≈ 85–92 (urban); Fresno GRACE decline flagged high — consistent with known hydrology (validation gates 0, 1a–1c passed).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Honesty metrics: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leaked –9999 values; missing data shown as “n/d” (Chennai groundwater, Riyadh drought), never 0; LLM text rejected if any number is absent from the computed 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cached profile ~100 ms; live driver run 2–47 s per risk on pilots (1–2 min for a brand-new site).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4"/>
                <w:szCs w:val="14"/>
              </w:rPr>
              <w:t xml:space="preserve">Fig. 1 — Driver-engine hazard vs. WRI overall score, 5 pilot sites</w:t>
            </w:r>
          </w:p>
        </w:tc>
      </w:tr>
    </w:tbl>
    <w:p>
      <w:pPr>
        <w:pBdr>
          <w:bottom w:val="single" w:color="9DB4CC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NOVELTY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Scores that explain themselves: </w:t>
      </w:r>
      <w:r>
        <w:rPr>
          <w:rFonts w:ascii="Calibri" w:cs="Calibri" w:eastAsia="Calibri" w:hAnsi="Calibri"/>
          <w:sz w:val="18"/>
          <w:szCs w:val="18"/>
        </w:rPr>
        <w:t xml:space="preserve">each WRI score is paired with a satellite-computed driver breakdown, turning a number into an action (e.g. which share of flood risk comes from rainfall vs. impervious runoff).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Honesty layer by design: </w:t>
      </w:r>
      <w:r>
        <w:rPr>
          <w:rFonts w:ascii="Calibri" w:cs="Calibri" w:eastAsia="Calibri" w:hAnsi="Calibri"/>
          <w:sz w:val="18"/>
          <w:szCs w:val="18"/>
        </w:rPr>
        <w:t xml:space="preserve">every driver carries a source ID and confidence tag (computed / proxy / regional / no-data); GRACE always labeled regional; flood/drought/groundwater badged “not projected by WRI” instead of faked futures.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Hallucination-proof AI: </w:t>
      </w:r>
      <w:r>
        <w:rPr>
          <w:rFonts w:ascii="Calibri" w:cs="Calibri" w:eastAsia="Calibri" w:hAnsi="Calibri"/>
          <w:sz w:val="18"/>
          <w:szCs w:val="18"/>
        </w:rPr>
        <w:t xml:space="preserve">mechanical numeral validation of LLM output — AI explains, it never invents data.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Global, zero-storage, resilient: </w:t>
      </w:r>
      <w:r>
        <w:rPr>
          <w:rFonts w:ascii="Calibri" w:cs="Calibri" w:eastAsia="Calibri" w:hAnsi="Calibri"/>
          <w:sz w:val="18"/>
          <w:szCs w:val="18"/>
        </w:rPr>
        <w:t xml:space="preserve">computes on demand in Earth Engine for any coordinate; Supabase → bundled demo → live-compute fallback keeps the product working even if GEE is down.</w:t>
      </w:r>
    </w:p>
    <w:sectPr>
      <w:pgSz w:w="11906" w:h="16838" w:orient="portrait"/>
      <w:pgMar w:top="720" w:right="794" w:bottom="64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438d4805101109f3a19d89b242d2d1ae39d8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2026-09-21T14:01:48.149Z</dcterms:created>
  <dcterms:modified xsi:type="dcterms:W3CDTF">2026-09-21T14:01:48.150Z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