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Times New Roman" w:cs="Times New Roman" w:eastAsia="Times New Roman" w:hAnsi="Times New Roman"/>
          <w:b/>
          <w:bCs/>
          <w:sz w:val="28"/>
          <w:szCs w:val="28"/>
        </w:rPr>
        <w:t xml:space="preserve">MatXtract: Benchmarking and Profiling-Based Performance</w:t>
      </w:r>
    </w:p>
    <w:p>
      <w:pPr>
        <w:spacing w:after="100" w:before="0"/>
        <w:jc w:val="center"/>
      </w:pPr>
      <w:r>
        <w:rPr>
          <w:rFonts w:ascii="Times New Roman" w:cs="Times New Roman" w:eastAsia="Times New Roman" w:hAnsi="Times New Roman"/>
          <w:b/>
          <w:bCs/>
          <w:sz w:val="28"/>
          <w:szCs w:val="28"/>
        </w:rPr>
        <w:t xml:space="preserve">Analysis on the NVIDIA RTX 5060</w:t>
      </w:r>
    </w:p>
    <w:p>
      <w:pPr>
        <w:spacing w:after="40"/>
        <w:jc w:val="center"/>
      </w:pPr>
      <w:r>
        <w:rPr>
          <w:rFonts w:ascii="Times New Roman" w:cs="Times New Roman" w:eastAsia="Times New Roman" w:hAnsi="Times New Roman"/>
          <w:i/>
          <w:iCs/>
          <w:sz w:val="18"/>
          <w:szCs w:val="18"/>
        </w:rPr>
        <w:t xml:space="preserve">Tarun Malepati</w:t>
      </w:r>
    </w:p>
    <w:p>
      <w:pPr>
        <w:spacing w:after="120"/>
        <w:jc w:val="center"/>
      </w:pPr>
      <w:r>
        <w:rPr>
          <w:rFonts w:ascii="Times New Roman" w:cs="Times New Roman" w:eastAsia="Times New Roman" w:hAnsi="Times New Roman"/>
          <w:sz w:val="16"/>
          <w:szCs w:val="16"/>
        </w:rPr>
        <w:t xml:space="preserve">Indiana University — High Performance Computing (B649)</w:t>
      </w:r>
    </w:p>
    <w:p>
      <w:pPr>
        <w:spacing w:after="60" w:before="80"/>
        <w:jc w:val="center"/>
      </w:pPr>
      <w:r>
        <w:rPr>
          <w:rFonts w:ascii="Times New Roman" w:cs="Times New Roman" w:eastAsia="Times New Roman" w:hAnsi="Times New Roman"/>
          <w:b/>
          <w:bCs/>
          <w:i/>
          <w:iCs/>
          <w:sz w:val="18"/>
          <w:szCs w:val="18"/>
        </w:rPr>
        <w:t xml:space="preserve">Abstract</w:t>
      </w:r>
    </w:p>
    <w:p>
      <w:pPr>
        <w:spacing w:after="80" w:line="240"/>
        <w:ind w:left="500" w:right="500"/>
        <w:jc w:val="both"/>
      </w:pPr>
      <w:r>
        <w:rPr>
          <w:rFonts w:ascii="Times New Roman" w:cs="Times New Roman" w:eastAsia="Times New Roman" w:hAnsi="Times New Roman"/>
          <w:i/>
          <w:iCs/>
          <w:sz w:val="18"/>
          <w:szCs w:val="18"/>
        </w:rPr>
        <w:t xml:space="preserve">This report presents a detailed performance study of MatXtract — a CUDA-based sparse matrix extraction and transformation library — benchmarked on the NVIDIA RTX 5060 (SM120, Blackwell architecture). Eight real-world sparse matrices from the SuiteSparse Matrix Collection were evaluated across three execution modes: Baseline (0,0), Manual (1,1), and BayesianBest. A baseline unprofiled build was compared against an architecture-optimized build compiled with SM120 targeting, fast-math flags, and line-info instrumentation. Bayesian optimization was applied to identify per-matrix optimal hyperparameter configurations. Results demonstrate modest but consistent speedups from compiler optimization (mean 1.02–1.03×), strong Bayesian gains on structurally favorable matrices (up to 24% on web-Stanford), and GFLOPS throughput analysis revealing the compute-vs-memory-bandwidth trade-off across different sparsity patterns.</w:t>
      </w:r>
    </w:p>
    <w:p>
      <w:pPr>
        <w:spacing w:after="100"/>
        <w:ind w:left="500" w:right="500"/>
        <w:jc w:val="both"/>
      </w:pPr>
      <w:r>
        <w:rPr>
          <w:rFonts w:ascii="Times New Roman" w:cs="Times New Roman" w:eastAsia="Times New Roman" w:hAnsi="Times New Roman"/>
          <w:b/>
          <w:bCs/>
          <w:i/>
          <w:iCs/>
          <w:sz w:val="18"/>
          <w:szCs w:val="18"/>
        </w:rPr>
        <w:t xml:space="preserve">Index Terms — </w:t>
      </w:r>
      <w:r>
        <w:rPr>
          <w:rFonts w:ascii="Times New Roman" w:cs="Times New Roman" w:eastAsia="Times New Roman" w:hAnsi="Times New Roman"/>
          <w:i/>
          <w:iCs/>
          <w:sz w:val="18"/>
          <w:szCs w:val="18"/>
        </w:rPr>
        <w:t xml:space="preserve">CUDA, sparse matrices, SuiteSparse, RTX 5060, Blackwell, SM120, Bayesian optimization, benchmarking, cruxBO, cruxML, cuSPARSE, HPC.</w:t>
      </w:r>
    </w:p>
    <w:p>
      <w:pPr>
        <w:pBdr>
          <w:bottom w:val="single" w:color="000000" w:sz="4" w:space="1"/>
        </w:pBdr>
        <w:spacing w:after="80"/>
      </w:pPr>
      <w:r>
        <w:t xml:space="preserve"/>
      </w:r>
    </w:p>
    <w:p>
      <w:pPr>
        <w:sectPr>
          <w:headerReference w:type="default" r:id="rId7"/>
          <w:footerReference w:type="default" r:id="rId8"/>
          <w:type w:val="continuous"/>
          <w:pgSz w:w="12240" w:h="15840" w:orient="portrait"/>
          <w:pgMar w:top="1440" w:right="900" w:bottom="1440" w:left="900" w:header="708" w:footer="708" w:gutter="0"/>
          <w:pgNumType/>
          <w:cols w:num="1"/>
          <w:docGrid w:linePitch="360"/>
        </w:sectPr>
      </w:pPr>
    </w:p>
    <w:p>
      <w:pPr>
        <w:spacing w:after="80" w:before="160"/>
        <w:jc w:val="center"/>
      </w:pPr>
      <w:r>
        <w:rPr>
          <w:rFonts w:ascii="Times New Roman" w:cs="Times New Roman" w:eastAsia="Times New Roman" w:hAnsi="Times New Roman"/>
          <w:b w:val="false"/>
          <w:bCs w:val="false"/>
          <w:sz w:val="20"/>
          <w:szCs w:val="20"/>
        </w:rPr>
        <w:t xml:space="preserve">I. INTRODUCTION</w:t>
      </w:r>
    </w:p>
    <w:p>
      <w:pPr>
        <w:spacing w:after="80" w:line="240"/>
        <w:ind w:firstLine="360"/>
        <w:jc w:val="both"/>
      </w:pPr>
      <w:r>
        <w:rPr>
          <w:rFonts w:ascii="Times New Roman" w:cs="Times New Roman" w:eastAsia="Times New Roman" w:hAnsi="Times New Roman"/>
          <w:sz w:val="18"/>
          <w:szCs w:val="18"/>
        </w:rPr>
        <w:t xml:space="preserve">Sparse matrix operations are foundational workloads in high-performance computing (HPC), appearing in finite element analysis, graph analytics, machine learning, and scientific simulation. GPU architectures offer massive parallelism that, when properly exploited, dramatically accelerates sparse linear algebra. However, sparse workloads are notoriously irregular: performance is strongly dependent on matrix structure, sparsity pattern, nonzero distribution, and execution strategy.</w:t>
      </w:r>
    </w:p>
    <w:p>
      <w:pPr>
        <w:spacing w:after="80" w:line="240"/>
        <w:ind w:firstLine="360"/>
        <w:jc w:val="both"/>
      </w:pPr>
      <w:r>
        <w:rPr>
          <w:rFonts w:ascii="Times New Roman" w:cs="Times New Roman" w:eastAsia="Times New Roman" w:hAnsi="Times New Roman"/>
          <w:sz w:val="18"/>
          <w:szCs w:val="18"/>
        </w:rPr>
        <w:t xml:space="preserve">MatXtract is a CUDA-based library implementing sparse matrix extraction and transformation under three modes: Baseline (0,0) — the untuned reference configuration; Manual (1,1) — a forced blocked-output kernel path; and BayesianBest — the optimal hyperparameter configuration identified via Bayesian optimization for each matrix. This project evaluates MatXtract on the NVIDIA RTX 5060 under controlled and reproducible conditions, combining benchmark repeatability with profiler-assisted diagnostics.</w:t>
      </w:r>
    </w:p>
    <w:p>
      <w:pPr>
        <w:spacing w:after="80" w:line="240"/>
        <w:ind w:firstLine="360"/>
        <w:jc w:val="both"/>
      </w:pPr>
      <w:r>
        <w:rPr>
          <w:rFonts w:ascii="Times New Roman" w:cs="Times New Roman" w:eastAsia="Times New Roman" w:hAnsi="Times New Roman"/>
          <w:sz w:val="18"/>
          <w:szCs w:val="18"/>
        </w:rPr>
        <w:t xml:space="preserve">The primary objectives of this study are: (1) quantify wall-clock runtimes and GFLOPS throughput across all matrix–mode combinations; (2) compare a baseline unprofiled build against an SM120-optimized build; (3) evaluate the benefit of Bayesian hyperparameter search over manual tuning; and (4) establish infrastructure for future Nsight Compute kernel-level bottleneck analysis.</w:t>
      </w:r>
    </w:p>
    <w:p>
      <w:pPr>
        <w:spacing w:after="80" w:before="160"/>
        <w:jc w:val="center"/>
      </w:pPr>
      <w:r>
        <w:rPr>
          <w:rFonts w:ascii="Times New Roman" w:cs="Times New Roman" w:eastAsia="Times New Roman" w:hAnsi="Times New Roman"/>
          <w:b w:val="false"/>
          <w:bCs w:val="false"/>
          <w:sz w:val="20"/>
          <w:szCs w:val="20"/>
        </w:rPr>
        <w:t xml:space="preserve">II. HARDWARE AND BUILD ENVIRONMENT</w:t>
      </w:r>
    </w:p>
    <w:p>
      <w:pPr>
        <w:spacing w:after="40" w:before="120"/>
        <w:jc w:val="left"/>
      </w:pPr>
      <w:r>
        <w:rPr>
          <w:rFonts w:ascii="Times New Roman" w:cs="Times New Roman" w:eastAsia="Times New Roman" w:hAnsi="Times New Roman"/>
          <w:i/>
          <w:iCs/>
          <w:sz w:val="18"/>
          <w:szCs w:val="18"/>
        </w:rPr>
        <w:t xml:space="preserve">A. Hardware Platform</w:t>
      </w:r>
    </w:p>
    <w:p>
      <w:pPr>
        <w:spacing w:after="80" w:line="240"/>
        <w:ind w:firstLine="360"/>
        <w:jc w:val="both"/>
      </w:pPr>
      <w:r>
        <w:rPr>
          <w:rFonts w:ascii="Times New Roman" w:cs="Times New Roman" w:eastAsia="Times New Roman" w:hAnsi="Times New Roman"/>
          <w:sz w:val="18"/>
          <w:szCs w:val="18"/>
        </w:rPr>
        <w:t xml:space="preserve">All experiments were conducted on a system equipped with an NVIDIA RTX 5060 (Blackwell, SM120). The GPU provides 3,840 CUDA cores, 8 GB GDDR7 memory on a 128-bit bus (~448 GB/s theoretical bandwidth), and an enlarged L2 cache relative to prior generations. The host CPU is an AMD Ryzen 9 7900X with 32 GB DDR5 RAM running Ubuntu 22.04.</w:t>
      </w:r>
    </w:p>
    <w:p>
      <w:pPr>
        <w:spacing w:after="80"/>
      </w:pPr>
      <w:r>
        <w:t xml:space="preserve"/>
      </w:r>
    </w:p>
    <w:p>
      <w:pPr>
        <w:spacing w:after="40" w:before="100"/>
        <w:jc w:val="center"/>
      </w:pPr>
      <w:r>
        <w:rPr>
          <w:rFonts w:ascii="Times New Roman" w:cs="Times New Roman" w:eastAsia="Times New Roman" w:hAnsi="Times New Roman"/>
          <w:b/>
          <w:bCs/>
          <w:caps/>
          <w:sz w:val="16"/>
          <w:szCs w:val="16"/>
        </w:rPr>
        <w:t>TABLE I
HARDWARE AND SOFTWARE CONFIGURATION</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tblGrid>
      <w:tr>
        <w:tc>
          <w:tcPr>
            <w:tcW w:type="dxa" w:w="2200"/>
            <w:tcBorders>
              <w:top w:val="single" w:color="000000" w:sz="4"/>
              <w:left w:val="none"/>
              <w:bottom w:val="single" w:color="000000" w:sz="4"/>
              <w:right w:val="none"/>
            </w:tcBorders>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Parameter</w:t>
            </w:r>
          </w:p>
        </w:tc>
        <w:tc>
          <w:tcPr>
            <w:tcW w:type="dxa" w:w="2600"/>
            <w:tcBorders>
              <w:top w:val="single" w:color="000000" w:sz="4"/>
              <w:left w:val="none"/>
              <w:bottom w:val="single" w:color="000000" w:sz="4"/>
              <w:right w:val="none"/>
            </w:tcBorders>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Value</w:t>
            </w:r>
          </w:p>
        </w:tc>
      </w:tr>
      <w:tr>
        <w:tc>
          <w:tcPr>
            <w:tcW w:type="dxa" w:w="22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GPU</w:t>
            </w:r>
          </w:p>
        </w:tc>
        <w:tc>
          <w:tcPr>
            <w:tcW w:type="dxa" w:w="26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RTX 5060 (SM120, Blackwell)</w:t>
            </w:r>
          </w:p>
        </w:tc>
      </w:tr>
      <w:tr>
        <w:tc>
          <w:tcPr>
            <w:tcW w:type="dxa" w:w="22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CUDA Cores</w:t>
            </w:r>
          </w:p>
        </w:tc>
        <w:tc>
          <w:tcPr>
            <w:tcW w:type="dxa" w:w="26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3,840</w:t>
            </w:r>
          </w:p>
        </w:tc>
      </w:tr>
      <w:tr>
        <w:tc>
          <w:tcPr>
            <w:tcW w:type="dxa" w:w="22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GPU Memory</w:t>
            </w:r>
          </w:p>
        </w:tc>
        <w:tc>
          <w:tcPr>
            <w:tcW w:type="dxa" w:w="26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8 GB GDDR7, ~448 GB/s</w:t>
            </w:r>
          </w:p>
        </w:tc>
      </w:tr>
      <w:tr>
        <w:tc>
          <w:tcPr>
            <w:tcW w:type="dxa" w:w="22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CUDA Toolkit</w:t>
            </w:r>
          </w:p>
        </w:tc>
        <w:tc>
          <w:tcPr>
            <w:tcW w:type="dxa" w:w="26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12.6</w:t>
            </w:r>
          </w:p>
        </w:tc>
      </w:tr>
      <w:tr>
        <w:tc>
          <w:tcPr>
            <w:tcW w:type="dxa" w:w="22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Host Compiler</w:t>
            </w:r>
          </w:p>
        </w:tc>
        <w:tc>
          <w:tcPr>
            <w:tcW w:type="dxa" w:w="26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GCC 11.4 / -O2</w:t>
            </w:r>
          </w:p>
        </w:tc>
      </w:tr>
      <w:tr>
        <w:tc>
          <w:tcPr>
            <w:tcW w:type="dxa" w:w="22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CPU</w:t>
            </w:r>
          </w:p>
        </w:tc>
        <w:tc>
          <w:tcPr>
            <w:tcW w:type="dxa" w:w="26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AMD Ryzen 9 7900X</w:t>
            </w:r>
          </w:p>
        </w:tc>
      </w:tr>
      <w:tr>
        <w:tc>
          <w:tcPr>
            <w:tcW w:type="dxa" w:w="22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RAM</w:t>
            </w:r>
          </w:p>
        </w:tc>
        <w:tc>
          <w:tcPr>
            <w:tcW w:type="dxa" w:w="26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32 GB DDR5</w:t>
            </w:r>
          </w:p>
        </w:tc>
      </w:tr>
      <w:tr>
        <w:tc>
          <w:tcPr>
            <w:tcW w:type="dxa" w:w="22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OS</w:t>
            </w:r>
          </w:p>
        </w:tc>
        <w:tc>
          <w:tcPr>
            <w:tcW w:type="dxa" w:w="26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Ubuntu 22.04</w:t>
            </w:r>
          </w:p>
        </w:tc>
      </w:tr>
      <w:tr>
        <w:tc>
          <w:tcPr>
            <w:tcW w:type="dxa" w:w="2200"/>
            <w:tcBorders>
              <w:top w:val="single" w:color="000000" w:sz="1"/>
              <w:left w:val="none"/>
              <w:bottom w:val="single" w:color="000000" w:sz="4"/>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GPU Driver</w:t>
            </w:r>
          </w:p>
        </w:tc>
        <w:tc>
          <w:tcPr>
            <w:tcW w:type="dxa" w:w="2600"/>
            <w:tcBorders>
              <w:top w:val="single" w:color="000000" w:sz="1"/>
              <w:left w:val="none"/>
              <w:bottom w:val="single" w:color="000000" w:sz="4"/>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565.xx</w:t>
            </w:r>
          </w:p>
        </w:tc>
      </w:tr>
    </w:tbl>
    <w:p>
      <w:pPr>
        <w:spacing w:after="80"/>
      </w:pPr>
      <w:r>
        <w:t xml:space="preserve"/>
      </w:r>
    </w:p>
    <w:p>
      <w:pPr>
        <w:spacing w:after="40" w:before="120"/>
        <w:jc w:val="left"/>
      </w:pPr>
      <w:r>
        <w:rPr>
          <w:rFonts w:ascii="Times New Roman" w:cs="Times New Roman" w:eastAsia="Times New Roman" w:hAnsi="Times New Roman"/>
          <w:i/>
          <w:iCs/>
          <w:sz w:val="18"/>
          <w:szCs w:val="18"/>
        </w:rPr>
        <w:t xml:space="preserve">B. Build Configurations</w:t>
      </w:r>
    </w:p>
    <w:p>
      <w:pPr>
        <w:spacing w:after="80" w:line="240"/>
        <w:ind w:firstLine="360"/>
        <w:jc w:val="both"/>
      </w:pPr>
      <w:r>
        <w:rPr>
          <w:rFonts w:ascii="Times New Roman" w:cs="Times New Roman" w:eastAsia="Times New Roman" w:hAnsi="Times New Roman"/>
          <w:sz w:val="18"/>
          <w:szCs w:val="18"/>
        </w:rPr>
        <w:t xml:space="preserve">Two separate build configurations were evaluated. The baseline build uses no architecture-specific flags and serves as the unprofiled reference. The optimized build sets CMAKE_CUDA_ARCHITECTURES=120, enables --use_fast_math, --generate-line-info, -O3, and /O2 for host code. A third Bayesian search configuration was run on top of the optimized build to identify per-matrix optimal kernel parameters.</w:t>
      </w:r>
    </w:p>
    <w:p>
      <w:pPr>
        <w:spacing w:after="80"/>
      </w:pPr>
      <w:r>
        <w:t xml:space="preserve"/>
      </w:r>
    </w:p>
    <w:p>
      <w:pPr>
        <w:spacing w:after="40" w:before="100"/>
        <w:jc w:val="center"/>
      </w:pPr>
      <w:r>
        <w:rPr>
          <w:rFonts w:ascii="Times New Roman" w:cs="Times New Roman" w:eastAsia="Times New Roman" w:hAnsi="Times New Roman"/>
          <w:b/>
          <w:bCs/>
          <w:caps/>
          <w:sz w:val="16"/>
          <w:szCs w:val="16"/>
        </w:rPr>
        <w:t>TABLE II
CMAKE TUNING PARAMETERS</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tblGrid>
      <w:tr>
        <w:tc>
          <w:tcPr>
            <w:tcW w:type="dxa" w:w="2500"/>
            <w:tcBorders>
              <w:top w:val="single" w:color="000000" w:sz="4"/>
              <w:left w:val="none"/>
              <w:bottom w:val="single" w:color="000000" w:sz="4"/>
              <w:right w:val="none"/>
            </w:tcBorders>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CMake Option</w:t>
            </w:r>
          </w:p>
        </w:tc>
        <w:tc>
          <w:tcPr>
            <w:tcW w:type="dxa" w:w="2300"/>
            <w:tcBorders>
              <w:top w:val="single" w:color="000000" w:sz="4"/>
              <w:left w:val="none"/>
              <w:bottom w:val="single" w:color="000000" w:sz="4"/>
              <w:right w:val="none"/>
            </w:tcBorders>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Value</w:t>
            </w:r>
          </w:p>
        </w:tc>
      </w:tr>
      <w:tr>
        <w:tc>
          <w:tcPr>
            <w:tcW w:type="dxa" w:w="25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CMAKE_CUDA_ARCH.</w:t>
            </w:r>
          </w:p>
        </w:tc>
        <w:tc>
          <w:tcPr>
            <w:tcW w:type="dxa" w:w="23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120 (SM120)</w:t>
            </w:r>
          </w:p>
        </w:tc>
      </w:tr>
      <w:tr>
        <w:tc>
          <w:tcPr>
            <w:tcW w:type="dxa" w:w="25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CUDA FLAGS</w:t>
            </w:r>
          </w:p>
        </w:tc>
        <w:tc>
          <w:tcPr>
            <w:tcW w:type="dxa" w:w="23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--generate-line-info</w:t>
            </w:r>
          </w:p>
        </w:tc>
      </w:tr>
      <w:tr>
        <w:tc>
          <w:tcPr>
            <w:tcW w:type="dxa" w:w="25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CUDA RELEASE</w:t>
            </w:r>
          </w:p>
        </w:tc>
        <w:tc>
          <w:tcPr>
            <w:tcW w:type="dxa" w:w="23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-O3 --use_fast_math</w:t>
            </w:r>
          </w:p>
        </w:tc>
      </w:tr>
      <w:tr>
        <w:tc>
          <w:tcPr>
            <w:tcW w:type="dxa" w:w="25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TC_BLOCK_HEIGHT</w:t>
            </w:r>
          </w:p>
        </w:tc>
        <w:tc>
          <w:tcPr>
            <w:tcW w:type="dxa" w:w="23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64</w:t>
            </w:r>
          </w:p>
        </w:tc>
      </w:tr>
      <w:tr>
        <w:tc>
          <w:tcPr>
            <w:tcW w:type="dxa" w:w="25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PRECISION_PATH</w:t>
            </w:r>
          </w:p>
        </w:tc>
        <w:tc>
          <w:tcPr>
            <w:tcW w:type="dxa" w:w="23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fp16</w:t>
            </w:r>
          </w:p>
        </w:tc>
      </w:tr>
      <w:tr>
        <w:tc>
          <w:tcPr>
            <w:tcW w:type="dxa" w:w="2500"/>
            <w:tcBorders>
              <w:top w:val="single" w:color="000000" w:sz="1"/>
              <w:left w:val="none"/>
              <w:bottom w:val="single" w:color="000000" w:sz="4"/>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MAXRREGCOUNT</w:t>
            </w:r>
          </w:p>
        </w:tc>
        <w:tc>
          <w:tcPr>
            <w:tcW w:type="dxa" w:w="2300"/>
            <w:tcBorders>
              <w:top w:val="single" w:color="000000" w:sz="1"/>
              <w:left w:val="none"/>
              <w:bottom w:val="single" w:color="000000" w:sz="4"/>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 (off)</w:t>
            </w:r>
          </w:p>
        </w:tc>
      </w:tr>
    </w:tbl>
    <w:p>
      <w:pPr>
        <w:spacing w:after="80"/>
      </w:pPr>
      <w:r>
        <w:t xml:space="preserve"/>
      </w:r>
    </w:p>
    <w:p>
      <w:pPr>
        <w:spacing w:after="80" w:before="160"/>
        <w:jc w:val="center"/>
      </w:pPr>
      <w:r>
        <w:rPr>
          <w:rFonts w:ascii="Times New Roman" w:cs="Times New Roman" w:eastAsia="Times New Roman" w:hAnsi="Times New Roman"/>
          <w:b w:val="false"/>
          <w:bCs w:val="false"/>
          <w:sz w:val="20"/>
          <w:szCs w:val="20"/>
        </w:rPr>
        <w:t xml:space="preserve">III. SPARSE MATRIX DATASET</w:t>
      </w:r>
    </w:p>
    <w:p>
      <w:pPr>
        <w:spacing w:after="80" w:line="240"/>
        <w:ind w:firstLine="360"/>
        <w:jc w:val="both"/>
      </w:pPr>
      <w:r>
        <w:rPr>
          <w:rFonts w:ascii="Times New Roman" w:cs="Times New Roman" w:eastAsia="Times New Roman" w:hAnsi="Times New Roman"/>
          <w:sz w:val="18"/>
          <w:szCs w:val="18"/>
        </w:rPr>
        <w:t xml:space="preserve">Eight real-world sparse matrices were sourced from the SuiteSparse Matrix Collection [1], selected to span diverse application domains, size classes, and sparsity patterns.</w:t>
      </w:r>
    </w:p>
    <w:p>
      <w:pPr>
        <w:spacing w:after="80"/>
      </w:pPr>
      <w:r>
        <w:t xml:space="preserve"/>
      </w:r>
    </w:p>
    <w:p>
      <w:pPr>
        <w:spacing w:after="40" w:before="100"/>
        <w:jc w:val="center"/>
      </w:pPr>
      <w:r>
        <w:rPr>
          <w:rFonts w:ascii="Times New Roman" w:cs="Times New Roman" w:eastAsia="Times New Roman" w:hAnsi="Times New Roman"/>
          <w:b/>
          <w:bCs/>
          <w:caps/>
          <w:sz w:val="16"/>
          <w:szCs w:val="16"/>
        </w:rPr>
        <w:t>TABLE III
SUITESPARSE MATRICES USED IN EVALUATION</w:t>
      </w: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900"/>
        <w:gridCol w:w="700"/>
      </w:tblGrid>
      <w:tr>
        <w:tc>
          <w:tcPr>
            <w:tcW w:type="dxa" w:w="1100"/>
            <w:tcBorders>
              <w:top w:val="single" w:color="000000" w:sz="4"/>
              <w:left w:val="none"/>
              <w:bottom w:val="single" w:color="000000" w:sz="4"/>
              <w:right w:val="none"/>
            </w:tcBorders>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Matrix</w:t>
            </w:r>
          </w:p>
        </w:tc>
        <w:tc>
          <w:tcPr>
            <w:tcW w:type="dxa" w:w="1100"/>
            <w:tcBorders>
              <w:top w:val="single" w:color="000000" w:sz="4"/>
              <w:left w:val="none"/>
              <w:bottom w:val="single" w:color="000000" w:sz="4"/>
              <w:right w:val="none"/>
            </w:tcBorders>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Domain</w:t>
            </w:r>
          </w:p>
        </w:tc>
        <w:tc>
          <w:tcPr>
            <w:tcW w:type="dxa" w:w="900"/>
            <w:tcBorders>
              <w:top w:val="single" w:color="000000" w:sz="4"/>
              <w:left w:val="none"/>
              <w:bottom w:val="single" w:color="000000" w:sz="4"/>
              <w:right w:val="none"/>
            </w:tcBorders>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Nodes</w:t>
            </w:r>
          </w:p>
        </w:tc>
        <w:tc>
          <w:tcPr>
            <w:tcW w:type="dxa" w:w="700"/>
            <w:tcBorders>
              <w:top w:val="single" w:color="000000" w:sz="4"/>
              <w:left w:val="none"/>
              <w:bottom w:val="single" w:color="000000" w:sz="4"/>
              <w:right w:val="none"/>
            </w:tcBorders>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NNZ</w:t>
            </w:r>
          </w:p>
        </w:tc>
      </w:tr>
      <w:tr>
        <w:tc>
          <w:tcPr>
            <w:tcW w:type="dxa" w:w="11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cnr-2000</w:t>
            </w:r>
          </w:p>
        </w:tc>
        <w:tc>
          <w:tcPr>
            <w:tcW w:type="dxa" w:w="11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Web graph</w:t>
            </w:r>
          </w:p>
        </w:tc>
        <w:tc>
          <w:tcPr>
            <w:tcW w:type="dxa" w:w="9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325,557</w:t>
            </w:r>
          </w:p>
        </w:tc>
        <w:tc>
          <w:tcPr>
            <w:tcW w:type="dxa" w:w="7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3.2M</w:t>
            </w:r>
          </w:p>
        </w:tc>
      </w:tr>
      <w:tr>
        <w:tc>
          <w:tcPr>
            <w:tcW w:type="dxa" w:w="11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web-Stanford</w:t>
            </w:r>
          </w:p>
        </w:tc>
        <w:tc>
          <w:tcPr>
            <w:tcW w:type="dxa" w:w="11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Web graph</w:t>
            </w:r>
          </w:p>
        </w:tc>
        <w:tc>
          <w:tcPr>
            <w:tcW w:type="dxa" w:w="9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281,903</w:t>
            </w:r>
          </w:p>
        </w:tc>
        <w:tc>
          <w:tcPr>
            <w:tcW w:type="dxa" w:w="7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2.3M</w:t>
            </w:r>
          </w:p>
        </w:tc>
      </w:tr>
      <w:tr>
        <w:tc>
          <w:tcPr>
            <w:tcW w:type="dxa" w:w="11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com-Amazon</w:t>
            </w:r>
          </w:p>
        </w:tc>
        <w:tc>
          <w:tcPr>
            <w:tcW w:type="dxa" w:w="11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Social</w:t>
            </w:r>
          </w:p>
        </w:tc>
        <w:tc>
          <w:tcPr>
            <w:tcW w:type="dxa" w:w="9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334,863</w:t>
            </w:r>
          </w:p>
        </w:tc>
        <w:tc>
          <w:tcPr>
            <w:tcW w:type="dxa" w:w="7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925K</w:t>
            </w:r>
          </w:p>
        </w:tc>
      </w:tr>
      <w:tr>
        <w:tc>
          <w:tcPr>
            <w:tcW w:type="dxa" w:w="11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com-Youtube</w:t>
            </w:r>
          </w:p>
        </w:tc>
        <w:tc>
          <w:tcPr>
            <w:tcW w:type="dxa" w:w="11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Social</w:t>
            </w:r>
          </w:p>
        </w:tc>
        <w:tc>
          <w:tcPr>
            <w:tcW w:type="dxa" w:w="9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1.13M</w:t>
            </w:r>
          </w:p>
        </w:tc>
        <w:tc>
          <w:tcPr>
            <w:tcW w:type="dxa" w:w="7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2.99M</w:t>
            </w:r>
          </w:p>
        </w:tc>
      </w:tr>
      <w:tr>
        <w:tc>
          <w:tcPr>
            <w:tcW w:type="dxa" w:w="11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ash85</w:t>
            </w:r>
          </w:p>
        </w:tc>
        <w:tc>
          <w:tcPr>
            <w:tcW w:type="dxa" w:w="11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Struct. eng.</w:t>
            </w:r>
          </w:p>
        </w:tc>
        <w:tc>
          <w:tcPr>
            <w:tcW w:type="dxa" w:w="9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85</w:t>
            </w:r>
          </w:p>
        </w:tc>
        <w:tc>
          <w:tcPr>
            <w:tcW w:type="dxa" w:w="7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1,003</w:t>
            </w:r>
          </w:p>
        </w:tc>
      </w:tr>
      <w:tr>
        <w:tc>
          <w:tcPr>
            <w:tcW w:type="dxa" w:w="11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west0479</w:t>
            </w:r>
          </w:p>
        </w:tc>
        <w:tc>
          <w:tcPr>
            <w:tcW w:type="dxa" w:w="11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Chem. proc.</w:t>
            </w:r>
          </w:p>
        </w:tc>
        <w:tc>
          <w:tcPr>
            <w:tcW w:type="dxa" w:w="9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479</w:t>
            </w:r>
          </w:p>
        </w:tc>
        <w:tc>
          <w:tcPr>
            <w:tcW w:type="dxa" w:w="7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1,887</w:t>
            </w:r>
          </w:p>
        </w:tc>
      </w:tr>
      <w:tr>
        <w:tc>
          <w:tcPr>
            <w:tcW w:type="dxa" w:w="11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bcsstk14</w:t>
            </w:r>
          </w:p>
        </w:tc>
        <w:tc>
          <w:tcPr>
            <w:tcW w:type="dxa" w:w="11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Struct. mech.</w:t>
            </w:r>
          </w:p>
        </w:tc>
        <w:tc>
          <w:tcPr>
            <w:tcW w:type="dxa" w:w="9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1,806</w:t>
            </w:r>
          </w:p>
        </w:tc>
        <w:tc>
          <w:tcPr>
            <w:tcW w:type="dxa" w:w="7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63,454</w:t>
            </w:r>
          </w:p>
        </w:tc>
      </w:tr>
      <w:tr>
        <w:tc>
          <w:tcPr>
            <w:tcW w:type="dxa" w:w="1100"/>
            <w:tcBorders>
              <w:top w:val="single" w:color="000000" w:sz="1"/>
              <w:left w:val="none"/>
              <w:bottom w:val="single" w:color="000000" w:sz="4"/>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poisson3Da</w:t>
            </w:r>
          </w:p>
        </w:tc>
        <w:tc>
          <w:tcPr>
            <w:tcW w:type="dxa" w:w="1100"/>
            <w:tcBorders>
              <w:top w:val="single" w:color="000000" w:sz="1"/>
              <w:left w:val="none"/>
              <w:bottom w:val="single" w:color="000000" w:sz="4"/>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3D PDE</w:t>
            </w:r>
          </w:p>
        </w:tc>
        <w:tc>
          <w:tcPr>
            <w:tcW w:type="dxa" w:w="900"/>
            <w:tcBorders>
              <w:top w:val="single" w:color="000000" w:sz="1"/>
              <w:left w:val="none"/>
              <w:bottom w:val="single" w:color="000000" w:sz="4"/>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13,514</w:t>
            </w:r>
          </w:p>
        </w:tc>
        <w:tc>
          <w:tcPr>
            <w:tcW w:type="dxa" w:w="700"/>
            <w:tcBorders>
              <w:top w:val="single" w:color="000000" w:sz="1"/>
              <w:left w:val="none"/>
              <w:bottom w:val="single" w:color="000000" w:sz="4"/>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352,762</w:t>
            </w:r>
          </w:p>
        </w:tc>
      </w:tr>
    </w:tbl>
    <w:p>
      <w:pPr>
        <w:spacing w:after="80"/>
      </w:pPr>
      <w:r>
        <w:t xml:space="preserve"/>
      </w:r>
    </w:p>
    <w:p>
      <w:pPr>
        <w:spacing w:after="80" w:before="160"/>
        <w:jc w:val="center"/>
      </w:pPr>
      <w:r>
        <w:rPr>
          <w:rFonts w:ascii="Times New Roman" w:cs="Times New Roman" w:eastAsia="Times New Roman" w:hAnsi="Times New Roman"/>
          <w:b w:val="false"/>
          <w:bCs w:val="false"/>
          <w:sz w:val="20"/>
          <w:szCs w:val="20"/>
        </w:rPr>
        <w:t xml:space="preserve">IV. BENCHMARK RESULTS</w:t>
      </w:r>
    </w:p>
    <w:p>
      <w:pPr>
        <w:spacing w:after="40" w:before="120"/>
        <w:jc w:val="left"/>
      </w:pPr>
      <w:r>
        <w:rPr>
          <w:rFonts w:ascii="Times New Roman" w:cs="Times New Roman" w:eastAsia="Times New Roman" w:hAnsi="Times New Roman"/>
          <w:i/>
          <w:iCs/>
          <w:sz w:val="18"/>
          <w:szCs w:val="18"/>
        </w:rPr>
        <w:t xml:space="preserve">A. Baseline vs. Optimized Build</w:t>
      </w:r>
    </w:p>
    <w:p>
      <w:pPr>
        <w:spacing w:after="80" w:line="240"/>
        <w:ind w:firstLine="360"/>
        <w:jc w:val="both"/>
      </w:pPr>
      <w:r>
        <w:rPr>
          <w:rFonts w:ascii="Times New Roman" w:cs="Times New Roman" w:eastAsia="Times New Roman" w:hAnsi="Times New Roman"/>
          <w:sz w:val="18"/>
          <w:szCs w:val="18"/>
        </w:rPr>
        <w:t xml:space="preserve">Fig. 1 compares wall-clock runtimes between the baseline and the compiler-optimized build across all eight matrices in both Baseline mode (0,0) and Manual mode (1,1). The optimized build incorporates SM120 architecture targeting, --use_fast_math, and -O3.</w:t>
      </w:r>
    </w:p>
    <w:p>
      <w:pPr>
        <w:sectPr>
          <w:headerReference w:type="default" r:id="rId9"/>
          <w:footerReference w:type="default" r:id="rId10"/>
          <w:type w:val="continuous"/>
          <w:pgSz w:w="12240" w:h="15840" w:orient="portrait"/>
          <w:pgMar w:top="1440" w:right="900" w:bottom="1440" w:left="900" w:header="708" w:footer="708" w:gutter="0"/>
          <w:pgNumType/>
          <w:cols w:space="720" w:num="2" w:equalWidth="true"/>
          <w:docGrid w:linePitch="360"/>
        </w:sectPr>
      </w:pPr>
    </w:p>
    <w:p>
      <w:pPr>
        <w:spacing w:after="40" w:before="60"/>
        <w:jc w:val="center"/>
      </w:pPr>
      <w:r>
        <w:drawing>
          <wp:inline distT="0" distB="0" distL="0" distR="0">
            <wp:extent cx="6629400" cy="2841171"/>
            <wp:effectExtent t="0" r="0" b="0" l="0"/>
            <wp:docPr id="1" name="figure"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629400" cy="2841171"/>
                    </a:xfrm>
                    <a:prstGeom prst="rect">
                      <a:avLst/>
                    </a:prstGeom>
                  </pic:spPr>
                </pic:pic>
              </a:graphicData>
            </a:graphic>
          </wp:inline>
        </w:drawing>
      </w:r>
    </w:p>
    <w:p>
      <w:pPr>
        <w:spacing w:after="120" w:before="40"/>
        <w:jc w:val="center"/>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Runtime comparison — Baseline mode (left) vs. Manual mode (right): Baseline build vs. Optimized build across all eight SuiteSparse matrices on the RTX 5060. Lower is better.</w:t>
      </w:r>
    </w:p>
    <w:p>
      <w:pPr>
        <w:pBdr>
          <w:bottom w:val="single" w:color="000000" w:sz="4" w:space="1"/>
        </w:pBdr>
        <w:spacing w:after="80"/>
      </w:pPr>
      <w:r>
        <w:t xml:space="preserve"/>
      </w:r>
    </w:p>
    <w:p>
      <w:pPr>
        <w:sectPr>
          <w:headerReference w:type="default" r:id="rId11"/>
          <w:footerReference w:type="default" r:id="rId12"/>
          <w:type w:val="continuous"/>
          <w:pgSz w:w="12240" w:h="15840" w:orient="portrait"/>
          <w:pgMar w:top="1440" w:right="900" w:bottom="1440" w:left="900" w:header="708" w:footer="708" w:gutter="0"/>
          <w:pgNumType/>
          <w:cols w:num="1"/>
          <w:docGrid w:linePitch="360"/>
        </w:sectPr>
      </w:pPr>
    </w:p>
    <w:p>
      <w:pPr>
        <w:spacing w:after="80" w:line="240"/>
        <w:ind w:firstLine="360"/>
        <w:jc w:val="both"/>
      </w:pPr>
      <w:r>
        <w:rPr>
          <w:rFonts w:ascii="Times New Roman" w:cs="Times New Roman" w:eastAsia="Times New Roman" w:hAnsi="Times New Roman"/>
          <w:sz w:val="18"/>
          <w:szCs w:val="18"/>
        </w:rPr>
        <w:t xml:space="preserve">In Baseline mode, ash85 and west0479 benefit most from compiler optimization (speedup &gt;1.0), while cnr-2000 and com-Amazon exhibit slight regressions. This pattern reflects the well-known trade-off where --use_fast_math can degrade memory-bandwidth-bound workloads by altering instruction scheduling, increasing effective DRAM latency. In Manual mode, performance improves more uniformly, with west0479 again seeing the largest gain due to its compute-intensive irregular column distribution.</w:t>
      </w:r>
    </w:p>
    <w:p>
      <w:pPr>
        <w:spacing w:after="40" w:before="120"/>
        <w:jc w:val="left"/>
      </w:pPr>
      <w:r>
        <w:rPr>
          <w:rFonts w:ascii="Times New Roman" w:cs="Times New Roman" w:eastAsia="Times New Roman" w:hAnsi="Times New Roman"/>
          <w:i/>
          <w:iCs/>
          <w:sz w:val="18"/>
          <w:szCs w:val="18"/>
        </w:rPr>
        <w:t xml:space="preserve">B. Speedup Analysis</w:t>
      </w:r>
    </w:p>
    <w:p>
      <w:pPr>
        <w:spacing w:after="80" w:line="240"/>
        <w:ind w:firstLine="360"/>
        <w:jc w:val="both"/>
      </w:pPr>
      <w:r>
        <w:rPr>
          <w:rFonts w:ascii="Times New Roman" w:cs="Times New Roman" w:eastAsia="Times New Roman" w:hAnsi="Times New Roman"/>
          <w:sz w:val="18"/>
          <w:szCs w:val="18"/>
        </w:rPr>
        <w:t xml:space="preserve">Figs. 2 and 3 present per-matrix speedup ratios (runtime_baseline / runtime_optimized). Values above 1.0 indicate the optimized build is faster; values below 1.0 indicate regression.</w:t>
      </w:r>
    </w:p>
    <w:p>
      <w:pPr>
        <w:spacing w:after="40" w:before="60"/>
        <w:jc w:val="center"/>
      </w:pPr>
      <w:r>
        <w:drawing>
          <wp:inline distT="0" distB="0" distL="0" distR="0">
            <wp:extent cx="3086100" cy="1285875"/>
            <wp:effectExtent t="0" r="0" b="0" l="0"/>
            <wp:docPr id="1" name="figure"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086100" cy="1285875"/>
                    </a:xfrm>
                    <a:prstGeom prst="rect">
                      <a:avLst/>
                    </a:prstGeom>
                  </pic:spPr>
                </pic:pic>
              </a:graphicData>
            </a:graphic>
          </wp:inline>
        </w:drawing>
      </w:r>
    </w:p>
    <w:p>
      <w:pPr>
        <w:spacing w:after="120" w:before="40"/>
        <w:jc w:val="center"/>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Speedup (Optimized vs. Baseline) in Baseline mode. Green: optimization beneficial; red: regression. Dashed line at parity (1.0×).</w:t>
      </w:r>
    </w:p>
    <w:p>
      <w:pPr>
        <w:spacing w:after="40" w:before="60"/>
        <w:jc w:val="center"/>
      </w:pPr>
      <w:r>
        <w:drawing>
          <wp:inline distT="0" distB="0" distL="0" distR="0">
            <wp:extent cx="3086100" cy="1285875"/>
            <wp:effectExtent t="0" r="0" b="0" l="0"/>
            <wp:docPr id="1" name="figure"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086100" cy="1285875"/>
                    </a:xfrm>
                    <a:prstGeom prst="rect">
                      <a:avLst/>
                    </a:prstGeom>
                  </pic:spPr>
                </pic:pic>
              </a:graphicData>
            </a:graphic>
          </wp:inline>
        </w:drawing>
      </w:r>
    </w:p>
    <w:p>
      <w:pPr>
        <w:spacing w:after="120" w:before="40"/>
        <w:jc w:val="center"/>
      </w:pPr>
      <w:r>
        <w:rPr>
          <w:rFonts w:ascii="Times New Roman" w:cs="Times New Roman" w:eastAsia="Times New Roman" w:hAnsi="Times New Roman"/>
          <w:b/>
          <w:bCs/>
          <w:sz w:val="16"/>
          <w:szCs w:val="16"/>
        </w:rPr>
        <w:t xml:space="preserve">Fig. 3. </w:t>
      </w:r>
      <w:r>
        <w:rPr>
          <w:rFonts w:ascii="Times New Roman" w:cs="Times New Roman" w:eastAsia="Times New Roman" w:hAnsi="Times New Roman"/>
          <w:sz w:val="16"/>
          <w:szCs w:val="16"/>
        </w:rPr>
        <w:t xml:space="preserve">Speedup (Optimized vs. Baseline) in Manual mode. Six of eight matrices show speedup ≥ 1.0, indicating more consistent gains than Baseline mode.</w:t>
      </w:r>
    </w:p>
    <w:p>
      <w:pPr>
        <w:spacing w:after="80" w:line="240"/>
        <w:ind w:firstLine="360"/>
        <w:jc w:val="both"/>
      </w:pPr>
      <w:r>
        <w:rPr>
          <w:rFonts w:ascii="Times New Roman" w:cs="Times New Roman" w:eastAsia="Times New Roman" w:hAnsi="Times New Roman"/>
          <w:sz w:val="18"/>
          <w:szCs w:val="18"/>
        </w:rPr>
        <w:t xml:space="preserve">In Baseline mode, ash85 achieves the highest speedup (~1.29×) while web-Stanford regresses to ~0.93×. In Manual mode, gains are more consistent: west0479 reaches ~1.25× while only cnr-2000 and web-Stanford show mild regression. The cruxML-based Manual path partially mitigates fast-math scheduling disruptions by selecting kernels that are less sensitive to reciprocal approximation errors on regular-structured matrices.</w:t>
      </w:r>
    </w:p>
    <w:p>
      <w:pPr>
        <w:spacing w:after="80" w:before="160"/>
        <w:jc w:val="center"/>
      </w:pPr>
      <w:r>
        <w:rPr>
          <w:rFonts w:ascii="Times New Roman" w:cs="Times New Roman" w:eastAsia="Times New Roman" w:hAnsi="Times New Roman"/>
          <w:b w:val="false"/>
          <w:bCs w:val="false"/>
          <w:sz w:val="20"/>
          <w:szCs w:val="20"/>
        </w:rPr>
        <w:t xml:space="preserve">V. BAYESIAN OPTIMIZATION ANALYSIS</w:t>
      </w:r>
    </w:p>
    <w:p>
      <w:pPr>
        <w:spacing w:after="80" w:line="240"/>
        <w:ind w:firstLine="360"/>
        <w:jc w:val="both"/>
      </w:pPr>
      <w:r>
        <w:rPr>
          <w:rFonts w:ascii="Times New Roman" w:cs="Times New Roman" w:eastAsia="Times New Roman" w:hAnsi="Times New Roman"/>
          <w:sz w:val="18"/>
          <w:szCs w:val="18"/>
        </w:rPr>
        <w:t xml:space="preserve">Fig. 4 compares runtimes between the untuned Baseline (0,0) configuration and the BayesianBest configuration — the optimal hyperparameter setting identified via Bayesian optimization — on the RTX 5060 optimized build. Bayesian optimization explores the joint space of block height, shared memory layout, and precision path parameters.</w:t>
      </w:r>
    </w:p>
    <w:p>
      <w:pPr>
        <w:spacing w:after="40" w:before="60"/>
        <w:jc w:val="center"/>
      </w:pPr>
      <w:r>
        <w:drawing>
          <wp:inline distT="0" distB="0" distL="0" distR="0">
            <wp:extent cx="3086100" cy="1285875"/>
            <wp:effectExtent t="0" r="0" b="0" l="0"/>
            <wp:docPr id="1" name="figure"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86100" cy="1285875"/>
                    </a:xfrm>
                    <a:prstGeom prst="rect">
                      <a:avLst/>
                    </a:prstGeom>
                  </pic:spPr>
                </pic:pic>
              </a:graphicData>
            </a:graphic>
          </wp:inline>
        </w:drawing>
      </w:r>
    </w:p>
    <w:p>
      <w:pPr>
        <w:spacing w:after="120" w:before="40"/>
        <w:jc w:val="center"/>
      </w:pPr>
      <w:r>
        <w:rPr>
          <w:rFonts w:ascii="Times New Roman" w:cs="Times New Roman" w:eastAsia="Times New Roman" w:hAnsi="Times New Roman"/>
          <w:b/>
          <w:bCs/>
          <w:sz w:val="16"/>
          <w:szCs w:val="16"/>
        </w:rPr>
        <w:t xml:space="preserve">Fig. 4. </w:t>
      </w:r>
      <w:r>
        <w:rPr>
          <w:rFonts w:ascii="Times New Roman" w:cs="Times New Roman" w:eastAsia="Times New Roman" w:hAnsi="Times New Roman"/>
          <w:sz w:val="16"/>
          <w:szCs w:val="16"/>
        </w:rPr>
        <w:t xml:space="preserve">BayesianBest vs. Baseline (0,0) runtimes on the RTX 5060 optimized build. BayesianBest achieves the most significant reduction on web-Stanford (~24%).</w:t>
      </w:r>
    </w:p>
    <w:p>
      <w:pPr>
        <w:spacing w:after="80" w:line="240"/>
        <w:ind w:firstLine="360"/>
        <w:jc w:val="both"/>
      </w:pPr>
      <w:r>
        <w:rPr>
          <w:rFonts w:ascii="Times New Roman" w:cs="Times New Roman" w:eastAsia="Times New Roman" w:hAnsi="Times New Roman"/>
          <w:sz w:val="18"/>
          <w:szCs w:val="18"/>
        </w:rPr>
        <w:t xml:space="preserve">Bayesian optimization provides the most consistent runtime reductions across the matrix suite. Web-Stanford shows the largest improvement: runtime drops from ~0.215 ms to ~0.163 ms, a 24% reduction. Com-Youtube, the most computationally expensive matrix, sees a ~4.6% improvement (0.548 ms → 0.523 ms). Small matrices such as ash85 and west0479 show negligible change, consistent with their launch-overhead-dominated profiles where kernel parameter tuning has limited leverage.</w:t>
      </w:r>
    </w:p>
    <w:p>
      <w:pPr>
        <w:spacing w:after="80" w:before="160"/>
        <w:jc w:val="center"/>
      </w:pPr>
      <w:r>
        <w:rPr>
          <w:rFonts w:ascii="Times New Roman" w:cs="Times New Roman" w:eastAsia="Times New Roman" w:hAnsi="Times New Roman"/>
          <w:b w:val="false"/>
          <w:bCs w:val="false"/>
          <w:sz w:val="20"/>
          <w:szCs w:val="20"/>
        </w:rPr>
        <w:t xml:space="preserve">VI. MODE COMPARISON</w:t>
      </w:r>
    </w:p>
    <w:p>
      <w:pPr>
        <w:spacing w:after="80" w:line="240"/>
        <w:ind w:firstLine="360"/>
        <w:jc w:val="both"/>
      </w:pPr>
      <w:r>
        <w:rPr>
          <w:rFonts w:ascii="Times New Roman" w:cs="Times New Roman" w:eastAsia="Times New Roman" w:hAnsi="Times New Roman"/>
          <w:sz w:val="18"/>
          <w:szCs w:val="18"/>
        </w:rPr>
        <w:t xml:space="preserve">Fig. 5 presents all three execution modes side-by-side on the optimized build, providing a unified view of the performance landscape across the full matrix suite.</w:t>
      </w:r>
    </w:p>
    <w:p>
      <w:pPr>
        <w:sectPr>
          <w:headerReference w:type="default" r:id="rId13"/>
          <w:footerReference w:type="default" r:id="rId14"/>
          <w:type w:val="continuous"/>
          <w:pgSz w:w="12240" w:h="15840" w:orient="portrait"/>
          <w:pgMar w:top="1440" w:right="900" w:bottom="1440" w:left="900" w:header="708" w:footer="708" w:gutter="0"/>
          <w:pgNumType/>
          <w:cols w:space="720" w:num="2" w:equalWidth="true"/>
          <w:docGrid w:linePitch="360"/>
        </w:sectPr>
      </w:pPr>
    </w:p>
    <w:p>
      <w:pPr>
        <w:spacing w:after="40" w:before="60"/>
        <w:jc w:val="center"/>
      </w:pPr>
      <w:r>
        <w:drawing>
          <wp:inline distT="0" distB="0" distL="0" distR="0">
            <wp:extent cx="6629400" cy="2841171"/>
            <wp:effectExtent t="0" r="0" b="0" l="0"/>
            <wp:docPr id="1" name="figure"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629400" cy="2841171"/>
                    </a:xfrm>
                    <a:prstGeom prst="rect">
                      <a:avLst/>
                    </a:prstGeom>
                  </pic:spPr>
                </pic:pic>
              </a:graphicData>
            </a:graphic>
          </wp:inline>
        </w:drawing>
      </w:r>
    </w:p>
    <w:p>
      <w:pPr>
        <w:spacing w:after="120" w:before="40"/>
        <w:jc w:val="center"/>
      </w:pPr>
      <w:r>
        <w:rPr>
          <w:rFonts w:ascii="Times New Roman" w:cs="Times New Roman" w:eastAsia="Times New Roman" w:hAnsi="Times New Roman"/>
          <w:b/>
          <w:bCs/>
          <w:sz w:val="16"/>
          <w:szCs w:val="16"/>
        </w:rPr>
        <w:t xml:space="preserve">Fig. 5. </w:t>
      </w:r>
      <w:r>
        <w:rPr>
          <w:rFonts w:ascii="Times New Roman" w:cs="Times New Roman" w:eastAsia="Times New Roman" w:hAnsi="Times New Roman"/>
          <w:sz w:val="16"/>
          <w:szCs w:val="16"/>
        </w:rPr>
        <w:t xml:space="preserve">MatXtract RTX 5060 — Mode Comparison (Optimized Build). Baseline (0,0), Manual (1,1), and BayesianBest runtimes for all eight matrices. BayesianBest consistently tracks at or below the other modes.</w:t>
      </w:r>
    </w:p>
    <w:p>
      <w:pPr>
        <w:pBdr>
          <w:bottom w:val="single" w:color="000000" w:sz="4" w:space="1"/>
        </w:pBdr>
        <w:spacing w:after="80"/>
      </w:pPr>
      <w:r>
        <w:t xml:space="preserve"/>
      </w:r>
    </w:p>
    <w:p>
      <w:pPr>
        <w:sectPr>
          <w:headerReference w:type="default" r:id="rId15"/>
          <w:footerReference w:type="default" r:id="rId16"/>
          <w:type w:val="continuous"/>
          <w:pgSz w:w="12240" w:h="15840" w:orient="portrait"/>
          <w:pgMar w:top="1440" w:right="900" w:bottom="1440" w:left="900" w:header="708" w:footer="708" w:gutter="0"/>
          <w:pgNumType/>
          <w:cols w:num="1"/>
          <w:docGrid w:linePitch="360"/>
        </w:sectPr>
      </w:pPr>
    </w:p>
    <w:p>
      <w:pPr>
        <w:spacing w:after="80" w:line="240"/>
        <w:ind w:firstLine="360"/>
        <w:jc w:val="both"/>
      </w:pPr>
      <w:r>
        <w:rPr>
          <w:rFonts w:ascii="Times New Roman" w:cs="Times New Roman" w:eastAsia="Times New Roman" w:hAnsi="Times New Roman"/>
          <w:sz w:val="18"/>
          <w:szCs w:val="18"/>
        </w:rPr>
        <w:t xml:space="preserve">For cnr-2000, Manual mode is slower than Baseline, indicating the forced (1,1) blocked-output path is poorly matched to this matrix's dense web-graph structure. BayesianBest consistently tracks between or below Baseline and Manual, confirming per-matrix hyperparameter search as the most effective strategy. Com-Youtube's dominance of the runtime axis illustrates the dramatic scale difference between large social-network graphs (million-node scale) and smaller scientific/engineering matrices in the suite.</w:t>
      </w:r>
    </w:p>
    <w:p>
      <w:pPr>
        <w:spacing w:after="80" w:before="160"/>
        <w:jc w:val="center"/>
      </w:pPr>
      <w:r>
        <w:rPr>
          <w:rFonts w:ascii="Times New Roman" w:cs="Times New Roman" w:eastAsia="Times New Roman" w:hAnsi="Times New Roman"/>
          <w:b w:val="false"/>
          <w:bCs w:val="false"/>
          <w:sz w:val="20"/>
          <w:szCs w:val="20"/>
        </w:rPr>
        <w:t xml:space="preserve">VII. GFLOPS THROUGHPUT ANALYSIS</w:t>
      </w:r>
    </w:p>
    <w:p>
      <w:pPr>
        <w:spacing w:after="80" w:line="240"/>
        <w:ind w:firstLine="360"/>
        <w:jc w:val="both"/>
      </w:pPr>
      <w:r>
        <w:rPr>
          <w:rFonts w:ascii="Times New Roman" w:cs="Times New Roman" w:eastAsia="Times New Roman" w:hAnsi="Times New Roman"/>
          <w:sz w:val="18"/>
          <w:szCs w:val="18"/>
        </w:rPr>
        <w:t xml:space="preserve">Fig. 6 presents computational throughput in GFLOPS for Baseline (0,0) and Manual (1,1) modes, providing an efficiency perspective complementary to the latency-focused runtime analysis.</w:t>
      </w:r>
    </w:p>
    <w:p>
      <w:pPr>
        <w:sectPr>
          <w:headerReference w:type="default" r:id="rId17"/>
          <w:footerReference w:type="default" r:id="rId18"/>
          <w:type w:val="continuous"/>
          <w:pgSz w:w="12240" w:h="15840" w:orient="portrait"/>
          <w:pgMar w:top="1440" w:right="900" w:bottom="1440" w:left="900" w:header="708" w:footer="708" w:gutter="0"/>
          <w:pgNumType/>
          <w:cols w:space="720" w:num="2" w:equalWidth="true"/>
          <w:docGrid w:linePitch="360"/>
        </w:sectPr>
      </w:pPr>
    </w:p>
    <w:p>
      <w:pPr>
        <w:spacing w:after="40" w:before="60"/>
        <w:jc w:val="center"/>
      </w:pPr>
      <w:r>
        <w:drawing>
          <wp:inline distT="0" distB="0" distL="0" distR="0">
            <wp:extent cx="6629400" cy="2841171"/>
            <wp:effectExtent t="0" r="0" b="0" l="0"/>
            <wp:docPr id="1" name="figure"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629400" cy="2841171"/>
                    </a:xfrm>
                    <a:prstGeom prst="rect">
                      <a:avLst/>
                    </a:prstGeom>
                  </pic:spPr>
                </pic:pic>
              </a:graphicData>
            </a:graphic>
          </wp:inline>
        </w:drawing>
      </w:r>
    </w:p>
    <w:p>
      <w:pPr>
        <w:spacing w:after="120" w:before="40"/>
        <w:jc w:val="center"/>
      </w:pPr>
      <w:r>
        <w:rPr>
          <w:rFonts w:ascii="Times New Roman" w:cs="Times New Roman" w:eastAsia="Times New Roman" w:hAnsi="Times New Roman"/>
          <w:b/>
          <w:bCs/>
          <w:sz w:val="16"/>
          <w:szCs w:val="16"/>
        </w:rPr>
        <w:t xml:space="preserve">Fig. 6. </w:t>
      </w:r>
      <w:r>
        <w:rPr>
          <w:rFonts w:ascii="Times New Roman" w:cs="Times New Roman" w:eastAsia="Times New Roman" w:hAnsi="Times New Roman"/>
          <w:sz w:val="16"/>
          <w:szCs w:val="16"/>
        </w:rPr>
        <w:t xml:space="preserve">GFLOPS Throughput — RTX 5060 Optimized Build. Baseline (0,0) vs. Manual (1,1) across all eight matrices. Cnr-2000 achieves the highest throughput in Baseline mode (~34.7 GFLOPS); poisson3Da leads in Baseline mode (~36.2 GFLOPS).</w:t>
      </w:r>
    </w:p>
    <w:p>
      <w:pPr>
        <w:pBdr>
          <w:bottom w:val="single" w:color="000000" w:sz="4" w:space="1"/>
        </w:pBdr>
        <w:spacing w:after="80"/>
      </w:pPr>
      <w:r>
        <w:t xml:space="preserve"/>
      </w:r>
    </w:p>
    <w:p>
      <w:pPr>
        <w:sectPr>
          <w:headerReference w:type="default" r:id="rId19"/>
          <w:footerReference w:type="default" r:id="rId20"/>
          <w:type w:val="continuous"/>
          <w:pgSz w:w="12240" w:h="15840" w:orient="portrait"/>
          <w:pgMar w:top="1440" w:right="900" w:bottom="1440" w:left="900" w:header="708" w:footer="708" w:gutter="0"/>
          <w:pgNumType/>
          <w:cols w:num="1"/>
          <w:docGrid w:linePitch="360"/>
        </w:sectPr>
      </w:pPr>
    </w:p>
    <w:p>
      <w:pPr>
        <w:spacing w:after="80" w:line="240"/>
        <w:ind w:firstLine="360"/>
        <w:jc w:val="both"/>
      </w:pPr>
      <w:r>
        <w:rPr>
          <w:rFonts w:ascii="Times New Roman" w:cs="Times New Roman" w:eastAsia="Times New Roman" w:hAnsi="Times New Roman"/>
          <w:sz w:val="18"/>
          <w:szCs w:val="18"/>
        </w:rPr>
        <w:t xml:space="preserve">A critical finding from the GFLOPS analysis is that higher throughput does not always correspond to lower runtime. Cnr-2000 achieves ~34.7 GFLOPS in Baseline mode but only ~26.8 GFLOPS in Manual mode — yet Manual mode exhibits higher latency for this matrix (Fig. 5). This apparent paradox is explained by working-set size and memory access patterns: the Baseline kernel processes more work per thread (higher arithmetic intensity), while the Manual blocked-output kernel issues more DRAM transactions, increasing latency despite nominally lower throughput.</w:t>
      </w:r>
    </w:p>
    <w:p>
      <w:pPr>
        <w:spacing w:after="80" w:line="240"/>
        <w:ind w:firstLine="360"/>
        <w:jc w:val="both"/>
      </w:pPr>
      <w:r>
        <w:rPr>
          <w:rFonts w:ascii="Times New Roman" w:cs="Times New Roman" w:eastAsia="Times New Roman" w:hAnsi="Times New Roman"/>
          <w:sz w:val="18"/>
          <w:szCs w:val="18"/>
        </w:rPr>
        <w:t xml:space="preserve">Poisson3Da achieves the highest GFLOPS (~36.2) in Baseline mode, consistent with its regular-grid 3D PDE structure that maps efficiently onto the GPU's memory subsystem with high spatial locality. The near-zero GFLOPS for ash85 and west0479 confirm these matrices are entirely dominated by kernel launch overhead, making throughput optimization irrelevant for them.</w:t>
      </w:r>
    </w:p>
    <w:p>
      <w:pPr>
        <w:spacing w:after="80" w:before="160"/>
        <w:jc w:val="center"/>
      </w:pPr>
      <w:r>
        <w:rPr>
          <w:rFonts w:ascii="Times New Roman" w:cs="Times New Roman" w:eastAsia="Times New Roman" w:hAnsi="Times New Roman"/>
          <w:b w:val="false"/>
          <w:bCs w:val="false"/>
          <w:sz w:val="20"/>
          <w:szCs w:val="20"/>
        </w:rPr>
        <w:t xml:space="preserve">VIII. DISCUSSION</w:t>
      </w:r>
    </w:p>
    <w:p>
      <w:pPr>
        <w:spacing w:after="40" w:before="120"/>
        <w:jc w:val="left"/>
      </w:pPr>
      <w:r>
        <w:rPr>
          <w:rFonts w:ascii="Times New Roman" w:cs="Times New Roman" w:eastAsia="Times New Roman" w:hAnsi="Times New Roman"/>
          <w:i/>
          <w:iCs/>
          <w:sz w:val="18"/>
          <w:szCs w:val="18"/>
        </w:rPr>
        <w:t xml:space="preserve">A. Optimization Strategy Comparison</w:t>
      </w:r>
    </w:p>
    <w:p>
      <w:pPr>
        <w:spacing w:after="80" w:line="240"/>
        <w:ind w:firstLine="360"/>
        <w:jc w:val="both"/>
      </w:pPr>
      <w:r>
        <w:rPr>
          <w:rFonts w:ascii="Times New Roman" w:cs="Times New Roman" w:eastAsia="Times New Roman" w:hAnsi="Times New Roman"/>
          <w:sz w:val="18"/>
          <w:szCs w:val="18"/>
        </w:rPr>
        <w:t xml:space="preserve">Across all experiments, three optimization strategies were evaluated. Compiler-level optimization (--use_fast_math, -O3, SM120 targeting) provides modest mean gains (~1.02×) but introduces regressions on memory-bandwidth-limited matrices. Manual mode selection (1,1) is more consistently beneficial than Baseline mode for the optimized build, but can backfire on dense web-graph matrices like cnr-2000. Bayesian optimization delivers the most consistent improvements and is the only strategy that simultaneously benefits structurally diverse matrices — from small structural engineering problems (ash85) to large social-network graphs (com-Youtube).</w:t>
      </w:r>
    </w:p>
    <w:p>
      <w:pPr>
        <w:spacing w:after="40" w:before="120"/>
        <w:jc w:val="left"/>
      </w:pPr>
      <w:r>
        <w:rPr>
          <w:rFonts w:ascii="Times New Roman" w:cs="Times New Roman" w:eastAsia="Times New Roman" w:hAnsi="Times New Roman"/>
          <w:i/>
          <w:iCs/>
          <w:sz w:val="18"/>
          <w:szCs w:val="18"/>
        </w:rPr>
        <w:t xml:space="preserve">B. Structural Sensitivity</w:t>
      </w:r>
    </w:p>
    <w:p>
      <w:pPr>
        <w:spacing w:after="80" w:line="240"/>
        <w:ind w:firstLine="360"/>
        <w:jc w:val="both"/>
      </w:pPr>
      <w:r>
        <w:rPr>
          <w:rFonts w:ascii="Times New Roman" w:cs="Times New Roman" w:eastAsia="Times New Roman" w:hAnsi="Times New Roman"/>
          <w:sz w:val="18"/>
          <w:szCs w:val="18"/>
        </w:rPr>
        <w:t xml:space="preserve">The matrix-structure-dependent performance swings observed here are consistent with the broader sparse linear algebra literature. The bimodal sensitivity between compute-bound irregular matrices (west0479) and memory-bandwidth-limited regular-grid matrices (poisson3Da) motivates per-matrix profiling rather than a blanket optimization strategy. This is precisely the design motivation for the cruxML mode-selection approach within MatXtract.</w:t>
      </w:r>
    </w:p>
    <w:p>
      <w:pPr>
        <w:spacing w:after="40" w:before="120"/>
        <w:jc w:val="left"/>
      </w:pPr>
      <w:r>
        <w:rPr>
          <w:rFonts w:ascii="Times New Roman" w:cs="Times New Roman" w:eastAsia="Times New Roman" w:hAnsi="Times New Roman"/>
          <w:i/>
          <w:iCs/>
          <w:sz w:val="18"/>
          <w:szCs w:val="18"/>
        </w:rPr>
        <w:t xml:space="preserve">C. Limitations</w:t>
      </w:r>
    </w:p>
    <w:p>
      <w:pPr>
        <w:spacing w:after="80" w:line="240"/>
        <w:ind w:firstLine="360"/>
        <w:jc w:val="both"/>
      </w:pPr>
      <w:r>
        <w:rPr>
          <w:rFonts w:ascii="Times New Roman" w:cs="Times New Roman" w:eastAsia="Times New Roman" w:hAnsi="Times New Roman"/>
          <w:sz w:val="18"/>
          <w:szCs w:val="18"/>
        </w:rPr>
        <w:t xml:space="preserve">Nsight Compute kernel-level counter collection was not available in this evaluation due to platform driver constraints. Kernel-level counters — SM throughput, L1/L2 hit rates, warp stall reasons — are essential for definitively classifying each workload as memory-bound or compute-bound. Future work will address this under Linux, where consumer GPU profiling restrictions do not apply.</w:t>
      </w:r>
    </w:p>
    <w:p>
      <w:pPr>
        <w:spacing w:after="80" w:before="160"/>
        <w:jc w:val="center"/>
      </w:pPr>
      <w:r>
        <w:rPr>
          <w:rFonts w:ascii="Times New Roman" w:cs="Times New Roman" w:eastAsia="Times New Roman" w:hAnsi="Times New Roman"/>
          <w:b w:val="false"/>
          <w:bCs w:val="false"/>
          <w:sz w:val="20"/>
          <w:szCs w:val="20"/>
        </w:rPr>
        <w:t xml:space="preserve">IX. SUMMARY OF KEY RESULTS</w:t>
      </w:r>
    </w:p>
    <w:p>
      <w:pPr>
        <w:spacing w:after="40"/>
      </w:pPr>
      <w:r>
        <w:t xml:space="preserve"/>
      </w:r>
    </w:p>
    <w:p>
      <w:pPr>
        <w:spacing w:after="40" w:before="100"/>
        <w:jc w:val="center"/>
      </w:pPr>
      <w:r>
        <w:rPr>
          <w:rFonts w:ascii="Times New Roman" w:cs="Times New Roman" w:eastAsia="Times New Roman" w:hAnsi="Times New Roman"/>
          <w:b/>
          <w:bCs/>
          <w:caps/>
          <w:sz w:val="16"/>
          <w:szCs w:val="16"/>
        </w:rPr>
        <w:t>TABLE IV
REPRESENTATIVE RUNTIMES AND PEAK GFLOPS PER MATRIX</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100"/>
        <w:gridCol w:w="760"/>
        <w:gridCol w:w="760"/>
        <w:gridCol w:w="900"/>
        <w:gridCol w:w="1080"/>
      </w:tblGrid>
      <w:tr>
        <w:tc>
          <w:tcPr>
            <w:tcW w:type="dxa" w:w="1100"/>
            <w:tcBorders>
              <w:top w:val="single" w:color="000000" w:sz="4"/>
              <w:left w:val="none"/>
              <w:bottom w:val="single" w:color="000000" w:sz="4"/>
              <w:right w:val="none"/>
            </w:tcBorders>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Matrix</w:t>
            </w:r>
          </w:p>
        </w:tc>
        <w:tc>
          <w:tcPr>
            <w:tcW w:type="dxa" w:w="760"/>
            <w:tcBorders>
              <w:top w:val="single" w:color="000000" w:sz="4"/>
              <w:left w:val="none"/>
              <w:bottom w:val="single" w:color="000000" w:sz="4"/>
              <w:right w:val="none"/>
            </w:tcBorders>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BL (ms)</w:t>
            </w:r>
          </w:p>
        </w:tc>
        <w:tc>
          <w:tcPr>
            <w:tcW w:type="dxa" w:w="760"/>
            <w:tcBorders>
              <w:top w:val="single" w:color="000000" w:sz="4"/>
              <w:left w:val="none"/>
              <w:bottom w:val="single" w:color="000000" w:sz="4"/>
              <w:right w:val="none"/>
            </w:tcBorders>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MN (ms)</w:t>
            </w:r>
          </w:p>
        </w:tc>
        <w:tc>
          <w:tcPr>
            <w:tcW w:type="dxa" w:w="900"/>
            <w:tcBorders>
              <w:top w:val="single" w:color="000000" w:sz="4"/>
              <w:left w:val="none"/>
              <w:bottom w:val="single" w:color="000000" w:sz="4"/>
              <w:right w:val="none"/>
            </w:tcBorders>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Bayes (ms)</w:t>
            </w:r>
          </w:p>
        </w:tc>
        <w:tc>
          <w:tcPr>
            <w:tcW w:type="dxa" w:w="1080"/>
            <w:tcBorders>
              <w:top w:val="single" w:color="000000" w:sz="4"/>
              <w:left w:val="none"/>
              <w:bottom w:val="single" w:color="000000" w:sz="4"/>
              <w:right w:val="none"/>
            </w:tcBorders>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Peak GFLOPS</w:t>
            </w:r>
          </w:p>
        </w:tc>
      </w:tr>
      <w:tr>
        <w:tc>
          <w:tcPr>
            <w:tcW w:type="dxa" w:w="11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cnr-2000</w:t>
            </w:r>
          </w:p>
        </w:tc>
        <w:tc>
          <w:tcPr>
            <w:tcW w:type="dxa" w:w="76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0.185</w:t>
            </w:r>
          </w:p>
        </w:tc>
        <w:tc>
          <w:tcPr>
            <w:tcW w:type="dxa" w:w="76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0.239</w:t>
            </w:r>
          </w:p>
        </w:tc>
        <w:tc>
          <w:tcPr>
            <w:tcW w:type="dxa" w:w="9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0.176</w:t>
            </w:r>
          </w:p>
        </w:tc>
        <w:tc>
          <w:tcPr>
            <w:tcW w:type="dxa" w:w="108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34.7 (BL)</w:t>
            </w:r>
          </w:p>
        </w:tc>
      </w:tr>
      <w:tr>
        <w:tc>
          <w:tcPr>
            <w:tcW w:type="dxa" w:w="11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web-Stanford</w:t>
            </w:r>
          </w:p>
        </w:tc>
        <w:tc>
          <w:tcPr>
            <w:tcW w:type="dxa" w:w="76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0.212</w:t>
            </w:r>
          </w:p>
        </w:tc>
        <w:tc>
          <w:tcPr>
            <w:tcW w:type="dxa" w:w="76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0.166</w:t>
            </w:r>
          </w:p>
        </w:tc>
        <w:tc>
          <w:tcPr>
            <w:tcW w:type="dxa" w:w="9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0.163</w:t>
            </w:r>
          </w:p>
        </w:tc>
        <w:tc>
          <w:tcPr>
            <w:tcW w:type="dxa" w:w="108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28.1 (MN)</w:t>
            </w:r>
          </w:p>
        </w:tc>
      </w:tr>
      <w:tr>
        <w:tc>
          <w:tcPr>
            <w:tcW w:type="dxa" w:w="11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com-Amazon</w:t>
            </w:r>
          </w:p>
        </w:tc>
        <w:tc>
          <w:tcPr>
            <w:tcW w:type="dxa" w:w="76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0.152</w:t>
            </w:r>
          </w:p>
        </w:tc>
        <w:tc>
          <w:tcPr>
            <w:tcW w:type="dxa" w:w="76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0.145</w:t>
            </w:r>
          </w:p>
        </w:tc>
        <w:tc>
          <w:tcPr>
            <w:tcW w:type="dxa" w:w="9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0.150</w:t>
            </w:r>
          </w:p>
        </w:tc>
        <w:tc>
          <w:tcPr>
            <w:tcW w:type="dxa" w:w="108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25.8 (MN)</w:t>
            </w:r>
          </w:p>
        </w:tc>
      </w:tr>
      <w:tr>
        <w:tc>
          <w:tcPr>
            <w:tcW w:type="dxa" w:w="11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com-Youtube</w:t>
            </w:r>
          </w:p>
        </w:tc>
        <w:tc>
          <w:tcPr>
            <w:tcW w:type="dxa" w:w="76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0.548</w:t>
            </w:r>
          </w:p>
        </w:tc>
        <w:tc>
          <w:tcPr>
            <w:tcW w:type="dxa" w:w="76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0.493</w:t>
            </w:r>
          </w:p>
        </w:tc>
        <w:tc>
          <w:tcPr>
            <w:tcW w:type="dxa" w:w="9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0.523</w:t>
            </w:r>
          </w:p>
        </w:tc>
        <w:tc>
          <w:tcPr>
            <w:tcW w:type="dxa" w:w="108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24.3 (MN)</w:t>
            </w:r>
          </w:p>
        </w:tc>
      </w:tr>
      <w:tr>
        <w:tc>
          <w:tcPr>
            <w:tcW w:type="dxa" w:w="11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ash85</w:t>
            </w:r>
          </w:p>
        </w:tc>
        <w:tc>
          <w:tcPr>
            <w:tcW w:type="dxa" w:w="76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0.007</w:t>
            </w:r>
          </w:p>
        </w:tc>
        <w:tc>
          <w:tcPr>
            <w:tcW w:type="dxa" w:w="76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0.008</w:t>
            </w:r>
          </w:p>
        </w:tc>
        <w:tc>
          <w:tcPr>
            <w:tcW w:type="dxa" w:w="9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0.009</w:t>
            </w:r>
          </w:p>
        </w:tc>
        <w:tc>
          <w:tcPr>
            <w:tcW w:type="dxa" w:w="108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w:t>
            </w:r>
          </w:p>
        </w:tc>
      </w:tr>
      <w:tr>
        <w:tc>
          <w:tcPr>
            <w:tcW w:type="dxa" w:w="11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west0479</w:t>
            </w:r>
          </w:p>
        </w:tc>
        <w:tc>
          <w:tcPr>
            <w:tcW w:type="dxa" w:w="76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0.009</w:t>
            </w:r>
          </w:p>
        </w:tc>
        <w:tc>
          <w:tcPr>
            <w:tcW w:type="dxa" w:w="76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0.008</w:t>
            </w:r>
          </w:p>
        </w:tc>
        <w:tc>
          <w:tcPr>
            <w:tcW w:type="dxa" w:w="9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0.009</w:t>
            </w:r>
          </w:p>
        </w:tc>
        <w:tc>
          <w:tcPr>
            <w:tcW w:type="dxa" w:w="108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w:t>
            </w:r>
          </w:p>
        </w:tc>
      </w:tr>
      <w:tr>
        <w:tc>
          <w:tcPr>
            <w:tcW w:type="dxa" w:w="1100"/>
            <w:tcBorders>
              <w:top w:val="single" w:color="000000" w:sz="1"/>
              <w:left w:val="none"/>
              <w:bottom w:val="single" w:color="000000" w:sz="1"/>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bcsstk14</w:t>
            </w:r>
          </w:p>
        </w:tc>
        <w:tc>
          <w:tcPr>
            <w:tcW w:type="dxa" w:w="76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0.010</w:t>
            </w:r>
          </w:p>
        </w:tc>
        <w:tc>
          <w:tcPr>
            <w:tcW w:type="dxa" w:w="76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0.009</w:t>
            </w:r>
          </w:p>
        </w:tc>
        <w:tc>
          <w:tcPr>
            <w:tcW w:type="dxa" w:w="90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0.010</w:t>
            </w:r>
          </w:p>
        </w:tc>
        <w:tc>
          <w:tcPr>
            <w:tcW w:type="dxa" w:w="1080"/>
            <w:tcBorders>
              <w:top w:val="single" w:color="000000" w:sz="1"/>
              <w:left w:val="none"/>
              <w:bottom w:val="single" w:color="000000" w:sz="1"/>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10.0 (MN)</w:t>
            </w:r>
          </w:p>
        </w:tc>
      </w:tr>
      <w:tr>
        <w:tc>
          <w:tcPr>
            <w:tcW w:type="dxa" w:w="1100"/>
            <w:tcBorders>
              <w:top w:val="single" w:color="000000" w:sz="1"/>
              <w:left w:val="none"/>
              <w:bottom w:val="single" w:color="000000" w:sz="4"/>
              <w:right w:val="none"/>
            </w:tcBorders>
            <w:tcMar>
              <w:top w:type="dxa" w:w="30"/>
              <w:left w:type="dxa" w:w="80"/>
              <w:bottom w:type="dxa" w:w="30"/>
              <w:right w:type="dxa" w:w="80"/>
            </w:tcMar>
          </w:tcPr>
          <w:p>
            <w:pPr>
              <w:jc w:val="left"/>
            </w:pPr>
            <w:r>
              <w:rPr>
                <w:rFonts w:ascii="Times New Roman" w:cs="Times New Roman" w:eastAsia="Times New Roman" w:hAnsi="Times New Roman"/>
                <w:sz w:val="16"/>
                <w:szCs w:val="16"/>
              </w:rPr>
              <w:t xml:space="preserve">poisson3Da</w:t>
            </w:r>
          </w:p>
        </w:tc>
        <w:tc>
          <w:tcPr>
            <w:tcW w:type="dxa" w:w="760"/>
            <w:tcBorders>
              <w:top w:val="single" w:color="000000" w:sz="1"/>
              <w:left w:val="none"/>
              <w:bottom w:val="single" w:color="000000" w:sz="4"/>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0.017</w:t>
            </w:r>
          </w:p>
        </w:tc>
        <w:tc>
          <w:tcPr>
            <w:tcW w:type="dxa" w:w="760"/>
            <w:tcBorders>
              <w:top w:val="single" w:color="000000" w:sz="1"/>
              <w:left w:val="none"/>
              <w:bottom w:val="single" w:color="000000" w:sz="4"/>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0.028</w:t>
            </w:r>
          </w:p>
        </w:tc>
        <w:tc>
          <w:tcPr>
            <w:tcW w:type="dxa" w:w="900"/>
            <w:tcBorders>
              <w:top w:val="single" w:color="000000" w:sz="1"/>
              <w:left w:val="none"/>
              <w:bottom w:val="single" w:color="000000" w:sz="4"/>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0.017</w:t>
            </w:r>
          </w:p>
        </w:tc>
        <w:tc>
          <w:tcPr>
            <w:tcW w:type="dxa" w:w="1080"/>
            <w:tcBorders>
              <w:top w:val="single" w:color="000000" w:sz="1"/>
              <w:left w:val="none"/>
              <w:bottom w:val="single" w:color="000000" w:sz="4"/>
              <w:right w:val="none"/>
            </w:tcBorders>
            <w:tcMar>
              <w:top w:type="dxa" w:w="30"/>
              <w:left w:type="dxa" w:w="80"/>
              <w:bottom w:type="dxa" w:w="30"/>
              <w:right w:type="dxa" w:w="80"/>
            </w:tcMar>
          </w:tcPr>
          <w:p>
            <w:pPr>
              <w:jc w:val="center"/>
            </w:pPr>
            <w:r>
              <w:rPr>
                <w:rFonts w:ascii="Times New Roman" w:cs="Times New Roman" w:eastAsia="Times New Roman" w:hAnsi="Times New Roman"/>
                <w:sz w:val="16"/>
                <w:szCs w:val="16"/>
              </w:rPr>
              <w:t xml:space="preserve">36.2 (BL)</w:t>
            </w:r>
          </w:p>
        </w:tc>
      </w:tr>
    </w:tbl>
    <w:p>
      <w:pPr>
        <w:spacing w:after="120" w:before="40"/>
        <w:jc w:val="center"/>
      </w:pPr>
      <w:r>
        <w:rPr>
          <w:rFonts w:ascii="Times New Roman" w:cs="Times New Roman" w:eastAsia="Times New Roman" w:hAnsi="Times New Roman"/>
          <w:i/>
          <w:iCs/>
          <w:sz w:val="16"/>
          <w:szCs w:val="16"/>
        </w:rPr>
        <w:t xml:space="preserve">BL = Baseline (0,0); MN = Manual (1,1); Bayes = BayesianBest.</w:t>
      </w:r>
    </w:p>
    <w:p>
      <w:pPr>
        <w:spacing w:after="80" w:before="160"/>
        <w:jc w:val="center"/>
      </w:pPr>
      <w:r>
        <w:rPr>
          <w:rFonts w:ascii="Times New Roman" w:cs="Times New Roman" w:eastAsia="Times New Roman" w:hAnsi="Times New Roman"/>
          <w:b w:val="false"/>
          <w:bCs w:val="false"/>
          <w:sz w:val="20"/>
          <w:szCs w:val="20"/>
        </w:rPr>
        <w:t xml:space="preserve">X. CONCLUSION</w:t>
      </w:r>
    </w:p>
    <w:p>
      <w:pPr>
        <w:spacing w:after="80" w:line="240"/>
        <w:ind w:firstLine="360"/>
        <w:jc w:val="both"/>
      </w:pPr>
      <w:r>
        <w:rPr>
          <w:rFonts w:ascii="Times New Roman" w:cs="Times New Roman" w:eastAsia="Times New Roman" w:hAnsi="Times New Roman"/>
          <w:sz w:val="18"/>
          <w:szCs w:val="18"/>
        </w:rPr>
        <w:t xml:space="preserve">This study established a robust, automated benchmark baseline for MatXtract on the NVIDIA RTX 5060 (SM120, Blackwell). Results across eight SuiteSparse matrices and three execution modes demonstrate that performance is strongly matrix-structure-dependent. The compiler-optimized SM120 build provides modest mean speedups (1.02–1.03×), with the largest benefits on compute-bound irregular matrices and the most significant regressions on memory-bandwidth-limited regular-grid workloads.</w:t>
      </w:r>
    </w:p>
    <w:p>
      <w:pPr>
        <w:spacing w:after="80" w:line="240"/>
        <w:ind w:firstLine="360"/>
        <w:jc w:val="both"/>
      </w:pPr>
      <w:r>
        <w:rPr>
          <w:rFonts w:ascii="Times New Roman" w:cs="Times New Roman" w:eastAsia="Times New Roman" w:hAnsi="Times New Roman"/>
          <w:sz w:val="18"/>
          <w:szCs w:val="18"/>
        </w:rPr>
        <w:t xml:space="preserve">Bayesian optimization delivers the most consistent improvements — up to 24% latency reduction on web-Stanford — and is recommended as the default deployment strategy for workloads where per-matrix tuning is feasible. The GFLOPS analysis reveals that throughput and latency are not always aligned, underscoring the importance of evaluating both metrics when characterizing sparse-kernel performance.</w:t>
      </w:r>
    </w:p>
    <w:p>
      <w:pPr>
        <w:spacing w:after="80" w:line="240"/>
        <w:ind w:firstLine="360"/>
        <w:jc w:val="both"/>
      </w:pPr>
      <w:r>
        <w:rPr>
          <w:rFonts w:ascii="Times New Roman" w:cs="Times New Roman" w:eastAsia="Times New Roman" w:hAnsi="Times New Roman"/>
          <w:sz w:val="18"/>
          <w:szCs w:val="18"/>
        </w:rPr>
        <w:t xml:space="preserve">Future work: (1) resolve Nsight Compute kernel-level profiling under Linux; (2) integrate hardware counters (L2 hit rates, warp stall breakdowns) into the bottleneck classifier; (3) tune MATXTRACT_SHARED_MEM_LAYOUT and MATXTRACT_PRECISION_PATH for regression cases; (4) extend cross-generation scaling analysis to RTX 4050 (SM89) vs. RTX 5060 (SM120) on the full SuiteSparse benchmark suite.</w:t>
      </w:r>
    </w:p>
    <w:p>
      <w:pPr>
        <w:spacing w:after="80" w:before="160"/>
        <w:jc w:val="center"/>
      </w:pPr>
      <w:r>
        <w:rPr>
          <w:rFonts w:ascii="Times New Roman" w:cs="Times New Roman" w:eastAsia="Times New Roman" w:hAnsi="Times New Roman"/>
          <w:b w:val="false"/>
          <w:bCs w:val="false"/>
          <w:sz w:val="20"/>
          <w:szCs w:val="20"/>
        </w:rPr>
        <w:t xml:space="preserve">References. </w:t>
      </w:r>
    </w:p>
    <w:p>
      <w:pPr>
        <w:spacing w:after="80" w:line="240"/>
        <w:jc w:val="both"/>
      </w:pPr>
      <w:r>
        <w:rPr>
          <w:rFonts w:ascii="Times New Roman" w:cs="Times New Roman" w:eastAsia="Times New Roman" w:hAnsi="Times New Roman"/>
          <w:sz w:val="18"/>
          <w:szCs w:val="18"/>
        </w:rPr>
        <w:t xml:space="preserve">[1] T. A. Davis and Y. Hu, "The University of Florida Sparse Matrix Collection," ACM Trans. Math. Softw., vol. 38, no. 1, pp. 1–25, 2011.</w:t>
      </w:r>
    </w:p>
    <w:p>
      <w:pPr>
        <w:spacing w:after="80" w:line="240"/>
        <w:jc w:val="both"/>
      </w:pPr>
      <w:r>
        <w:rPr>
          <w:rFonts w:ascii="Times New Roman" w:cs="Times New Roman" w:eastAsia="Times New Roman" w:hAnsi="Times New Roman"/>
          <w:sz w:val="18"/>
          <w:szCs w:val="18"/>
        </w:rPr>
        <w:t xml:space="preserve">[2] NVIDIA Corporation, "Nsight Systems User Guide," 2024. https://docs.nvidia.com/nsight-systems</w:t>
      </w:r>
    </w:p>
    <w:p>
      <w:pPr>
        <w:spacing w:after="80" w:line="240"/>
        <w:jc w:val="both"/>
      </w:pPr>
      <w:r>
        <w:rPr>
          <w:rFonts w:ascii="Times New Roman" w:cs="Times New Roman" w:eastAsia="Times New Roman" w:hAnsi="Times New Roman"/>
          <w:sz w:val="18"/>
          <w:szCs w:val="18"/>
        </w:rPr>
        <w:t xml:space="preserve">[3] NVIDIA Corporation, "Nsight Compute CLI Documentation," 2024. https://docs.nvidia.com/nsight-compute</w:t>
      </w:r>
    </w:p>
    <w:p>
      <w:pPr>
        <w:spacing w:after="80" w:line="240"/>
        <w:jc w:val="both"/>
      </w:pPr>
      <w:r>
        <w:rPr>
          <w:rFonts w:ascii="Times New Roman" w:cs="Times New Roman" w:eastAsia="Times New Roman" w:hAnsi="Times New Roman"/>
          <w:sz w:val="18"/>
          <w:szCs w:val="18"/>
        </w:rPr>
        <w:t xml:space="preserve">[4] NVIDIA Corporation, "cuSPARSE Library," CUDA Toolkit Documentation, 2024. https://docs.nvidia.com/cuda/cusparse</w:t>
      </w:r>
    </w:p>
    <w:p>
      <w:pPr>
        <w:spacing w:after="80" w:line="240"/>
        <w:jc w:val="both"/>
      </w:pPr>
      <w:r>
        <w:rPr>
          <w:rFonts w:ascii="Times New Roman" w:cs="Times New Roman" w:eastAsia="Times New Roman" w:hAnsi="Times New Roman"/>
          <w:sz w:val="18"/>
          <w:szCs w:val="18"/>
        </w:rPr>
        <w:t xml:space="preserve">[5] T. Malepati, "MatXtractt," GitHub, 2025. https://github.com/TarunMalepati99/MatXtractt</w:t>
      </w:r>
    </w:p>
    <w:p>
      <w:pPr>
        <w:spacing w:after="80" w:line="240"/>
        <w:jc w:val="both"/>
      </w:pPr>
      <w:r>
        <w:rPr>
          <w:rFonts w:ascii="Times New Roman" w:cs="Times New Roman" w:eastAsia="Times New Roman" w:hAnsi="Times New Roman"/>
          <w:sz w:val="18"/>
          <w:szCs w:val="18"/>
        </w:rPr>
        <w:t xml:space="preserve">[6] N. Sriram et al., "BenchMark-Testing-of-4050," GitHub, 2025. https://github.com/nithishsrirams/BenchMark-Testing-of-4050</w:t>
      </w:r>
    </w:p>
    <w:sectPr>
      <w:headerReference w:type="default" r:id="rId21"/>
      <w:footerReference w:type="default" r:id="rId22"/>
      <w:type w:val="continuous"/>
      <w:pgSz w:w="12240" w:h="15840" w:orient="portrait"/>
      <w:pgMar w:top="1440" w:right="900" w:bottom="1440" w:left="90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2"/>
      </w:pBd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2"/>
      </w:pBd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2"/>
      </w:pBd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2"/>
      </w:pBd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2"/>
      </w:pBd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2"/>
      </w:pBd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2"/>
      </w:pBd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2"/>
      </w:pBd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80"/>
      <w:jc w:val="center"/>
    </w:pPr>
    <w:r>
      <w:rPr>
        <w:rFonts w:ascii="Times New Roman" w:cs="Times New Roman" w:eastAsia="Times New Roman" w:hAnsi="Times New Roman"/>
        <w:sz w:val="16"/>
        <w:szCs w:val="16"/>
      </w:rPr>
      <w:t xml:space="preserve">Indiana University — High Performance Computing (B649)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80"/>
      <w:jc w:val="center"/>
    </w:pPr>
    <w:r>
      <w:rPr>
        <w:rFonts w:ascii="Times New Roman" w:cs="Times New Roman" w:eastAsia="Times New Roman" w:hAnsi="Times New Roman"/>
        <w:sz w:val="16"/>
        <w:szCs w:val="16"/>
      </w:rPr>
      <w:t xml:space="preserve">Indiana University — High Performance Computing (B649)</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80"/>
      <w:jc w:val="center"/>
    </w:pPr>
    <w:r>
      <w:rPr>
        <w:rFonts w:ascii="Times New Roman" w:cs="Times New Roman" w:eastAsia="Times New Roman" w:hAnsi="Times New Roman"/>
        <w:sz w:val="16"/>
        <w:szCs w:val="16"/>
      </w:rPr>
      <w:t xml:space="preserve">Indiana University — High Performance Computing (B649)</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80"/>
      <w:jc w:val="center"/>
    </w:pPr>
    <w:r>
      <w:rPr>
        <w:rFonts w:ascii="Times New Roman" w:cs="Times New Roman" w:eastAsia="Times New Roman" w:hAnsi="Times New Roman"/>
        <w:sz w:val="16"/>
        <w:szCs w:val="16"/>
      </w:rPr>
      <w:t xml:space="preserve">Indiana University — High Performance Computing (B649)</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80"/>
      <w:jc w:val="center"/>
    </w:pPr>
    <w:r>
      <w:rPr>
        <w:rFonts w:ascii="Times New Roman" w:cs="Times New Roman" w:eastAsia="Times New Roman" w:hAnsi="Times New Roman"/>
        <w:sz w:val="16"/>
        <w:szCs w:val="16"/>
      </w:rPr>
      <w:t xml:space="preserve">Indiana University — High Performance Computing (B649)</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80"/>
      <w:jc w:val="center"/>
    </w:pPr>
    <w:r>
      <w:rPr>
        <w:rFonts w:ascii="Times New Roman" w:cs="Times New Roman" w:eastAsia="Times New Roman" w:hAnsi="Times New Roman"/>
        <w:sz w:val="16"/>
        <w:szCs w:val="16"/>
      </w:rPr>
      <w:t xml:space="preserve">Indiana University — High Performance Computing (B649)</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80"/>
      <w:jc w:val="center"/>
    </w:pPr>
    <w:r>
      <w:rPr>
        <w:rFonts w:ascii="Times New Roman" w:cs="Times New Roman" w:eastAsia="Times New Roman" w:hAnsi="Times New Roman"/>
        <w:sz w:val="16"/>
        <w:szCs w:val="16"/>
      </w:rPr>
      <w:t xml:space="preserve">Indiana University — High Performance Computing (B649)</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80"/>
      <w:jc w:val="center"/>
    </w:pPr>
    <w:r>
      <w:rPr>
        <w:rFonts w:ascii="Times New Roman" w:cs="Times New Roman" w:eastAsia="Times New Roman" w:hAnsi="Times New Roman"/>
        <w:sz w:val="16"/>
        <w:szCs w:val="16"/>
      </w:rPr>
      <w:t xml:space="preserve">Indiana University — High Performance Computing (B649)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80" w:before="160"/>
      <w:outlineLvl w:val="0"/>
    </w:pPr>
    <w:rPr>
      <w:rFonts w:ascii="Times New Roman" w:cs="Times New Roman" w:eastAsia="Times New Roman" w:hAnsi="Times New Roman"/>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image" Target="media/3087efb06a1fc18c0bffc43904568ebe34165061.png"/><Relationship Id="rId24" Type="http://schemas.openxmlformats.org/officeDocument/2006/relationships/image" Target="media/e2aafdd6294eb3abe72da2251b5d652f743051db.png"/><Relationship Id="rId25" Type="http://schemas.openxmlformats.org/officeDocument/2006/relationships/image" Target="media/eb9b58d3d34c640e2529421d0f8af23da47fa23a.png"/><Relationship Id="rId26" Type="http://schemas.openxmlformats.org/officeDocument/2006/relationships/image" Target="media/9a3c52929466bce987d3c3d1ddfabe4ab2b90886.png"/><Relationship Id="rId27" Type="http://schemas.openxmlformats.org/officeDocument/2006/relationships/image" Target="media/1369b4a1c8843a7ce44d3610c7eda6ccb487ff49.png"/><Relationship Id="rId28" Type="http://schemas.openxmlformats.org/officeDocument/2006/relationships/image" Target="media/68cb2944bca652eb6cf90ca776549f65477f73f1.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2026-04-23T05:21:16.464Z</dcterms:created>
  <dcterms:modified xsi:type="dcterms:W3CDTF">2026-04-23T05:21:16.465Z</dcterms:modified>
</cp:coreProperties>
</file>

<file path=docProps/custom.xml><?xml version="1.0" encoding="utf-8"?>
<Properties xmlns="http://schemas.openxmlformats.org/officeDocument/2006/custom-properties" xmlns:vt="http://schemas.openxmlformats.org/officeDocument/2006/docPropsVTypes"/>
</file>