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AE02" w14:textId="77777777" w:rsidR="00B21421" w:rsidRDefault="00000000">
      <w:pPr>
        <w:pStyle w:val="Heading1"/>
      </w:pPr>
      <w:r>
        <w:t xml:space="preserve">T53 Email A/B Test </w:t>
      </w:r>
      <w:proofErr w:type="spellStart"/>
      <w:r>
        <w:t>Analyser</w:t>
      </w:r>
      <w:proofErr w:type="spellEnd"/>
      <w:r>
        <w:t xml:space="preserve"> — Report</w:t>
      </w:r>
    </w:p>
    <w:p w14:paraId="6C6A9E47" w14:textId="77777777" w:rsidR="00B21421" w:rsidRDefault="00000000">
      <w:pPr>
        <w:pStyle w:val="Heading2"/>
      </w:pPr>
      <w:r>
        <w:t>Overview</w:t>
      </w:r>
    </w:p>
    <w:p w14:paraId="514700A1" w14:textId="77777777" w:rsidR="00B21421" w:rsidRDefault="00000000">
      <w:r>
        <w:t xml:space="preserve">This report covers Task T53, "Email A/B Test </w:t>
      </w:r>
      <w:proofErr w:type="spellStart"/>
      <w:r>
        <w:t>Analyser</w:t>
      </w:r>
      <w:proofErr w:type="spellEnd"/>
      <w:r>
        <w:t>," from the AI-powered tools experiential learning module. The objective was to build a tool that calculates open and click rates and tests whether differences between Variant A and Variant B are statistically significant, run it on 20 existing email A/B tests, identify patterns among the significant results, and propose 5 new tests based on those patterns.</w:t>
      </w:r>
    </w:p>
    <w:p w14:paraId="2BEFFDA0" w14:textId="77777777" w:rsidR="00B21421" w:rsidRDefault="00000000">
      <w:pPr>
        <w:pStyle w:val="Heading2"/>
      </w:pPr>
      <w:r>
        <w:t>Methodology</w:t>
      </w:r>
    </w:p>
    <w:p w14:paraId="30E1B480" w14:textId="77777777" w:rsidR="00B21421" w:rsidRDefault="00000000">
      <w:r>
        <w:t>For each test, open rate was calculated as opens ÷ sent and click rate as clicks ÷ sent, separately for Variant A and Variant B. These rates were first computed directly in Excel as a reference baseline.</w:t>
      </w:r>
    </w:p>
    <w:p w14:paraId="5DD65004" w14:textId="77777777" w:rsidR="00B21421" w:rsidRDefault="00000000">
      <w:r>
        <w:t>A two-proportion z-test was then used to check whether the difference between A and B was statistically significant, separately for opens and for clicks. The pooled proportion, standard error, z-score, and two-sided p-value were calculated using the standard formulas for comparing two proportions. A result was treated as significant at the 5% level (p &lt; 0.05).</w:t>
      </w:r>
    </w:p>
    <w:p w14:paraId="01C8882B" w14:textId="77777777" w:rsidR="00B21421" w:rsidRDefault="00000000">
      <w:r>
        <w:t>The calculator tool itself was built using Claude, in stages: a basic rate calculator first, then the significance test, then input validation, then a bulk mode to process all 20 tests at once. Each stage was checked against manually calculated Excel formulas before moving to the next (see AI Use Log). One error was caught during verification: the bulk tool's win-count summary (e.g. "1/3/2") was being misread by Excel as a date; this was fixed by changing the format to a non-date-like form ("A1 B3 N2").</w:t>
      </w:r>
    </w:p>
    <w:p w14:paraId="051C7D84" w14:textId="77777777" w:rsidR="00B21421" w:rsidRDefault="00000000">
      <w:pPr>
        <w:pStyle w:val="Heading2"/>
      </w:pPr>
      <w:r>
        <w:t>Results Summary</w:t>
      </w:r>
    </w:p>
    <w:p w14:paraId="3107E4A8" w14:textId="77777777" w:rsidR="00B21421" w:rsidRDefault="00000000">
      <w:r>
        <w:t>All 20 tests were run through the tool. Counting only statistically significant results (p &lt; 0.05), the win counts by element tested were:</w:t>
      </w:r>
    </w:p>
    <w:tbl>
      <w:tblPr>
        <w:tblStyle w:val="TableGrid"/>
        <w:tblW w:w="0" w:type="auto"/>
        <w:tblLayout w:type="fixed"/>
        <w:tblLook w:val="0420" w:firstRow="1" w:lastRow="0" w:firstColumn="0" w:lastColumn="0" w:noHBand="0" w:noVBand="1"/>
      </w:tblPr>
      <w:tblGrid>
        <w:gridCol w:w="2340"/>
        <w:gridCol w:w="2340"/>
        <w:gridCol w:w="2340"/>
        <w:gridCol w:w="2340"/>
      </w:tblGrid>
      <w:tr w:rsidR="00B21421" w14:paraId="79D9B4F1" w14:textId="77777777">
        <w:trPr>
          <w:tblHeader/>
        </w:trPr>
        <w:tc>
          <w:tcPr>
            <w:tcW w:w="2340" w:type="dxa"/>
            <w:shd w:val="clear" w:color="auto" w:fill="F2F2F2"/>
          </w:tcPr>
          <w:p w14:paraId="16DBD83E" w14:textId="77777777" w:rsidR="00B21421" w:rsidRDefault="00000000">
            <w:r>
              <w:t>Element tested</w:t>
            </w:r>
          </w:p>
        </w:tc>
        <w:tc>
          <w:tcPr>
            <w:tcW w:w="2340" w:type="dxa"/>
            <w:shd w:val="clear" w:color="auto" w:fill="F2F2F2"/>
          </w:tcPr>
          <w:p w14:paraId="0B03773D" w14:textId="77777777" w:rsidR="00B21421" w:rsidRDefault="00000000">
            <w:r>
              <w:t>Tests</w:t>
            </w:r>
          </w:p>
        </w:tc>
        <w:tc>
          <w:tcPr>
            <w:tcW w:w="2340" w:type="dxa"/>
            <w:shd w:val="clear" w:color="auto" w:fill="F2F2F2"/>
          </w:tcPr>
          <w:p w14:paraId="1F021D8A" w14:textId="77777777" w:rsidR="00B21421" w:rsidRDefault="00000000">
            <w:r>
              <w:t>Opens: A wins / B wins / Not sig.</w:t>
            </w:r>
          </w:p>
        </w:tc>
        <w:tc>
          <w:tcPr>
            <w:tcW w:w="2340" w:type="dxa"/>
            <w:shd w:val="clear" w:color="auto" w:fill="F2F2F2"/>
          </w:tcPr>
          <w:p w14:paraId="2F340612" w14:textId="77777777" w:rsidR="00B21421" w:rsidRDefault="00000000">
            <w:r>
              <w:t>Clicks: A wins / B wins / Not sig.</w:t>
            </w:r>
          </w:p>
        </w:tc>
      </w:tr>
      <w:tr w:rsidR="00B21421" w14:paraId="206AF231" w14:textId="77777777">
        <w:tc>
          <w:tcPr>
            <w:tcW w:w="2340" w:type="dxa"/>
          </w:tcPr>
          <w:p w14:paraId="2FFF864A" w14:textId="77777777" w:rsidR="00B21421" w:rsidRDefault="00000000">
            <w:r>
              <w:t>Send time</w:t>
            </w:r>
          </w:p>
        </w:tc>
        <w:tc>
          <w:tcPr>
            <w:tcW w:w="2340" w:type="dxa"/>
          </w:tcPr>
          <w:p w14:paraId="78CF82FF" w14:textId="77777777" w:rsidR="00B21421" w:rsidRDefault="00000000">
            <w:r>
              <w:t>5</w:t>
            </w:r>
          </w:p>
        </w:tc>
        <w:tc>
          <w:tcPr>
            <w:tcW w:w="2340" w:type="dxa"/>
          </w:tcPr>
          <w:p w14:paraId="4BE160BB" w14:textId="77777777" w:rsidR="00B21421" w:rsidRDefault="00000000">
            <w:r>
              <w:t>1 / 2 / 2</w:t>
            </w:r>
          </w:p>
        </w:tc>
        <w:tc>
          <w:tcPr>
            <w:tcW w:w="2340" w:type="dxa"/>
          </w:tcPr>
          <w:p w14:paraId="2048B596" w14:textId="77777777" w:rsidR="00B21421" w:rsidRDefault="00000000">
            <w:r>
              <w:t>0 / 3 / 2</w:t>
            </w:r>
          </w:p>
        </w:tc>
      </w:tr>
      <w:tr w:rsidR="00B21421" w14:paraId="75968D93" w14:textId="77777777">
        <w:tc>
          <w:tcPr>
            <w:tcW w:w="2340" w:type="dxa"/>
          </w:tcPr>
          <w:p w14:paraId="41DA0C34" w14:textId="77777777" w:rsidR="00B21421" w:rsidRDefault="00000000">
            <w:r>
              <w:t>Hero image</w:t>
            </w:r>
          </w:p>
        </w:tc>
        <w:tc>
          <w:tcPr>
            <w:tcW w:w="2340" w:type="dxa"/>
          </w:tcPr>
          <w:p w14:paraId="65130EE4" w14:textId="77777777" w:rsidR="00B21421" w:rsidRDefault="00000000">
            <w:r>
              <w:t>4</w:t>
            </w:r>
          </w:p>
        </w:tc>
        <w:tc>
          <w:tcPr>
            <w:tcW w:w="2340" w:type="dxa"/>
          </w:tcPr>
          <w:p w14:paraId="272F1F2A" w14:textId="77777777" w:rsidR="00B21421" w:rsidRDefault="00000000">
            <w:r>
              <w:t>1 / 3 / 0</w:t>
            </w:r>
          </w:p>
        </w:tc>
        <w:tc>
          <w:tcPr>
            <w:tcW w:w="2340" w:type="dxa"/>
          </w:tcPr>
          <w:p w14:paraId="55CB5C08" w14:textId="77777777" w:rsidR="00B21421" w:rsidRDefault="00000000">
            <w:r>
              <w:t>1 / 2 / 1</w:t>
            </w:r>
          </w:p>
        </w:tc>
      </w:tr>
      <w:tr w:rsidR="00B21421" w14:paraId="6A34A9D1" w14:textId="77777777">
        <w:tc>
          <w:tcPr>
            <w:tcW w:w="2340" w:type="dxa"/>
          </w:tcPr>
          <w:p w14:paraId="2BC2251C" w14:textId="77777777" w:rsidR="00B21421" w:rsidRDefault="00000000">
            <w:r>
              <w:t>Subject line</w:t>
            </w:r>
          </w:p>
        </w:tc>
        <w:tc>
          <w:tcPr>
            <w:tcW w:w="2340" w:type="dxa"/>
          </w:tcPr>
          <w:p w14:paraId="52165B71" w14:textId="77777777" w:rsidR="00B21421" w:rsidRDefault="00000000">
            <w:r>
              <w:t>6</w:t>
            </w:r>
          </w:p>
        </w:tc>
        <w:tc>
          <w:tcPr>
            <w:tcW w:w="2340" w:type="dxa"/>
          </w:tcPr>
          <w:p w14:paraId="3EBEE7B3" w14:textId="77777777" w:rsidR="00B21421" w:rsidRDefault="00000000">
            <w:r>
              <w:t>1 / 4 / 1</w:t>
            </w:r>
          </w:p>
        </w:tc>
        <w:tc>
          <w:tcPr>
            <w:tcW w:w="2340" w:type="dxa"/>
          </w:tcPr>
          <w:p w14:paraId="3CCB9C36" w14:textId="77777777" w:rsidR="00B21421" w:rsidRDefault="00000000">
            <w:r>
              <w:t>3 / 1 / 2</w:t>
            </w:r>
          </w:p>
        </w:tc>
      </w:tr>
      <w:tr w:rsidR="00B21421" w14:paraId="39DA9219" w14:textId="77777777">
        <w:tc>
          <w:tcPr>
            <w:tcW w:w="2340" w:type="dxa"/>
          </w:tcPr>
          <w:p w14:paraId="0163ADD7" w14:textId="77777777" w:rsidR="00B21421" w:rsidRDefault="00000000">
            <w:r>
              <w:t>Offer framing</w:t>
            </w:r>
          </w:p>
        </w:tc>
        <w:tc>
          <w:tcPr>
            <w:tcW w:w="2340" w:type="dxa"/>
          </w:tcPr>
          <w:p w14:paraId="6810CEB2" w14:textId="77777777" w:rsidR="00B21421" w:rsidRDefault="00000000">
            <w:r>
              <w:t>3</w:t>
            </w:r>
          </w:p>
        </w:tc>
        <w:tc>
          <w:tcPr>
            <w:tcW w:w="2340" w:type="dxa"/>
          </w:tcPr>
          <w:p w14:paraId="67D66857" w14:textId="77777777" w:rsidR="00B21421" w:rsidRDefault="00000000">
            <w:r>
              <w:t>1 / 2 / 0</w:t>
            </w:r>
          </w:p>
        </w:tc>
        <w:tc>
          <w:tcPr>
            <w:tcW w:w="2340" w:type="dxa"/>
          </w:tcPr>
          <w:p w14:paraId="276DC991" w14:textId="1AA5DDDF" w:rsidR="00B21421" w:rsidRDefault="00000000">
            <w:r>
              <w:t xml:space="preserve">1 / </w:t>
            </w:r>
            <w:r w:rsidR="00C00451">
              <w:t>1</w:t>
            </w:r>
            <w:r>
              <w:t xml:space="preserve"> / </w:t>
            </w:r>
            <w:r w:rsidR="00C00451">
              <w:t>1</w:t>
            </w:r>
          </w:p>
        </w:tc>
      </w:tr>
      <w:tr w:rsidR="00B21421" w14:paraId="51A52478" w14:textId="77777777">
        <w:tc>
          <w:tcPr>
            <w:tcW w:w="2340" w:type="dxa"/>
          </w:tcPr>
          <w:p w14:paraId="11239B6E" w14:textId="77777777" w:rsidR="00B21421" w:rsidRDefault="00000000">
            <w:r>
              <w:t>CTA button text</w:t>
            </w:r>
          </w:p>
        </w:tc>
        <w:tc>
          <w:tcPr>
            <w:tcW w:w="2340" w:type="dxa"/>
          </w:tcPr>
          <w:p w14:paraId="1E0E9657" w14:textId="77777777" w:rsidR="00B21421" w:rsidRDefault="00000000">
            <w:r>
              <w:t>2</w:t>
            </w:r>
          </w:p>
        </w:tc>
        <w:tc>
          <w:tcPr>
            <w:tcW w:w="2340" w:type="dxa"/>
          </w:tcPr>
          <w:p w14:paraId="30AA571B" w14:textId="77777777" w:rsidR="00B21421" w:rsidRDefault="00000000">
            <w:r>
              <w:t>0 / 2 / 0</w:t>
            </w:r>
          </w:p>
        </w:tc>
        <w:tc>
          <w:tcPr>
            <w:tcW w:w="2340" w:type="dxa"/>
          </w:tcPr>
          <w:p w14:paraId="11DC75F0" w14:textId="77777777" w:rsidR="00B21421" w:rsidRDefault="00000000">
            <w:r>
              <w:t>1 / 1 / 0</w:t>
            </w:r>
          </w:p>
        </w:tc>
      </w:tr>
    </w:tbl>
    <w:p w14:paraId="4774F6D8" w14:textId="77777777" w:rsidR="00B21421" w:rsidRDefault="00000000">
      <w:r>
        <w:t>Overall, Variant B won significantly on opens in 13 of 20 tests, against 4 significant wins for Variant A (3 tests showed no significant difference on opens).</w:t>
      </w:r>
    </w:p>
    <w:p w14:paraId="6D2EA1D8" w14:textId="77777777" w:rsidR="00B21421" w:rsidRDefault="00000000">
      <w:pPr>
        <w:pStyle w:val="Heading2"/>
      </w:pPr>
      <w:r>
        <w:lastRenderedPageBreak/>
        <w:t>Key Patterns Found</w:t>
      </w:r>
    </w:p>
    <w:p w14:paraId="3103D275" w14:textId="77777777" w:rsidR="00B21421" w:rsidRDefault="00000000">
      <w:pPr>
        <w:pStyle w:val="ListParagraph"/>
        <w:numPr>
          <w:ilvl w:val="0"/>
          <w:numId w:val="2"/>
        </w:numPr>
      </w:pPr>
      <w:r>
        <w:rPr>
          <w:b/>
        </w:rPr>
        <w:t>Variant B wins on opens across every category.</w:t>
      </w:r>
      <w:r>
        <w:t xml:space="preserve"> In every element tested — Send time, Hero image, Subject line, </w:t>
      </w:r>
      <w:proofErr w:type="gramStart"/>
      <w:r>
        <w:t>Offer</w:t>
      </w:r>
      <w:proofErr w:type="gramEnd"/>
      <w:r>
        <w:t xml:space="preserve"> framing, and CTA button text — Variant B won significantly on opens more often than Variant A. This is the most consistent finding across the dataset.</w:t>
      </w:r>
    </w:p>
    <w:p w14:paraId="7AAD970F" w14:textId="77777777" w:rsidR="00B21421" w:rsidRDefault="00000000">
      <w:pPr>
        <w:pStyle w:val="ListParagraph"/>
        <w:numPr>
          <w:ilvl w:val="0"/>
          <w:numId w:val="2"/>
        </w:numPr>
      </w:pPr>
      <w:r>
        <w:rPr>
          <w:b/>
        </w:rPr>
        <w:t>Subject line behaves differently on clicks.</w:t>
      </w:r>
      <w:r>
        <w:t xml:space="preserve"> While B still won opens more often for Subject line tests (4 vs 1), Variant A won significantly more often on clicks for this category specifically (3 vs 1). A subject line that drives more opens does not necessarily drive more clicks once the email is opened.</w:t>
      </w:r>
    </w:p>
    <w:p w14:paraId="7089225E" w14:textId="77777777" w:rsidR="00B21421" w:rsidRDefault="00000000">
      <w:pPr>
        <w:pStyle w:val="ListParagraph"/>
        <w:numPr>
          <w:ilvl w:val="0"/>
          <w:numId w:val="2"/>
        </w:numPr>
      </w:pPr>
      <w:r>
        <w:rPr>
          <w:b/>
        </w:rPr>
        <w:t>Send time is the most one-sided result on clicks.</w:t>
      </w:r>
      <w:r>
        <w:t xml:space="preserve"> Variant B won all 3 significant Send time tests on clicks, with zero significant wins for Variant A.</w:t>
      </w:r>
    </w:p>
    <w:p w14:paraId="57F85D2B" w14:textId="77777777" w:rsidR="00B21421" w:rsidRDefault="00000000">
      <w:pPr>
        <w:pStyle w:val="ListParagraph"/>
        <w:numPr>
          <w:ilvl w:val="0"/>
          <w:numId w:val="2"/>
        </w:numPr>
      </w:pPr>
      <w:r>
        <w:rPr>
          <w:b/>
        </w:rPr>
        <w:t>Caveat on variant wording.</w:t>
      </w:r>
      <w:r>
        <w:t xml:space="preserve"> The </w:t>
      </w:r>
      <w:proofErr w:type="spellStart"/>
      <w:r>
        <w:rPr>
          <w:rStyle w:val="CodeChar"/>
        </w:rPr>
        <w:t>variant_a_vs_b</w:t>
      </w:r>
      <w:proofErr w:type="spellEnd"/>
      <w:r>
        <w:t xml:space="preserve"> column (describing what A and B actually said) did not consistently match its row's </w:t>
      </w:r>
      <w:proofErr w:type="spellStart"/>
      <w:r>
        <w:rPr>
          <w:rStyle w:val="CodeChar"/>
        </w:rPr>
        <w:t>element_tested</w:t>
      </w:r>
      <w:proofErr w:type="spellEnd"/>
      <w:r>
        <w:t xml:space="preserve"> category — for example, a Send time test was paired with subject-line-style wording. Patterns above are therefore stated at the category level, not tied to specific wording choices.</w:t>
      </w:r>
    </w:p>
    <w:p w14:paraId="6E1B1F8C" w14:textId="77777777" w:rsidR="00B21421" w:rsidRDefault="00000000">
      <w:pPr>
        <w:pStyle w:val="Heading2"/>
      </w:pPr>
      <w:r>
        <w:t>Five New Test Ideas</w:t>
      </w:r>
    </w:p>
    <w:tbl>
      <w:tblPr>
        <w:tblStyle w:val="TableGrid"/>
        <w:tblW w:w="0" w:type="auto"/>
        <w:tblLayout w:type="fixed"/>
        <w:tblLook w:val="0420" w:firstRow="1" w:lastRow="0" w:firstColumn="0" w:lastColumn="0" w:noHBand="0" w:noVBand="1"/>
      </w:tblPr>
      <w:tblGrid>
        <w:gridCol w:w="3120"/>
        <w:gridCol w:w="3120"/>
        <w:gridCol w:w="3120"/>
      </w:tblGrid>
      <w:tr w:rsidR="00B21421" w14:paraId="74F4D36C" w14:textId="77777777">
        <w:trPr>
          <w:tblHeader/>
        </w:trPr>
        <w:tc>
          <w:tcPr>
            <w:tcW w:w="3120" w:type="dxa"/>
            <w:shd w:val="clear" w:color="auto" w:fill="F2F2F2"/>
          </w:tcPr>
          <w:p w14:paraId="21963167" w14:textId="549E0726" w:rsidR="007B219C" w:rsidRDefault="007B219C" w:rsidP="007B219C">
            <w:pPr>
              <w:tabs>
                <w:tab w:val="left" w:pos="744"/>
              </w:tabs>
            </w:pPr>
            <w:r>
              <w:t>Sr. No.</w:t>
            </w:r>
          </w:p>
        </w:tc>
        <w:tc>
          <w:tcPr>
            <w:tcW w:w="3120" w:type="dxa"/>
            <w:shd w:val="clear" w:color="auto" w:fill="F2F2F2"/>
          </w:tcPr>
          <w:p w14:paraId="19F1F37E" w14:textId="77777777" w:rsidR="00B21421" w:rsidRDefault="00000000">
            <w:r>
              <w:t>Test idea</w:t>
            </w:r>
          </w:p>
        </w:tc>
        <w:tc>
          <w:tcPr>
            <w:tcW w:w="3120" w:type="dxa"/>
            <w:shd w:val="clear" w:color="auto" w:fill="F2F2F2"/>
          </w:tcPr>
          <w:p w14:paraId="7216EFA7" w14:textId="77777777" w:rsidR="00B21421" w:rsidRDefault="00000000">
            <w:r>
              <w:t>Reasoning</w:t>
            </w:r>
          </w:p>
        </w:tc>
      </w:tr>
      <w:tr w:rsidR="00B21421" w14:paraId="6AD026FC" w14:textId="77777777">
        <w:tc>
          <w:tcPr>
            <w:tcW w:w="3120" w:type="dxa"/>
          </w:tcPr>
          <w:p w14:paraId="6F5FDCE1" w14:textId="77777777" w:rsidR="00B21421" w:rsidRDefault="00000000">
            <w:r>
              <w:t>1</w:t>
            </w:r>
          </w:p>
        </w:tc>
        <w:tc>
          <w:tcPr>
            <w:tcW w:w="3120" w:type="dxa"/>
          </w:tcPr>
          <w:p w14:paraId="4BA98D50" w14:textId="77777777" w:rsidR="00B21421" w:rsidRDefault="00000000">
            <w:r>
              <w:t>Test the B-style (later) send time against an even later time, e.g. 7pm vs 9pm</w:t>
            </w:r>
          </w:p>
        </w:tc>
        <w:tc>
          <w:tcPr>
            <w:tcW w:w="3120" w:type="dxa"/>
          </w:tcPr>
          <w:p w14:paraId="429F0D5B" w14:textId="77777777" w:rsidR="00B21421" w:rsidRDefault="00000000">
            <w:r>
              <w:t>Send time was the most one-sided category on clicks (3/3 B wins); worth finding how far the trend extends</w:t>
            </w:r>
          </w:p>
        </w:tc>
      </w:tr>
      <w:tr w:rsidR="00B21421" w14:paraId="20FED8EF" w14:textId="77777777">
        <w:tc>
          <w:tcPr>
            <w:tcW w:w="3120" w:type="dxa"/>
          </w:tcPr>
          <w:p w14:paraId="4E7483F6" w14:textId="77777777" w:rsidR="00B21421" w:rsidRDefault="00000000">
            <w:r>
              <w:t>2</w:t>
            </w:r>
          </w:p>
        </w:tc>
        <w:tc>
          <w:tcPr>
            <w:tcW w:w="3120" w:type="dxa"/>
          </w:tcPr>
          <w:p w14:paraId="66F75C4A" w14:textId="77777777" w:rsidR="00B21421" w:rsidRDefault="00000000">
            <w:r>
              <w:t xml:space="preserve">Test a subject line </w:t>
            </w:r>
            <w:proofErr w:type="spellStart"/>
            <w:r>
              <w:t>optimised</w:t>
            </w:r>
            <w:proofErr w:type="spellEnd"/>
            <w:r>
              <w:t xml:space="preserve"> purely for clicks against the current B-style subject line</w:t>
            </w:r>
          </w:p>
        </w:tc>
        <w:tc>
          <w:tcPr>
            <w:tcW w:w="3120" w:type="dxa"/>
          </w:tcPr>
          <w:p w14:paraId="3A9C809D" w14:textId="77777777" w:rsidR="00B21421" w:rsidRDefault="00000000">
            <w:r>
              <w:t>Subject line is the only category where the open-winner and click-winner diverge; this directly tests whether both can be won together</w:t>
            </w:r>
          </w:p>
        </w:tc>
      </w:tr>
      <w:tr w:rsidR="00B21421" w14:paraId="6A4DB854" w14:textId="77777777">
        <w:tc>
          <w:tcPr>
            <w:tcW w:w="3120" w:type="dxa"/>
          </w:tcPr>
          <w:p w14:paraId="6BD510C1" w14:textId="77777777" w:rsidR="00B21421" w:rsidRDefault="00000000">
            <w:r>
              <w:t>3</w:t>
            </w:r>
          </w:p>
        </w:tc>
        <w:tc>
          <w:tcPr>
            <w:tcW w:w="3120" w:type="dxa"/>
          </w:tcPr>
          <w:p w14:paraId="67F0A456" w14:textId="77777777" w:rsidR="00B21421" w:rsidRDefault="00000000">
            <w:r>
              <w:t>Test the current B-style hero image against a second, different B-style image</w:t>
            </w:r>
          </w:p>
        </w:tc>
        <w:tc>
          <w:tcPr>
            <w:tcW w:w="3120" w:type="dxa"/>
          </w:tcPr>
          <w:p w14:paraId="15DD6A8F" w14:textId="77777777" w:rsidR="00B21421" w:rsidRDefault="00000000">
            <w:r>
              <w:t>Hero image had the strongest open-rate win rate after Send time (3/1); worth refining within the winning direction</w:t>
            </w:r>
          </w:p>
        </w:tc>
      </w:tr>
      <w:tr w:rsidR="00B21421" w14:paraId="3BE24DA3" w14:textId="77777777">
        <w:tc>
          <w:tcPr>
            <w:tcW w:w="3120" w:type="dxa"/>
          </w:tcPr>
          <w:p w14:paraId="42A55A30" w14:textId="77777777" w:rsidR="00B21421" w:rsidRDefault="00000000">
            <w:r>
              <w:t>4</w:t>
            </w:r>
          </w:p>
        </w:tc>
        <w:tc>
          <w:tcPr>
            <w:tcW w:w="3120" w:type="dxa"/>
          </w:tcPr>
          <w:p w14:paraId="5C81BDF3" w14:textId="77777777" w:rsidR="00B21421" w:rsidRDefault="00000000">
            <w:r>
              <w:t>Test B-style Offer framing combined with B-style Send time together</w:t>
            </w:r>
          </w:p>
        </w:tc>
        <w:tc>
          <w:tcPr>
            <w:tcW w:w="3120" w:type="dxa"/>
          </w:tcPr>
          <w:p w14:paraId="7860FD4C" w14:textId="77777777" w:rsidR="00B21421" w:rsidRDefault="00000000">
            <w:r>
              <w:t>No test so far has combined two winning elements; this checks whether gains stack or overlap</w:t>
            </w:r>
          </w:p>
        </w:tc>
      </w:tr>
      <w:tr w:rsidR="00B21421" w14:paraId="628455B7" w14:textId="77777777">
        <w:tc>
          <w:tcPr>
            <w:tcW w:w="3120" w:type="dxa"/>
          </w:tcPr>
          <w:p w14:paraId="73C937F5" w14:textId="77777777" w:rsidR="00B21421" w:rsidRDefault="00000000">
            <w:r>
              <w:t>5</w:t>
            </w:r>
          </w:p>
        </w:tc>
        <w:tc>
          <w:tcPr>
            <w:tcW w:w="3120" w:type="dxa"/>
          </w:tcPr>
          <w:p w14:paraId="0974B8BB" w14:textId="77777777" w:rsidR="00B21421" w:rsidRDefault="00000000">
            <w:r>
              <w:t>Re-test CTA button text with a larger sample size</w:t>
            </w:r>
          </w:p>
        </w:tc>
        <w:tc>
          <w:tcPr>
            <w:tcW w:w="3120" w:type="dxa"/>
          </w:tcPr>
          <w:p w14:paraId="5DDF81D3" w14:textId="77777777" w:rsidR="00B21421" w:rsidRDefault="00000000">
            <w:r>
              <w:t>Only 2 CTA tests were run (the smallest group), split 1 A-win / 1 B-win on clicks — not enough data to trust a pattern yet</w:t>
            </w:r>
          </w:p>
        </w:tc>
      </w:tr>
    </w:tbl>
    <w:p w14:paraId="09D93410" w14:textId="77777777" w:rsidR="00B21421" w:rsidRDefault="00000000">
      <w:pPr>
        <w:pStyle w:val="Heading2"/>
      </w:pPr>
      <w:r>
        <w:lastRenderedPageBreak/>
        <w:t>Final Recommendation</w:t>
      </w:r>
    </w:p>
    <w:p w14:paraId="6CAEF079" w14:textId="77777777" w:rsidR="00B21421" w:rsidRDefault="00000000">
      <w:r>
        <w:t xml:space="preserve">The company should default to Variant B-style changes when the goal is open-rate </w:t>
      </w:r>
      <w:proofErr w:type="spellStart"/>
      <w:r>
        <w:t>optimisation</w:t>
      </w:r>
      <w:proofErr w:type="spellEnd"/>
      <w:r>
        <w:t>, since B won significantly on opens in 13 of 20 tests across every category tested. However, Subject line changes should be tested and evaluated separately for clicks, not just opens, since this was the one category where the open-rate winner did not also win on clicks. Priority for the next round of testing should go to idea #1 (further send-time testing) and idea #5 (CTA re-test with a larger sample), since these have the clearest evidence (send time) and the weakest current evidence (CTA) respectively.</w:t>
      </w:r>
    </w:p>
    <w:p w14:paraId="0E4C47AC" w14:textId="77777777" w:rsidR="00B21421" w:rsidRDefault="00000000">
      <w:pPr>
        <w:pStyle w:val="Heading2"/>
      </w:pPr>
      <w:r>
        <w:t>Reflection and Limitations</w:t>
      </w:r>
    </w:p>
    <w:p w14:paraId="1F6652C0" w14:textId="77777777" w:rsidR="00B21421" w:rsidRDefault="00000000">
      <w:r>
        <w:t>Building this tool in stages, rather than all at once, made it easier to verify each piece (rate calculation, then significance testing, then bulk processing) against my own Excel formulas before trusting the next stage. This approach also caught a real error: the bulk tool's win-count summary was being silently reformatted into dates by Excel, which would have gone unnoticed if the output had not been checked cell by cell after pasting.</w:t>
      </w:r>
    </w:p>
    <w:p w14:paraId="33814B3F" w14:textId="77777777" w:rsidR="00B21421" w:rsidRDefault="00000000">
      <w:r>
        <w:t xml:space="preserve">A limitation of the analysis is that the </w:t>
      </w:r>
      <w:proofErr w:type="spellStart"/>
      <w:r>
        <w:rPr>
          <w:rStyle w:val="CodeChar"/>
        </w:rPr>
        <w:t>variant_a_vs_b</w:t>
      </w:r>
      <w:proofErr w:type="spellEnd"/>
      <w:r>
        <w:t xml:space="preserve"> column did not consistently describe the specific element changed in each test, which meant patterns could only be stated at the category level (e.g. "Subject line changes") rather than tied to specific wording (e.g. a particular discount phrasing). With statistical significance alone, it is also worth noting that at a 5% significance threshold, roughly 1 in 20 tests can show a false positive by chance; with 20 tests run, 1–2 of the significant results found here could reflect this, which is a reason to treat the proposed new tests (above) as a next step for confirmation rather than final proof.</w:t>
      </w:r>
    </w:p>
    <w:p w14:paraId="02306BE9" w14:textId="77777777" w:rsidR="00B21421" w:rsidRDefault="00000000">
      <w:r>
        <w:t>The full prompt history, including the tool-building stages, verification checks, and fixes, is recorded in the AI Use Log sheet of the accompanying workbook.</w:t>
      </w:r>
    </w:p>
    <w:sectPr w:rsidR="00B214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14EF"/>
    <w:multiLevelType w:val="hybridMultilevel"/>
    <w:tmpl w:val="8264CA6C"/>
    <w:lvl w:ilvl="0" w:tplc="057EFD32">
      <w:start w:val="1"/>
      <w:numFmt w:val="decimal"/>
      <w:lvlText w:val="%1."/>
      <w:lvlJc w:val="left"/>
      <w:pPr>
        <w:ind w:left="720" w:hanging="360"/>
      </w:pPr>
    </w:lvl>
    <w:lvl w:ilvl="1" w:tplc="FE1297D6">
      <w:start w:val="1"/>
      <w:numFmt w:val="lowerLetter"/>
      <w:lvlText w:val="%2."/>
      <w:lvlJc w:val="left"/>
      <w:pPr>
        <w:ind w:left="1440" w:hanging="360"/>
      </w:pPr>
    </w:lvl>
    <w:lvl w:ilvl="2" w:tplc="8E84ED5A">
      <w:start w:val="1"/>
      <w:numFmt w:val="lowerRoman"/>
      <w:lvlText w:val="%3."/>
      <w:lvlJc w:val="left"/>
      <w:pPr>
        <w:ind w:left="2160" w:hanging="360"/>
      </w:pPr>
    </w:lvl>
    <w:lvl w:ilvl="3" w:tplc="13A62362">
      <w:start w:val="1"/>
      <w:numFmt w:val="decimal"/>
      <w:lvlText w:val="%4."/>
      <w:lvlJc w:val="left"/>
      <w:pPr>
        <w:ind w:left="2880" w:hanging="360"/>
      </w:pPr>
    </w:lvl>
    <w:lvl w:ilvl="4" w:tplc="C55A87B4">
      <w:start w:val="1"/>
      <w:numFmt w:val="lowerLetter"/>
      <w:lvlText w:val="%5."/>
      <w:lvlJc w:val="left"/>
      <w:pPr>
        <w:ind w:left="3600" w:hanging="360"/>
      </w:pPr>
    </w:lvl>
    <w:lvl w:ilvl="5" w:tplc="69069E78">
      <w:start w:val="1"/>
      <w:numFmt w:val="lowerRoman"/>
      <w:lvlText w:val="%6."/>
      <w:lvlJc w:val="left"/>
      <w:pPr>
        <w:ind w:left="4320" w:hanging="360"/>
      </w:pPr>
    </w:lvl>
    <w:lvl w:ilvl="6" w:tplc="ED1ABC48">
      <w:start w:val="1"/>
      <w:numFmt w:val="decimal"/>
      <w:lvlText w:val="%7."/>
      <w:lvlJc w:val="left"/>
      <w:pPr>
        <w:ind w:left="5040" w:hanging="360"/>
      </w:pPr>
    </w:lvl>
    <w:lvl w:ilvl="7" w:tplc="B4189934">
      <w:start w:val="1"/>
      <w:numFmt w:val="lowerLetter"/>
      <w:lvlText w:val="%8."/>
      <w:lvlJc w:val="left"/>
      <w:pPr>
        <w:ind w:left="5760" w:hanging="360"/>
      </w:pPr>
    </w:lvl>
    <w:lvl w:ilvl="8" w:tplc="EAD4562A">
      <w:start w:val="1"/>
      <w:numFmt w:val="lowerRoman"/>
      <w:lvlText w:val="%9."/>
      <w:lvlJc w:val="left"/>
      <w:pPr>
        <w:ind w:left="6480" w:hanging="360"/>
      </w:pPr>
    </w:lvl>
  </w:abstractNum>
  <w:abstractNum w:abstractNumId="1" w15:restartNumberingAfterBreak="0">
    <w:nsid w:val="629B1513"/>
    <w:multiLevelType w:val="hybridMultilevel"/>
    <w:tmpl w:val="10CCE67A"/>
    <w:lvl w:ilvl="0" w:tplc="561004E4">
      <w:start w:val="1"/>
      <w:numFmt w:val="bullet"/>
      <w:lvlText w:val="•"/>
      <w:lvlJc w:val="left"/>
      <w:pPr>
        <w:ind w:left="720" w:hanging="360"/>
      </w:pPr>
    </w:lvl>
    <w:lvl w:ilvl="1" w:tplc="E18A3160">
      <w:start w:val="1"/>
      <w:numFmt w:val="bullet"/>
      <w:lvlText w:val="o"/>
      <w:lvlJc w:val="left"/>
      <w:pPr>
        <w:ind w:left="1440" w:hanging="360"/>
      </w:pPr>
    </w:lvl>
    <w:lvl w:ilvl="2" w:tplc="8B7A5CF8">
      <w:start w:val="1"/>
      <w:numFmt w:val="bullet"/>
      <w:lvlText w:val="▪"/>
      <w:lvlJc w:val="left"/>
      <w:pPr>
        <w:ind w:left="2160" w:hanging="360"/>
      </w:pPr>
    </w:lvl>
    <w:lvl w:ilvl="3" w:tplc="13FE7640">
      <w:start w:val="1"/>
      <w:numFmt w:val="bullet"/>
      <w:lvlText w:val="•"/>
      <w:lvlJc w:val="left"/>
      <w:pPr>
        <w:ind w:left="2880" w:hanging="360"/>
      </w:pPr>
    </w:lvl>
    <w:lvl w:ilvl="4" w:tplc="FDEE2CFA">
      <w:start w:val="1"/>
      <w:numFmt w:val="bullet"/>
      <w:lvlText w:val="o"/>
      <w:lvlJc w:val="left"/>
      <w:pPr>
        <w:ind w:left="3600" w:hanging="360"/>
      </w:pPr>
    </w:lvl>
    <w:lvl w:ilvl="5" w:tplc="C43A6E44">
      <w:start w:val="1"/>
      <w:numFmt w:val="bullet"/>
      <w:lvlText w:val="▪"/>
      <w:lvlJc w:val="left"/>
      <w:pPr>
        <w:ind w:left="4320" w:hanging="360"/>
      </w:pPr>
    </w:lvl>
    <w:lvl w:ilvl="6" w:tplc="A112D9EE">
      <w:start w:val="1"/>
      <w:numFmt w:val="bullet"/>
      <w:lvlText w:val="•"/>
      <w:lvlJc w:val="left"/>
      <w:pPr>
        <w:ind w:left="5040" w:hanging="360"/>
      </w:pPr>
    </w:lvl>
    <w:lvl w:ilvl="7" w:tplc="289E8EBC">
      <w:start w:val="1"/>
      <w:numFmt w:val="bullet"/>
      <w:lvlText w:val="o"/>
      <w:lvlJc w:val="left"/>
      <w:pPr>
        <w:ind w:left="5760" w:hanging="360"/>
      </w:pPr>
    </w:lvl>
    <w:lvl w:ilvl="8" w:tplc="4BD239E6">
      <w:start w:val="1"/>
      <w:numFmt w:val="bullet"/>
      <w:lvlText w:val="▪"/>
      <w:lvlJc w:val="left"/>
      <w:pPr>
        <w:ind w:left="6480" w:hanging="360"/>
      </w:pPr>
    </w:lvl>
  </w:abstractNum>
  <w:num w:numId="1" w16cid:durableId="349307339">
    <w:abstractNumId w:val="1"/>
  </w:num>
  <w:num w:numId="2" w16cid:durableId="180823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21421"/>
    <w:rsid w:val="00722CB3"/>
    <w:rsid w:val="007B219C"/>
    <w:rsid w:val="00910F1A"/>
    <w:rsid w:val="00B21421"/>
    <w:rsid w:val="00C004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0C30"/>
  <w15:docId w15:val="{2E9EAD49-B3D6-448C-BB00-4A539FF0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T53 Email AB Test Analyser — Report</dc:title>
  <dc:description>Claude Docs node/c900a92e-36ad@8 docx-w6</dc:description>
  <cp:lastModifiedBy>tarunaraskar9685@outlook.com</cp:lastModifiedBy>
  <cp:revision>10</cp:revision>
  <dcterms:created xsi:type="dcterms:W3CDTF">2026-10-03T09:10:00Z</dcterms:created>
  <dcterms:modified xsi:type="dcterms:W3CDTF">2026-10-04T07:12:00Z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6d3957232eb6012b3aaa55c33af0115ab3ae0e0f40d42a0ad5eee6d41dd13b5d</vt:lpwstr>
  </property>
</Properties>
</file>