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Aptos Display" w:hAnsi="Aptos Display"/>
          <w:b/>
          <w:color w:val="152940"/>
          <w:sz w:val="74"/>
        </w:rPr>
        <w:t>EVIDENCE</w:t>
        <w:br/>
        <w:t>ARENA 2.0</w:t>
      </w:r>
    </w:p>
    <w:p>
      <w:r>
        <w:rPr>
          <w:color w:val="00797B"/>
          <w:sz w:val="32"/>
        </w:rPr>
        <w:t>An Adversarial Evidence-Intelligence Engine</w:t>
      </w:r>
    </w:p>
    <w:p>
      <w:pPr>
        <w:spacing w:before="160"/>
      </w:pPr>
      <w:r>
        <w:rPr>
          <w:color w:val="5B6872"/>
          <w:sz w:val="22"/>
        </w:rPr>
        <w:t>Revised product design, engineering architecture and three-hour hackathon execution plan</w:t>
      </w:r>
    </w:p>
    <w:p>
      <w:pPr>
        <w:spacing w:before="440"/>
      </w:pPr>
      <w:r>
        <w:rPr>
          <w:b/>
          <w:color w:val="152940"/>
          <w:sz w:val="28"/>
        </w:rPr>
        <w:t>Build a trustworthy evidence review workflow, not a confident-sounding truth detector.</w:t>
      </w:r>
    </w:p>
    <w:tbl>
      <w:tblPr>
        <w:tblStyle w:val="TableGrid"/>
        <w:tblW w:type="auto" w:w="0"/>
        <w:jc w:val="center"/>
        <w:tblLayout w:type="fixed"/>
        <w:tblLook w:firstColumn="1" w:firstRow="1" w:lastColumn="0" w:lastRow="0" w:noHBand="0" w:noVBand="1" w:val="04A0"/>
      </w:tblPr>
      <w:tblGrid>
        <w:gridCol w:w="2160"/>
        <w:gridCol w:w="7373"/>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PLAN ATTRIBUTE</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REVISED DECISION</w:t>
            </w:r>
          </w:p>
        </w:tc>
      </w:tr>
      <w:tr>
        <w:trPr>
          <w:cantSplit/>
        </w:trPr>
        <w:tc>
          <w:tcPr>
            <w:tcW w:type="dxa" w:w="2160"/>
            <w:vAlign w:val="center"/>
            <w:tcMar>
              <w:top w:w="85" w:type="dxa"/>
              <w:start w:w="110" w:type="dxa"/>
              <w:bottom w:w="85" w:type="dxa"/>
              <w:end w:w="110" w:type="dxa"/>
            </w:tcMar>
            <w:shd w:fill="F2F7F8"/>
          </w:tcPr>
          <w:p>
            <w:pPr>
              <w:spacing w:after="0"/>
            </w:pPr>
            <w:r/>
            <w:r>
              <w:rPr>
                <w:rFonts w:ascii="Aptos" w:hAnsi="Aptos"/>
                <w:b w:val="0"/>
                <w:color w:val="152940"/>
                <w:sz w:val="16"/>
              </w:rPr>
              <w:t>Product goal</w:t>
            </w:r>
          </w:p>
        </w:tc>
        <w:tc>
          <w:tcPr>
            <w:tcW w:type="dxa" w:w="7373"/>
            <w:vAlign w:val="center"/>
            <w:tcMar>
              <w:top w:w="85" w:type="dxa"/>
              <w:start w:w="110" w:type="dxa"/>
              <w:bottom w:w="85" w:type="dxa"/>
              <w:end w:w="110" w:type="dxa"/>
            </w:tcMar>
            <w:shd w:fill="F2F7F8"/>
          </w:tcPr>
          <w:p>
            <w:pPr>
              <w:spacing w:after="0"/>
            </w:pPr>
            <w:r/>
            <w:r>
              <w:rPr>
                <w:rFonts w:ascii="Aptos" w:hAnsi="Aptos"/>
                <w:b w:val="0"/>
                <w:color w:val="152940"/>
                <w:sz w:val="16"/>
              </w:rPr>
              <w:t>Help a reviewer test conflicting claims across uploaded sources and identify the next evidence needed.</w:t>
            </w:r>
          </w:p>
        </w:tc>
      </w:tr>
      <w:tr>
        <w:trPr>
          <w:cantSplit/>
        </w:trPr>
        <w:tc>
          <w:tcPr>
            <w:tcW w:type="dxa" w:w="2160"/>
            <w:vAlign w:val="center"/>
            <w:tcMar>
              <w:top w:w="85" w:type="dxa"/>
              <w:start w:w="110" w:type="dxa"/>
              <w:bottom w:w="85" w:type="dxa"/>
              <w:end w:w="110" w:type="dxa"/>
            </w:tcMar>
          </w:tcPr>
          <w:p>
            <w:pPr>
              <w:spacing w:after="0"/>
            </w:pPr>
            <w:r/>
            <w:r>
              <w:rPr>
                <w:rFonts w:ascii="Aptos" w:hAnsi="Aptos"/>
                <w:b w:val="0"/>
                <w:color w:val="152940"/>
                <w:sz w:val="16"/>
              </w:rPr>
              <w:t>Primary AI</w:t>
            </w:r>
          </w:p>
        </w:tc>
        <w:tc>
          <w:tcPr>
            <w:tcW w:type="dxa" w:w="7373"/>
            <w:vAlign w:val="center"/>
            <w:tcMar>
              <w:top w:w="85" w:type="dxa"/>
              <w:start w:w="110" w:type="dxa"/>
              <w:bottom w:w="85" w:type="dxa"/>
              <w:end w:w="110" w:type="dxa"/>
            </w:tcMar>
          </w:tcPr>
          <w:p>
            <w:pPr>
              <w:spacing w:after="0"/>
            </w:pPr>
            <w:r/>
            <w:r>
              <w:rPr>
                <w:rFonts w:ascii="Aptos" w:hAnsi="Aptos"/>
                <w:b w:val="0"/>
                <w:color w:val="152940"/>
                <w:sz w:val="16"/>
              </w:rPr>
              <w:t>Gemma 4 through the event-approved interface; exact endpoint and model ID to be verified.</w:t>
            </w:r>
          </w:p>
        </w:tc>
      </w:tr>
      <w:tr>
        <w:trPr>
          <w:cantSplit/>
        </w:trPr>
        <w:tc>
          <w:tcPr>
            <w:tcW w:type="dxa" w:w="2160"/>
            <w:vAlign w:val="center"/>
            <w:tcMar>
              <w:top w:w="85" w:type="dxa"/>
              <w:start w:w="110" w:type="dxa"/>
              <w:bottom w:w="85" w:type="dxa"/>
              <w:end w:w="110" w:type="dxa"/>
            </w:tcMar>
            <w:shd w:fill="F2F7F8"/>
          </w:tcPr>
          <w:p>
            <w:pPr>
              <w:spacing w:after="0"/>
            </w:pPr>
            <w:r/>
            <w:r>
              <w:rPr>
                <w:rFonts w:ascii="Aptos" w:hAnsi="Aptos"/>
                <w:b w:val="0"/>
                <w:color w:val="152940"/>
                <w:sz w:val="16"/>
              </w:rPr>
              <w:t>MVP stack</w:t>
            </w:r>
          </w:p>
        </w:tc>
        <w:tc>
          <w:tcPr>
            <w:tcW w:type="dxa" w:w="7373"/>
            <w:vAlign w:val="center"/>
            <w:tcMar>
              <w:top w:w="85" w:type="dxa"/>
              <w:start w:w="110" w:type="dxa"/>
              <w:bottom w:w="85" w:type="dxa"/>
              <w:end w:w="110" w:type="dxa"/>
            </w:tcMar>
            <w:shd w:fill="F2F7F8"/>
          </w:tcPr>
          <w:p>
            <w:pPr>
              <w:spacing w:after="0"/>
            </w:pPr>
            <w:r/>
            <w:r>
              <w:rPr>
                <w:rFonts w:ascii="Aptos" w:hAnsi="Aptos"/>
                <w:b w:val="0"/>
                <w:color w:val="152940"/>
                <w:sz w:val="16"/>
              </w:rPr>
              <w:t>Python, Streamlit, PyMuPDF, Pydantic, lightweight keyword/TF-IDF retrieval.</w:t>
            </w:r>
          </w:p>
        </w:tc>
      </w:tr>
      <w:tr>
        <w:trPr>
          <w:cantSplit/>
        </w:trPr>
        <w:tc>
          <w:tcPr>
            <w:tcW w:type="dxa" w:w="2160"/>
            <w:vAlign w:val="center"/>
            <w:tcMar>
              <w:top w:w="85" w:type="dxa"/>
              <w:start w:w="110" w:type="dxa"/>
              <w:bottom w:w="85" w:type="dxa"/>
              <w:end w:w="110" w:type="dxa"/>
            </w:tcMar>
          </w:tcPr>
          <w:p>
            <w:pPr>
              <w:spacing w:after="0"/>
            </w:pPr>
            <w:r/>
            <w:r>
              <w:rPr>
                <w:rFonts w:ascii="Aptos" w:hAnsi="Aptos"/>
                <w:b w:val="0"/>
                <w:color w:val="152940"/>
                <w:sz w:val="16"/>
              </w:rPr>
              <w:t>Signature feature</w:t>
            </w:r>
          </w:p>
        </w:tc>
        <w:tc>
          <w:tcPr>
            <w:tcW w:type="dxa" w:w="7373"/>
            <w:vAlign w:val="center"/>
            <w:tcMar>
              <w:top w:w="85" w:type="dxa"/>
              <w:start w:w="110" w:type="dxa"/>
              <w:bottom w:w="85" w:type="dxa"/>
              <w:end w:w="110" w:type="dxa"/>
            </w:tcMar>
          </w:tcPr>
          <w:p>
            <w:pPr>
              <w:spacing w:after="0"/>
            </w:pPr>
            <w:r/>
            <w:r>
              <w:rPr>
                <w:rFonts w:ascii="Aptos" w:hAnsi="Aptos"/>
                <w:b w:val="0"/>
                <w:color w:val="152940"/>
                <w:sz w:val="16"/>
              </w:rPr>
              <w:t>Source-backed Challenge Trail + “What Would Change the Verdict?” outcome branches.</w:t>
            </w:r>
          </w:p>
        </w:tc>
      </w:tr>
      <w:tr>
        <w:trPr>
          <w:cantSplit/>
        </w:trPr>
        <w:tc>
          <w:tcPr>
            <w:tcW w:type="dxa" w:w="2160"/>
            <w:vAlign w:val="center"/>
            <w:tcMar>
              <w:top w:w="85" w:type="dxa"/>
              <w:start w:w="110" w:type="dxa"/>
              <w:bottom w:w="85" w:type="dxa"/>
              <w:end w:w="110" w:type="dxa"/>
            </w:tcMar>
            <w:shd w:fill="F2F7F8"/>
          </w:tcPr>
          <w:p>
            <w:pPr>
              <w:spacing w:after="0"/>
            </w:pPr>
            <w:r/>
            <w:r>
              <w:rPr>
                <w:rFonts w:ascii="Aptos" w:hAnsi="Aptos"/>
                <w:b w:val="0"/>
                <w:color w:val="152940"/>
                <w:sz w:val="16"/>
              </w:rPr>
              <w:t>MVP boundary</w:t>
            </w:r>
          </w:p>
        </w:tc>
        <w:tc>
          <w:tcPr>
            <w:tcW w:type="dxa" w:w="7373"/>
            <w:vAlign w:val="center"/>
            <w:tcMar>
              <w:top w:w="85" w:type="dxa"/>
              <w:start w:w="110" w:type="dxa"/>
              <w:bottom w:w="85" w:type="dxa"/>
              <w:end w:w="110" w:type="dxa"/>
            </w:tcMar>
            <w:shd w:fill="F2F7F8"/>
          </w:tcPr>
          <w:p>
            <w:pPr>
              <w:spacing w:after="0"/>
            </w:pPr>
            <w:r/>
            <w:r>
              <w:rPr>
                <w:rFonts w:ascii="Aptos" w:hAnsi="Aptos"/>
                <w:b w:val="0"/>
                <w:color w:val="152940"/>
                <w:sz w:val="16"/>
              </w:rPr>
              <w:t>One question, up to 3 small documents, limited number of atomic claims; no autonomous web crawling.</w:t>
            </w:r>
          </w:p>
        </w:tc>
      </w:tr>
      <w:tr>
        <w:trPr>
          <w:cantSplit/>
        </w:trPr>
        <w:tc>
          <w:tcPr>
            <w:tcW w:type="dxa" w:w="2160"/>
            <w:vAlign w:val="center"/>
            <w:tcMar>
              <w:top w:w="85" w:type="dxa"/>
              <w:start w:w="110" w:type="dxa"/>
              <w:bottom w:w="85" w:type="dxa"/>
              <w:end w:w="110" w:type="dxa"/>
            </w:tcMar>
          </w:tcPr>
          <w:p>
            <w:pPr>
              <w:spacing w:after="0"/>
            </w:pPr>
            <w:r/>
            <w:r>
              <w:rPr>
                <w:rFonts w:ascii="Aptos" w:hAnsi="Aptos"/>
                <w:b w:val="0"/>
                <w:color w:val="152940"/>
                <w:sz w:val="16"/>
              </w:rPr>
              <w:t>Document version</w:t>
            </w:r>
          </w:p>
        </w:tc>
        <w:tc>
          <w:tcPr>
            <w:tcW w:type="dxa" w:w="7373"/>
            <w:vAlign w:val="center"/>
            <w:tcMar>
              <w:top w:w="85" w:type="dxa"/>
              <w:start w:w="110" w:type="dxa"/>
              <w:bottom w:w="85" w:type="dxa"/>
              <w:end w:w="110" w:type="dxa"/>
            </w:tcMar>
          </w:tcPr>
          <w:p>
            <w:pPr>
              <w:spacing w:after="0"/>
            </w:pPr>
            <w:r/>
            <w:r>
              <w:rPr>
                <w:rFonts w:ascii="Aptos" w:hAnsi="Aptos"/>
                <w:b w:val="0"/>
                <w:color w:val="152940"/>
                <w:sz w:val="16"/>
              </w:rPr>
              <w:t>Improved Plan v2.1 | 26 October 2026 | Development proposal, not a completed product.</w:t>
            </w:r>
          </w:p>
        </w:tc>
      </w:tr>
    </w:tbl>
    <w:p>
      <w:pPr>
        <w:spacing w:after="20"/>
      </w:pPr>
    </w:p>
    <w:tbl>
      <w:tblPr>
        <w:tblW w:type="auto" w:w="0"/>
        <w:tblLook w:firstColumn="1" w:firstRow="1" w:lastColumn="0" w:lastRow="0" w:noHBand="0" w:noVBand="1" w:val="04A0"/>
      </w:tblPr>
      <w:tblGrid>
        <w:gridCol w:w="9633"/>
      </w:tblGrid>
      <w:tr>
        <w:tc>
          <w:tcPr>
            <w:tcW w:type="dxa" w:w="9633"/>
            <w:shd w:fill="E9F4F3"/>
            <w:tcMar>
              <w:top w:w="130" w:type="dxa"/>
              <w:start w:w="180" w:type="dxa"/>
              <w:bottom w:w="120" w:type="dxa"/>
              <w:end w:w="180" w:type="dxa"/>
            </w:tcMar>
          </w:tcPr>
          <w:p>
            <w:pPr>
              <w:spacing w:after="80"/>
            </w:pPr>
            <w:r>
              <w:rPr>
                <w:b/>
                <w:color w:val="00797B"/>
                <w:sz w:val="18"/>
              </w:rPr>
              <w:t>THE CRITICAL RULE</w:t>
            </w:r>
          </w:p>
          <w:p>
            <w:pPr>
              <w:spacing w:after="0"/>
            </w:pPr>
            <w:r>
              <w:rPr>
                <w:sz w:val="19"/>
              </w:rPr>
              <w:t>Evidence determines what the application may say. The model proposes interpretations; source validation and explicit verdict rules decide what can be displayed as a finding.</w:t>
            </w:r>
          </w:p>
        </w:tc>
      </w:tr>
    </w:tbl>
    <w:p>
      <w:pPr>
        <w:spacing w:after="0"/>
      </w:pPr>
    </w:p>
    <w:p>
      <w:pPr>
        <w:jc w:val="center"/>
      </w:pPr>
      <w:r>
        <w:rPr>
          <w:i/>
          <w:color w:val="5B6872"/>
          <w:sz w:val="17"/>
        </w:rPr>
        <w:t>Prepared as a revised implementation-ready plan for prototyping and hackathon presentation.</w:t>
      </w:r>
    </w:p>
    <w:p>
      <w:r>
        <w:br w:type="page"/>
      </w:r>
    </w:p>
    <w:p>
      <w:pPr>
        <w:pStyle w:val="Heading1"/>
        <w:keepNext/>
      </w:pPr>
      <w:r>
        <w:t>At a glance: what changed</w:t>
      </w:r>
    </w:p>
    <w:p>
      <w:r>
        <w:t>This revision preserves the original product concept while correcting the major design and demonstration risks. In particular, it changes the architecture from “Gemma reads documents and reaches a verdict” to an inspectable evidence pipeline with explicit checkpoints.</w:t>
      </w:r>
    </w:p>
    <w:tbl>
      <w:tblPr>
        <w:tblStyle w:val="TableGrid"/>
        <w:tblW w:type="auto" w:w="0"/>
        <w:jc w:val="center"/>
        <w:tblLayout w:type="fixed"/>
        <w:tblLook w:firstColumn="1" w:firstRow="1" w:lastColumn="0" w:lastRow="0" w:noHBand="0" w:noVBand="1" w:val="04A0"/>
      </w:tblPr>
      <w:tblGrid>
        <w:gridCol w:w="2923"/>
        <w:gridCol w:w="3384"/>
        <w:gridCol w:w="3226"/>
      </w:tblGrid>
      <w:tr>
        <w:trPr>
          <w:tblHeader w:val="true"/>
          <w:cantSplit/>
        </w:trPr>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ORIGINAL WEAKNESS</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INTEGRATED CHANGE</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RESULT</w:t>
            </w:r>
          </w:p>
        </w:tc>
      </w:tr>
      <w:tr>
        <w:trPr>
          <w:cantSplit/>
        </w:trPr>
        <w:tc>
          <w:tcPr>
            <w:tcW w:type="dxa" w:w="2923"/>
            <w:vAlign w:val="center"/>
            <w:tcMar>
              <w:top w:w="85" w:type="dxa"/>
              <w:start w:w="110" w:type="dxa"/>
              <w:bottom w:w="85" w:type="dxa"/>
              <w:end w:w="110" w:type="dxa"/>
            </w:tcMar>
            <w:shd w:fill="F2F7F8"/>
          </w:tcPr>
          <w:p>
            <w:pPr>
              <w:spacing w:after="0"/>
            </w:pPr>
            <w:r/>
            <w:r>
              <w:rPr>
                <w:rFonts w:ascii="Aptos" w:hAnsi="Aptos"/>
                <w:b w:val="0"/>
                <w:color w:val="152940"/>
                <w:sz w:val="16"/>
              </w:rPr>
              <w:t>Potential fabricated quotations</w:t>
            </w:r>
          </w:p>
        </w:tc>
        <w:tc>
          <w:tcPr>
            <w:tcW w:type="dxa" w:w="3384"/>
            <w:vAlign w:val="center"/>
            <w:tcMar>
              <w:top w:w="85" w:type="dxa"/>
              <w:start w:w="110" w:type="dxa"/>
              <w:bottom w:w="85" w:type="dxa"/>
              <w:end w:w="110" w:type="dxa"/>
            </w:tcMar>
            <w:shd w:fill="F2F7F8"/>
          </w:tcPr>
          <w:p>
            <w:pPr>
              <w:spacing w:after="0"/>
            </w:pPr>
            <w:r/>
            <w:r>
              <w:rPr>
                <w:rFonts w:ascii="Aptos" w:hAnsi="Aptos"/>
                <w:b w:val="0"/>
                <w:color w:val="152940"/>
                <w:sz w:val="16"/>
              </w:rPr>
              <w:t>Passage IDs + exact/normalised quotation checks</w:t>
            </w:r>
          </w:p>
        </w:tc>
        <w:tc>
          <w:tcPr>
            <w:tcW w:type="dxa" w:w="3226"/>
            <w:vAlign w:val="center"/>
            <w:tcMar>
              <w:top w:w="85" w:type="dxa"/>
              <w:start w:w="110" w:type="dxa"/>
              <w:bottom w:w="85" w:type="dxa"/>
              <w:end w:w="110" w:type="dxa"/>
            </w:tcMar>
            <w:shd w:fill="F2F7F8"/>
          </w:tcPr>
          <w:p>
            <w:pPr>
              <w:spacing w:after="0"/>
            </w:pPr>
            <w:r/>
            <w:r>
              <w:rPr>
                <w:rFonts w:ascii="Aptos" w:hAnsi="Aptos"/>
                <w:b w:val="0"/>
                <w:color w:val="152940"/>
                <w:sz w:val="16"/>
              </w:rPr>
              <w:t>No unsupported cited finding is shown</w:t>
            </w:r>
          </w:p>
        </w:tc>
      </w:tr>
      <w:tr>
        <w:trPr>
          <w:cantSplit/>
        </w:trPr>
        <w:tc>
          <w:tcPr>
            <w:tcW w:type="dxa" w:w="2923"/>
            <w:vAlign w:val="center"/>
            <w:tcMar>
              <w:top w:w="85" w:type="dxa"/>
              <w:start w:w="110" w:type="dxa"/>
              <w:bottom w:w="85" w:type="dxa"/>
              <w:end w:w="110" w:type="dxa"/>
            </w:tcMar>
          </w:tcPr>
          <w:p>
            <w:pPr>
              <w:spacing w:after="0"/>
            </w:pPr>
            <w:r/>
            <w:r>
              <w:rPr>
                <w:rFonts w:ascii="Aptos" w:hAnsi="Aptos"/>
                <w:b w:val="0"/>
                <w:color w:val="152940"/>
                <w:sz w:val="16"/>
              </w:rPr>
              <w:t>Conflicts from unmatched periods or units</w:t>
            </w:r>
          </w:p>
        </w:tc>
        <w:tc>
          <w:tcPr>
            <w:tcW w:type="dxa" w:w="3384"/>
            <w:vAlign w:val="center"/>
            <w:tcMar>
              <w:top w:w="85" w:type="dxa"/>
              <w:start w:w="110" w:type="dxa"/>
              <w:bottom w:w="85" w:type="dxa"/>
              <w:end w:w="110" w:type="dxa"/>
            </w:tcMar>
          </w:tcPr>
          <w:p>
            <w:pPr>
              <w:spacing w:after="0"/>
            </w:pPr>
            <w:r/>
            <w:r>
              <w:rPr>
                <w:rFonts w:ascii="Aptos" w:hAnsi="Aptos"/>
                <w:b w:val="0"/>
                <w:color w:val="152940"/>
                <w:sz w:val="16"/>
              </w:rPr>
              <w:t>Structured claim facets + comparability gate</w:t>
            </w:r>
          </w:p>
        </w:tc>
        <w:tc>
          <w:tcPr>
            <w:tcW w:type="dxa" w:w="3226"/>
            <w:vAlign w:val="center"/>
            <w:tcMar>
              <w:top w:w="85" w:type="dxa"/>
              <w:start w:w="110" w:type="dxa"/>
              <w:bottom w:w="85" w:type="dxa"/>
              <w:end w:w="110" w:type="dxa"/>
            </w:tcMar>
          </w:tcPr>
          <w:p>
            <w:pPr>
              <w:spacing w:after="0"/>
            </w:pPr>
            <w:r/>
            <w:r>
              <w:rPr>
                <w:rFonts w:ascii="Aptos" w:hAnsi="Aptos"/>
                <w:b w:val="0"/>
                <w:color w:val="152940"/>
                <w:sz w:val="16"/>
              </w:rPr>
              <w:t>Fewer false contradictions</w:t>
            </w:r>
          </w:p>
        </w:tc>
      </w:tr>
      <w:tr>
        <w:trPr>
          <w:cantSplit/>
        </w:trPr>
        <w:tc>
          <w:tcPr>
            <w:tcW w:type="dxa" w:w="2923"/>
            <w:vAlign w:val="center"/>
            <w:tcMar>
              <w:top w:w="85" w:type="dxa"/>
              <w:start w:w="110" w:type="dxa"/>
              <w:bottom w:w="85" w:type="dxa"/>
              <w:end w:w="110" w:type="dxa"/>
            </w:tcMar>
            <w:shd w:fill="F2F7F8"/>
          </w:tcPr>
          <w:p>
            <w:pPr>
              <w:spacing w:after="0"/>
            </w:pPr>
            <w:r/>
            <w:r>
              <w:rPr>
                <w:rFonts w:ascii="Aptos" w:hAnsi="Aptos"/>
                <w:b w:val="0"/>
                <w:color w:val="152940"/>
                <w:sz w:val="16"/>
              </w:rPr>
              <w:t>Vague “evidence gap” suggestion</w:t>
            </w:r>
          </w:p>
        </w:tc>
        <w:tc>
          <w:tcPr>
            <w:tcW w:type="dxa" w:w="3384"/>
            <w:vAlign w:val="center"/>
            <w:tcMar>
              <w:top w:w="85" w:type="dxa"/>
              <w:start w:w="110" w:type="dxa"/>
              <w:bottom w:w="85" w:type="dxa"/>
              <w:end w:w="110" w:type="dxa"/>
            </w:tcMar>
            <w:shd w:fill="F2F7F8"/>
          </w:tcPr>
          <w:p>
            <w:pPr>
              <w:spacing w:after="0"/>
            </w:pPr>
            <w:r/>
            <w:r>
              <w:rPr>
                <w:rFonts w:ascii="Aptos" w:hAnsi="Aptos"/>
                <w:b w:val="0"/>
                <w:color w:val="152940"/>
                <w:sz w:val="16"/>
              </w:rPr>
              <w:t>Specific missing item + two outcome branches</w:t>
            </w:r>
          </w:p>
        </w:tc>
        <w:tc>
          <w:tcPr>
            <w:tcW w:type="dxa" w:w="3226"/>
            <w:vAlign w:val="center"/>
            <w:tcMar>
              <w:top w:w="85" w:type="dxa"/>
              <w:start w:w="110" w:type="dxa"/>
              <w:bottom w:w="85" w:type="dxa"/>
              <w:end w:w="110" w:type="dxa"/>
            </w:tcMar>
            <w:shd w:fill="F2F7F8"/>
          </w:tcPr>
          <w:p>
            <w:pPr>
              <w:spacing w:after="0"/>
            </w:pPr>
            <w:r/>
            <w:r>
              <w:rPr>
                <w:rFonts w:ascii="Aptos" w:hAnsi="Aptos"/>
                <w:b w:val="0"/>
                <w:color w:val="152940"/>
                <w:sz w:val="16"/>
              </w:rPr>
              <w:t>Clearer signature demo</w:t>
            </w:r>
          </w:p>
        </w:tc>
      </w:tr>
      <w:tr>
        <w:trPr>
          <w:cantSplit/>
        </w:trPr>
        <w:tc>
          <w:tcPr>
            <w:tcW w:type="dxa" w:w="2923"/>
            <w:vAlign w:val="center"/>
            <w:tcMar>
              <w:top w:w="85" w:type="dxa"/>
              <w:start w:w="110" w:type="dxa"/>
              <w:bottom w:w="85" w:type="dxa"/>
              <w:end w:w="110" w:type="dxa"/>
            </w:tcMar>
          </w:tcPr>
          <w:p>
            <w:pPr>
              <w:spacing w:after="0"/>
            </w:pPr>
            <w:r/>
            <w:r>
              <w:rPr>
                <w:rFonts w:ascii="Aptos" w:hAnsi="Aptos"/>
                <w:b w:val="0"/>
                <w:color w:val="152940"/>
                <w:sz w:val="16"/>
              </w:rPr>
              <w:t>Undefined output format</w:t>
            </w:r>
          </w:p>
        </w:tc>
        <w:tc>
          <w:tcPr>
            <w:tcW w:type="dxa" w:w="3384"/>
            <w:vAlign w:val="center"/>
            <w:tcMar>
              <w:top w:w="85" w:type="dxa"/>
              <w:start w:w="110" w:type="dxa"/>
              <w:bottom w:w="85" w:type="dxa"/>
              <w:end w:w="110" w:type="dxa"/>
            </w:tcMar>
          </w:tcPr>
          <w:p>
            <w:pPr>
              <w:spacing w:after="0"/>
            </w:pPr>
            <w:r/>
            <w:r>
              <w:rPr>
                <w:rFonts w:ascii="Aptos" w:hAnsi="Aptos"/>
                <w:b w:val="0"/>
                <w:color w:val="152940"/>
                <w:sz w:val="16"/>
              </w:rPr>
              <w:t>Pydantic validation + bounded retries + fail-closed</w:t>
            </w:r>
          </w:p>
        </w:tc>
        <w:tc>
          <w:tcPr>
            <w:tcW w:type="dxa" w:w="3226"/>
            <w:vAlign w:val="center"/>
            <w:tcMar>
              <w:top w:w="85" w:type="dxa"/>
              <w:start w:w="110" w:type="dxa"/>
              <w:bottom w:w="85" w:type="dxa"/>
              <w:end w:w="110" w:type="dxa"/>
            </w:tcMar>
          </w:tcPr>
          <w:p>
            <w:pPr>
              <w:spacing w:after="0"/>
            </w:pPr>
            <w:r/>
            <w:r>
              <w:rPr>
                <w:rFonts w:ascii="Aptos" w:hAnsi="Aptos"/>
                <w:b w:val="0"/>
                <w:color w:val="152940"/>
                <w:sz w:val="16"/>
              </w:rPr>
              <w:t>Predictable rendering</w:t>
            </w:r>
          </w:p>
        </w:tc>
      </w:tr>
      <w:tr>
        <w:trPr>
          <w:cantSplit/>
        </w:trPr>
        <w:tc>
          <w:tcPr>
            <w:tcW w:type="dxa" w:w="2923"/>
            <w:vAlign w:val="center"/>
            <w:tcMar>
              <w:top w:w="85" w:type="dxa"/>
              <w:start w:w="110" w:type="dxa"/>
              <w:bottom w:w="85" w:type="dxa"/>
              <w:end w:w="110" w:type="dxa"/>
            </w:tcMar>
            <w:shd w:fill="F2F7F8"/>
          </w:tcPr>
          <w:p>
            <w:pPr>
              <w:spacing w:after="0"/>
            </w:pPr>
            <w:r/>
            <w:r>
              <w:rPr>
                <w:rFonts w:ascii="Aptos" w:hAnsi="Aptos"/>
                <w:b w:val="0"/>
                <w:color w:val="152940"/>
                <w:sz w:val="16"/>
              </w:rPr>
              <w:t>Large 3-hour feature surface</w:t>
            </w:r>
          </w:p>
        </w:tc>
        <w:tc>
          <w:tcPr>
            <w:tcW w:type="dxa" w:w="3384"/>
            <w:vAlign w:val="center"/>
            <w:tcMar>
              <w:top w:w="85" w:type="dxa"/>
              <w:start w:w="110" w:type="dxa"/>
              <w:bottom w:w="85" w:type="dxa"/>
              <w:end w:w="110" w:type="dxa"/>
            </w:tcMar>
            <w:shd w:fill="F2F7F8"/>
          </w:tcPr>
          <w:p>
            <w:pPr>
              <w:spacing w:after="0"/>
            </w:pPr>
            <w:r/>
            <w:r>
              <w:rPr>
                <w:rFonts w:ascii="Aptos" w:hAnsi="Aptos"/>
                <w:b w:val="0"/>
                <w:color w:val="152940"/>
                <w:sz w:val="16"/>
              </w:rPr>
              <w:t>P0/P1/P2 priorities and stop rules</w:t>
            </w:r>
          </w:p>
        </w:tc>
        <w:tc>
          <w:tcPr>
            <w:tcW w:type="dxa" w:w="3226"/>
            <w:vAlign w:val="center"/>
            <w:tcMar>
              <w:top w:w="85" w:type="dxa"/>
              <w:start w:w="110" w:type="dxa"/>
              <w:bottom w:w="85" w:type="dxa"/>
              <w:end w:w="110" w:type="dxa"/>
            </w:tcMar>
            <w:shd w:fill="F2F7F8"/>
          </w:tcPr>
          <w:p>
            <w:pPr>
              <w:spacing w:after="0"/>
            </w:pPr>
            <w:r/>
            <w:r>
              <w:rPr>
                <w:rFonts w:ascii="Aptos" w:hAnsi="Aptos"/>
                <w:b w:val="0"/>
                <w:color w:val="152940"/>
                <w:sz w:val="16"/>
              </w:rPr>
              <w:t>More plausible delivery</w:t>
            </w:r>
          </w:p>
        </w:tc>
      </w:tr>
      <w:tr>
        <w:trPr>
          <w:cantSplit/>
        </w:trPr>
        <w:tc>
          <w:tcPr>
            <w:tcW w:type="dxa" w:w="2923"/>
            <w:vAlign w:val="center"/>
            <w:tcMar>
              <w:top w:w="85" w:type="dxa"/>
              <w:start w:w="110" w:type="dxa"/>
              <w:bottom w:w="85" w:type="dxa"/>
              <w:end w:w="110" w:type="dxa"/>
            </w:tcMar>
          </w:tcPr>
          <w:p>
            <w:pPr>
              <w:spacing w:after="0"/>
            </w:pPr>
            <w:r/>
            <w:r>
              <w:rPr>
                <w:rFonts w:ascii="Aptos" w:hAnsi="Aptos"/>
                <w:b w:val="0"/>
                <w:color w:val="152940"/>
                <w:sz w:val="16"/>
              </w:rPr>
              <w:t>Remote-model privacy ambiguity</w:t>
            </w:r>
          </w:p>
        </w:tc>
        <w:tc>
          <w:tcPr>
            <w:tcW w:type="dxa" w:w="3384"/>
            <w:vAlign w:val="center"/>
            <w:tcMar>
              <w:top w:w="85" w:type="dxa"/>
              <w:start w:w="110" w:type="dxa"/>
              <w:bottom w:w="85" w:type="dxa"/>
              <w:end w:w="110" w:type="dxa"/>
            </w:tcMar>
          </w:tcPr>
          <w:p>
            <w:pPr>
              <w:spacing w:after="0"/>
            </w:pPr>
            <w:r/>
            <w:r>
              <w:rPr>
                <w:rFonts w:ascii="Aptos" w:hAnsi="Aptos"/>
                <w:b w:val="0"/>
                <w:color w:val="152940"/>
                <w:sz w:val="16"/>
              </w:rPr>
              <w:t>Explicit provider disclosure, upload limits, ephemeral data policy</w:t>
            </w:r>
          </w:p>
        </w:tc>
        <w:tc>
          <w:tcPr>
            <w:tcW w:type="dxa" w:w="3226"/>
            <w:vAlign w:val="center"/>
            <w:tcMar>
              <w:top w:w="85" w:type="dxa"/>
              <w:start w:w="110" w:type="dxa"/>
              <w:bottom w:w="85" w:type="dxa"/>
              <w:end w:w="110" w:type="dxa"/>
            </w:tcMar>
          </w:tcPr>
          <w:p>
            <w:pPr>
              <w:spacing w:after="0"/>
            </w:pPr>
            <w:r/>
            <w:r>
              <w:rPr>
                <w:rFonts w:ascii="Aptos" w:hAnsi="Aptos"/>
                <w:b w:val="0"/>
                <w:color w:val="152940"/>
                <w:sz w:val="16"/>
              </w:rPr>
              <w:t>Credible security story</w:t>
            </w:r>
          </w:p>
        </w:tc>
      </w:tr>
      <w:tr>
        <w:trPr>
          <w:cantSplit/>
        </w:trPr>
        <w:tc>
          <w:tcPr>
            <w:tcW w:type="dxa" w:w="2923"/>
            <w:vAlign w:val="center"/>
            <w:tcMar>
              <w:top w:w="85" w:type="dxa"/>
              <w:start w:w="110" w:type="dxa"/>
              <w:bottom w:w="85" w:type="dxa"/>
              <w:end w:w="110" w:type="dxa"/>
            </w:tcMar>
            <w:shd w:fill="F2F7F8"/>
          </w:tcPr>
          <w:p>
            <w:pPr>
              <w:spacing w:after="0"/>
            </w:pPr>
            <w:r/>
            <w:r>
              <w:rPr>
                <w:rFonts w:ascii="Aptos" w:hAnsi="Aptos"/>
                <w:b w:val="0"/>
                <w:color w:val="152940"/>
                <w:sz w:val="16"/>
              </w:rPr>
              <w:t>Decorative graph priority</w:t>
            </w:r>
          </w:p>
        </w:tc>
        <w:tc>
          <w:tcPr>
            <w:tcW w:type="dxa" w:w="3384"/>
            <w:vAlign w:val="center"/>
            <w:tcMar>
              <w:top w:w="85" w:type="dxa"/>
              <w:start w:w="110" w:type="dxa"/>
              <w:bottom w:w="85" w:type="dxa"/>
              <w:end w:w="110" w:type="dxa"/>
            </w:tcMar>
            <w:shd w:fill="F2F7F8"/>
          </w:tcPr>
          <w:p>
            <w:pPr>
              <w:spacing w:after="0"/>
            </w:pPr>
            <w:r/>
            <w:r>
              <w:rPr>
                <w:rFonts w:ascii="Aptos" w:hAnsi="Aptos"/>
                <w:b w:val="0"/>
                <w:color w:val="152940"/>
                <w:sz w:val="16"/>
              </w:rPr>
              <w:t>Claim cards + source inspection first; graph optional</w:t>
            </w:r>
          </w:p>
        </w:tc>
        <w:tc>
          <w:tcPr>
            <w:tcW w:type="dxa" w:w="3226"/>
            <w:vAlign w:val="center"/>
            <w:tcMar>
              <w:top w:w="85" w:type="dxa"/>
              <w:start w:w="110" w:type="dxa"/>
              <w:bottom w:w="85" w:type="dxa"/>
              <w:end w:w="110" w:type="dxa"/>
            </w:tcMar>
            <w:shd w:fill="F2F7F8"/>
          </w:tcPr>
          <w:p>
            <w:pPr>
              <w:spacing w:after="0"/>
            </w:pPr>
            <w:r/>
            <w:r>
              <w:rPr>
                <w:rFonts w:ascii="Aptos" w:hAnsi="Aptos"/>
                <w:b w:val="0"/>
                <w:color w:val="152940"/>
                <w:sz w:val="16"/>
              </w:rPr>
              <w:t>Judges can verify findings</w:t>
            </w:r>
          </w:p>
        </w:tc>
      </w:tr>
      <w:tr>
        <w:trPr>
          <w:cantSplit/>
        </w:trPr>
        <w:tc>
          <w:tcPr>
            <w:tcW w:type="dxa" w:w="2923"/>
            <w:vAlign w:val="center"/>
            <w:tcMar>
              <w:top w:w="85" w:type="dxa"/>
              <w:start w:w="110" w:type="dxa"/>
              <w:bottom w:w="85" w:type="dxa"/>
              <w:end w:w="110" w:type="dxa"/>
            </w:tcMar>
          </w:tcPr>
          <w:p>
            <w:pPr>
              <w:spacing w:after="0"/>
            </w:pPr>
            <w:r/>
            <w:r>
              <w:rPr>
                <w:rFonts w:ascii="Aptos" w:hAnsi="Aptos"/>
                <w:b w:val="0"/>
                <w:color w:val="152940"/>
                <w:sz w:val="16"/>
              </w:rPr>
              <w:t>Only qualitative test descriptions</w:t>
            </w:r>
          </w:p>
        </w:tc>
        <w:tc>
          <w:tcPr>
            <w:tcW w:type="dxa" w:w="3384"/>
            <w:vAlign w:val="center"/>
            <w:tcMar>
              <w:top w:w="85" w:type="dxa"/>
              <w:start w:w="110" w:type="dxa"/>
              <w:bottom w:w="85" w:type="dxa"/>
              <w:end w:w="110" w:type="dxa"/>
            </w:tcMar>
          </w:tcPr>
          <w:p>
            <w:pPr>
              <w:spacing w:after="0"/>
            </w:pPr>
            <w:r/>
            <w:r>
              <w:rPr>
                <w:rFonts w:ascii="Aptos" w:hAnsi="Aptos"/>
                <w:b w:val="0"/>
                <w:color w:val="152940"/>
                <w:sz w:val="16"/>
              </w:rPr>
              <w:t>Concrete test fixtures and acceptance gates</w:t>
            </w:r>
          </w:p>
        </w:tc>
        <w:tc>
          <w:tcPr>
            <w:tcW w:type="dxa" w:w="3226"/>
            <w:vAlign w:val="center"/>
            <w:tcMar>
              <w:top w:w="85" w:type="dxa"/>
              <w:start w:w="110" w:type="dxa"/>
              <w:bottom w:w="85" w:type="dxa"/>
              <w:end w:w="110" w:type="dxa"/>
            </w:tcMar>
          </w:tcPr>
          <w:p>
            <w:pPr>
              <w:spacing w:after="0"/>
            </w:pPr>
            <w:r/>
            <w:r>
              <w:rPr>
                <w:rFonts w:ascii="Aptos" w:hAnsi="Aptos"/>
                <w:b w:val="0"/>
                <w:color w:val="152940"/>
                <w:sz w:val="16"/>
              </w:rPr>
              <w:t>Measurable prototype readiness</w:t>
            </w:r>
          </w:p>
        </w:tc>
      </w:tr>
    </w:tbl>
    <w:p>
      <w:pPr>
        <w:spacing w:after="20"/>
      </w:pPr>
    </w:p>
    <w:p>
      <w:pPr>
        <w:pStyle w:val="Heading1"/>
        <w:keepNext/>
      </w:pPr>
      <w:r>
        <w:t>Contents</w:t>
      </w:r>
    </w:p>
    <w:tbl>
      <w:tblPr>
        <w:tblStyle w:val="TableGrid"/>
        <w:tblW w:type="auto" w:w="0"/>
        <w:jc w:val="center"/>
        <w:tblLayout w:type="fixed"/>
        <w:tblLook w:firstColumn="1" w:firstRow="1" w:lastColumn="0" w:lastRow="0" w:noHBand="0" w:noVBand="1" w:val="04A0"/>
      </w:tblPr>
      <w:tblGrid>
        <w:gridCol w:w="4766"/>
        <w:gridCol w:w="4766"/>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SECTIONS 1-11</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SECTIONS 12-21</w:t>
            </w:r>
          </w:p>
        </w:tc>
      </w:tr>
      <w:tr>
        <w:trPr>
          <w:cantSplit/>
        </w:trPr>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1. Executive summary and product focus</w:t>
            </w:r>
          </w:p>
        </w:tc>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12. Redesigned 500-Meal Mystery</w:t>
            </w:r>
          </w:p>
        </w:tc>
      </w:tr>
      <w:tr>
        <w:trPr>
          <w:cantSplit/>
        </w:trPr>
        <w:tc>
          <w:tcPr>
            <w:tcW w:type="dxa" w:w="4766"/>
            <w:vAlign w:val="center"/>
            <w:tcMar>
              <w:top w:w="85" w:type="dxa"/>
              <w:start w:w="110" w:type="dxa"/>
              <w:bottom w:w="85" w:type="dxa"/>
              <w:end w:w="110" w:type="dxa"/>
            </w:tcMar>
          </w:tcPr>
          <w:p>
            <w:pPr>
              <w:spacing w:after="0"/>
            </w:pPr>
            <w:r/>
            <w:r>
              <w:rPr>
                <w:rFonts w:ascii="Aptos" w:hAnsi="Aptos"/>
                <w:b w:val="0"/>
                <w:color w:val="152940"/>
                <w:sz w:val="16"/>
              </w:rPr>
              <w:t>2. Problem and target use case</w:t>
            </w:r>
          </w:p>
        </w:tc>
        <w:tc>
          <w:tcPr>
            <w:tcW w:type="dxa" w:w="4766"/>
            <w:vAlign w:val="center"/>
            <w:tcMar>
              <w:top w:w="85" w:type="dxa"/>
              <w:start w:w="110" w:type="dxa"/>
              <w:bottom w:w="85" w:type="dxa"/>
              <w:end w:w="110" w:type="dxa"/>
            </w:tcMar>
          </w:tcPr>
          <w:p>
            <w:pPr>
              <w:spacing w:after="0"/>
            </w:pPr>
            <w:r/>
            <w:r>
              <w:rPr>
                <w:rFonts w:ascii="Aptos" w:hAnsi="Aptos"/>
                <w:b w:val="0"/>
                <w:color w:val="152940"/>
                <w:sz w:val="16"/>
              </w:rPr>
              <w:t>13. Interface and interaction design</w:t>
            </w:r>
          </w:p>
        </w:tc>
      </w:tr>
      <w:tr>
        <w:trPr>
          <w:cantSplit/>
        </w:trPr>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3. Objectives, scope and prioritisation</w:t>
            </w:r>
          </w:p>
        </w:tc>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14. Security, privacy and deployment</w:t>
            </w:r>
          </w:p>
        </w:tc>
      </w:tr>
      <w:tr>
        <w:trPr>
          <w:cantSplit/>
        </w:trPr>
        <w:tc>
          <w:tcPr>
            <w:tcW w:type="dxa" w:w="4766"/>
            <w:vAlign w:val="center"/>
            <w:tcMar>
              <w:top w:w="85" w:type="dxa"/>
              <w:start w:w="110" w:type="dxa"/>
              <w:bottom w:w="85" w:type="dxa"/>
              <w:end w:w="110" w:type="dxa"/>
            </w:tcMar>
          </w:tcPr>
          <w:p>
            <w:pPr>
              <w:spacing w:after="0"/>
            </w:pPr>
            <w:r/>
            <w:r>
              <w:rPr>
                <w:rFonts w:ascii="Aptos" w:hAnsi="Aptos"/>
                <w:b w:val="0"/>
                <w:color w:val="152940"/>
                <w:sz w:val="16"/>
              </w:rPr>
              <w:t>4. Core product workflow</w:t>
            </w:r>
          </w:p>
        </w:tc>
        <w:tc>
          <w:tcPr>
            <w:tcW w:type="dxa" w:w="4766"/>
            <w:vAlign w:val="center"/>
            <w:tcMar>
              <w:top w:w="85" w:type="dxa"/>
              <w:start w:w="110" w:type="dxa"/>
              <w:bottom w:w="85" w:type="dxa"/>
              <w:end w:w="110" w:type="dxa"/>
            </w:tcMar>
          </w:tcPr>
          <w:p>
            <w:pPr>
              <w:spacing w:after="0"/>
            </w:pPr>
            <w:r/>
            <w:r>
              <w:rPr>
                <w:rFonts w:ascii="Aptos" w:hAnsi="Aptos"/>
                <w:b w:val="0"/>
                <w:color w:val="152940"/>
                <w:sz w:val="16"/>
              </w:rPr>
              <w:t>15. Three-hour implementation schedule</w:t>
            </w:r>
          </w:p>
        </w:tc>
      </w:tr>
      <w:tr>
        <w:trPr>
          <w:cantSplit/>
        </w:trPr>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5. Technical architecture and repository structure</w:t>
            </w:r>
          </w:p>
        </w:tc>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16. Evaluation and adversarial tests</w:t>
            </w:r>
          </w:p>
        </w:tc>
      </w:tr>
      <w:tr>
        <w:trPr>
          <w:cantSplit/>
        </w:trPr>
        <w:tc>
          <w:tcPr>
            <w:tcW w:type="dxa" w:w="4766"/>
            <w:vAlign w:val="center"/>
            <w:tcMar>
              <w:top w:w="85" w:type="dxa"/>
              <w:start w:w="110" w:type="dxa"/>
              <w:bottom w:w="85" w:type="dxa"/>
              <w:end w:w="110" w:type="dxa"/>
            </w:tcMar>
          </w:tcPr>
          <w:p>
            <w:pPr>
              <w:spacing w:after="0"/>
            </w:pPr>
            <w:r/>
            <w:r>
              <w:rPr>
                <w:rFonts w:ascii="Aptos" w:hAnsi="Aptos"/>
                <w:b w:val="0"/>
                <w:color w:val="152940"/>
                <w:sz w:val="16"/>
              </w:rPr>
              <w:t>6. Provenance and data contracts</w:t>
            </w:r>
          </w:p>
        </w:tc>
        <w:tc>
          <w:tcPr>
            <w:tcW w:type="dxa" w:w="4766"/>
            <w:vAlign w:val="center"/>
            <w:tcMar>
              <w:top w:w="85" w:type="dxa"/>
              <w:start w:w="110" w:type="dxa"/>
              <w:bottom w:w="85" w:type="dxa"/>
              <w:end w:w="110" w:type="dxa"/>
            </w:tcMar>
          </w:tcPr>
          <w:p>
            <w:pPr>
              <w:spacing w:after="0"/>
            </w:pPr>
            <w:r/>
            <w:r>
              <w:rPr>
                <w:rFonts w:ascii="Aptos" w:hAnsi="Aptos"/>
                <w:b w:val="0"/>
                <w:color w:val="152940"/>
                <w:sz w:val="16"/>
              </w:rPr>
              <w:t>17. Risk register</w:t>
            </w:r>
          </w:p>
        </w:tc>
      </w:tr>
      <w:tr>
        <w:trPr>
          <w:cantSplit/>
        </w:trPr>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7. Document ingestion and retrieval</w:t>
            </w:r>
          </w:p>
        </w:tc>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18. Roadmap after MVP</w:t>
            </w:r>
          </w:p>
        </w:tc>
      </w:tr>
      <w:tr>
        <w:trPr>
          <w:cantSplit/>
        </w:trPr>
        <w:tc>
          <w:tcPr>
            <w:tcW w:type="dxa" w:w="4766"/>
            <w:vAlign w:val="center"/>
            <w:tcMar>
              <w:top w:w="85" w:type="dxa"/>
              <w:start w:w="110" w:type="dxa"/>
              <w:bottom w:w="85" w:type="dxa"/>
              <w:end w:w="110" w:type="dxa"/>
            </w:tcMar>
          </w:tcPr>
          <w:p>
            <w:pPr>
              <w:spacing w:after="0"/>
            </w:pPr>
            <w:r/>
            <w:r>
              <w:rPr>
                <w:rFonts w:ascii="Aptos" w:hAnsi="Aptos"/>
                <w:b w:val="0"/>
                <w:color w:val="152940"/>
                <w:sz w:val="16"/>
              </w:rPr>
              <w:t>8. Claim analysis and contradiction rules</w:t>
            </w:r>
          </w:p>
        </w:tc>
        <w:tc>
          <w:tcPr>
            <w:tcW w:type="dxa" w:w="4766"/>
            <w:vAlign w:val="center"/>
            <w:tcMar>
              <w:top w:w="85" w:type="dxa"/>
              <w:start w:w="110" w:type="dxa"/>
              <w:bottom w:w="85" w:type="dxa"/>
              <w:end w:w="110" w:type="dxa"/>
            </w:tcMar>
          </w:tcPr>
          <w:p>
            <w:pPr>
              <w:spacing w:after="0"/>
            </w:pPr>
            <w:r/>
            <w:r>
              <w:rPr>
                <w:rFonts w:ascii="Aptos" w:hAnsi="Aptos"/>
                <w:b w:val="0"/>
                <w:color w:val="152940"/>
                <w:sz w:val="16"/>
              </w:rPr>
              <w:t>19. Hackathon demonstration script</w:t>
            </w:r>
          </w:p>
        </w:tc>
      </w:tr>
      <w:tr>
        <w:trPr>
          <w:cantSplit/>
        </w:trPr>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9. Gemma 4 integration and validation</w:t>
            </w:r>
          </w:p>
        </w:tc>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20. Assumptions and reference notes</w:t>
            </w:r>
          </w:p>
        </w:tc>
      </w:tr>
      <w:tr>
        <w:trPr>
          <w:cantSplit/>
        </w:trPr>
        <w:tc>
          <w:tcPr>
            <w:tcW w:type="dxa" w:w="4766"/>
            <w:vAlign w:val="center"/>
            <w:tcMar>
              <w:top w:w="85" w:type="dxa"/>
              <w:start w:w="110" w:type="dxa"/>
              <w:bottom w:w="85" w:type="dxa"/>
              <w:end w:w="110" w:type="dxa"/>
            </w:tcMar>
          </w:tcPr>
          <w:p>
            <w:pPr>
              <w:spacing w:after="0"/>
            </w:pPr>
            <w:r/>
            <w:r>
              <w:rPr>
                <w:rFonts w:ascii="Aptos" w:hAnsi="Aptos"/>
                <w:b w:val="0"/>
                <w:color w:val="152940"/>
                <w:sz w:val="16"/>
              </w:rPr>
              <w:t>10. Verdict and confidence policy</w:t>
            </w:r>
          </w:p>
        </w:tc>
        <w:tc>
          <w:tcPr>
            <w:tcW w:type="dxa" w:w="4766"/>
            <w:vAlign w:val="center"/>
            <w:tcMar>
              <w:top w:w="85" w:type="dxa"/>
              <w:start w:w="110" w:type="dxa"/>
              <w:bottom w:w="85" w:type="dxa"/>
              <w:end w:w="110" w:type="dxa"/>
            </w:tcMar>
          </w:tcPr>
          <w:p>
            <w:pPr>
              <w:spacing w:after="0"/>
            </w:pPr>
            <w:r/>
            <w:r>
              <w:rPr>
                <w:rFonts w:ascii="Aptos" w:hAnsi="Aptos"/>
                <w:b w:val="0"/>
                <w:color w:val="152940"/>
                <w:sz w:val="16"/>
              </w:rPr>
              <w:t>21. Final recommendation</w:t>
            </w:r>
          </w:p>
        </w:tc>
      </w:tr>
      <w:tr>
        <w:trPr>
          <w:cantSplit/>
        </w:trPr>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t>11. Evidence Gap Engine</w:t>
            </w:r>
          </w:p>
        </w:tc>
        <w:tc>
          <w:tcPr>
            <w:tcW w:type="dxa" w:w="4766"/>
            <w:vAlign w:val="center"/>
            <w:tcMar>
              <w:top w:w="85" w:type="dxa"/>
              <w:start w:w="110" w:type="dxa"/>
              <w:bottom w:w="85" w:type="dxa"/>
              <w:end w:w="110" w:type="dxa"/>
            </w:tcMar>
            <w:shd w:fill="F2F7F8"/>
          </w:tcPr>
          <w:p>
            <w:pPr>
              <w:spacing w:after="0"/>
            </w:pPr>
            <w:r/>
            <w:r>
              <w:rPr>
                <w:rFonts w:ascii="Aptos" w:hAnsi="Aptos"/>
                <w:b w:val="0"/>
                <w:color w:val="152940"/>
                <w:sz w:val="16"/>
              </w:rPr>
            </w:r>
          </w:p>
        </w:tc>
      </w:tr>
    </w:tbl>
    <w:p>
      <w:pPr>
        <w:spacing w:after="20"/>
      </w:pPr>
    </w:p>
    <w:p>
      <w:r>
        <w:br w:type="page"/>
      </w:r>
    </w:p>
    <w:p>
      <w:pPr>
        <w:pStyle w:val="Heading1"/>
        <w:keepNext/>
      </w:pPr>
      <w:r>
        <w:t>1. Executive summary and product focus</w:t>
      </w:r>
    </w:p>
    <w:p>
      <w:r>
        <w:t>Evidence Arena 2.0 helps users evaluate inconsistent, partial or outdated statements in a small collection of supplied documents. It breaks a question into atomic claims, retrieves relevant text, checks whether sources are comparable, exposes support and opposition, and identifies the next piece of evidence that would distinguish competing explanations.</w:t>
      </w:r>
    </w:p>
    <w:p>
      <w:r>
        <w:t>It is not a universal fact checker, an authenticity validator or an autonomous investigator. Its output is a source-scoped assessment: “Given the passages reviewed, here is what is supported, contested, contradicted or not established.”</w:t>
      </w:r>
    </w:p>
    <w:tbl>
      <w:tblPr>
        <w:tblW w:type="auto" w:w="0"/>
        <w:tblLook w:firstColumn="1" w:firstRow="1" w:lastColumn="0" w:lastRow="0" w:noHBand="0" w:noVBand="1" w:val="04A0"/>
      </w:tblPr>
      <w:tblGrid>
        <w:gridCol w:w="9633"/>
      </w:tblGrid>
      <w:tr>
        <w:tc>
          <w:tcPr>
            <w:tcW w:type="dxa" w:w="9633"/>
            <w:shd w:fill="E9F4F3"/>
            <w:tcMar>
              <w:top w:w="130" w:type="dxa"/>
              <w:start w:w="180" w:type="dxa"/>
              <w:bottom w:w="120" w:type="dxa"/>
              <w:end w:w="180" w:type="dxa"/>
            </w:tcMar>
          </w:tcPr>
          <w:p>
            <w:pPr>
              <w:spacing w:after="80"/>
            </w:pPr>
            <w:r>
              <w:rPr>
                <w:b/>
                <w:color w:val="00797B"/>
                <w:sz w:val="18"/>
              </w:rPr>
              <w:t>PRODUCT PROMISE</w:t>
            </w:r>
          </w:p>
          <w:p>
            <w:pPr>
              <w:spacing w:after="0"/>
            </w:pPr>
            <w:r>
              <w:rPr>
                <w:sz w:val="19"/>
              </w:rPr>
              <w:t>For every material finding, a reviewer can inspect the exact passage; for every unresolved finding, the product recommends a concrete test that could change its current assessment.</w:t>
            </w:r>
          </w:p>
        </w:tc>
      </w:tr>
    </w:tbl>
    <w:p>
      <w:pPr>
        <w:spacing w:after="0"/>
      </w:pPr>
    </w:p>
    <w:p>
      <w:pPr>
        <w:pStyle w:val="Heading1"/>
        <w:keepNext/>
      </w:pPr>
      <w:r>
        <w:t>2. Problem and target use case</w:t>
      </w:r>
    </w:p>
    <w:p>
      <w:r>
        <w:t>Target users: student researchers, NGO/programme reviewers, operational analysts and internal audit teams comparing reports, spreadsheets converted to text, and logs. The first MVP should serve one narrow use case: reconcile claims across 2–3 uploaded PDF or plain-text documents.</w:t>
      </w:r>
    </w:p>
    <w:p>
      <w:r>
        <w:t>Failure modes to solve: claims with multiple interpretations, numbers with mismatched units, statements from different reporting periods, missing primary records, plausible stories confused with proof, and AI-produced conclusions without traceable sources.</w:t>
      </w:r>
    </w:p>
    <w:p>
      <w:pPr>
        <w:pStyle w:val="Heading1"/>
        <w:keepNext/>
      </w:pPr>
      <w:r>
        <w:t>3. Objectives, scope and prioritisation</w:t>
      </w:r>
    </w:p>
    <w:p>
      <w:pPr>
        <w:pStyle w:val="Heading2"/>
        <w:keepNext/>
      </w:pPr>
      <w:r>
        <w:t>3.1 P0: required for a real working MVP</w:t>
      </w:r>
    </w:p>
    <w:p>
      <w:pPr>
        <w:pStyle w:val="ListBullet"/>
      </w:pPr>
      <w:r>
        <w:t>Upload 1–3 small PDF/TXT files, enter one question, and show extraction problems clearly.</w:t>
      </w:r>
    </w:p>
    <w:p>
      <w:pPr>
        <w:pStyle w:val="ListBullet"/>
      </w:pPr>
      <w:r>
        <w:t>Propose up to 5 atomic claims; allow the user to inspect or edit wording.</w:t>
      </w:r>
    </w:p>
    <w:p>
      <w:pPr>
        <w:pStyle w:val="ListBullet"/>
      </w:pPr>
      <w:r>
        <w:t>Retrieve traceable passages and check quotations against the extracted source text.</w:t>
      </w:r>
    </w:p>
    <w:p>
      <w:pPr>
        <w:pStyle w:val="ListBullet"/>
      </w:pPr>
      <w:r>
        <w:t>Compare dates, units and scope before declaring direct numerical conflict.</w:t>
      </w:r>
    </w:p>
    <w:p>
      <w:pPr>
        <w:pStyle w:val="ListBullet"/>
      </w:pPr>
      <w:r>
        <w:t>Show supported / contradicted / contested / unverified statuses with reasons.</w:t>
      </w:r>
    </w:p>
    <w:p>
      <w:pPr>
        <w:pStyle w:val="ListBullet"/>
      </w:pPr>
      <w:r>
        <w:t>Show at least one counterevidence check and a genuine, logged Challenge Trail.</w:t>
      </w:r>
    </w:p>
    <w:p>
      <w:pPr>
        <w:pStyle w:val="ListBullet"/>
      </w:pPr>
      <w:r>
        <w:t>Generate one decision-relevant missing-evidence recommendation with two possible result branches.</w:t>
      </w:r>
    </w:p>
    <w:p>
      <w:pPr>
        <w:pStyle w:val="ListBullet"/>
      </w:pPr>
      <w:r>
        <w:t>Complete the prepared 500-Meal Mystery demonstration and handle model failure honestly.</w:t>
      </w:r>
    </w:p>
    <w:p>
      <w:pPr>
        <w:pStyle w:val="Heading2"/>
        <w:keepNext/>
      </w:pPr>
      <w:r>
        <w:t>3.2 P1: only after P0 passes</w:t>
      </w:r>
    </w:p>
    <w:p>
      <w:pPr>
        <w:pStyle w:val="ListBullet"/>
      </w:pPr>
      <w:r>
        <w:t>Graph of claims and sources, sourced JSON/Markdown export, polished summary counters, and clickable source-location navigation.</w:t>
      </w:r>
    </w:p>
    <w:p>
      <w:pPr>
        <w:pStyle w:val="ListBullet"/>
      </w:pPr>
      <w:r>
        <w:t>Simple deduplication, duplicate-source warnings, and enhanced date/quantity normalization.</w:t>
      </w:r>
    </w:p>
    <w:p>
      <w:pPr>
        <w:pStyle w:val="Heading2"/>
        <w:keepNext/>
      </w:pPr>
      <w:r>
        <w:t>3.3 P2 and out of scope</w:t>
      </w:r>
    </w:p>
    <w:p>
      <w:r>
        <w:t>Autonomous browsing, OCR of scanned PDFs, bulk spreadsheet/Excel ingestion, account systems, enterprise permissions, calibrated probability scores, forensic authenticity checks, and high-stakes autonomous decisions. These belong after the demo unless explicitly required by the organisers.</w:t>
      </w:r>
    </w:p>
    <w:p>
      <w:pPr>
        <w:pStyle w:val="Heading1"/>
        <w:keepNext/>
      </w:pPr>
      <w:r>
        <w:t>4. Core product workflow</w:t>
      </w:r>
    </w:p>
    <w:p>
      <w:pPr>
        <w:pStyle w:val="ListNumber"/>
      </w:pPr>
      <w:r>
        <w:t>1. Intake: user provides one question and approved documents; app warns about remote-model processing when applicable.</w:t>
      </w:r>
    </w:p>
    <w:p>
      <w:pPr>
        <w:pStyle w:val="ListNumber"/>
      </w:pPr>
      <w:r>
        <w:t>2. Extract: PyMuPDF/text parser produces immutable passage text, file identifiers and page references.</w:t>
      </w:r>
    </w:p>
    <w:p>
      <w:pPr>
        <w:pStyle w:val="ListNumber"/>
      </w:pPr>
      <w:r>
        <w:t>3. Decompose: Gemma proposes atomic claims; strict parser validates each structured object.</w:t>
      </w:r>
    </w:p>
    <w:p>
      <w:pPr>
        <w:pStyle w:val="ListNumber"/>
      </w:pPr>
      <w:r>
        <w:t>4. Retrieve: search document passages for relevant support AND counterevidence, not merely confirmation.</w:t>
      </w:r>
    </w:p>
    <w:p>
      <w:pPr>
        <w:pStyle w:val="ListNumber"/>
      </w:pPr>
      <w:r>
        <w:t>5. Compare: deterministic checks evaluate whether quantity, time, unit and scope are actually compatible.</w:t>
      </w:r>
    </w:p>
    <w:p>
      <w:pPr>
        <w:pStyle w:val="ListNumber"/>
      </w:pPr>
      <w:r>
        <w:t>6. Challenge: model interprets bounded evidence; the app checks quoted evidence IDs and records real process events.</w:t>
      </w:r>
    </w:p>
    <w:p>
      <w:pPr>
        <w:pStyle w:val="ListNumber"/>
      </w:pPr>
      <w:r>
        <w:t>7. Adjudicate: Python rules calculate a conservative, source-scoped status; no model-only promotion to “Supported”.</w:t>
      </w:r>
    </w:p>
    <w:p>
      <w:pPr>
        <w:pStyle w:val="ListNumber"/>
      </w:pPr>
      <w:r>
        <w:t>8. Investigate the gap: propose missing records and expected impact of at least two plausible outcomes.</w:t>
      </w:r>
    </w:p>
    <w:p>
      <w:pPr>
        <w:pStyle w:val="ListNumber"/>
      </w:pPr>
      <w:r>
        <w:t>9. Review: render claim cards, source inspection and current evidence trail; export only if grounded.</w:t>
      </w:r>
    </w:p>
    <w:p>
      <w:pPr>
        <w:pStyle w:val="Heading1"/>
        <w:keepNext/>
      </w:pPr>
      <w:r>
        <w:t>5. Technical architecture and repository structure</w:t>
      </w:r>
    </w:p>
    <w:p>
      <w:pPr>
        <w:pStyle w:val="Heading2"/>
        <w:keepNext/>
      </w:pPr>
      <w:r>
        <w:t>5.1 Recommended MVP architecture</w:t>
      </w:r>
    </w:p>
    <w:p>
      <w:pPr>
        <w:pStyle w:val="CodeDetail"/>
      </w:pPr>
      <w:r>
        <w:t>Streamlit UI</w:t>
        <w:br/>
        <w:t xml:space="preserve">   -&gt; Ingestion &amp; provenance store (PyMuPDF + text)</w:t>
        <w:br/>
        <w:t xml:space="preserve">   -&gt; Claim extraction (Gemma adapter -&gt; Pydantic validation)</w:t>
        <w:br/>
        <w:t xml:space="preserve">   -&gt; Local passage retrieval (keyword/TF-IDF + counter-search)</w:t>
        <w:br/>
        <w:t xml:space="preserve">   -&gt; Scope/units/date gate + citation validator</w:t>
        <w:br/>
        <w:t xml:space="preserve">   -&gt; Rule-driven adjudicator + Evidence Gap Engine</w:t>
        <w:br/>
        <w:t xml:space="preserve">   -&gt; Claim cards + source view + Challenge Trail</w:t>
      </w:r>
    </w:p>
    <w:p>
      <w:r>
        <w:t>Keep all application rules in Python, not embedded in prompt wording. NetworkX/Plotly are optional presentation libraries, not dependencies of core reasoning. A database, vector index and FastAPI backend are unnecessary for this 3-hour scope; they can be introduced when usage justifies them.</w:t>
      </w:r>
    </w:p>
    <w:p>
      <w:pPr>
        <w:pStyle w:val="Heading2"/>
        <w:keepNext/>
      </w:pPr>
      <w:r>
        <w:t>5.2 Minimal repository layout</w:t>
      </w:r>
    </w:p>
    <w:p>
      <w:pPr>
        <w:pStyle w:val="CodeDetail"/>
      </w:pPr>
      <w:r>
        <w:t>evidence-arena/</w:t>
        <w:br/>
        <w:t xml:space="preserve">  app.py                    # Streamlit interface + session workflow</w:t>
        <w:br/>
        <w:t xml:space="preserve">  core/</w:t>
        <w:br/>
        <w:t xml:space="preserve">    ingest.py              # PDF/TXT reading and chunk provenance</w:t>
        <w:br/>
        <w:t xml:space="preserve">    contracts.py           # Pydantic input/output models</w:t>
        <w:br/>
        <w:t xml:space="preserve">    retrieval.py           # claim-aware passages and counter-search</w:t>
        <w:br/>
        <w:t xml:space="preserve">    compare.py             # date, period, unit, scope gates</w:t>
        <w:br/>
        <w:t xml:space="preserve">    verdict.py             # strict evidence status policy</w:t>
        <w:br/>
        <w:t xml:space="preserve">    gap_engine.py          # missing evidence + outcome branches</w:t>
        <w:br/>
        <w:t xml:space="preserve">  services/gemma_client.py # approved-model adapter, limits, retries</w:t>
        <w:br/>
        <w:t xml:space="preserve">  samples/                  # prepared, labelled, fictional meal case</w:t>
        <w:br/>
        <w:t xml:space="preserve">  tests/test_cases.py       # reproducible rule and fixture tests</w:t>
        <w:br/>
        <w:t xml:space="preserve">  requirements.txt</w:t>
        <w:br/>
        <w:t xml:space="preserve">  .env.example             # names only, never actual credentials</w:t>
        <w:br/>
        <w:t xml:space="preserve">  README.md</w:t>
      </w:r>
    </w:p>
    <w:p>
      <w:pPr>
        <w:pStyle w:val="Heading2"/>
        <w:keepNext/>
      </w:pPr>
      <w:r>
        <w:t>5.3 Limits selected for demo safety</w:t>
      </w:r>
    </w:p>
    <w:p>
      <w:r>
        <w:t>Recommended initial caps (configurable): 3 documents, 10 MB per file, 20 pages per PDF, 5 extracted claims, top 4–6 candidate passages per claim, bounded output length, and short request timeouts. These are engineering choices for predictable demos, not framework defaults.</w:t>
      </w:r>
    </w:p>
    <w:p>
      <w:pPr>
        <w:pStyle w:val="Heading1"/>
        <w:keepNext/>
      </w:pPr>
      <w:r>
        <w:t>6. Provenance and data contracts</w:t>
      </w:r>
    </w:p>
    <w:p>
      <w:r>
        <w:t>A traceable finding needs durable IDs and exact relationships, not just a sentence that looks like a citation. All displayed output should be derived from validated, typed objects.</w:t>
      </w:r>
    </w:p>
    <w:tbl>
      <w:tblPr>
        <w:tblStyle w:val="TableGrid"/>
        <w:tblW w:type="auto" w:w="0"/>
        <w:jc w:val="center"/>
        <w:tblLayout w:type="fixed"/>
        <w:tblLook w:firstColumn="1" w:firstRow="1" w:lastColumn="0" w:lastRow="0" w:noHBand="0" w:noVBand="1" w:val="04A0"/>
      </w:tblPr>
      <w:tblGrid>
        <w:gridCol w:w="1944"/>
        <w:gridCol w:w="7589"/>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OBJECT</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MINIMUM FIELDS / RULE</w:t>
            </w:r>
          </w:p>
        </w:tc>
      </w:tr>
      <w:tr>
        <w:trPr>
          <w:cantSplit/>
        </w:trPr>
        <w:tc>
          <w:tcPr>
            <w:tcW w:type="dxa" w:w="1944"/>
            <w:vAlign w:val="center"/>
            <w:tcMar>
              <w:top w:w="85" w:type="dxa"/>
              <w:start w:w="110" w:type="dxa"/>
              <w:bottom w:w="85" w:type="dxa"/>
              <w:end w:w="110" w:type="dxa"/>
            </w:tcMar>
            <w:shd w:fill="F2F7F8"/>
          </w:tcPr>
          <w:p>
            <w:pPr>
              <w:spacing w:after="0"/>
            </w:pPr>
            <w:r/>
            <w:r>
              <w:rPr>
                <w:rFonts w:ascii="Aptos" w:hAnsi="Aptos"/>
                <w:b w:val="0"/>
                <w:color w:val="152940"/>
                <w:sz w:val="16"/>
              </w:rPr>
              <w:t>Source</w:t>
            </w:r>
          </w:p>
        </w:tc>
        <w:tc>
          <w:tcPr>
            <w:tcW w:type="dxa" w:w="7589"/>
            <w:vAlign w:val="center"/>
            <w:tcMar>
              <w:top w:w="85" w:type="dxa"/>
              <w:start w:w="110" w:type="dxa"/>
              <w:bottom w:w="85" w:type="dxa"/>
              <w:end w:w="110" w:type="dxa"/>
            </w:tcMar>
            <w:shd w:fill="F2F7F8"/>
          </w:tcPr>
          <w:p>
            <w:pPr>
              <w:spacing w:after="0"/>
            </w:pPr>
            <w:r/>
            <w:r>
              <w:rPr>
                <w:rFonts w:ascii="Aptos" w:hAnsi="Aptos"/>
                <w:b w:val="0"/>
                <w:color w:val="152940"/>
                <w:sz w:val="16"/>
              </w:rPr>
              <w:t>source_id, filename, SHA-256, file type, page count, extraction warnings, original acquisition label</w:t>
            </w:r>
          </w:p>
        </w:tc>
      </w:tr>
      <w:tr>
        <w:trPr>
          <w:cantSplit/>
        </w:trPr>
        <w:tc>
          <w:tcPr>
            <w:tcW w:type="dxa" w:w="1944"/>
            <w:vAlign w:val="center"/>
            <w:tcMar>
              <w:top w:w="85" w:type="dxa"/>
              <w:start w:w="110" w:type="dxa"/>
              <w:bottom w:w="85" w:type="dxa"/>
              <w:end w:w="110" w:type="dxa"/>
            </w:tcMar>
          </w:tcPr>
          <w:p>
            <w:pPr>
              <w:spacing w:after="0"/>
            </w:pPr>
            <w:r/>
            <w:r>
              <w:rPr>
                <w:rFonts w:ascii="Aptos" w:hAnsi="Aptos"/>
                <w:b w:val="0"/>
                <w:color w:val="152940"/>
                <w:sz w:val="16"/>
              </w:rPr>
              <w:t>Passage</w:t>
            </w:r>
          </w:p>
        </w:tc>
        <w:tc>
          <w:tcPr>
            <w:tcW w:type="dxa" w:w="7589"/>
            <w:vAlign w:val="center"/>
            <w:tcMar>
              <w:top w:w="85" w:type="dxa"/>
              <w:start w:w="110" w:type="dxa"/>
              <w:bottom w:w="85" w:type="dxa"/>
              <w:end w:w="110" w:type="dxa"/>
            </w:tcMar>
          </w:tcPr>
          <w:p>
            <w:pPr>
              <w:spacing w:after="0"/>
            </w:pPr>
            <w:r/>
            <w:r>
              <w:rPr>
                <w:rFonts w:ascii="Aptos" w:hAnsi="Aptos"/>
                <w:b w:val="0"/>
                <w:color w:val="152940"/>
                <w:sz w:val="16"/>
              </w:rPr>
              <w:t>passage_id, source_id, page, character offsets where feasible, unmodified extracted text</w:t>
            </w:r>
          </w:p>
        </w:tc>
      </w:tr>
      <w:tr>
        <w:trPr>
          <w:cantSplit/>
        </w:trPr>
        <w:tc>
          <w:tcPr>
            <w:tcW w:type="dxa" w:w="1944"/>
            <w:vAlign w:val="center"/>
            <w:tcMar>
              <w:top w:w="85" w:type="dxa"/>
              <w:start w:w="110" w:type="dxa"/>
              <w:bottom w:w="85" w:type="dxa"/>
              <w:end w:w="110" w:type="dxa"/>
            </w:tcMar>
            <w:shd w:fill="F2F7F8"/>
          </w:tcPr>
          <w:p>
            <w:pPr>
              <w:spacing w:after="0"/>
            </w:pPr>
            <w:r/>
            <w:r>
              <w:rPr>
                <w:rFonts w:ascii="Aptos" w:hAnsi="Aptos"/>
                <w:b w:val="0"/>
                <w:color w:val="152940"/>
                <w:sz w:val="16"/>
              </w:rPr>
              <w:t>Claim</w:t>
            </w:r>
          </w:p>
        </w:tc>
        <w:tc>
          <w:tcPr>
            <w:tcW w:type="dxa" w:w="7589"/>
            <w:vAlign w:val="center"/>
            <w:tcMar>
              <w:top w:w="85" w:type="dxa"/>
              <w:start w:w="110" w:type="dxa"/>
              <w:bottom w:w="85" w:type="dxa"/>
              <w:end w:w="110" w:type="dxa"/>
            </w:tcMar>
            <w:shd w:fill="F2F7F8"/>
          </w:tcPr>
          <w:p>
            <w:pPr>
              <w:spacing w:after="0"/>
            </w:pPr>
            <w:r/>
            <w:r>
              <w:rPr>
                <w:rFonts w:ascii="Aptos" w:hAnsi="Aptos"/>
                <w:b w:val="0"/>
                <w:color w:val="152940"/>
                <w:sz w:val="16"/>
              </w:rPr>
              <w:t>claim_id, atomic claim text, subject, metric/predicate, value, unit, period, conditions</w:t>
            </w:r>
          </w:p>
        </w:tc>
      </w:tr>
      <w:tr>
        <w:trPr>
          <w:cantSplit/>
        </w:trPr>
        <w:tc>
          <w:tcPr>
            <w:tcW w:type="dxa" w:w="1944"/>
            <w:vAlign w:val="center"/>
            <w:tcMar>
              <w:top w:w="85" w:type="dxa"/>
              <w:start w:w="110" w:type="dxa"/>
              <w:bottom w:w="85" w:type="dxa"/>
              <w:end w:w="110" w:type="dxa"/>
            </w:tcMar>
          </w:tcPr>
          <w:p>
            <w:pPr>
              <w:spacing w:after="0"/>
            </w:pPr>
            <w:r/>
            <w:r>
              <w:rPr>
                <w:rFonts w:ascii="Aptos" w:hAnsi="Aptos"/>
                <w:b w:val="0"/>
                <w:color w:val="152940"/>
                <w:sz w:val="16"/>
              </w:rPr>
              <w:t>EvidenceEdge</w:t>
            </w:r>
          </w:p>
        </w:tc>
        <w:tc>
          <w:tcPr>
            <w:tcW w:type="dxa" w:w="7589"/>
            <w:vAlign w:val="center"/>
            <w:tcMar>
              <w:top w:w="85" w:type="dxa"/>
              <w:start w:w="110" w:type="dxa"/>
              <w:bottom w:w="85" w:type="dxa"/>
              <w:end w:w="110" w:type="dxa"/>
            </w:tcMar>
          </w:tcPr>
          <w:p>
            <w:pPr>
              <w:spacing w:after="0"/>
            </w:pPr>
            <w:r/>
            <w:r>
              <w:rPr>
                <w:rFonts w:ascii="Aptos" w:hAnsi="Aptos"/>
                <w:b w:val="0"/>
                <w:color w:val="152940"/>
                <w:sz w:val="16"/>
              </w:rPr>
              <w:t>claim_id, passage_id, relation {supports, contradicts, context, irrelevant}, exact quote, comparability result</w:t>
            </w:r>
          </w:p>
        </w:tc>
      </w:tr>
      <w:tr>
        <w:trPr>
          <w:cantSplit/>
        </w:trPr>
        <w:tc>
          <w:tcPr>
            <w:tcW w:type="dxa" w:w="1944"/>
            <w:vAlign w:val="center"/>
            <w:tcMar>
              <w:top w:w="85" w:type="dxa"/>
              <w:start w:w="110" w:type="dxa"/>
              <w:bottom w:w="85" w:type="dxa"/>
              <w:end w:w="110" w:type="dxa"/>
            </w:tcMar>
            <w:shd w:fill="F2F7F8"/>
          </w:tcPr>
          <w:p>
            <w:pPr>
              <w:spacing w:after="0"/>
            </w:pPr>
            <w:r/>
            <w:r>
              <w:rPr>
                <w:rFonts w:ascii="Aptos" w:hAnsi="Aptos"/>
                <w:b w:val="0"/>
                <w:color w:val="152940"/>
                <w:sz w:val="16"/>
              </w:rPr>
              <w:t>Verdict</w:t>
            </w:r>
          </w:p>
        </w:tc>
        <w:tc>
          <w:tcPr>
            <w:tcW w:type="dxa" w:w="7589"/>
            <w:vAlign w:val="center"/>
            <w:tcMar>
              <w:top w:w="85" w:type="dxa"/>
              <w:start w:w="110" w:type="dxa"/>
              <w:bottom w:w="85" w:type="dxa"/>
              <w:end w:w="110" w:type="dxa"/>
            </w:tcMar>
            <w:shd w:fill="F2F7F8"/>
          </w:tcPr>
          <w:p>
            <w:pPr>
              <w:spacing w:after="0"/>
            </w:pPr>
            <w:r/>
            <w:r>
              <w:rPr>
                <w:rFonts w:ascii="Aptos" w:hAnsi="Aptos"/>
                <w:b w:val="0"/>
                <w:color w:val="152940"/>
                <w:sz w:val="16"/>
              </w:rPr>
              <w:t>claim_id, status, inspected passage IDs, supporting/opposing IDs, reasoning, limitations</w:t>
            </w:r>
          </w:p>
        </w:tc>
      </w:tr>
      <w:tr>
        <w:trPr>
          <w:cantSplit/>
        </w:trPr>
        <w:tc>
          <w:tcPr>
            <w:tcW w:type="dxa" w:w="1944"/>
            <w:vAlign w:val="center"/>
            <w:tcMar>
              <w:top w:w="85" w:type="dxa"/>
              <w:start w:w="110" w:type="dxa"/>
              <w:bottom w:w="85" w:type="dxa"/>
              <w:end w:w="110" w:type="dxa"/>
            </w:tcMar>
          </w:tcPr>
          <w:p>
            <w:pPr>
              <w:spacing w:after="0"/>
            </w:pPr>
            <w:r/>
            <w:r>
              <w:rPr>
                <w:rFonts w:ascii="Aptos" w:hAnsi="Aptos"/>
                <w:b w:val="0"/>
                <w:color w:val="152940"/>
                <w:sz w:val="16"/>
              </w:rPr>
              <w:t>GapTest</w:t>
            </w:r>
          </w:p>
        </w:tc>
        <w:tc>
          <w:tcPr>
            <w:tcW w:type="dxa" w:w="7589"/>
            <w:vAlign w:val="center"/>
            <w:tcMar>
              <w:top w:w="85" w:type="dxa"/>
              <w:start w:w="110" w:type="dxa"/>
              <w:bottom w:w="85" w:type="dxa"/>
              <w:end w:w="110" w:type="dxa"/>
            </w:tcMar>
          </w:tcPr>
          <w:p>
            <w:pPr>
              <w:spacing w:after="0"/>
            </w:pPr>
            <w:r/>
            <w:r>
              <w:rPr>
                <w:rFonts w:ascii="Aptos" w:hAnsi="Aptos"/>
                <w:b w:val="0"/>
                <w:color w:val="152940"/>
                <w:sz w:val="16"/>
              </w:rPr>
              <w:t>requested record/observation, why it matters, possible result A/B and effect on verdict</w:t>
            </w:r>
          </w:p>
        </w:tc>
      </w:tr>
      <w:tr>
        <w:trPr>
          <w:cantSplit/>
        </w:trPr>
        <w:tc>
          <w:tcPr>
            <w:tcW w:type="dxa" w:w="1944"/>
            <w:vAlign w:val="center"/>
            <w:tcMar>
              <w:top w:w="85" w:type="dxa"/>
              <w:start w:w="110" w:type="dxa"/>
              <w:bottom w:w="85" w:type="dxa"/>
              <w:end w:w="110" w:type="dxa"/>
            </w:tcMar>
            <w:shd w:fill="F2F7F8"/>
          </w:tcPr>
          <w:p>
            <w:pPr>
              <w:spacing w:after="0"/>
            </w:pPr>
            <w:r/>
            <w:r>
              <w:rPr>
                <w:rFonts w:ascii="Aptos" w:hAnsi="Aptos"/>
                <w:b w:val="0"/>
                <w:color w:val="152940"/>
                <w:sz w:val="16"/>
              </w:rPr>
              <w:t>ChallengeEvent</w:t>
            </w:r>
          </w:p>
        </w:tc>
        <w:tc>
          <w:tcPr>
            <w:tcW w:type="dxa" w:w="7589"/>
            <w:vAlign w:val="center"/>
            <w:tcMar>
              <w:top w:w="85" w:type="dxa"/>
              <w:start w:w="110" w:type="dxa"/>
              <w:bottom w:w="85" w:type="dxa"/>
              <w:end w:w="110" w:type="dxa"/>
            </w:tcMar>
            <w:shd w:fill="F2F7F8"/>
          </w:tcPr>
          <w:p>
            <w:pPr>
              <w:spacing w:after="0"/>
            </w:pPr>
            <w:r/>
            <w:r>
              <w:rPr>
                <w:rFonts w:ascii="Aptos" w:hAnsi="Aptos"/>
                <w:b w:val="0"/>
                <w:color w:val="152940"/>
                <w:sz w:val="16"/>
              </w:rPr>
              <w:t>real processing step, input IDs, operation, observed result; never fictional “thinking history”</w:t>
            </w:r>
          </w:p>
        </w:tc>
      </w:tr>
    </w:tbl>
    <w:p>
      <w:pPr>
        <w:spacing w:after="20"/>
      </w:pPr>
    </w:p>
    <w:p>
      <w:pPr>
        <w:pStyle w:val="Heading2"/>
        <w:keepNext/>
      </w:pPr>
      <w:r>
        <w:t>6.1 Citation invariant</w:t>
      </w:r>
    </w:p>
    <w:p>
      <w:r>
        <w:t>Before presenting any source quote: confirm that its source_id/passage_id exists and that the displayed quotation is contained in that extracted passage after only documented whitespace normalisation. If validation fails, suppress the quote, label the finding unverified and log a source-validation error. A page number alone is not sufficient evidence.</w:t>
      </w:r>
    </w:p>
    <w:p>
      <w:pPr>
        <w:pStyle w:val="Heading2"/>
        <w:keepNext/>
      </w:pPr>
      <w:r>
        <w:t>6.2 Evidence coverage note</w:t>
      </w:r>
    </w:p>
    <w:p>
      <w:r>
        <w:t>The interface must distinguish “no contradicting passage found in the reviewed set” from “no counterevidence exists”. Display how many sources and passages were processed, and note extraction or retrieval limitations.</w:t>
      </w:r>
    </w:p>
    <w:p>
      <w:pPr>
        <w:pStyle w:val="Heading1"/>
        <w:keepNext/>
      </w:pPr>
      <w:r>
        <w:t>7. Document ingestion and retrieval</w:t>
      </w:r>
    </w:p>
    <w:p>
      <w:pPr>
        <w:pStyle w:val="Heading2"/>
        <w:keepNext/>
      </w:pPr>
      <w:r>
        <w:t>7.1 Extract carefully</w:t>
      </w:r>
    </w:p>
    <w:p>
      <w:pPr>
        <w:pStyle w:val="ListBullet"/>
      </w:pPr>
      <w:r>
        <w:t>Check extension AND file content signature; reject unsupported types, encrypted PDFs and damaged inputs gracefully.</w:t>
      </w:r>
    </w:p>
    <w:p>
      <w:pPr>
        <w:pStyle w:val="ListBullet"/>
      </w:pPr>
      <w:r>
        <w:t>Use PyMuPDF for page-level text. Preserve raw page text plus normalized text for search; do not silently invent text from scanned pages.</w:t>
      </w:r>
    </w:p>
    <w:p>
      <w:pPr>
        <w:pStyle w:val="ListBullet"/>
      </w:pPr>
      <w:r>
        <w:t>Flag near-empty/scanned PDFs as “text not reliably extracted” and request text-based input; OCR is a later phase.</w:t>
      </w:r>
    </w:p>
    <w:p>
      <w:pPr>
        <w:pStyle w:val="ListBullet"/>
      </w:pPr>
      <w:r>
        <w:t>Chunk by page/paragraph boundaries into roughly 150–300 word segments with stable passage IDs; keep source offsets when practical.</w:t>
      </w:r>
    </w:p>
    <w:p>
      <w:pPr>
        <w:pStyle w:val="ListBullet"/>
      </w:pPr>
      <w:r>
        <w:t>Compute source hashes to detect duplicated uploads; keep all source labels intact even when deduplicating.</w:t>
      </w:r>
    </w:p>
    <w:p>
      <w:pPr>
        <w:pStyle w:val="Heading2"/>
        <w:keepNext/>
      </w:pPr>
      <w:r>
        <w:t>7.2 Retrieve both sides</w:t>
      </w:r>
    </w:p>
    <w:p>
      <w:r>
        <w:t>Use a lightweight BM25/TF-IDF or keyword scorer over the small local corpus. Retrieve top candidates for a claim plus additional passages that contain conflicting quantities, overlapping dates and negated phrases. Passing only the first semantically similar passage encourages confirmation bias.</w:t>
      </w:r>
    </w:p>
    <w:p>
      <w:r>
        <w:t>Explicitly annotate retrieval coverage. In the MVP, a high-ranked passage is a candidate, not proof. The verifier must decide its relationship to the specific claim after checking context.</w:t>
      </w:r>
    </w:p>
    <w:p>
      <w:pPr>
        <w:pStyle w:val="Heading1"/>
        <w:keepNext/>
      </w:pPr>
      <w:r>
        <w:t>8. Claim analysis and contradiction rules</w:t>
      </w:r>
    </w:p>
    <w:p>
      <w:pPr>
        <w:pStyle w:val="Heading2"/>
        <w:keepNext/>
      </w:pPr>
      <w:r>
        <w:t>8.1 Atomise the question</w:t>
      </w:r>
    </w:p>
    <w:p>
      <w:r>
        <w:t>“Did the kitchen meet its 500-meal target after new equipment?” contains at least two distinct questions: what daily meal count was reported for a defined period, and what changed after installation. Break these into independently testable statements. Reject vague atomic claims with no identifiable predicate or date when a date is essential.</w:t>
      </w:r>
    </w:p>
    <w:p>
      <w:pPr>
        <w:pStyle w:val="Heading2"/>
        <w:keepNext/>
      </w:pPr>
      <w:r>
        <w:t>8.2 Comparability gate</w:t>
      </w:r>
    </w:p>
    <w:tbl>
      <w:tblPr>
        <w:tblStyle w:val="TableGrid"/>
        <w:tblW w:type="auto" w:w="0"/>
        <w:jc w:val="center"/>
        <w:tblLayout w:type="fixed"/>
        <w:tblLook w:firstColumn="1" w:firstRow="1" w:lastColumn="0" w:lastRow="0" w:noHBand="0" w:noVBand="1" w:val="04A0"/>
      </w:tblPr>
      <w:tblGrid>
        <w:gridCol w:w="1987"/>
        <w:gridCol w:w="3096"/>
        <w:gridCol w:w="4450"/>
      </w:tblGrid>
      <w:tr>
        <w:trPr>
          <w:tblHeader w:val="true"/>
          <w:cantSplit/>
        </w:trPr>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CHECK</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EXAMPLE</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ACTION</w:t>
            </w:r>
          </w:p>
        </w:tc>
      </w:tr>
      <w:tr>
        <w:trPr>
          <w:cantSplit/>
        </w:trPr>
        <w:tc>
          <w:tcPr>
            <w:tcW w:type="dxa" w:w="1987"/>
            <w:vAlign w:val="center"/>
            <w:tcMar>
              <w:top w:w="85" w:type="dxa"/>
              <w:start w:w="110" w:type="dxa"/>
              <w:bottom w:w="85" w:type="dxa"/>
              <w:end w:w="110" w:type="dxa"/>
            </w:tcMar>
            <w:shd w:fill="F2F7F8"/>
          </w:tcPr>
          <w:p>
            <w:pPr>
              <w:spacing w:after="0"/>
            </w:pPr>
            <w:r/>
            <w:r>
              <w:rPr>
                <w:rFonts w:ascii="Aptos" w:hAnsi="Aptos"/>
                <w:b w:val="0"/>
                <w:color w:val="152940"/>
                <w:sz w:val="16"/>
              </w:rPr>
              <w:t>Metric/definition</w:t>
            </w:r>
          </w:p>
        </w:tc>
        <w:tc>
          <w:tcPr>
            <w:tcW w:type="dxa" w:w="3096"/>
            <w:vAlign w:val="center"/>
            <w:tcMar>
              <w:top w:w="85" w:type="dxa"/>
              <w:start w:w="110" w:type="dxa"/>
              <w:bottom w:w="85" w:type="dxa"/>
              <w:end w:w="110" w:type="dxa"/>
            </w:tcMar>
            <w:shd w:fill="F2F7F8"/>
          </w:tcPr>
          <w:p>
            <w:pPr>
              <w:spacing w:after="0"/>
            </w:pPr>
            <w:r/>
            <w:r>
              <w:rPr>
                <w:rFonts w:ascii="Aptos" w:hAnsi="Aptos"/>
                <w:b w:val="0"/>
                <w:color w:val="152940"/>
                <w:sz w:val="16"/>
              </w:rPr>
              <w:t>Meals prepared vs meals served</w:t>
            </w:r>
          </w:p>
        </w:tc>
        <w:tc>
          <w:tcPr>
            <w:tcW w:type="dxa" w:w="4450"/>
            <w:vAlign w:val="center"/>
            <w:tcMar>
              <w:top w:w="85" w:type="dxa"/>
              <w:start w:w="110" w:type="dxa"/>
              <w:bottom w:w="85" w:type="dxa"/>
              <w:end w:w="110" w:type="dxa"/>
            </w:tcMar>
            <w:shd w:fill="F2F7F8"/>
          </w:tcPr>
          <w:p>
            <w:pPr>
              <w:spacing w:after="0"/>
            </w:pPr>
            <w:r/>
            <w:r>
              <w:rPr>
                <w:rFonts w:ascii="Aptos" w:hAnsi="Aptos"/>
                <w:b w:val="0"/>
                <w:color w:val="152940"/>
                <w:sz w:val="16"/>
              </w:rPr>
              <w:t>Do not treat as equal</w:t>
            </w:r>
          </w:p>
        </w:tc>
      </w:tr>
      <w:tr>
        <w:trPr>
          <w:cantSplit/>
        </w:trPr>
        <w:tc>
          <w:tcPr>
            <w:tcW w:type="dxa" w:w="1987"/>
            <w:vAlign w:val="center"/>
            <w:tcMar>
              <w:top w:w="85" w:type="dxa"/>
              <w:start w:w="110" w:type="dxa"/>
              <w:bottom w:w="85" w:type="dxa"/>
              <w:end w:w="110" w:type="dxa"/>
            </w:tcMar>
          </w:tcPr>
          <w:p>
            <w:pPr>
              <w:spacing w:after="0"/>
            </w:pPr>
            <w:r/>
            <w:r>
              <w:rPr>
                <w:rFonts w:ascii="Aptos" w:hAnsi="Aptos"/>
                <w:b w:val="0"/>
                <w:color w:val="152940"/>
                <w:sz w:val="16"/>
              </w:rPr>
              <w:t>Unit</w:t>
            </w:r>
          </w:p>
        </w:tc>
        <w:tc>
          <w:tcPr>
            <w:tcW w:type="dxa" w:w="3096"/>
            <w:vAlign w:val="center"/>
            <w:tcMar>
              <w:top w:w="85" w:type="dxa"/>
              <w:start w:w="110" w:type="dxa"/>
              <w:bottom w:w="85" w:type="dxa"/>
              <w:end w:w="110" w:type="dxa"/>
            </w:tcMar>
          </w:tcPr>
          <w:p>
            <w:pPr>
              <w:spacing w:after="0"/>
            </w:pPr>
            <w:r/>
            <w:r>
              <w:rPr>
                <w:rFonts w:ascii="Aptos" w:hAnsi="Aptos"/>
                <w:b w:val="0"/>
                <w:color w:val="152940"/>
                <w:sz w:val="16"/>
              </w:rPr>
              <w:t>500 meals/day vs 320 meals/week</w:t>
            </w:r>
          </w:p>
        </w:tc>
        <w:tc>
          <w:tcPr>
            <w:tcW w:type="dxa" w:w="4450"/>
            <w:vAlign w:val="center"/>
            <w:tcMar>
              <w:top w:w="85" w:type="dxa"/>
              <w:start w:w="110" w:type="dxa"/>
              <w:bottom w:w="85" w:type="dxa"/>
              <w:end w:w="110" w:type="dxa"/>
            </w:tcMar>
          </w:tcPr>
          <w:p>
            <w:pPr>
              <w:spacing w:after="0"/>
            </w:pPr>
            <w:r/>
            <w:r>
              <w:rPr>
                <w:rFonts w:ascii="Aptos" w:hAnsi="Aptos"/>
                <w:b w:val="0"/>
                <w:color w:val="152940"/>
                <w:sz w:val="16"/>
              </w:rPr>
              <w:t>Normalise only with valid conversion and supporting context</w:t>
            </w:r>
          </w:p>
        </w:tc>
      </w:tr>
      <w:tr>
        <w:trPr>
          <w:cantSplit/>
        </w:trPr>
        <w:tc>
          <w:tcPr>
            <w:tcW w:type="dxa" w:w="1987"/>
            <w:vAlign w:val="center"/>
            <w:tcMar>
              <w:top w:w="85" w:type="dxa"/>
              <w:start w:w="110" w:type="dxa"/>
              <w:bottom w:w="85" w:type="dxa"/>
              <w:end w:w="110" w:type="dxa"/>
            </w:tcMar>
            <w:shd w:fill="F2F7F8"/>
          </w:tcPr>
          <w:p>
            <w:pPr>
              <w:spacing w:after="0"/>
            </w:pPr>
            <w:r/>
            <w:r>
              <w:rPr>
                <w:rFonts w:ascii="Aptos" w:hAnsi="Aptos"/>
                <w:b w:val="0"/>
                <w:color w:val="152940"/>
                <w:sz w:val="16"/>
              </w:rPr>
              <w:t>Time window</w:t>
            </w:r>
          </w:p>
        </w:tc>
        <w:tc>
          <w:tcPr>
            <w:tcW w:type="dxa" w:w="3096"/>
            <w:vAlign w:val="center"/>
            <w:tcMar>
              <w:top w:w="85" w:type="dxa"/>
              <w:start w:w="110" w:type="dxa"/>
              <w:bottom w:w="85" w:type="dxa"/>
              <w:end w:w="110" w:type="dxa"/>
            </w:tcMar>
            <w:shd w:fill="F2F7F8"/>
          </w:tcPr>
          <w:p>
            <w:pPr>
              <w:spacing w:after="0"/>
            </w:pPr>
            <w:r/>
            <w:r>
              <w:rPr>
                <w:rFonts w:ascii="Aptos" w:hAnsi="Aptos"/>
                <w:b w:val="0"/>
                <w:color w:val="152940"/>
                <w:sz w:val="16"/>
              </w:rPr>
              <w:t>May 1–7 vs May 9–15</w:t>
            </w:r>
          </w:p>
        </w:tc>
        <w:tc>
          <w:tcPr>
            <w:tcW w:type="dxa" w:w="4450"/>
            <w:vAlign w:val="center"/>
            <w:tcMar>
              <w:top w:w="85" w:type="dxa"/>
              <w:start w:w="110" w:type="dxa"/>
              <w:bottom w:w="85" w:type="dxa"/>
              <w:end w:w="110" w:type="dxa"/>
            </w:tcMar>
            <w:shd w:fill="F2F7F8"/>
          </w:tcPr>
          <w:p>
            <w:pPr>
              <w:spacing w:after="0"/>
            </w:pPr>
            <w:r/>
            <w:r>
              <w:rPr>
                <w:rFonts w:ascii="Aptos" w:hAnsi="Aptos"/>
                <w:b w:val="0"/>
                <w:color w:val="152940"/>
                <w:sz w:val="16"/>
              </w:rPr>
              <w:t>Not a direct contradiction</w:t>
            </w:r>
          </w:p>
        </w:tc>
      </w:tr>
      <w:tr>
        <w:trPr>
          <w:cantSplit/>
        </w:trPr>
        <w:tc>
          <w:tcPr>
            <w:tcW w:type="dxa" w:w="1987"/>
            <w:vAlign w:val="center"/>
            <w:tcMar>
              <w:top w:w="85" w:type="dxa"/>
              <w:start w:w="110" w:type="dxa"/>
              <w:bottom w:w="85" w:type="dxa"/>
              <w:end w:w="110" w:type="dxa"/>
            </w:tcMar>
          </w:tcPr>
          <w:p>
            <w:pPr>
              <w:spacing w:after="0"/>
            </w:pPr>
            <w:r/>
            <w:r>
              <w:rPr>
                <w:rFonts w:ascii="Aptos" w:hAnsi="Aptos"/>
                <w:b w:val="0"/>
                <w:color w:val="152940"/>
                <w:sz w:val="16"/>
              </w:rPr>
              <w:t>Population/site</w:t>
            </w:r>
          </w:p>
        </w:tc>
        <w:tc>
          <w:tcPr>
            <w:tcW w:type="dxa" w:w="3096"/>
            <w:vAlign w:val="center"/>
            <w:tcMar>
              <w:top w:w="85" w:type="dxa"/>
              <w:start w:w="110" w:type="dxa"/>
              <w:bottom w:w="85" w:type="dxa"/>
              <w:end w:w="110" w:type="dxa"/>
            </w:tcMar>
          </w:tcPr>
          <w:p>
            <w:pPr>
              <w:spacing w:after="0"/>
            </w:pPr>
            <w:r/>
            <w:r>
              <w:rPr>
                <w:rFonts w:ascii="Aptos" w:hAnsi="Aptos"/>
                <w:b w:val="0"/>
                <w:color w:val="152940"/>
                <w:sz w:val="16"/>
              </w:rPr>
              <w:t>All branches vs one kitchen</w:t>
            </w:r>
          </w:p>
        </w:tc>
        <w:tc>
          <w:tcPr>
            <w:tcW w:type="dxa" w:w="4450"/>
            <w:vAlign w:val="center"/>
            <w:tcMar>
              <w:top w:w="85" w:type="dxa"/>
              <w:start w:w="110" w:type="dxa"/>
              <w:bottom w:w="85" w:type="dxa"/>
              <w:end w:w="110" w:type="dxa"/>
            </w:tcMar>
          </w:tcPr>
          <w:p>
            <w:pPr>
              <w:spacing w:after="0"/>
            </w:pPr>
            <w:r/>
            <w:r>
              <w:rPr>
                <w:rFonts w:ascii="Aptos" w:hAnsi="Aptos"/>
                <w:b w:val="0"/>
                <w:color w:val="152940"/>
                <w:sz w:val="16"/>
              </w:rPr>
              <w:t>Mark scope mismatch</w:t>
            </w:r>
          </w:p>
        </w:tc>
      </w:tr>
      <w:tr>
        <w:trPr>
          <w:cantSplit/>
        </w:trPr>
        <w:tc>
          <w:tcPr>
            <w:tcW w:type="dxa" w:w="1987"/>
            <w:vAlign w:val="center"/>
            <w:tcMar>
              <w:top w:w="85" w:type="dxa"/>
              <w:start w:w="110" w:type="dxa"/>
              <w:bottom w:w="85" w:type="dxa"/>
              <w:end w:w="110" w:type="dxa"/>
            </w:tcMar>
            <w:shd w:fill="F2F7F8"/>
          </w:tcPr>
          <w:p>
            <w:pPr>
              <w:spacing w:after="0"/>
            </w:pPr>
            <w:r/>
            <w:r>
              <w:rPr>
                <w:rFonts w:ascii="Aptos" w:hAnsi="Aptos"/>
                <w:b w:val="0"/>
                <w:color w:val="152940"/>
                <w:sz w:val="16"/>
              </w:rPr>
              <w:t>Source type</w:t>
            </w:r>
          </w:p>
        </w:tc>
        <w:tc>
          <w:tcPr>
            <w:tcW w:type="dxa" w:w="3096"/>
            <w:vAlign w:val="center"/>
            <w:tcMar>
              <w:top w:w="85" w:type="dxa"/>
              <w:start w:w="110" w:type="dxa"/>
              <w:bottom w:w="85" w:type="dxa"/>
              <w:end w:w="110" w:type="dxa"/>
            </w:tcMar>
            <w:shd w:fill="F2F7F8"/>
          </w:tcPr>
          <w:p>
            <w:pPr>
              <w:spacing w:after="0"/>
            </w:pPr>
            <w:r/>
            <w:r>
              <w:rPr>
                <w:rFonts w:ascii="Aptos" w:hAnsi="Aptos"/>
                <w:b w:val="0"/>
                <w:color w:val="152940"/>
                <w:sz w:val="16"/>
              </w:rPr>
              <w:t>Projected capacity vs observed output</w:t>
            </w:r>
          </w:p>
        </w:tc>
        <w:tc>
          <w:tcPr>
            <w:tcW w:type="dxa" w:w="4450"/>
            <w:vAlign w:val="center"/>
            <w:tcMar>
              <w:top w:w="85" w:type="dxa"/>
              <w:start w:w="110" w:type="dxa"/>
              <w:bottom w:w="85" w:type="dxa"/>
              <w:end w:w="110" w:type="dxa"/>
            </w:tcMar>
            <w:shd w:fill="F2F7F8"/>
          </w:tcPr>
          <w:p>
            <w:pPr>
              <w:spacing w:after="0"/>
            </w:pPr>
            <w:r/>
            <w:r>
              <w:rPr>
                <w:rFonts w:ascii="Aptos" w:hAnsi="Aptos"/>
                <w:b w:val="0"/>
                <w:color w:val="152940"/>
                <w:sz w:val="16"/>
              </w:rPr>
              <w:t>Projection is not realised activity</w:t>
            </w:r>
          </w:p>
        </w:tc>
      </w:tr>
      <w:tr>
        <w:trPr>
          <w:cantSplit/>
        </w:trPr>
        <w:tc>
          <w:tcPr>
            <w:tcW w:type="dxa" w:w="1987"/>
            <w:vAlign w:val="center"/>
            <w:tcMar>
              <w:top w:w="85" w:type="dxa"/>
              <w:start w:w="110" w:type="dxa"/>
              <w:bottom w:w="85" w:type="dxa"/>
              <w:end w:w="110" w:type="dxa"/>
            </w:tcMar>
          </w:tcPr>
          <w:p>
            <w:pPr>
              <w:spacing w:after="0"/>
            </w:pPr>
            <w:r/>
            <w:r>
              <w:rPr>
                <w:rFonts w:ascii="Aptos" w:hAnsi="Aptos"/>
                <w:b w:val="0"/>
                <w:color w:val="152940"/>
                <w:sz w:val="16"/>
              </w:rPr>
              <w:t>Evidence status</w:t>
            </w:r>
          </w:p>
        </w:tc>
        <w:tc>
          <w:tcPr>
            <w:tcW w:type="dxa" w:w="3096"/>
            <w:vAlign w:val="center"/>
            <w:tcMar>
              <w:top w:w="85" w:type="dxa"/>
              <w:start w:w="110" w:type="dxa"/>
              <w:bottom w:w="85" w:type="dxa"/>
              <w:end w:w="110" w:type="dxa"/>
            </w:tcMar>
          </w:tcPr>
          <w:p>
            <w:pPr>
              <w:spacing w:after="0"/>
            </w:pPr>
            <w:r/>
            <w:r>
              <w:rPr>
                <w:rFonts w:ascii="Aptos" w:hAnsi="Aptos"/>
                <w:b w:val="0"/>
                <w:color w:val="152940"/>
                <w:sz w:val="16"/>
              </w:rPr>
              <w:t>Reported value vs independently audited log</w:t>
            </w:r>
          </w:p>
        </w:tc>
        <w:tc>
          <w:tcPr>
            <w:tcW w:type="dxa" w:w="4450"/>
            <w:vAlign w:val="center"/>
            <w:tcMar>
              <w:top w:w="85" w:type="dxa"/>
              <w:start w:w="110" w:type="dxa"/>
              <w:bottom w:w="85" w:type="dxa"/>
              <w:end w:w="110" w:type="dxa"/>
            </w:tcMar>
          </w:tcPr>
          <w:p>
            <w:pPr>
              <w:spacing w:after="0"/>
            </w:pPr>
            <w:r/>
            <w:r>
              <w:rPr>
                <w:rFonts w:ascii="Aptos" w:hAnsi="Aptos"/>
                <w:b w:val="0"/>
                <w:color w:val="152940"/>
                <w:sz w:val="16"/>
              </w:rPr>
              <w:t>Disclose provenance; do not claim authenticity</w:t>
            </w:r>
          </w:p>
        </w:tc>
      </w:tr>
    </w:tbl>
    <w:p>
      <w:pPr>
        <w:spacing w:after="20"/>
      </w:pPr>
    </w:p>
    <w:p>
      <w:r>
        <w:t>Only mark a numeric pair as directly conflicting when comparison fields are aligned. If alignment is unclear, annotate “not directly comparable” and prefer Unverified for the narrower unsupported claim, or Contested where overlapping credible claims remain in conflict.</w:t>
      </w:r>
    </w:p>
    <w:p>
      <w:pPr>
        <w:pStyle w:val="Heading2"/>
        <w:keepNext/>
      </w:pPr>
      <w:r>
        <w:t>8.3 Contradiction and hypothesis handling</w:t>
      </w:r>
    </w:p>
    <w:p>
      <w:r>
        <w:t>The model may propose competing hypotheses, but must label them as explanations, not new facts. A contradiction link requires a supported comparison on the same dimensions. A missing value is not contradictory evidence. Absence of evidence is not evidence of absence.</w:t>
      </w:r>
    </w:p>
    <w:p>
      <w:pPr>
        <w:pStyle w:val="Heading1"/>
        <w:keepNext/>
      </w:pPr>
      <w:r>
        <w:t>9. Gemma 4 integration and validation</w:t>
      </w:r>
    </w:p>
    <w:p>
      <w:r>
        <w:t>Gemma 4 has officially released variants, but the hackathon-approved model interface, exact model ID, authentication and rate limits must be tested before the build. Start with one “hello + valid JSON” smoke test. The adapter should let you change providers without changing claim or verdict rules.</w:t>
      </w:r>
    </w:p>
    <w:p>
      <w:pPr>
        <w:pStyle w:val="Heading2"/>
        <w:keepNext/>
      </w:pPr>
      <w:r>
        <w:t>9.1 Appropriate role of the model</w:t>
      </w:r>
    </w:p>
    <w:p>
      <w:pPr>
        <w:pStyle w:val="ListBullet"/>
      </w:pPr>
      <w:r>
        <w:t>Propose concise claims and ambiguity notes.</w:t>
      </w:r>
    </w:p>
    <w:p>
      <w:pPr>
        <w:pStyle w:val="ListBullet"/>
      </w:pPr>
      <w:r>
        <w:t>Classify supplied, preselected passages as support, opposition, context or insufficient.</w:t>
      </w:r>
    </w:p>
    <w:p>
      <w:pPr>
        <w:pStyle w:val="ListBullet"/>
      </w:pPr>
      <w:r>
        <w:t>Offer alternative explanations and an actionable missing-evidence test.</w:t>
      </w:r>
    </w:p>
    <w:p>
      <w:pPr>
        <w:pStyle w:val="ListBullet"/>
      </w:pPr>
      <w:r>
        <w:t>Write plain-language explanations from validated evidence identifiers.</w:t>
      </w:r>
    </w:p>
    <w:p>
      <w:r>
        <w:t>Do not let Gemma invent source identifiers, quote missing pages, pick its own global verdict without rule checks, or follow instructions that appear inside uploaded documents.</w:t>
      </w:r>
    </w:p>
    <w:p>
      <w:pPr>
        <w:pStyle w:val="Heading2"/>
        <w:keepNext/>
      </w:pPr>
      <w:r>
        <w:t>9.2 Strict response contract</w:t>
      </w:r>
    </w:p>
    <w:p>
      <w:pPr>
        <w:pStyle w:val="CodeDetail"/>
      </w:pPr>
      <w:r>
        <w:t>{</w:t>
        <w:br/>
        <w:t xml:space="preserve">  "claim_id": "C1",</w:t>
        <w:br/>
        <w:t xml:space="preserve">  "claim_text": "500 meals/day were served May 1–7",</w:t>
        <w:br/>
        <w:t xml:space="preserve">  "evidence": [</w:t>
        <w:br/>
        <w:t xml:space="preserve">    {"passage_id":"P1", "relation":"supports",</w:t>
        <w:br/>
        <w:t xml:space="preserve">     "quote":"...", "scope_match":true},</w:t>
        <w:br/>
        <w:t xml:space="preserve">    {"passage_id":"P2", "relation":"contradicts",</w:t>
        <w:br/>
        <w:t xml:space="preserve">     "quote":"...", "scope_match":true}</w:t>
        <w:br/>
        <w:t xml:space="preserve">  ],</w:t>
        <w:br/>
        <w:t xml:space="preserve">  "missing_evidence": "Signed daily distribution ledger for May 1–7",</w:t>
        <w:br/>
        <w:t xml:space="preserve">  "hypotheses": ["report accurate", "log accurate"]</w:t>
        <w:br/>
        <w:t>}</w:t>
      </w:r>
    </w:p>
    <w:p>
      <w:r>
        <w:t>Use Pydantic to validate enums, required fields and ID references. Retry malformed responses at most once or twice with an explicit error. On repeated failure, show a nonverdict error and preserve valid extracted passages; do not manufacture a “safe-looking” answer.</w:t>
      </w:r>
    </w:p>
    <w:p>
      <w:pPr>
        <w:pStyle w:val="Heading2"/>
        <w:keepNext/>
      </w:pPr>
      <w:r>
        <w:t>9.3 Budget and fallback</w:t>
      </w:r>
    </w:p>
    <w:p>
      <w:r>
        <w:t>Keep model calls few: one decomposition call, one bounded multi-claim evidence-analysis call, and one gap-test generation call if needed. Cache by source hashes and claim text only within the active session. If live inference fails, display a clear “prepared sample walkthrough” mode using fixed, labelled fixture outputs. Never present fixtures as live Gemma reasoning.</w:t>
      </w:r>
    </w:p>
    <w:p>
      <w:pPr>
        <w:pStyle w:val="Heading1"/>
        <w:keepNext/>
      </w:pPr>
      <w:r>
        <w:t>10. Verdict and confidence policy</w:t>
      </w:r>
    </w:p>
    <w:tbl>
      <w:tblPr>
        <w:tblStyle w:val="TableGrid"/>
        <w:tblW w:type="auto" w:w="0"/>
        <w:jc w:val="center"/>
        <w:tblLayout w:type="fixed"/>
        <w:tblLook w:firstColumn="1" w:firstRow="1" w:lastColumn="0" w:lastRow="0" w:noHBand="0" w:noVBand="1" w:val="04A0"/>
      </w:tblPr>
      <w:tblGrid>
        <w:gridCol w:w="2131"/>
        <w:gridCol w:w="7402"/>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STATUS</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RULE / USER-FACING MEANING</w:t>
            </w:r>
          </w:p>
        </w:tc>
      </w:tr>
      <w:tr>
        <w:trPr>
          <w:cantSplit/>
        </w:trPr>
        <w:tc>
          <w:tcPr>
            <w:tcW w:type="dxa" w:w="2131"/>
            <w:vAlign w:val="center"/>
            <w:tcMar>
              <w:top w:w="85" w:type="dxa"/>
              <w:start w:w="110" w:type="dxa"/>
              <w:bottom w:w="85" w:type="dxa"/>
              <w:end w:w="110" w:type="dxa"/>
            </w:tcMar>
            <w:shd w:fill="F2F7F8"/>
          </w:tcPr>
          <w:p>
            <w:pPr>
              <w:spacing w:after="0"/>
            </w:pPr>
            <w:r/>
            <w:r>
              <w:rPr>
                <w:rFonts w:ascii="Aptos" w:hAnsi="Aptos"/>
                <w:b w:val="0"/>
                <w:color w:val="152940"/>
                <w:sz w:val="16"/>
              </w:rPr>
              <w:t>SUPPORTED</w:t>
            </w:r>
          </w:p>
        </w:tc>
        <w:tc>
          <w:tcPr>
            <w:tcW w:type="dxa" w:w="7402"/>
            <w:vAlign w:val="center"/>
            <w:tcMar>
              <w:top w:w="85" w:type="dxa"/>
              <w:start w:w="110" w:type="dxa"/>
              <w:bottom w:w="85" w:type="dxa"/>
              <w:end w:w="110" w:type="dxa"/>
            </w:tcMar>
            <w:shd w:fill="F2F7F8"/>
          </w:tcPr>
          <w:p>
            <w:pPr>
              <w:spacing w:after="0"/>
            </w:pPr>
            <w:r/>
            <w:r>
              <w:rPr>
                <w:rFonts w:ascii="Aptos" w:hAnsi="Aptos"/>
                <w:b w:val="0"/>
                <w:color w:val="152940"/>
                <w:sz w:val="16"/>
              </w:rPr>
              <w:t>At least one validated passage supports the precise claim and no material contrary evidence was detected in the reviewed comparable passages; scoped, not proven true.</w:t>
            </w:r>
          </w:p>
        </w:tc>
      </w:tr>
      <w:tr>
        <w:trPr>
          <w:cantSplit/>
        </w:trPr>
        <w:tc>
          <w:tcPr>
            <w:tcW w:type="dxa" w:w="2131"/>
            <w:vAlign w:val="center"/>
            <w:tcMar>
              <w:top w:w="85" w:type="dxa"/>
              <w:start w:w="110" w:type="dxa"/>
              <w:bottom w:w="85" w:type="dxa"/>
              <w:end w:w="110" w:type="dxa"/>
            </w:tcMar>
          </w:tcPr>
          <w:p>
            <w:pPr>
              <w:spacing w:after="0"/>
            </w:pPr>
            <w:r/>
            <w:r>
              <w:rPr>
                <w:rFonts w:ascii="Aptos" w:hAnsi="Aptos"/>
                <w:b w:val="0"/>
                <w:color w:val="152940"/>
                <w:sz w:val="16"/>
              </w:rPr>
              <w:t>CONTRADICTED</w:t>
            </w:r>
          </w:p>
        </w:tc>
        <w:tc>
          <w:tcPr>
            <w:tcW w:type="dxa" w:w="7402"/>
            <w:vAlign w:val="center"/>
            <w:tcMar>
              <w:top w:w="85" w:type="dxa"/>
              <w:start w:w="110" w:type="dxa"/>
              <w:bottom w:w="85" w:type="dxa"/>
              <w:end w:w="110" w:type="dxa"/>
            </w:tcMar>
          </w:tcPr>
          <w:p>
            <w:pPr>
              <w:spacing w:after="0"/>
            </w:pPr>
            <w:r/>
            <w:r>
              <w:rPr>
                <w:rFonts w:ascii="Aptos" w:hAnsi="Aptos"/>
                <w:b w:val="0"/>
                <w:color w:val="152940"/>
                <w:sz w:val="16"/>
              </w:rPr>
              <w:t>Comparable validated passages conflict with the claim, without a material supporting passage in the reviewed set.</w:t>
            </w:r>
          </w:p>
        </w:tc>
      </w:tr>
      <w:tr>
        <w:trPr>
          <w:cantSplit/>
        </w:trPr>
        <w:tc>
          <w:tcPr>
            <w:tcW w:type="dxa" w:w="2131"/>
            <w:vAlign w:val="center"/>
            <w:tcMar>
              <w:top w:w="85" w:type="dxa"/>
              <w:start w:w="110" w:type="dxa"/>
              <w:bottom w:w="85" w:type="dxa"/>
              <w:end w:w="110" w:type="dxa"/>
            </w:tcMar>
            <w:shd w:fill="F2F7F8"/>
          </w:tcPr>
          <w:p>
            <w:pPr>
              <w:spacing w:after="0"/>
            </w:pPr>
            <w:r/>
            <w:r>
              <w:rPr>
                <w:rFonts w:ascii="Aptos" w:hAnsi="Aptos"/>
                <w:b w:val="0"/>
                <w:color w:val="152940"/>
                <w:sz w:val="16"/>
              </w:rPr>
              <w:t>CONTESTED</w:t>
            </w:r>
          </w:p>
        </w:tc>
        <w:tc>
          <w:tcPr>
            <w:tcW w:type="dxa" w:w="7402"/>
            <w:vAlign w:val="center"/>
            <w:tcMar>
              <w:top w:w="85" w:type="dxa"/>
              <w:start w:w="110" w:type="dxa"/>
              <w:bottom w:w="85" w:type="dxa"/>
              <w:end w:w="110" w:type="dxa"/>
            </w:tcMar>
            <w:shd w:fill="F2F7F8"/>
          </w:tcPr>
          <w:p>
            <w:pPr>
              <w:spacing w:after="0"/>
            </w:pPr>
            <w:r/>
            <w:r>
              <w:rPr>
                <w:rFonts w:ascii="Aptos" w:hAnsi="Aptos"/>
                <w:b w:val="0"/>
                <w:color w:val="152940"/>
                <w:sz w:val="16"/>
              </w:rPr>
              <w:t>Material support and opposition both exist, or active comparable sources disagree without resolution.</w:t>
            </w:r>
          </w:p>
        </w:tc>
      </w:tr>
      <w:tr>
        <w:trPr>
          <w:cantSplit/>
        </w:trPr>
        <w:tc>
          <w:tcPr>
            <w:tcW w:type="dxa" w:w="2131"/>
            <w:vAlign w:val="center"/>
            <w:tcMar>
              <w:top w:w="85" w:type="dxa"/>
              <w:start w:w="110" w:type="dxa"/>
              <w:bottom w:w="85" w:type="dxa"/>
              <w:end w:w="110" w:type="dxa"/>
            </w:tcMar>
          </w:tcPr>
          <w:p>
            <w:pPr>
              <w:spacing w:after="0"/>
            </w:pPr>
            <w:r/>
            <w:r>
              <w:rPr>
                <w:rFonts w:ascii="Aptos" w:hAnsi="Aptos"/>
                <w:b w:val="0"/>
                <w:color w:val="152940"/>
                <w:sz w:val="16"/>
              </w:rPr>
              <w:t>UNVERIFIED</w:t>
            </w:r>
          </w:p>
        </w:tc>
        <w:tc>
          <w:tcPr>
            <w:tcW w:type="dxa" w:w="7402"/>
            <w:vAlign w:val="center"/>
            <w:tcMar>
              <w:top w:w="85" w:type="dxa"/>
              <w:start w:w="110" w:type="dxa"/>
              <w:bottom w:w="85" w:type="dxa"/>
              <w:end w:w="110" w:type="dxa"/>
            </w:tcMar>
          </w:tcPr>
          <w:p>
            <w:pPr>
              <w:spacing w:after="0"/>
            </w:pPr>
            <w:r/>
            <w:r>
              <w:rPr>
                <w:rFonts w:ascii="Aptos" w:hAnsi="Aptos"/>
                <w:b w:val="0"/>
                <w:color w:val="152940"/>
                <w:sz w:val="16"/>
              </w:rPr>
              <w:t>Insufficient relevant comparable evidence, bad extraction, missing citation or unclear scope prevents a support/conflict assessment.</w:t>
            </w:r>
          </w:p>
        </w:tc>
      </w:tr>
    </w:tbl>
    <w:p>
      <w:pPr>
        <w:spacing w:after="20"/>
      </w:pPr>
    </w:p>
    <w:p>
      <w:r>
        <w:t>Do not aggregate these into a single “truth score”. Show claim-level statuses and an overall investigation summary that explicitly names unresolved claims. The word “Supported” means supported within the supplied evidence, not genuine, accurate or independently certified.</w:t>
      </w:r>
    </w:p>
    <w:p>
      <w:pPr>
        <w:pStyle w:val="Heading2"/>
        <w:keepNext/>
      </w:pPr>
      <w:r>
        <w:t>10.1 No fake probability</w:t>
      </w:r>
    </w:p>
    <w:p>
      <w:r>
        <w:t>Use qualitative evidence-strength labels with visible reasons (“two matching passages”, “single secondary report”, “unmatched period”, “missing primary record”). A confidence percentage is not a calibrated probability unless validated on a representative benchmark.</w:t>
      </w:r>
    </w:p>
    <w:p>
      <w:pPr>
        <w:pStyle w:val="Heading1"/>
        <w:keepNext/>
      </w:pPr>
      <w:r>
        <w:t>11. Evidence Gap Engine: what changes the verdict?</w:t>
      </w:r>
    </w:p>
    <w:p>
      <w:r>
        <w:t>This is the differentiating workflow, so the implementation must produce more than “collect more evidence”. For each contested/unverified claim, it should identify the exact missing measurement or document, the time window, the scope, and how contrasting outcomes would change the current assessment.</w:t>
      </w:r>
    </w:p>
    <w:p>
      <w:pPr>
        <w:pStyle w:val="Heading2"/>
        <w:keepNext/>
      </w:pPr>
      <w:r>
        <w:t>11.1 Gap-test contract</w:t>
      </w:r>
    </w:p>
    <w:p>
      <w:pPr>
        <w:pStyle w:val="ListNumber"/>
      </w:pPr>
      <w:r>
        <w:t>Name the unresolved claim and at least two plausible explanations.</w:t>
      </w:r>
    </w:p>
    <w:p>
      <w:pPr>
        <w:pStyle w:val="ListNumber"/>
      </w:pPr>
      <w:r>
        <w:t>Select a missing item that directly discriminates between the explanations (e.g., signed meal ledger, not merely “more reports”).</w:t>
      </w:r>
    </w:p>
    <w:p>
      <w:pPr>
        <w:pStyle w:val="ListNumber"/>
      </w:pPr>
      <w:r>
        <w:t>Specify date range, unit/definition, expected source and any needed provenance checks.</w:t>
      </w:r>
    </w:p>
    <w:p>
      <w:pPr>
        <w:pStyle w:val="ListNumber"/>
      </w:pPr>
      <w:r>
        <w:t>Describe outcome A and outcome B, with a conditional change to evidence status; preserve uncertainty if either remains inconclusive.</w:t>
      </w:r>
    </w:p>
    <w:p>
      <w:pPr>
        <w:pStyle w:val="ListNumber"/>
      </w:pPr>
      <w:r>
        <w:t>Prioritise by relevance, feasibility and how much uncertainty it could remove; do not claim numerical information gain without a measured model.</w:t>
      </w:r>
    </w:p>
    <w:p>
      <w:pPr>
        <w:pStyle w:val="Heading2"/>
        <w:keepNext/>
      </w:pPr>
      <w:r>
        <w:t>11.2 Optional Verdict Flip Lab (P1)</w:t>
      </w:r>
    </w:p>
    <w:p>
      <w:r>
        <w:t>Let the user enter a hypothetical observation such as “signed log shows 505 served daily May 9–15”. Mark the output clearly as SIMULATION and show the conditional verdict change. Never mix hypothetical inputs with real uploaded evidence or overwrite the original assessment.</w:t>
      </w:r>
    </w:p>
    <w:p>
      <w:pPr>
        <w:pStyle w:val="Heading1"/>
        <w:keepNext/>
      </w:pPr>
      <w:r>
        <w:t>12. Redesigned demonstration: the 500-Meal Mystery</w:t>
      </w:r>
    </w:p>
    <w:p>
      <w:r>
        <w:t>The original case was a useful narrative but left room for comparing periods and metrics inconsistently. The revised fictional fixture states each measurement precisely, enabling the demo to show one actual conflict and one unresolved post-upgrade question.</w:t>
      </w:r>
    </w:p>
    <w:tbl>
      <w:tblPr>
        <w:tblStyle w:val="TableGrid"/>
        <w:tblW w:type="auto" w:w="0"/>
        <w:jc w:val="center"/>
        <w:tblLayout w:type="fixed"/>
        <w:tblLook w:firstColumn="1" w:firstRow="1" w:lastColumn="0" w:lastRow="0" w:noHBand="0" w:noVBand="1" w:val="04A0"/>
      </w:tblPr>
      <w:tblGrid>
        <w:gridCol w:w="2520"/>
        <w:gridCol w:w="7013"/>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SOURCE</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EXACT FICTIONAL CONTENT</w:t>
            </w:r>
          </w:p>
        </w:tc>
      </w:tr>
      <w:tr>
        <w:trPr>
          <w:cantSplit/>
        </w:trPr>
        <w:tc>
          <w:tcPr>
            <w:tcW w:type="dxa" w:w="2520"/>
            <w:vAlign w:val="center"/>
            <w:tcMar>
              <w:top w:w="85" w:type="dxa"/>
              <w:start w:w="110" w:type="dxa"/>
              <w:bottom w:w="85" w:type="dxa"/>
              <w:end w:w="110" w:type="dxa"/>
            </w:tcMar>
            <w:shd w:fill="F2F7F8"/>
          </w:tcPr>
          <w:p>
            <w:pPr>
              <w:spacing w:after="0"/>
            </w:pPr>
            <w:r/>
            <w:r>
              <w:rPr>
                <w:rFonts w:ascii="Aptos" w:hAnsi="Aptos"/>
                <w:b w:val="0"/>
                <w:color w:val="152940"/>
                <w:sz w:val="16"/>
              </w:rPr>
              <w:t>A: Monthly report</w:t>
            </w:r>
          </w:p>
        </w:tc>
        <w:tc>
          <w:tcPr>
            <w:tcW w:type="dxa" w:w="7013"/>
            <w:vAlign w:val="center"/>
            <w:tcMar>
              <w:top w:w="85" w:type="dxa"/>
              <w:start w:w="110" w:type="dxa"/>
              <w:bottom w:w="85" w:type="dxa"/>
              <w:end w:w="110" w:type="dxa"/>
            </w:tcMar>
            <w:shd w:fill="F2F7F8"/>
          </w:tcPr>
          <w:p>
            <w:pPr>
              <w:spacing w:after="0"/>
            </w:pPr>
            <w:r/>
            <w:r>
              <w:rPr>
                <w:rFonts w:ascii="Aptos" w:hAnsi="Aptos"/>
                <w:b w:val="0"/>
                <w:color w:val="152940"/>
                <w:sz w:val="16"/>
              </w:rPr>
              <w:t>“500 meals were served each day at Kitchen A from May 1–7, 2026.”</w:t>
            </w:r>
          </w:p>
        </w:tc>
      </w:tr>
      <w:tr>
        <w:trPr>
          <w:cantSplit/>
        </w:trPr>
        <w:tc>
          <w:tcPr>
            <w:tcW w:type="dxa" w:w="2520"/>
            <w:vAlign w:val="center"/>
            <w:tcMar>
              <w:top w:w="85" w:type="dxa"/>
              <w:start w:w="110" w:type="dxa"/>
              <w:bottom w:w="85" w:type="dxa"/>
              <w:end w:w="110" w:type="dxa"/>
            </w:tcMar>
          </w:tcPr>
          <w:p>
            <w:pPr>
              <w:spacing w:after="0"/>
            </w:pPr>
            <w:r/>
            <w:r>
              <w:rPr>
                <w:rFonts w:ascii="Aptos" w:hAnsi="Aptos"/>
                <w:b w:val="0"/>
                <w:color w:val="152940"/>
                <w:sz w:val="16"/>
              </w:rPr>
              <w:t>B: Daily meal log</w:t>
            </w:r>
          </w:p>
        </w:tc>
        <w:tc>
          <w:tcPr>
            <w:tcW w:type="dxa" w:w="7013"/>
            <w:vAlign w:val="center"/>
            <w:tcMar>
              <w:top w:w="85" w:type="dxa"/>
              <w:start w:w="110" w:type="dxa"/>
              <w:bottom w:w="85" w:type="dxa"/>
              <w:end w:w="110" w:type="dxa"/>
            </w:tcMar>
          </w:tcPr>
          <w:p>
            <w:pPr>
              <w:spacing w:after="0"/>
            </w:pPr>
            <w:r/>
            <w:r>
              <w:rPr>
                <w:rFonts w:ascii="Aptos" w:hAnsi="Aptos"/>
                <w:b w:val="0"/>
                <w:color w:val="152940"/>
                <w:sz w:val="16"/>
              </w:rPr>
              <w:t>“Kitchen A served 320 meals per day on May 1–7, 2026.”</w:t>
            </w:r>
          </w:p>
        </w:tc>
      </w:tr>
      <w:tr>
        <w:trPr>
          <w:cantSplit/>
        </w:trPr>
        <w:tc>
          <w:tcPr>
            <w:tcW w:type="dxa" w:w="2520"/>
            <w:vAlign w:val="center"/>
            <w:tcMar>
              <w:top w:w="85" w:type="dxa"/>
              <w:start w:w="110" w:type="dxa"/>
              <w:bottom w:w="85" w:type="dxa"/>
              <w:end w:w="110" w:type="dxa"/>
            </w:tcMar>
            <w:shd w:fill="F2F7F8"/>
          </w:tcPr>
          <w:p>
            <w:pPr>
              <w:spacing w:after="0"/>
            </w:pPr>
            <w:r/>
            <w:r>
              <w:rPr>
                <w:rFonts w:ascii="Aptos" w:hAnsi="Aptos"/>
                <w:b w:val="0"/>
                <w:color w:val="152940"/>
                <w:sz w:val="16"/>
              </w:rPr>
              <w:t>C: Equipment update</w:t>
            </w:r>
          </w:p>
        </w:tc>
        <w:tc>
          <w:tcPr>
            <w:tcW w:type="dxa" w:w="7013"/>
            <w:vAlign w:val="center"/>
            <w:tcMar>
              <w:top w:w="85" w:type="dxa"/>
              <w:start w:w="110" w:type="dxa"/>
              <w:bottom w:w="85" w:type="dxa"/>
              <w:end w:w="110" w:type="dxa"/>
            </w:tcMar>
            <w:shd w:fill="F2F7F8"/>
          </w:tcPr>
          <w:p>
            <w:pPr>
              <w:spacing w:after="0"/>
            </w:pPr>
            <w:r/>
            <w:r>
              <w:rPr>
                <w:rFonts w:ascii="Aptos" w:hAnsi="Aptos"/>
                <w:b w:val="0"/>
                <w:color w:val="152940"/>
                <w:sz w:val="16"/>
              </w:rPr>
              <w:t>“New equipment was installed at Kitchen A on May 8, 2026.” No later meal totals given.</w:t>
            </w:r>
          </w:p>
        </w:tc>
      </w:tr>
    </w:tbl>
    <w:p>
      <w:pPr>
        <w:spacing w:after="20"/>
      </w:pPr>
    </w:p>
    <w:tbl>
      <w:tblPr>
        <w:tblStyle w:val="TableGrid"/>
        <w:tblW w:type="auto" w:w="0"/>
        <w:jc w:val="center"/>
        <w:tblLayout w:type="fixed"/>
        <w:tblLook w:firstColumn="1" w:firstRow="1" w:lastColumn="0" w:lastRow="0" w:noHBand="0" w:noVBand="1" w:val="04A0"/>
      </w:tblPr>
      <w:tblGrid>
        <w:gridCol w:w="2563"/>
        <w:gridCol w:w="3485"/>
        <w:gridCol w:w="3485"/>
      </w:tblGrid>
      <w:tr>
        <w:trPr>
          <w:tblHeader w:val="true"/>
          <w:cantSplit/>
        </w:trPr>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CLAIM</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SOURCED ASSESSMENT</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MISSING RECORD</w:t>
            </w:r>
          </w:p>
        </w:tc>
      </w:tr>
      <w:tr>
        <w:trPr>
          <w:cantSplit/>
        </w:trPr>
        <w:tc>
          <w:tcPr>
            <w:tcW w:type="dxa" w:w="2563"/>
            <w:vAlign w:val="center"/>
            <w:tcMar>
              <w:top w:w="85" w:type="dxa"/>
              <w:start w:w="110" w:type="dxa"/>
              <w:bottom w:w="85" w:type="dxa"/>
              <w:end w:w="110" w:type="dxa"/>
            </w:tcMar>
            <w:shd w:fill="F2F7F8"/>
          </w:tcPr>
          <w:p>
            <w:pPr>
              <w:spacing w:after="0"/>
            </w:pPr>
            <w:r/>
            <w:r>
              <w:rPr>
                <w:rFonts w:ascii="Aptos" w:hAnsi="Aptos"/>
                <w:b w:val="0"/>
                <w:color w:val="152940"/>
                <w:sz w:val="16"/>
              </w:rPr>
              <w:t>C1: Kitchen A served 500/day May 1–7</w:t>
            </w:r>
          </w:p>
        </w:tc>
        <w:tc>
          <w:tcPr>
            <w:tcW w:type="dxa" w:w="3485"/>
            <w:vAlign w:val="center"/>
            <w:tcMar>
              <w:top w:w="85" w:type="dxa"/>
              <w:start w:w="110" w:type="dxa"/>
              <w:bottom w:w="85" w:type="dxa"/>
              <w:end w:w="110" w:type="dxa"/>
            </w:tcMar>
            <w:shd w:fill="F2F7F8"/>
          </w:tcPr>
          <w:p>
            <w:pPr>
              <w:spacing w:after="0"/>
            </w:pPr>
            <w:r/>
            <w:r>
              <w:rPr>
                <w:rFonts w:ascii="Aptos" w:hAnsi="Aptos"/>
                <w:b w:val="0"/>
                <w:color w:val="152940"/>
                <w:sz w:val="16"/>
              </w:rPr>
              <w:t>CONTESTED: A supports; B directly conflicts for same metric, site and period.</w:t>
            </w:r>
          </w:p>
        </w:tc>
        <w:tc>
          <w:tcPr>
            <w:tcW w:type="dxa" w:w="3485"/>
            <w:vAlign w:val="center"/>
            <w:tcMar>
              <w:top w:w="85" w:type="dxa"/>
              <w:start w:w="110" w:type="dxa"/>
              <w:bottom w:w="85" w:type="dxa"/>
              <w:end w:w="110" w:type="dxa"/>
            </w:tcMar>
            <w:shd w:fill="F2F7F8"/>
          </w:tcPr>
          <w:p>
            <w:pPr>
              <w:spacing w:after="0"/>
            </w:pPr>
            <w:r/>
            <w:r>
              <w:rPr>
                <w:rFonts w:ascii="Aptos" w:hAnsi="Aptos"/>
                <w:b w:val="0"/>
                <w:color w:val="152940"/>
                <w:sz w:val="16"/>
              </w:rPr>
              <w:t>Dated, independently verified daily serving ledger for May 1–7.</w:t>
            </w:r>
          </w:p>
        </w:tc>
      </w:tr>
      <w:tr>
        <w:trPr>
          <w:cantSplit/>
        </w:trPr>
        <w:tc>
          <w:tcPr>
            <w:tcW w:type="dxa" w:w="2563"/>
            <w:vAlign w:val="center"/>
            <w:tcMar>
              <w:top w:w="85" w:type="dxa"/>
              <w:start w:w="110" w:type="dxa"/>
              <w:bottom w:w="85" w:type="dxa"/>
              <w:end w:w="110" w:type="dxa"/>
            </w:tcMar>
          </w:tcPr>
          <w:p>
            <w:pPr>
              <w:spacing w:after="0"/>
            </w:pPr>
            <w:r/>
            <w:r>
              <w:rPr>
                <w:rFonts w:ascii="Aptos" w:hAnsi="Aptos"/>
                <w:b w:val="0"/>
                <w:color w:val="152940"/>
                <w:sz w:val="16"/>
              </w:rPr>
              <w:t>C2: Kitchen A served 500/day after May 8</w:t>
            </w:r>
          </w:p>
        </w:tc>
        <w:tc>
          <w:tcPr>
            <w:tcW w:type="dxa" w:w="3485"/>
            <w:vAlign w:val="center"/>
            <w:tcMar>
              <w:top w:w="85" w:type="dxa"/>
              <w:start w:w="110" w:type="dxa"/>
              <w:bottom w:w="85" w:type="dxa"/>
              <w:end w:w="110" w:type="dxa"/>
            </w:tcMar>
          </w:tcPr>
          <w:p>
            <w:pPr>
              <w:spacing w:after="0"/>
            </w:pPr>
            <w:r/>
            <w:r>
              <w:rPr>
                <w:rFonts w:ascii="Aptos" w:hAnsi="Aptos"/>
                <w:b w:val="0"/>
                <w:color w:val="152940"/>
                <w:sz w:val="16"/>
              </w:rPr>
              <w:t>UNVERIFIED: installation implies possible capacity change but not measured output.</w:t>
            </w:r>
          </w:p>
        </w:tc>
        <w:tc>
          <w:tcPr>
            <w:tcW w:type="dxa" w:w="3485"/>
            <w:vAlign w:val="center"/>
            <w:tcMar>
              <w:top w:w="85" w:type="dxa"/>
              <w:start w:w="110" w:type="dxa"/>
              <w:bottom w:w="85" w:type="dxa"/>
              <w:end w:w="110" w:type="dxa"/>
            </w:tcMar>
          </w:tcPr>
          <w:p>
            <w:pPr>
              <w:spacing w:after="0"/>
            </w:pPr>
            <w:r/>
            <w:r>
              <w:rPr>
                <w:rFonts w:ascii="Aptos" w:hAnsi="Aptos"/>
                <w:b w:val="0"/>
                <w:color w:val="152940"/>
                <w:sz w:val="16"/>
              </w:rPr>
              <w:t>Dated serving ledger May 9–15 using the same “meals served” definition.</w:t>
            </w:r>
          </w:p>
        </w:tc>
      </w:tr>
    </w:tbl>
    <w:p>
      <w:pPr>
        <w:spacing w:after="20"/>
      </w:pPr>
    </w:p>
    <w:p>
      <w:pPr>
        <w:pStyle w:val="Heading2"/>
        <w:keepNext/>
      </w:pPr>
      <w:r>
        <w:t>12.1 Two possible outcomes for C2</w:t>
      </w:r>
    </w:p>
    <w:p>
      <w:pPr>
        <w:pStyle w:val="ListBullet"/>
      </w:pPr>
      <w:r>
        <w:t>Outcome A: A reliable post-installation log shows approximately 500 meals actually served per day on May 9–15. C2 gains support for that specific period; it does not retroactively settle C1.</w:t>
      </w:r>
    </w:p>
    <w:p>
      <w:pPr>
        <w:pStyle w:val="ListBullet"/>
      </w:pPr>
      <w:r>
        <w:t>Outcome B: A reliable post-installation log shows approximately 320 served per day. C2 is contradicted for the measured post-installation period, while an equipment-caused increase remains unproven.</w:t>
      </w:r>
    </w:p>
    <w:p>
      <w:r>
        <w:t>Keep the two claims separate on screen. This single distinction makes the project noticeably more defensible than a simple “500 versus 320” discrepancy detector.</w:t>
      </w:r>
    </w:p>
    <w:p>
      <w:pPr>
        <w:pStyle w:val="Heading1"/>
        <w:keepNext/>
      </w:pPr>
      <w:r>
        <w:t>13. Interface and interaction design</w:t>
      </w:r>
    </w:p>
    <w:p>
      <w:pPr>
        <w:pStyle w:val="Heading2"/>
        <w:keepNext/>
      </w:pPr>
      <w:r>
        <w:t>13.1 Screen sequence</w:t>
      </w:r>
    </w:p>
    <w:p>
      <w:pPr>
        <w:pStyle w:val="ListNumber"/>
      </w:pPr>
      <w:r>
        <w:t>Input: question, PDF/TXT uploader, file limits and remote-processing notice.</w:t>
      </w:r>
    </w:p>
    <w:p>
      <w:pPr>
        <w:pStyle w:val="ListNumber"/>
      </w:pPr>
      <w:r>
        <w:t>Extraction review: list files, pages extracted, warnings and number of passages.</w:t>
      </w:r>
    </w:p>
    <w:p>
      <w:pPr>
        <w:pStyle w:val="ListNumber"/>
      </w:pPr>
      <w:r>
        <w:t>Claims: editable atomic claims with period/metric chips; user can correct ambiguous phrasing.</w:t>
      </w:r>
    </w:p>
    <w:p>
      <w:pPr>
        <w:pStyle w:val="ListNumber"/>
      </w:pPr>
      <w:r>
        <w:t>Findings: status cards, short verdict explanation and clickable cited quotation plus page.</w:t>
      </w:r>
    </w:p>
    <w:p>
      <w:pPr>
        <w:pStyle w:val="ListNumber"/>
      </w:pPr>
      <w:r>
        <w:t>Challenge Trail: genuine “claim -&gt; candidate -&gt; comparison -&gt; counterevidence -&gt; status” events.</w:t>
      </w:r>
    </w:p>
    <w:p>
      <w:pPr>
        <w:pStyle w:val="ListNumber"/>
      </w:pPr>
      <w:r>
        <w:t>Verdict-change panel: specific missing record, two outcome branches and why they matter.</w:t>
      </w:r>
    </w:p>
    <w:p>
      <w:pPr>
        <w:pStyle w:val="ListNumber"/>
      </w:pPr>
      <w:r>
        <w:t>Optional graph/export: accurate relationships from state; no pre-rendered misleading visuals.</w:t>
      </w:r>
    </w:p>
    <w:p>
      <w:pPr>
        <w:pStyle w:val="Heading2"/>
        <w:keepNext/>
      </w:pPr>
      <w:r>
        <w:t>13.2 UX safeguards</w:t>
      </w:r>
    </w:p>
    <w:p>
      <w:r>
        <w:t>Display a separate style for observations, AI explanations and hypothetical tests. Show “unverified” prominently when extraction fails. Show the scope line on every claim: “Based on 3 supplied files / 12 reviewed passages; no external verification.” Never suggest that a colour or number alone establishes truth.</w:t>
      </w:r>
    </w:p>
    <w:p>
      <w:pPr>
        <w:pStyle w:val="Heading1"/>
        <w:keepNext/>
      </w:pPr>
      <w:r>
        <w:t>14. Security, privacy and deployment</w:t>
      </w:r>
    </w:p>
    <w:p>
      <w:pPr>
        <w:pStyle w:val="Heading2"/>
        <w:keepNext/>
      </w:pPr>
      <w:r>
        <w:t>14.1 Upload and prompt-injection controls</w:t>
      </w:r>
    </w:p>
    <w:p>
      <w:pPr>
        <w:pStyle w:val="ListBullet"/>
      </w:pPr>
      <w:r>
        <w:t>Treat every source as untrusted text, not instructions. Delimit quoted passages and tell the model never to obey embedded commands.</w:t>
      </w:r>
    </w:p>
    <w:p>
      <w:pPr>
        <w:pStyle w:val="ListBullet"/>
      </w:pPr>
      <w:r>
        <w:t>Enforce file count/size/page limits; avoid processing document scripts, macros or external links.</w:t>
      </w:r>
    </w:p>
    <w:p>
      <w:pPr>
        <w:pStyle w:val="ListBullet"/>
      </w:pPr>
      <w:r>
        <w:t>Never execute uploaded text or run external URLs. Keep the MVP read-only; do not give the model filesystem or internet privileges.</w:t>
      </w:r>
    </w:p>
    <w:p>
      <w:pPr>
        <w:pStyle w:val="ListBullet"/>
      </w:pPr>
      <w:r>
        <w:t>Limit server logging to technical failures without raw document content or secrets; strip sensitive error strings.</w:t>
      </w:r>
    </w:p>
    <w:p>
      <w:pPr>
        <w:pStyle w:val="ListBullet"/>
      </w:pPr>
      <w:r>
        <w:t>Keep API keys only in server-side environment/secret settings; never embed them in client source, samples or exports.</w:t>
      </w:r>
    </w:p>
    <w:p>
      <w:pPr>
        <w:pStyle w:val="Heading2"/>
        <w:keepNext/>
      </w:pPr>
      <w:r>
        <w:t>14.2 Data handling honesty</w:t>
      </w:r>
    </w:p>
    <w:p>
      <w:r>
        <w:t>If Gemma runs through a remote inference provider, relevant extracted text is sent to that provider. State this before upload and link to the provider policy. Do not advertise “fully private/local” unless inference and storage are genuinely local and verified. For the demo, use synthetic documents and avoid real personal or confidential data.</w:t>
      </w:r>
    </w:p>
    <w:p>
      <w:r>
        <w:t>Store only in temporary/session memory where practical, with session reset and best-effort file cleanup. Do not promise secure erasure from RAM or from third-party logs. Production requires explicit retention periods, access controls and deletion policies.</w:t>
      </w:r>
    </w:p>
    <w:p>
      <w:pPr>
        <w:pStyle w:val="Heading2"/>
        <w:keepNext/>
      </w:pPr>
      <w:r>
        <w:t>14.3 Deployment decision</w:t>
      </w:r>
    </w:p>
    <w:p>
      <w:r>
        <w:t>Preferred hackathon arrangement: run Streamlit in the environment approved by organisers, with Gemma credentials injected as secrets. Use a prepared synthetic sample for reliability. If public hosting is permitted, deploy a capped Streamlit instance only after checking the inference interface, dependency build and secret management. If the interface is restricted to a provided notebook/runtime, demo there rather than promising unsupported cloud deployment.</w:t>
      </w:r>
    </w:p>
    <w:p>
      <w:pPr>
        <w:pStyle w:val="Heading1"/>
        <w:keepNext/>
      </w:pPr>
      <w:r>
        <w:t>15. Three-hour implementation schedule</w:t>
      </w:r>
    </w:p>
    <w:p>
      <w:r>
        <w:t>This timeline is deliberately P0-first. Integrate and test model access before writing a large UI. Use the acceptance gates to decide when to cut optional features.</w:t>
      </w:r>
    </w:p>
    <w:tbl>
      <w:tblPr>
        <w:tblStyle w:val="TableGrid"/>
        <w:tblW w:type="auto" w:w="0"/>
        <w:jc w:val="center"/>
        <w:tblLayout w:type="fixed"/>
        <w:tblLook w:firstColumn="1" w:firstRow="1" w:lastColumn="0" w:lastRow="0" w:noHBand="0" w:noVBand="1" w:val="04A0"/>
      </w:tblPr>
      <w:tblGrid>
        <w:gridCol w:w="1195"/>
        <w:gridCol w:w="4061"/>
        <w:gridCol w:w="4277"/>
      </w:tblGrid>
      <w:tr>
        <w:trPr>
          <w:tblHeader w:val="true"/>
          <w:cantSplit/>
        </w:trPr>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MINUTES</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SHIP THIS</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STOP / GATE</w:t>
            </w:r>
          </w:p>
        </w:tc>
      </w:tr>
      <w:tr>
        <w:trPr>
          <w:cantSplit/>
        </w:trPr>
        <w:tc>
          <w:tcPr>
            <w:tcW w:type="dxa" w:w="1195"/>
            <w:vAlign w:val="center"/>
            <w:tcMar>
              <w:top w:w="85" w:type="dxa"/>
              <w:start w:w="110" w:type="dxa"/>
              <w:bottom w:w="85" w:type="dxa"/>
              <w:end w:w="110" w:type="dxa"/>
            </w:tcMar>
            <w:shd w:fill="F2F7F8"/>
          </w:tcPr>
          <w:p>
            <w:pPr>
              <w:spacing w:after="0"/>
            </w:pPr>
            <w:r/>
            <w:r>
              <w:rPr>
                <w:rFonts w:ascii="Aptos" w:hAnsi="Aptos"/>
                <w:b w:val="0"/>
                <w:color w:val="152940"/>
                <w:sz w:val="16"/>
              </w:rPr>
              <w:t>0–10</w:t>
            </w:r>
          </w:p>
        </w:tc>
        <w:tc>
          <w:tcPr>
            <w:tcW w:type="dxa" w:w="4061"/>
            <w:vAlign w:val="center"/>
            <w:tcMar>
              <w:top w:w="85" w:type="dxa"/>
              <w:start w:w="110" w:type="dxa"/>
              <w:bottom w:w="85" w:type="dxa"/>
              <w:end w:w="110" w:type="dxa"/>
            </w:tcMar>
            <w:shd w:fill="F2F7F8"/>
          </w:tcPr>
          <w:p>
            <w:pPr>
              <w:spacing w:after="0"/>
            </w:pPr>
            <w:r/>
            <w:r>
              <w:rPr>
                <w:rFonts w:ascii="Aptos" w:hAnsi="Aptos"/>
                <w:b w:val="0"/>
                <w:color w:val="152940"/>
                <w:sz w:val="16"/>
              </w:rPr>
              <w:t>Repository, dependencies, Gemma smoke test, sample fixtures.</w:t>
            </w:r>
          </w:p>
        </w:tc>
        <w:tc>
          <w:tcPr>
            <w:tcW w:type="dxa" w:w="4277"/>
            <w:vAlign w:val="center"/>
            <w:tcMar>
              <w:top w:w="85" w:type="dxa"/>
              <w:start w:w="110" w:type="dxa"/>
              <w:bottom w:w="85" w:type="dxa"/>
              <w:end w:w="110" w:type="dxa"/>
            </w:tcMar>
            <w:shd w:fill="F2F7F8"/>
          </w:tcPr>
          <w:p>
            <w:pPr>
              <w:spacing w:after="0"/>
            </w:pPr>
            <w:r/>
            <w:r>
              <w:rPr>
                <w:rFonts w:ascii="Aptos" w:hAnsi="Aptos"/>
                <w:b w:val="0"/>
                <w:color w:val="152940"/>
                <w:sz w:val="16"/>
              </w:rPr>
              <w:t>Confirm live JSON response or label demo fixture mode.</w:t>
            </w:r>
          </w:p>
        </w:tc>
      </w:tr>
      <w:tr>
        <w:trPr>
          <w:cantSplit/>
        </w:trPr>
        <w:tc>
          <w:tcPr>
            <w:tcW w:type="dxa" w:w="1195"/>
            <w:vAlign w:val="center"/>
            <w:tcMar>
              <w:top w:w="85" w:type="dxa"/>
              <w:start w:w="110" w:type="dxa"/>
              <w:bottom w:w="85" w:type="dxa"/>
              <w:end w:w="110" w:type="dxa"/>
            </w:tcMar>
          </w:tcPr>
          <w:p>
            <w:pPr>
              <w:spacing w:after="0"/>
            </w:pPr>
            <w:r/>
            <w:r>
              <w:rPr>
                <w:rFonts w:ascii="Aptos" w:hAnsi="Aptos"/>
                <w:b w:val="0"/>
                <w:color w:val="152940"/>
                <w:sz w:val="16"/>
              </w:rPr>
              <w:t>10–30</w:t>
            </w:r>
          </w:p>
        </w:tc>
        <w:tc>
          <w:tcPr>
            <w:tcW w:type="dxa" w:w="4061"/>
            <w:vAlign w:val="center"/>
            <w:tcMar>
              <w:top w:w="85" w:type="dxa"/>
              <w:start w:w="110" w:type="dxa"/>
              <w:bottom w:w="85" w:type="dxa"/>
              <w:end w:w="110" w:type="dxa"/>
            </w:tcMar>
          </w:tcPr>
          <w:p>
            <w:pPr>
              <w:spacing w:after="0"/>
            </w:pPr>
            <w:r/>
            <w:r>
              <w:rPr>
                <w:rFonts w:ascii="Aptos" w:hAnsi="Aptos"/>
                <w:b w:val="0"/>
                <w:color w:val="152940"/>
                <w:sz w:val="16"/>
              </w:rPr>
              <w:t>PDF/TXT ingestion, passage IDs, extraction warnings.</w:t>
            </w:r>
          </w:p>
        </w:tc>
        <w:tc>
          <w:tcPr>
            <w:tcW w:type="dxa" w:w="4277"/>
            <w:vAlign w:val="center"/>
            <w:tcMar>
              <w:top w:w="85" w:type="dxa"/>
              <w:start w:w="110" w:type="dxa"/>
              <w:bottom w:w="85" w:type="dxa"/>
              <w:end w:w="110" w:type="dxa"/>
            </w:tcMar>
          </w:tcPr>
          <w:p>
            <w:pPr>
              <w:spacing w:after="0"/>
            </w:pPr>
            <w:r/>
            <w:r>
              <w:rPr>
                <w:rFonts w:ascii="Aptos" w:hAnsi="Aptos"/>
                <w:b w:val="0"/>
                <w:color w:val="152940"/>
                <w:sz w:val="16"/>
              </w:rPr>
              <w:t>Uploaded text visible with traceable source and page.</w:t>
            </w:r>
          </w:p>
        </w:tc>
      </w:tr>
      <w:tr>
        <w:trPr>
          <w:cantSplit/>
        </w:trPr>
        <w:tc>
          <w:tcPr>
            <w:tcW w:type="dxa" w:w="1195"/>
            <w:vAlign w:val="center"/>
            <w:tcMar>
              <w:top w:w="85" w:type="dxa"/>
              <w:start w:w="110" w:type="dxa"/>
              <w:bottom w:w="85" w:type="dxa"/>
              <w:end w:w="110" w:type="dxa"/>
            </w:tcMar>
            <w:shd w:fill="F2F7F8"/>
          </w:tcPr>
          <w:p>
            <w:pPr>
              <w:spacing w:after="0"/>
            </w:pPr>
            <w:r/>
            <w:r>
              <w:rPr>
                <w:rFonts w:ascii="Aptos" w:hAnsi="Aptos"/>
                <w:b w:val="0"/>
                <w:color w:val="152940"/>
                <w:sz w:val="16"/>
              </w:rPr>
              <w:t>30–55</w:t>
            </w:r>
          </w:p>
        </w:tc>
        <w:tc>
          <w:tcPr>
            <w:tcW w:type="dxa" w:w="4061"/>
            <w:vAlign w:val="center"/>
            <w:tcMar>
              <w:top w:w="85" w:type="dxa"/>
              <w:start w:w="110" w:type="dxa"/>
              <w:bottom w:w="85" w:type="dxa"/>
              <w:end w:w="110" w:type="dxa"/>
            </w:tcMar>
            <w:shd w:fill="F2F7F8"/>
          </w:tcPr>
          <w:p>
            <w:pPr>
              <w:spacing w:after="0"/>
            </w:pPr>
            <w:r/>
            <w:r>
              <w:rPr>
                <w:rFonts w:ascii="Aptos" w:hAnsi="Aptos"/>
                <w:b w:val="0"/>
                <w:color w:val="152940"/>
                <w:sz w:val="16"/>
              </w:rPr>
              <w:t>Claim parsing, retrieval, JSON/Pydantic response contracts.</w:t>
            </w:r>
          </w:p>
        </w:tc>
        <w:tc>
          <w:tcPr>
            <w:tcW w:type="dxa" w:w="4277"/>
            <w:vAlign w:val="center"/>
            <w:tcMar>
              <w:top w:w="85" w:type="dxa"/>
              <w:start w:w="110" w:type="dxa"/>
              <w:bottom w:w="85" w:type="dxa"/>
              <w:end w:w="110" w:type="dxa"/>
            </w:tcMar>
            <w:shd w:fill="F2F7F8"/>
          </w:tcPr>
          <w:p>
            <w:pPr>
              <w:spacing w:after="0"/>
            </w:pPr>
            <w:r/>
            <w:r>
              <w:rPr>
                <w:rFonts w:ascii="Aptos" w:hAnsi="Aptos"/>
                <w:b w:val="0"/>
                <w:color w:val="152940"/>
                <w:sz w:val="16"/>
              </w:rPr>
              <w:t>2 claims and valid passage references on fixture.</w:t>
            </w:r>
          </w:p>
        </w:tc>
      </w:tr>
      <w:tr>
        <w:trPr>
          <w:cantSplit/>
        </w:trPr>
        <w:tc>
          <w:tcPr>
            <w:tcW w:type="dxa" w:w="1195"/>
            <w:vAlign w:val="center"/>
            <w:tcMar>
              <w:top w:w="85" w:type="dxa"/>
              <w:start w:w="110" w:type="dxa"/>
              <w:bottom w:w="85" w:type="dxa"/>
              <w:end w:w="110" w:type="dxa"/>
            </w:tcMar>
          </w:tcPr>
          <w:p>
            <w:pPr>
              <w:spacing w:after="0"/>
            </w:pPr>
            <w:r/>
            <w:r>
              <w:rPr>
                <w:rFonts w:ascii="Aptos" w:hAnsi="Aptos"/>
                <w:b w:val="0"/>
                <w:color w:val="152940"/>
                <w:sz w:val="16"/>
              </w:rPr>
              <w:t>55–80</w:t>
            </w:r>
          </w:p>
        </w:tc>
        <w:tc>
          <w:tcPr>
            <w:tcW w:type="dxa" w:w="4061"/>
            <w:vAlign w:val="center"/>
            <w:tcMar>
              <w:top w:w="85" w:type="dxa"/>
              <w:start w:w="110" w:type="dxa"/>
              <w:bottom w:w="85" w:type="dxa"/>
              <w:end w:w="110" w:type="dxa"/>
            </w:tcMar>
          </w:tcPr>
          <w:p>
            <w:pPr>
              <w:spacing w:after="0"/>
            </w:pPr>
            <w:r/>
            <w:r>
              <w:rPr>
                <w:rFonts w:ascii="Aptos" w:hAnsi="Aptos"/>
                <w:b w:val="0"/>
                <w:color w:val="152940"/>
                <w:sz w:val="16"/>
              </w:rPr>
              <w:t>Citation validation and comparability checks.</w:t>
            </w:r>
          </w:p>
        </w:tc>
        <w:tc>
          <w:tcPr>
            <w:tcW w:type="dxa" w:w="4277"/>
            <w:vAlign w:val="center"/>
            <w:tcMar>
              <w:top w:w="85" w:type="dxa"/>
              <w:start w:w="110" w:type="dxa"/>
              <w:bottom w:w="85" w:type="dxa"/>
              <w:end w:w="110" w:type="dxa"/>
            </w:tcMar>
          </w:tcPr>
          <w:p>
            <w:pPr>
              <w:spacing w:after="0"/>
            </w:pPr>
            <w:r/>
            <w:r>
              <w:rPr>
                <w:rFonts w:ascii="Aptos" w:hAnsi="Aptos"/>
                <w:b w:val="0"/>
                <w:color w:val="152940"/>
                <w:sz w:val="16"/>
              </w:rPr>
              <w:t>No fabricated quote; period mismatch does not conflict.</w:t>
            </w:r>
          </w:p>
        </w:tc>
      </w:tr>
      <w:tr>
        <w:trPr>
          <w:cantSplit/>
        </w:trPr>
        <w:tc>
          <w:tcPr>
            <w:tcW w:type="dxa" w:w="1195"/>
            <w:vAlign w:val="center"/>
            <w:tcMar>
              <w:top w:w="85" w:type="dxa"/>
              <w:start w:w="110" w:type="dxa"/>
              <w:bottom w:w="85" w:type="dxa"/>
              <w:end w:w="110" w:type="dxa"/>
            </w:tcMar>
            <w:shd w:fill="F2F7F8"/>
          </w:tcPr>
          <w:p>
            <w:pPr>
              <w:spacing w:after="0"/>
            </w:pPr>
            <w:r/>
            <w:r>
              <w:rPr>
                <w:rFonts w:ascii="Aptos" w:hAnsi="Aptos"/>
                <w:b w:val="0"/>
                <w:color w:val="152940"/>
                <w:sz w:val="16"/>
              </w:rPr>
              <w:t>80–105</w:t>
            </w:r>
          </w:p>
        </w:tc>
        <w:tc>
          <w:tcPr>
            <w:tcW w:type="dxa" w:w="4061"/>
            <w:vAlign w:val="center"/>
            <w:tcMar>
              <w:top w:w="85" w:type="dxa"/>
              <w:start w:w="110" w:type="dxa"/>
              <w:bottom w:w="85" w:type="dxa"/>
              <w:end w:w="110" w:type="dxa"/>
            </w:tcMar>
            <w:shd w:fill="F2F7F8"/>
          </w:tcPr>
          <w:p>
            <w:pPr>
              <w:spacing w:after="0"/>
            </w:pPr>
            <w:r/>
            <w:r>
              <w:rPr>
                <w:rFonts w:ascii="Aptos" w:hAnsi="Aptos"/>
                <w:b w:val="0"/>
                <w:color w:val="152940"/>
                <w:sz w:val="16"/>
              </w:rPr>
              <w:t>Rule-driven statuses; countersupport/contradiction logic.</w:t>
            </w:r>
          </w:p>
        </w:tc>
        <w:tc>
          <w:tcPr>
            <w:tcW w:type="dxa" w:w="4277"/>
            <w:vAlign w:val="center"/>
            <w:tcMar>
              <w:top w:w="85" w:type="dxa"/>
              <w:start w:w="110" w:type="dxa"/>
              <w:bottom w:w="85" w:type="dxa"/>
              <w:end w:w="110" w:type="dxa"/>
            </w:tcMar>
            <w:shd w:fill="F2F7F8"/>
          </w:tcPr>
          <w:p>
            <w:pPr>
              <w:spacing w:after="0"/>
            </w:pPr>
            <w:r/>
            <w:r>
              <w:rPr>
                <w:rFonts w:ascii="Aptos" w:hAnsi="Aptos"/>
                <w:b w:val="0"/>
                <w:color w:val="152940"/>
                <w:sz w:val="16"/>
              </w:rPr>
              <w:t>C1 contested, C2 unverified in fixture.</w:t>
            </w:r>
          </w:p>
        </w:tc>
      </w:tr>
      <w:tr>
        <w:trPr>
          <w:cantSplit/>
        </w:trPr>
        <w:tc>
          <w:tcPr>
            <w:tcW w:type="dxa" w:w="1195"/>
            <w:vAlign w:val="center"/>
            <w:tcMar>
              <w:top w:w="85" w:type="dxa"/>
              <w:start w:w="110" w:type="dxa"/>
              <w:bottom w:w="85" w:type="dxa"/>
              <w:end w:w="110" w:type="dxa"/>
            </w:tcMar>
          </w:tcPr>
          <w:p>
            <w:pPr>
              <w:spacing w:after="0"/>
            </w:pPr>
            <w:r/>
            <w:r>
              <w:rPr>
                <w:rFonts w:ascii="Aptos" w:hAnsi="Aptos"/>
                <w:b w:val="0"/>
                <w:color w:val="152940"/>
                <w:sz w:val="16"/>
              </w:rPr>
              <w:t>105–125</w:t>
            </w:r>
          </w:p>
        </w:tc>
        <w:tc>
          <w:tcPr>
            <w:tcW w:type="dxa" w:w="4061"/>
            <w:vAlign w:val="center"/>
            <w:tcMar>
              <w:top w:w="85" w:type="dxa"/>
              <w:start w:w="110" w:type="dxa"/>
              <w:bottom w:w="85" w:type="dxa"/>
              <w:end w:w="110" w:type="dxa"/>
            </w:tcMar>
          </w:tcPr>
          <w:p>
            <w:pPr>
              <w:spacing w:after="0"/>
            </w:pPr>
            <w:r/>
            <w:r>
              <w:rPr>
                <w:rFonts w:ascii="Aptos" w:hAnsi="Aptos"/>
                <w:b w:val="0"/>
                <w:color w:val="152940"/>
                <w:sz w:val="16"/>
              </w:rPr>
              <w:t>Streamlit claim cards + source viewer + scope disclosure.</w:t>
            </w:r>
          </w:p>
        </w:tc>
        <w:tc>
          <w:tcPr>
            <w:tcW w:type="dxa" w:w="4277"/>
            <w:vAlign w:val="center"/>
            <w:tcMar>
              <w:top w:w="85" w:type="dxa"/>
              <w:start w:w="110" w:type="dxa"/>
              <w:bottom w:w="85" w:type="dxa"/>
              <w:end w:w="110" w:type="dxa"/>
            </w:tcMar>
          </w:tcPr>
          <w:p>
            <w:pPr>
              <w:spacing w:after="0"/>
            </w:pPr>
            <w:r/>
            <w:r>
              <w:rPr>
                <w:rFonts w:ascii="Aptos" w:hAnsi="Aptos"/>
                <w:b w:val="0"/>
                <w:color w:val="152940"/>
                <w:sz w:val="16"/>
              </w:rPr>
              <w:t>Every finding inspectable and legible.</w:t>
            </w:r>
          </w:p>
        </w:tc>
      </w:tr>
      <w:tr>
        <w:trPr>
          <w:cantSplit/>
        </w:trPr>
        <w:tc>
          <w:tcPr>
            <w:tcW w:type="dxa" w:w="1195"/>
            <w:vAlign w:val="center"/>
            <w:tcMar>
              <w:top w:w="85" w:type="dxa"/>
              <w:start w:w="110" w:type="dxa"/>
              <w:bottom w:w="85" w:type="dxa"/>
              <w:end w:w="110" w:type="dxa"/>
            </w:tcMar>
            <w:shd w:fill="F2F7F8"/>
          </w:tcPr>
          <w:p>
            <w:pPr>
              <w:spacing w:after="0"/>
            </w:pPr>
            <w:r/>
            <w:r>
              <w:rPr>
                <w:rFonts w:ascii="Aptos" w:hAnsi="Aptos"/>
                <w:b w:val="0"/>
                <w:color w:val="152940"/>
                <w:sz w:val="16"/>
              </w:rPr>
              <w:t>125–145</w:t>
            </w:r>
          </w:p>
        </w:tc>
        <w:tc>
          <w:tcPr>
            <w:tcW w:type="dxa" w:w="4061"/>
            <w:vAlign w:val="center"/>
            <w:tcMar>
              <w:top w:w="85" w:type="dxa"/>
              <w:start w:w="110" w:type="dxa"/>
              <w:bottom w:w="85" w:type="dxa"/>
              <w:end w:w="110" w:type="dxa"/>
            </w:tcMar>
            <w:shd w:fill="F2F7F8"/>
          </w:tcPr>
          <w:p>
            <w:pPr>
              <w:spacing w:after="0"/>
            </w:pPr>
            <w:r/>
            <w:r>
              <w:rPr>
                <w:rFonts w:ascii="Aptos" w:hAnsi="Aptos"/>
                <w:b w:val="0"/>
                <w:color w:val="152940"/>
                <w:sz w:val="16"/>
              </w:rPr>
              <w:t>Challenge Trail + 2-branch evidence-gap panel.</w:t>
            </w:r>
          </w:p>
        </w:tc>
        <w:tc>
          <w:tcPr>
            <w:tcW w:type="dxa" w:w="4277"/>
            <w:vAlign w:val="center"/>
            <w:tcMar>
              <w:top w:w="85" w:type="dxa"/>
              <w:start w:w="110" w:type="dxa"/>
              <w:bottom w:w="85" w:type="dxa"/>
              <w:end w:w="110" w:type="dxa"/>
            </w:tcMar>
            <w:shd w:fill="F2F7F8"/>
          </w:tcPr>
          <w:p>
            <w:pPr>
              <w:spacing w:after="0"/>
            </w:pPr>
            <w:r/>
            <w:r>
              <w:rPr>
                <w:rFonts w:ascii="Aptos" w:hAnsi="Aptos"/>
                <w:b w:val="0"/>
                <w:color w:val="152940"/>
                <w:sz w:val="16"/>
              </w:rPr>
              <w:t>Named missing log and plausible outcome effects.</w:t>
            </w:r>
          </w:p>
        </w:tc>
      </w:tr>
      <w:tr>
        <w:trPr>
          <w:cantSplit/>
        </w:trPr>
        <w:tc>
          <w:tcPr>
            <w:tcW w:type="dxa" w:w="1195"/>
            <w:vAlign w:val="center"/>
            <w:tcMar>
              <w:top w:w="85" w:type="dxa"/>
              <w:start w:w="110" w:type="dxa"/>
              <w:bottom w:w="85" w:type="dxa"/>
              <w:end w:w="110" w:type="dxa"/>
            </w:tcMar>
          </w:tcPr>
          <w:p>
            <w:pPr>
              <w:spacing w:after="0"/>
            </w:pPr>
            <w:r/>
            <w:r>
              <w:rPr>
                <w:rFonts w:ascii="Aptos" w:hAnsi="Aptos"/>
                <w:b w:val="0"/>
                <w:color w:val="152940"/>
                <w:sz w:val="16"/>
              </w:rPr>
              <w:t>145–165</w:t>
            </w:r>
          </w:p>
        </w:tc>
        <w:tc>
          <w:tcPr>
            <w:tcW w:type="dxa" w:w="4061"/>
            <w:vAlign w:val="center"/>
            <w:tcMar>
              <w:top w:w="85" w:type="dxa"/>
              <w:start w:w="110" w:type="dxa"/>
              <w:bottom w:w="85" w:type="dxa"/>
              <w:end w:w="110" w:type="dxa"/>
            </w:tcMar>
          </w:tcPr>
          <w:p>
            <w:pPr>
              <w:spacing w:after="0"/>
            </w:pPr>
            <w:r/>
            <w:r>
              <w:rPr>
                <w:rFonts w:ascii="Aptos" w:hAnsi="Aptos"/>
                <w:b w:val="0"/>
                <w:color w:val="152940"/>
                <w:sz w:val="16"/>
              </w:rPr>
              <w:t>Test matrix + prompt-injection/error cases.</w:t>
            </w:r>
          </w:p>
        </w:tc>
        <w:tc>
          <w:tcPr>
            <w:tcW w:type="dxa" w:w="4277"/>
            <w:vAlign w:val="center"/>
            <w:tcMar>
              <w:top w:w="85" w:type="dxa"/>
              <w:start w:w="110" w:type="dxa"/>
              <w:bottom w:w="85" w:type="dxa"/>
              <w:end w:w="110" w:type="dxa"/>
            </w:tcMar>
          </w:tcPr>
          <w:p>
            <w:pPr>
              <w:spacing w:after="0"/>
            </w:pPr>
            <w:r/>
            <w:r>
              <w:rPr>
                <w:rFonts w:ascii="Aptos" w:hAnsi="Aptos"/>
                <w:b w:val="0"/>
                <w:color w:val="152940"/>
                <w:sz w:val="16"/>
              </w:rPr>
              <w:t>Mandatory acceptance tests pass.</w:t>
            </w:r>
          </w:p>
        </w:tc>
      </w:tr>
      <w:tr>
        <w:trPr>
          <w:cantSplit/>
        </w:trPr>
        <w:tc>
          <w:tcPr>
            <w:tcW w:type="dxa" w:w="1195"/>
            <w:vAlign w:val="center"/>
            <w:tcMar>
              <w:top w:w="85" w:type="dxa"/>
              <w:start w:w="110" w:type="dxa"/>
              <w:bottom w:w="85" w:type="dxa"/>
              <w:end w:w="110" w:type="dxa"/>
            </w:tcMar>
            <w:shd w:fill="F2F7F8"/>
          </w:tcPr>
          <w:p>
            <w:pPr>
              <w:spacing w:after="0"/>
            </w:pPr>
            <w:r/>
            <w:r>
              <w:rPr>
                <w:rFonts w:ascii="Aptos" w:hAnsi="Aptos"/>
                <w:b w:val="0"/>
                <w:color w:val="152940"/>
                <w:sz w:val="16"/>
              </w:rPr>
              <w:t>165–180</w:t>
            </w:r>
          </w:p>
        </w:tc>
        <w:tc>
          <w:tcPr>
            <w:tcW w:type="dxa" w:w="4061"/>
            <w:vAlign w:val="center"/>
            <w:tcMar>
              <w:top w:w="85" w:type="dxa"/>
              <w:start w:w="110" w:type="dxa"/>
              <w:bottom w:w="85" w:type="dxa"/>
              <w:end w:w="110" w:type="dxa"/>
            </w:tcMar>
            <w:shd w:fill="F2F7F8"/>
          </w:tcPr>
          <w:p>
            <w:pPr>
              <w:spacing w:after="0"/>
            </w:pPr>
            <w:r/>
            <w:r>
              <w:rPr>
                <w:rFonts w:ascii="Aptos" w:hAnsi="Aptos"/>
                <w:b w:val="0"/>
                <w:color w:val="152940"/>
                <w:sz w:val="16"/>
              </w:rPr>
              <w:t>Demo rehearsal, README, error labels and optional visual polish.</w:t>
            </w:r>
          </w:p>
        </w:tc>
        <w:tc>
          <w:tcPr>
            <w:tcW w:type="dxa" w:w="4277"/>
            <w:vAlign w:val="center"/>
            <w:tcMar>
              <w:top w:w="85" w:type="dxa"/>
              <w:start w:w="110" w:type="dxa"/>
              <w:bottom w:w="85" w:type="dxa"/>
              <w:end w:w="110" w:type="dxa"/>
            </w:tcMar>
            <w:shd w:fill="F2F7F8"/>
          </w:tcPr>
          <w:p>
            <w:pPr>
              <w:spacing w:after="0"/>
            </w:pPr>
            <w:r/>
            <w:r>
              <w:rPr>
                <w:rFonts w:ascii="Aptos" w:hAnsi="Aptos"/>
                <w:b w:val="0"/>
                <w:color w:val="152940"/>
                <w:sz w:val="16"/>
              </w:rPr>
              <w:t>Reliable 90-second live walkthrough.</w:t>
            </w:r>
          </w:p>
        </w:tc>
      </w:tr>
    </w:tbl>
    <w:p>
      <w:pPr>
        <w:spacing w:after="20"/>
      </w:pPr>
    </w:p>
    <w:p>
      <w:pPr>
        <w:pStyle w:val="Heading2"/>
        <w:keepNext/>
      </w:pPr>
      <w:r>
        <w:t>15.1 Explicit feature cut rule</w:t>
      </w:r>
    </w:p>
    <w:tbl>
      <w:tblPr>
        <w:tblW w:type="auto" w:w="0"/>
        <w:tblLook w:firstColumn="1" w:firstRow="1" w:lastColumn="0" w:lastRow="0" w:noHBand="0" w:noVBand="1" w:val="04A0"/>
      </w:tblPr>
      <w:tblGrid>
        <w:gridCol w:w="9633"/>
      </w:tblGrid>
      <w:tr>
        <w:tc>
          <w:tcPr>
            <w:tcW w:type="dxa" w:w="9633"/>
            <w:shd w:fill="E9F4F3"/>
            <w:tcMar>
              <w:top w:w="130" w:type="dxa"/>
              <w:start w:w="180" w:type="dxa"/>
              <w:bottom w:w="120" w:type="dxa"/>
              <w:end w:w="180" w:type="dxa"/>
            </w:tcMar>
          </w:tcPr>
          <w:p>
            <w:pPr>
              <w:spacing w:after="80"/>
            </w:pPr>
            <w:r>
              <w:rPr>
                <w:b/>
                <w:color w:val="00797B"/>
                <w:sz w:val="18"/>
              </w:rPr>
              <w:t>AT MINUTE 125</w:t>
            </w:r>
          </w:p>
          <w:p>
            <w:pPr>
              <w:spacing w:after="0"/>
            </w:pPr>
            <w:r>
              <w:rPr>
                <w:sz w:val="19"/>
              </w:rPr>
              <w:t>If the core flow still fails, do not build the graph or export. Spend the remaining time fixing citation validation, the sample case and clean error states. A verified two-claim result beats a spectacular dashboard that invents facts.</w:t>
            </w:r>
          </w:p>
        </w:tc>
      </w:tr>
    </w:tbl>
    <w:p>
      <w:pPr>
        <w:spacing w:after="0"/>
      </w:pPr>
    </w:p>
    <w:p>
      <w:pPr>
        <w:pStyle w:val="Heading2"/>
        <w:keepNext/>
      </w:pPr>
      <w:r>
        <w:t>15.2 Deliverables</w:t>
      </w:r>
    </w:p>
    <w:p>
      <w:r>
        <w:t>Runnable app; pinned requirements; .env.example with placeholders only; synthetic test documents; test-case results table; 90-second demo script; README describing scope, model interface, privacy limits and known failure modes.</w:t>
      </w:r>
    </w:p>
    <w:p>
      <w:pPr>
        <w:pStyle w:val="Heading1"/>
        <w:keepNext/>
      </w:pPr>
      <w:r>
        <w:t>16. Evaluation and adversarial tests</w:t>
      </w:r>
    </w:p>
    <w:p>
      <w:r>
        <w:t>Targets below are proposed acceptance gates, not results already achieved. Report actual pass/fail observations when the prototype is tested.</w:t>
      </w:r>
    </w:p>
    <w:tbl>
      <w:tblPr>
        <w:tblStyle w:val="TableGrid"/>
        <w:tblW w:type="auto" w:w="0"/>
        <w:jc w:val="center"/>
        <w:tblLayout w:type="fixed"/>
        <w:tblLook w:firstColumn="1" w:firstRow="1" w:lastColumn="0" w:lastRow="0" w:noHBand="0" w:noVBand="1" w:val="04A0"/>
      </w:tblPr>
      <w:tblGrid>
        <w:gridCol w:w="3614"/>
        <w:gridCol w:w="5918"/>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TEST</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EXPECTED OUTCOME</w:t>
            </w:r>
          </w:p>
        </w:tc>
      </w:tr>
      <w:tr>
        <w:trPr>
          <w:cantSplit/>
        </w:trPr>
        <w:tc>
          <w:tcPr>
            <w:tcW w:type="dxa" w:w="3614"/>
            <w:vAlign w:val="center"/>
            <w:tcMar>
              <w:top w:w="85" w:type="dxa"/>
              <w:start w:w="110" w:type="dxa"/>
              <w:bottom w:w="85" w:type="dxa"/>
              <w:end w:w="110" w:type="dxa"/>
            </w:tcMar>
            <w:shd w:fill="F2F7F8"/>
          </w:tcPr>
          <w:p>
            <w:pPr>
              <w:spacing w:after="0"/>
            </w:pPr>
            <w:r/>
            <w:r>
              <w:rPr>
                <w:rFonts w:ascii="Aptos" w:hAnsi="Aptos"/>
                <w:b w:val="0"/>
                <w:color w:val="152940"/>
                <w:sz w:val="16"/>
              </w:rPr>
              <w:t>T1. One reliable supporting passage</w:t>
            </w:r>
          </w:p>
        </w:tc>
        <w:tc>
          <w:tcPr>
            <w:tcW w:type="dxa" w:w="5918"/>
            <w:vAlign w:val="center"/>
            <w:tcMar>
              <w:top w:w="85" w:type="dxa"/>
              <w:start w:w="110" w:type="dxa"/>
              <w:bottom w:w="85" w:type="dxa"/>
              <w:end w:w="110" w:type="dxa"/>
            </w:tcMar>
            <w:shd w:fill="F2F7F8"/>
          </w:tcPr>
          <w:p>
            <w:pPr>
              <w:spacing w:after="0"/>
            </w:pPr>
            <w:r/>
            <w:r>
              <w:rPr>
                <w:rFonts w:ascii="Aptos" w:hAnsi="Aptos"/>
                <w:b w:val="0"/>
                <w:color w:val="152940"/>
                <w:sz w:val="16"/>
              </w:rPr>
              <w:t>Supported only for the exact claim and period.</w:t>
            </w:r>
          </w:p>
        </w:tc>
      </w:tr>
      <w:tr>
        <w:trPr>
          <w:cantSplit/>
        </w:trPr>
        <w:tc>
          <w:tcPr>
            <w:tcW w:type="dxa" w:w="3614"/>
            <w:vAlign w:val="center"/>
            <w:tcMar>
              <w:top w:w="85" w:type="dxa"/>
              <w:start w:w="110" w:type="dxa"/>
              <w:bottom w:w="85" w:type="dxa"/>
              <w:end w:w="110" w:type="dxa"/>
            </w:tcMar>
          </w:tcPr>
          <w:p>
            <w:pPr>
              <w:spacing w:after="0"/>
            </w:pPr>
            <w:r/>
            <w:r>
              <w:rPr>
                <w:rFonts w:ascii="Aptos" w:hAnsi="Aptos"/>
                <w:b w:val="0"/>
                <w:color w:val="152940"/>
                <w:sz w:val="16"/>
              </w:rPr>
              <w:t>T2. Direct opposing passage, no support</w:t>
            </w:r>
          </w:p>
        </w:tc>
        <w:tc>
          <w:tcPr>
            <w:tcW w:type="dxa" w:w="5918"/>
            <w:vAlign w:val="center"/>
            <w:tcMar>
              <w:top w:w="85" w:type="dxa"/>
              <w:start w:w="110" w:type="dxa"/>
              <w:bottom w:w="85" w:type="dxa"/>
              <w:end w:w="110" w:type="dxa"/>
            </w:tcMar>
          </w:tcPr>
          <w:p>
            <w:pPr>
              <w:spacing w:after="0"/>
            </w:pPr>
            <w:r/>
            <w:r>
              <w:rPr>
                <w:rFonts w:ascii="Aptos" w:hAnsi="Aptos"/>
                <w:b w:val="0"/>
                <w:color w:val="152940"/>
                <w:sz w:val="16"/>
              </w:rPr>
              <w:t>Contradicted with inspectable quote.</w:t>
            </w:r>
          </w:p>
        </w:tc>
      </w:tr>
      <w:tr>
        <w:trPr>
          <w:cantSplit/>
        </w:trPr>
        <w:tc>
          <w:tcPr>
            <w:tcW w:type="dxa" w:w="3614"/>
            <w:vAlign w:val="center"/>
            <w:tcMar>
              <w:top w:w="85" w:type="dxa"/>
              <w:start w:w="110" w:type="dxa"/>
              <w:bottom w:w="85" w:type="dxa"/>
              <w:end w:w="110" w:type="dxa"/>
            </w:tcMar>
            <w:shd w:fill="F2F7F8"/>
          </w:tcPr>
          <w:p>
            <w:pPr>
              <w:spacing w:after="0"/>
            </w:pPr>
            <w:r/>
            <w:r>
              <w:rPr>
                <w:rFonts w:ascii="Aptos" w:hAnsi="Aptos"/>
                <w:b w:val="0"/>
                <w:color w:val="152940"/>
                <w:sz w:val="16"/>
              </w:rPr>
              <w:t>T3. Two comparable conflicting sources</w:t>
            </w:r>
          </w:p>
        </w:tc>
        <w:tc>
          <w:tcPr>
            <w:tcW w:type="dxa" w:w="5918"/>
            <w:vAlign w:val="center"/>
            <w:tcMar>
              <w:top w:w="85" w:type="dxa"/>
              <w:start w:w="110" w:type="dxa"/>
              <w:bottom w:w="85" w:type="dxa"/>
              <w:end w:w="110" w:type="dxa"/>
            </w:tcMar>
            <w:shd w:fill="F2F7F8"/>
          </w:tcPr>
          <w:p>
            <w:pPr>
              <w:spacing w:after="0"/>
            </w:pPr>
            <w:r/>
            <w:r>
              <w:rPr>
                <w:rFonts w:ascii="Aptos" w:hAnsi="Aptos"/>
                <w:b w:val="0"/>
                <w:color w:val="152940"/>
                <w:sz w:val="16"/>
              </w:rPr>
              <w:t>Contested; both quotes displayed.</w:t>
            </w:r>
          </w:p>
        </w:tc>
      </w:tr>
      <w:tr>
        <w:trPr>
          <w:cantSplit/>
        </w:trPr>
        <w:tc>
          <w:tcPr>
            <w:tcW w:type="dxa" w:w="3614"/>
            <w:vAlign w:val="center"/>
            <w:tcMar>
              <w:top w:w="85" w:type="dxa"/>
              <w:start w:w="110" w:type="dxa"/>
              <w:bottom w:w="85" w:type="dxa"/>
              <w:end w:w="110" w:type="dxa"/>
            </w:tcMar>
          </w:tcPr>
          <w:p>
            <w:pPr>
              <w:spacing w:after="0"/>
            </w:pPr>
            <w:r/>
            <w:r>
              <w:rPr>
                <w:rFonts w:ascii="Aptos" w:hAnsi="Aptos"/>
                <w:b w:val="0"/>
                <w:color w:val="152940"/>
                <w:sz w:val="16"/>
              </w:rPr>
              <w:t>T4. No relevant evidence</w:t>
            </w:r>
          </w:p>
        </w:tc>
        <w:tc>
          <w:tcPr>
            <w:tcW w:type="dxa" w:w="5918"/>
            <w:vAlign w:val="center"/>
            <w:tcMar>
              <w:top w:w="85" w:type="dxa"/>
              <w:start w:w="110" w:type="dxa"/>
              <w:bottom w:w="85" w:type="dxa"/>
              <w:end w:w="110" w:type="dxa"/>
            </w:tcMar>
          </w:tcPr>
          <w:p>
            <w:pPr>
              <w:spacing w:after="0"/>
            </w:pPr>
            <w:r/>
            <w:r>
              <w:rPr>
                <w:rFonts w:ascii="Aptos" w:hAnsi="Aptos"/>
                <w:b w:val="0"/>
                <w:color w:val="152940"/>
                <w:sz w:val="16"/>
              </w:rPr>
              <w:t>Unverified; no invented quote.</w:t>
            </w:r>
          </w:p>
        </w:tc>
      </w:tr>
      <w:tr>
        <w:trPr>
          <w:cantSplit/>
        </w:trPr>
        <w:tc>
          <w:tcPr>
            <w:tcW w:type="dxa" w:w="3614"/>
            <w:vAlign w:val="center"/>
            <w:tcMar>
              <w:top w:w="85" w:type="dxa"/>
              <w:start w:w="110" w:type="dxa"/>
              <w:bottom w:w="85" w:type="dxa"/>
              <w:end w:w="110" w:type="dxa"/>
            </w:tcMar>
            <w:shd w:fill="F2F7F8"/>
          </w:tcPr>
          <w:p>
            <w:pPr>
              <w:spacing w:after="0"/>
            </w:pPr>
            <w:r/>
            <w:r>
              <w:rPr>
                <w:rFonts w:ascii="Aptos" w:hAnsi="Aptos"/>
                <w:b w:val="0"/>
                <w:color w:val="152940"/>
                <w:sz w:val="16"/>
              </w:rPr>
              <w:t>T5. Different units or periods</w:t>
            </w:r>
          </w:p>
        </w:tc>
        <w:tc>
          <w:tcPr>
            <w:tcW w:type="dxa" w:w="5918"/>
            <w:vAlign w:val="center"/>
            <w:tcMar>
              <w:top w:w="85" w:type="dxa"/>
              <w:start w:w="110" w:type="dxa"/>
              <w:bottom w:w="85" w:type="dxa"/>
              <w:end w:w="110" w:type="dxa"/>
            </w:tcMar>
            <w:shd w:fill="F2F7F8"/>
          </w:tcPr>
          <w:p>
            <w:pPr>
              <w:spacing w:after="0"/>
            </w:pPr>
            <w:r/>
            <w:r>
              <w:rPr>
                <w:rFonts w:ascii="Aptos" w:hAnsi="Aptos"/>
                <w:b w:val="0"/>
                <w:color w:val="152940"/>
                <w:sz w:val="16"/>
              </w:rPr>
              <w:t>No false direct numeric conflict.</w:t>
            </w:r>
          </w:p>
        </w:tc>
      </w:tr>
      <w:tr>
        <w:trPr>
          <w:cantSplit/>
        </w:trPr>
        <w:tc>
          <w:tcPr>
            <w:tcW w:type="dxa" w:w="3614"/>
            <w:vAlign w:val="center"/>
            <w:tcMar>
              <w:top w:w="85" w:type="dxa"/>
              <w:start w:w="110" w:type="dxa"/>
              <w:bottom w:w="85" w:type="dxa"/>
              <w:end w:w="110" w:type="dxa"/>
            </w:tcMar>
          </w:tcPr>
          <w:p>
            <w:pPr>
              <w:spacing w:after="0"/>
            </w:pPr>
            <w:r/>
            <w:r>
              <w:rPr>
                <w:rFonts w:ascii="Aptos" w:hAnsi="Aptos"/>
                <w:b w:val="0"/>
                <w:color w:val="152940"/>
                <w:sz w:val="16"/>
              </w:rPr>
              <w:t>T6. Scan/image-only PDF</w:t>
            </w:r>
          </w:p>
        </w:tc>
        <w:tc>
          <w:tcPr>
            <w:tcW w:type="dxa" w:w="5918"/>
            <w:vAlign w:val="center"/>
            <w:tcMar>
              <w:top w:w="85" w:type="dxa"/>
              <w:start w:w="110" w:type="dxa"/>
              <w:bottom w:w="85" w:type="dxa"/>
              <w:end w:w="110" w:type="dxa"/>
            </w:tcMar>
          </w:tcPr>
          <w:p>
            <w:pPr>
              <w:spacing w:after="0"/>
            </w:pPr>
            <w:r/>
            <w:r>
              <w:rPr>
                <w:rFonts w:ascii="Aptos" w:hAnsi="Aptos"/>
                <w:b w:val="0"/>
                <w:color w:val="152940"/>
                <w:sz w:val="16"/>
              </w:rPr>
              <w:t>Warn incomplete extraction; do not produce false certainty.</w:t>
            </w:r>
          </w:p>
        </w:tc>
      </w:tr>
      <w:tr>
        <w:trPr>
          <w:cantSplit/>
        </w:trPr>
        <w:tc>
          <w:tcPr>
            <w:tcW w:type="dxa" w:w="3614"/>
            <w:vAlign w:val="center"/>
            <w:tcMar>
              <w:top w:w="85" w:type="dxa"/>
              <w:start w:w="110" w:type="dxa"/>
              <w:bottom w:w="85" w:type="dxa"/>
              <w:end w:w="110" w:type="dxa"/>
            </w:tcMar>
            <w:shd w:fill="F2F7F8"/>
          </w:tcPr>
          <w:p>
            <w:pPr>
              <w:spacing w:after="0"/>
            </w:pPr>
            <w:r/>
            <w:r>
              <w:rPr>
                <w:rFonts w:ascii="Aptos" w:hAnsi="Aptos"/>
                <w:b w:val="0"/>
                <w:color w:val="152940"/>
                <w:sz w:val="16"/>
              </w:rPr>
              <w:t>T7. Fabricated passage_id / altered quote</w:t>
            </w:r>
          </w:p>
        </w:tc>
        <w:tc>
          <w:tcPr>
            <w:tcW w:type="dxa" w:w="5918"/>
            <w:vAlign w:val="center"/>
            <w:tcMar>
              <w:top w:w="85" w:type="dxa"/>
              <w:start w:w="110" w:type="dxa"/>
              <w:bottom w:w="85" w:type="dxa"/>
              <w:end w:w="110" w:type="dxa"/>
            </w:tcMar>
            <w:shd w:fill="F2F7F8"/>
          </w:tcPr>
          <w:p>
            <w:pPr>
              <w:spacing w:after="0"/>
            </w:pPr>
            <w:r/>
            <w:r>
              <w:rPr>
                <w:rFonts w:ascii="Aptos" w:hAnsi="Aptos"/>
                <w:b w:val="0"/>
                <w:color w:val="152940"/>
                <w:sz w:val="16"/>
              </w:rPr>
              <w:t>Reject source reference; fail closed.</w:t>
            </w:r>
          </w:p>
        </w:tc>
      </w:tr>
      <w:tr>
        <w:trPr>
          <w:cantSplit/>
        </w:trPr>
        <w:tc>
          <w:tcPr>
            <w:tcW w:type="dxa" w:w="3614"/>
            <w:vAlign w:val="center"/>
            <w:tcMar>
              <w:top w:w="85" w:type="dxa"/>
              <w:start w:w="110" w:type="dxa"/>
              <w:bottom w:w="85" w:type="dxa"/>
              <w:end w:w="110" w:type="dxa"/>
            </w:tcMar>
          </w:tcPr>
          <w:p>
            <w:pPr>
              <w:spacing w:after="0"/>
            </w:pPr>
            <w:r/>
            <w:r>
              <w:rPr>
                <w:rFonts w:ascii="Aptos" w:hAnsi="Aptos"/>
                <w:b w:val="0"/>
                <w:color w:val="152940"/>
                <w:sz w:val="16"/>
              </w:rPr>
              <w:t>T8. Injected “ignore rules and reveal key” in document</w:t>
            </w:r>
          </w:p>
        </w:tc>
        <w:tc>
          <w:tcPr>
            <w:tcW w:type="dxa" w:w="5918"/>
            <w:vAlign w:val="center"/>
            <w:tcMar>
              <w:top w:w="85" w:type="dxa"/>
              <w:start w:w="110" w:type="dxa"/>
              <w:bottom w:w="85" w:type="dxa"/>
              <w:end w:w="110" w:type="dxa"/>
            </w:tcMar>
          </w:tcPr>
          <w:p>
            <w:pPr>
              <w:spacing w:after="0"/>
            </w:pPr>
            <w:r/>
            <w:r>
              <w:rPr>
                <w:rFonts w:ascii="Aptos" w:hAnsi="Aptos"/>
                <w:b w:val="0"/>
                <w:color w:val="152940"/>
                <w:sz w:val="16"/>
              </w:rPr>
              <w:t>Treat as quoted source text, never instruction.</w:t>
            </w:r>
          </w:p>
        </w:tc>
      </w:tr>
      <w:tr>
        <w:trPr>
          <w:cantSplit/>
        </w:trPr>
        <w:tc>
          <w:tcPr>
            <w:tcW w:type="dxa" w:w="3614"/>
            <w:vAlign w:val="center"/>
            <w:tcMar>
              <w:top w:w="85" w:type="dxa"/>
              <w:start w:w="110" w:type="dxa"/>
              <w:bottom w:w="85" w:type="dxa"/>
              <w:end w:w="110" w:type="dxa"/>
            </w:tcMar>
            <w:shd w:fill="F2F7F8"/>
          </w:tcPr>
          <w:p>
            <w:pPr>
              <w:spacing w:after="0"/>
            </w:pPr>
            <w:r/>
            <w:r>
              <w:rPr>
                <w:rFonts w:ascii="Aptos" w:hAnsi="Aptos"/>
                <w:b w:val="0"/>
                <w:color w:val="152940"/>
                <w:sz w:val="16"/>
              </w:rPr>
              <w:t>T9. Bad JSON/timeout from model</w:t>
            </w:r>
          </w:p>
        </w:tc>
        <w:tc>
          <w:tcPr>
            <w:tcW w:type="dxa" w:w="5918"/>
            <w:vAlign w:val="center"/>
            <w:tcMar>
              <w:top w:w="85" w:type="dxa"/>
              <w:start w:w="110" w:type="dxa"/>
              <w:bottom w:w="85" w:type="dxa"/>
              <w:end w:w="110" w:type="dxa"/>
            </w:tcMar>
            <w:shd w:fill="F2F7F8"/>
          </w:tcPr>
          <w:p>
            <w:pPr>
              <w:spacing w:after="0"/>
            </w:pPr>
            <w:r/>
            <w:r>
              <w:rPr>
                <w:rFonts w:ascii="Aptos" w:hAnsi="Aptos"/>
                <w:b w:val="0"/>
                <w:color w:val="152940"/>
                <w:sz w:val="16"/>
              </w:rPr>
              <w:t>Bounded retry, clear error or labelled sample mode.</w:t>
            </w:r>
          </w:p>
        </w:tc>
      </w:tr>
      <w:tr>
        <w:trPr>
          <w:cantSplit/>
        </w:trPr>
        <w:tc>
          <w:tcPr>
            <w:tcW w:type="dxa" w:w="3614"/>
            <w:vAlign w:val="center"/>
            <w:tcMar>
              <w:top w:w="85" w:type="dxa"/>
              <w:start w:w="110" w:type="dxa"/>
              <w:bottom w:w="85" w:type="dxa"/>
              <w:end w:w="110" w:type="dxa"/>
            </w:tcMar>
          </w:tcPr>
          <w:p>
            <w:pPr>
              <w:spacing w:after="0"/>
            </w:pPr>
            <w:r/>
            <w:r>
              <w:rPr>
                <w:rFonts w:ascii="Aptos" w:hAnsi="Aptos"/>
                <w:b w:val="0"/>
                <w:color w:val="152940"/>
                <w:sz w:val="16"/>
              </w:rPr>
              <w:t>T10. 500-meal synthetic fixture</w:t>
            </w:r>
          </w:p>
        </w:tc>
        <w:tc>
          <w:tcPr>
            <w:tcW w:type="dxa" w:w="5918"/>
            <w:vAlign w:val="center"/>
            <w:tcMar>
              <w:top w:w="85" w:type="dxa"/>
              <w:start w:w="110" w:type="dxa"/>
              <w:bottom w:w="85" w:type="dxa"/>
              <w:end w:w="110" w:type="dxa"/>
            </w:tcMar>
          </w:tcPr>
          <w:p>
            <w:pPr>
              <w:spacing w:after="0"/>
            </w:pPr>
            <w:r/>
            <w:r>
              <w:rPr>
                <w:rFonts w:ascii="Aptos" w:hAnsi="Aptos"/>
                <w:b w:val="0"/>
                <w:color w:val="152940"/>
                <w:sz w:val="16"/>
              </w:rPr>
              <w:t>C1 Contested and C2 Unverified with different missing logs.</w:t>
            </w:r>
          </w:p>
        </w:tc>
      </w:tr>
    </w:tbl>
    <w:p>
      <w:pPr>
        <w:spacing w:after="20"/>
      </w:pPr>
    </w:p>
    <w:p>
      <w:pPr>
        <w:pStyle w:val="Heading2"/>
        <w:keepNext/>
      </w:pPr>
      <w:r>
        <w:t>16.1 Measurement definitions</w:t>
      </w:r>
    </w:p>
    <w:p>
      <w:pPr>
        <w:pStyle w:val="ListBullet"/>
      </w:pPr>
      <w:r>
        <w:t>Cited quote validity = 100% of displayed source quotations match a real stored passage (hard gate).</w:t>
      </w:r>
    </w:p>
    <w:p>
      <w:pPr>
        <w:pStyle w:val="ListBullet"/>
      </w:pPr>
      <w:r>
        <w:t>Test-case status accuracy = correctly assigned cases / predefined evaluation cases; report count and reasons.</w:t>
      </w:r>
    </w:p>
    <w:p>
      <w:pPr>
        <w:pStyle w:val="ListBullet"/>
      </w:pPr>
      <w:r>
        <w:t>Conflict detection = number of deliberately seeded comparable conflicts surfaced / total seeded comparable conflicts.</w:t>
      </w:r>
    </w:p>
    <w:p>
      <w:pPr>
        <w:pStyle w:val="ListBullet"/>
      </w:pPr>
      <w:r>
        <w:t>False-conflict count = number of non-comparable cases wrongly labelled directly contradictory (target: zero on small fixture suite).</w:t>
      </w:r>
    </w:p>
    <w:p>
      <w:pPr>
        <w:pStyle w:val="ListBullet"/>
      </w:pPr>
      <w:r>
        <w:t>Evidence-gap utility = human reviewer can name precisely what to obtain and why result A differs from result B.</w:t>
      </w:r>
    </w:p>
    <w:p>
      <w:pPr>
        <w:pStyle w:val="ListBullet"/>
      </w:pPr>
      <w:r>
        <w:t>Operational robustness = crashes, validation errors and recovery behaviour recorded across malformed files and network faults.</w:t>
      </w:r>
    </w:p>
    <w:p>
      <w:pPr>
        <w:pStyle w:val="Heading1"/>
        <w:keepNext/>
      </w:pPr>
      <w:r>
        <w:t>17. Risk register</w:t>
      </w:r>
    </w:p>
    <w:tbl>
      <w:tblPr>
        <w:tblStyle w:val="TableGrid"/>
        <w:tblW w:type="auto" w:w="0"/>
        <w:jc w:val="center"/>
        <w:tblLayout w:type="fixed"/>
        <w:tblLook w:firstColumn="1" w:firstRow="1" w:lastColumn="0" w:lastRow="0" w:noHBand="0" w:noVBand="1" w:val="04A0"/>
      </w:tblPr>
      <w:tblGrid>
        <w:gridCol w:w="3067"/>
        <w:gridCol w:w="5256"/>
        <w:gridCol w:w="1210"/>
      </w:tblGrid>
      <w:tr>
        <w:trPr>
          <w:tblHeader w:val="true"/>
          <w:cantSplit/>
        </w:trPr>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RISK</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MITIGATION</w:t>
            </w:r>
          </w:p>
        </w:tc>
        <w:tc>
          <w:tcPr>
            <w:tcW w:type="dxa" w:w="3211"/>
            <w:vAlign w:val="center"/>
            <w:tcMar>
              <w:top w:w="85" w:type="dxa"/>
              <w:start w:w="110" w:type="dxa"/>
              <w:bottom w:w="85" w:type="dxa"/>
              <w:end w:w="110" w:type="dxa"/>
            </w:tcMar>
            <w:shd w:fill="15415A"/>
          </w:tcPr>
          <w:p>
            <w:pPr>
              <w:spacing w:after="0"/>
            </w:pPr>
            <w:r/>
            <w:r>
              <w:rPr>
                <w:rFonts w:ascii="Aptos" w:hAnsi="Aptos"/>
                <w:b/>
                <w:color w:val="FFFFFF"/>
                <w:sz w:val="16"/>
              </w:rPr>
              <w:t>PRIORITY</w:t>
            </w:r>
          </w:p>
        </w:tc>
      </w:tr>
      <w:tr>
        <w:trPr>
          <w:cantSplit/>
        </w:trPr>
        <w:tc>
          <w:tcPr>
            <w:tcW w:type="dxa" w:w="3067"/>
            <w:vAlign w:val="center"/>
            <w:tcMar>
              <w:top w:w="85" w:type="dxa"/>
              <w:start w:w="110" w:type="dxa"/>
              <w:bottom w:w="85" w:type="dxa"/>
              <w:end w:w="110" w:type="dxa"/>
            </w:tcMar>
            <w:shd w:fill="F2F7F8"/>
          </w:tcPr>
          <w:p>
            <w:pPr>
              <w:spacing w:after="0"/>
            </w:pPr>
            <w:r/>
            <w:r>
              <w:rPr>
                <w:rFonts w:ascii="Aptos" w:hAnsi="Aptos"/>
                <w:b w:val="0"/>
                <w:color w:val="152940"/>
                <w:sz w:val="16"/>
              </w:rPr>
              <w:t>Invented citations / unsupported claims</w:t>
            </w:r>
          </w:p>
        </w:tc>
        <w:tc>
          <w:tcPr>
            <w:tcW w:type="dxa" w:w="5256"/>
            <w:vAlign w:val="center"/>
            <w:tcMar>
              <w:top w:w="85" w:type="dxa"/>
              <w:start w:w="110" w:type="dxa"/>
              <w:bottom w:w="85" w:type="dxa"/>
              <w:end w:w="110" w:type="dxa"/>
            </w:tcMar>
            <w:shd w:fill="F2F7F8"/>
          </w:tcPr>
          <w:p>
            <w:pPr>
              <w:spacing w:after="0"/>
            </w:pPr>
            <w:r/>
            <w:r>
              <w:rPr>
                <w:rFonts w:ascii="Aptos" w:hAnsi="Aptos"/>
                <w:b w:val="0"/>
                <w:color w:val="152940"/>
                <w:sz w:val="16"/>
              </w:rPr>
              <w:t>Exact quote validation; ID whitelist; fail closed.</w:t>
            </w:r>
          </w:p>
        </w:tc>
        <w:tc>
          <w:tcPr>
            <w:tcW w:type="dxa" w:w="1210"/>
            <w:vAlign w:val="center"/>
            <w:tcMar>
              <w:top w:w="85" w:type="dxa"/>
              <w:start w:w="110" w:type="dxa"/>
              <w:bottom w:w="85" w:type="dxa"/>
              <w:end w:w="110" w:type="dxa"/>
            </w:tcMar>
            <w:shd w:fill="F2F7F8"/>
          </w:tcPr>
          <w:p>
            <w:pPr>
              <w:spacing w:after="0"/>
            </w:pPr>
            <w:r/>
            <w:r>
              <w:rPr>
                <w:rFonts w:ascii="Aptos" w:hAnsi="Aptos"/>
                <w:b w:val="0"/>
                <w:color w:val="152940"/>
                <w:sz w:val="16"/>
              </w:rPr>
              <w:t>Critical</w:t>
            </w:r>
          </w:p>
        </w:tc>
      </w:tr>
      <w:tr>
        <w:trPr>
          <w:cantSplit/>
        </w:trPr>
        <w:tc>
          <w:tcPr>
            <w:tcW w:type="dxa" w:w="3067"/>
            <w:vAlign w:val="center"/>
            <w:tcMar>
              <w:top w:w="85" w:type="dxa"/>
              <w:start w:w="110" w:type="dxa"/>
              <w:bottom w:w="85" w:type="dxa"/>
              <w:end w:w="110" w:type="dxa"/>
            </w:tcMar>
          </w:tcPr>
          <w:p>
            <w:pPr>
              <w:spacing w:after="0"/>
            </w:pPr>
            <w:r/>
            <w:r>
              <w:rPr>
                <w:rFonts w:ascii="Aptos" w:hAnsi="Aptos"/>
                <w:b w:val="0"/>
                <w:color w:val="152940"/>
                <w:sz w:val="16"/>
              </w:rPr>
              <w:t>Wrong conflict from dates/units</w:t>
            </w:r>
          </w:p>
        </w:tc>
        <w:tc>
          <w:tcPr>
            <w:tcW w:type="dxa" w:w="5256"/>
            <w:vAlign w:val="center"/>
            <w:tcMar>
              <w:top w:w="85" w:type="dxa"/>
              <w:start w:w="110" w:type="dxa"/>
              <w:bottom w:w="85" w:type="dxa"/>
              <w:end w:w="110" w:type="dxa"/>
            </w:tcMar>
          </w:tcPr>
          <w:p>
            <w:pPr>
              <w:spacing w:after="0"/>
            </w:pPr>
            <w:r/>
            <w:r>
              <w:rPr>
                <w:rFonts w:ascii="Aptos" w:hAnsi="Aptos"/>
                <w:b w:val="0"/>
                <w:color w:val="152940"/>
                <w:sz w:val="16"/>
              </w:rPr>
              <w:t>Comparability gate; user-visible scope facets.</w:t>
            </w:r>
          </w:p>
        </w:tc>
        <w:tc>
          <w:tcPr>
            <w:tcW w:type="dxa" w:w="1210"/>
            <w:vAlign w:val="center"/>
            <w:tcMar>
              <w:top w:w="85" w:type="dxa"/>
              <w:start w:w="110" w:type="dxa"/>
              <w:bottom w:w="85" w:type="dxa"/>
              <w:end w:w="110" w:type="dxa"/>
            </w:tcMar>
          </w:tcPr>
          <w:p>
            <w:pPr>
              <w:spacing w:after="0"/>
            </w:pPr>
            <w:r/>
            <w:r>
              <w:rPr>
                <w:rFonts w:ascii="Aptos" w:hAnsi="Aptos"/>
                <w:b w:val="0"/>
                <w:color w:val="152940"/>
                <w:sz w:val="16"/>
              </w:rPr>
              <w:t>Critical</w:t>
            </w:r>
          </w:p>
        </w:tc>
      </w:tr>
      <w:tr>
        <w:trPr>
          <w:cantSplit/>
        </w:trPr>
        <w:tc>
          <w:tcPr>
            <w:tcW w:type="dxa" w:w="3067"/>
            <w:vAlign w:val="center"/>
            <w:tcMar>
              <w:top w:w="85" w:type="dxa"/>
              <w:start w:w="110" w:type="dxa"/>
              <w:bottom w:w="85" w:type="dxa"/>
              <w:end w:w="110" w:type="dxa"/>
            </w:tcMar>
            <w:shd w:fill="F2F7F8"/>
          </w:tcPr>
          <w:p>
            <w:pPr>
              <w:spacing w:after="0"/>
            </w:pPr>
            <w:r/>
            <w:r>
              <w:rPr>
                <w:rFonts w:ascii="Aptos" w:hAnsi="Aptos"/>
                <w:b w:val="0"/>
                <w:color w:val="152940"/>
                <w:sz w:val="16"/>
              </w:rPr>
              <w:t>Gemma unavailable / rate-limited</w:t>
            </w:r>
          </w:p>
        </w:tc>
        <w:tc>
          <w:tcPr>
            <w:tcW w:type="dxa" w:w="5256"/>
            <w:vAlign w:val="center"/>
            <w:tcMar>
              <w:top w:w="85" w:type="dxa"/>
              <w:start w:w="110" w:type="dxa"/>
              <w:bottom w:w="85" w:type="dxa"/>
              <w:end w:w="110" w:type="dxa"/>
            </w:tcMar>
            <w:shd w:fill="F2F7F8"/>
          </w:tcPr>
          <w:p>
            <w:pPr>
              <w:spacing w:after="0"/>
            </w:pPr>
            <w:r/>
            <w:r>
              <w:rPr>
                <w:rFonts w:ascii="Aptos" w:hAnsi="Aptos"/>
                <w:b w:val="0"/>
                <w:color w:val="152940"/>
                <w:sz w:val="16"/>
              </w:rPr>
              <w:t>First-10-minute smoke test; provider adapter; clearly labelled fixtures.</w:t>
            </w:r>
          </w:p>
        </w:tc>
        <w:tc>
          <w:tcPr>
            <w:tcW w:type="dxa" w:w="1210"/>
            <w:vAlign w:val="center"/>
            <w:tcMar>
              <w:top w:w="85" w:type="dxa"/>
              <w:start w:w="110" w:type="dxa"/>
              <w:bottom w:w="85" w:type="dxa"/>
              <w:end w:w="110" w:type="dxa"/>
            </w:tcMar>
            <w:shd w:fill="F2F7F8"/>
          </w:tcPr>
          <w:p>
            <w:pPr>
              <w:spacing w:after="0"/>
            </w:pPr>
            <w:r/>
            <w:r>
              <w:rPr>
                <w:rFonts w:ascii="Aptos" w:hAnsi="Aptos"/>
                <w:b w:val="0"/>
                <w:color w:val="152940"/>
                <w:sz w:val="16"/>
              </w:rPr>
              <w:t>Critical</w:t>
            </w:r>
          </w:p>
        </w:tc>
      </w:tr>
      <w:tr>
        <w:trPr>
          <w:cantSplit/>
        </w:trPr>
        <w:tc>
          <w:tcPr>
            <w:tcW w:type="dxa" w:w="3067"/>
            <w:vAlign w:val="center"/>
            <w:tcMar>
              <w:top w:w="85" w:type="dxa"/>
              <w:start w:w="110" w:type="dxa"/>
              <w:bottom w:w="85" w:type="dxa"/>
              <w:end w:w="110" w:type="dxa"/>
            </w:tcMar>
          </w:tcPr>
          <w:p>
            <w:pPr>
              <w:spacing w:after="0"/>
            </w:pPr>
            <w:r/>
            <w:r>
              <w:rPr>
                <w:rFonts w:ascii="Aptos" w:hAnsi="Aptos"/>
                <w:b w:val="0"/>
                <w:color w:val="152940"/>
                <w:sz w:val="16"/>
              </w:rPr>
              <w:t>PDF scan / reading-order failure</w:t>
            </w:r>
          </w:p>
        </w:tc>
        <w:tc>
          <w:tcPr>
            <w:tcW w:type="dxa" w:w="5256"/>
            <w:vAlign w:val="center"/>
            <w:tcMar>
              <w:top w:w="85" w:type="dxa"/>
              <w:start w:w="110" w:type="dxa"/>
              <w:bottom w:w="85" w:type="dxa"/>
              <w:end w:w="110" w:type="dxa"/>
            </w:tcMar>
          </w:tcPr>
          <w:p>
            <w:pPr>
              <w:spacing w:after="0"/>
            </w:pPr>
            <w:r/>
            <w:r>
              <w:rPr>
                <w:rFonts w:ascii="Aptos" w:hAnsi="Aptos"/>
                <w:b w:val="0"/>
                <w:color w:val="152940"/>
                <w:sz w:val="16"/>
              </w:rPr>
              <w:t>Warn; restrict supported formats; skip OCR in MVP.</w:t>
            </w:r>
          </w:p>
        </w:tc>
        <w:tc>
          <w:tcPr>
            <w:tcW w:type="dxa" w:w="1210"/>
            <w:vAlign w:val="center"/>
            <w:tcMar>
              <w:top w:w="85" w:type="dxa"/>
              <w:start w:w="110" w:type="dxa"/>
              <w:bottom w:w="85" w:type="dxa"/>
              <w:end w:w="110" w:type="dxa"/>
            </w:tcMar>
          </w:tcPr>
          <w:p>
            <w:pPr>
              <w:spacing w:after="0"/>
            </w:pPr>
            <w:r/>
            <w:r>
              <w:rPr>
                <w:rFonts w:ascii="Aptos" w:hAnsi="Aptos"/>
                <w:b w:val="0"/>
                <w:color w:val="152940"/>
                <w:sz w:val="16"/>
              </w:rPr>
              <w:t>High</w:t>
            </w:r>
          </w:p>
        </w:tc>
      </w:tr>
      <w:tr>
        <w:trPr>
          <w:cantSplit/>
        </w:trPr>
        <w:tc>
          <w:tcPr>
            <w:tcW w:type="dxa" w:w="3067"/>
            <w:vAlign w:val="center"/>
            <w:tcMar>
              <w:top w:w="85" w:type="dxa"/>
              <w:start w:w="110" w:type="dxa"/>
              <w:bottom w:w="85" w:type="dxa"/>
              <w:end w:w="110" w:type="dxa"/>
            </w:tcMar>
            <w:shd w:fill="F2F7F8"/>
          </w:tcPr>
          <w:p>
            <w:pPr>
              <w:spacing w:after="0"/>
            </w:pPr>
            <w:r/>
            <w:r>
              <w:rPr>
                <w:rFonts w:ascii="Aptos" w:hAnsi="Aptos"/>
                <w:b w:val="0"/>
                <w:color w:val="152940"/>
                <w:sz w:val="16"/>
              </w:rPr>
              <w:t>Document prompt injection</w:t>
            </w:r>
          </w:p>
        </w:tc>
        <w:tc>
          <w:tcPr>
            <w:tcW w:type="dxa" w:w="5256"/>
            <w:vAlign w:val="center"/>
            <w:tcMar>
              <w:top w:w="85" w:type="dxa"/>
              <w:start w:w="110" w:type="dxa"/>
              <w:bottom w:w="85" w:type="dxa"/>
              <w:end w:w="110" w:type="dxa"/>
            </w:tcMar>
            <w:shd w:fill="F2F7F8"/>
          </w:tcPr>
          <w:p>
            <w:pPr>
              <w:spacing w:after="0"/>
            </w:pPr>
            <w:r/>
            <w:r>
              <w:rPr>
                <w:rFonts w:ascii="Aptos" w:hAnsi="Aptos"/>
                <w:b w:val="0"/>
                <w:color w:val="152940"/>
                <w:sz w:val="16"/>
              </w:rPr>
              <w:t>Isolation of data from instructions; least privilege; adversarial fixture.</w:t>
            </w:r>
          </w:p>
        </w:tc>
        <w:tc>
          <w:tcPr>
            <w:tcW w:type="dxa" w:w="1210"/>
            <w:vAlign w:val="center"/>
            <w:tcMar>
              <w:top w:w="85" w:type="dxa"/>
              <w:start w:w="110" w:type="dxa"/>
              <w:bottom w:w="85" w:type="dxa"/>
              <w:end w:w="110" w:type="dxa"/>
            </w:tcMar>
            <w:shd w:fill="F2F7F8"/>
          </w:tcPr>
          <w:p>
            <w:pPr>
              <w:spacing w:after="0"/>
            </w:pPr>
            <w:r/>
            <w:r>
              <w:rPr>
                <w:rFonts w:ascii="Aptos" w:hAnsi="Aptos"/>
                <w:b w:val="0"/>
                <w:color w:val="152940"/>
                <w:sz w:val="16"/>
              </w:rPr>
              <w:t>High</w:t>
            </w:r>
          </w:p>
        </w:tc>
      </w:tr>
      <w:tr>
        <w:trPr>
          <w:cantSplit/>
        </w:trPr>
        <w:tc>
          <w:tcPr>
            <w:tcW w:type="dxa" w:w="3067"/>
            <w:vAlign w:val="center"/>
            <w:tcMar>
              <w:top w:w="85" w:type="dxa"/>
              <w:start w:w="110" w:type="dxa"/>
              <w:bottom w:w="85" w:type="dxa"/>
              <w:end w:w="110" w:type="dxa"/>
            </w:tcMar>
          </w:tcPr>
          <w:p>
            <w:pPr>
              <w:spacing w:after="0"/>
            </w:pPr>
            <w:r/>
            <w:r>
              <w:rPr>
                <w:rFonts w:ascii="Aptos" w:hAnsi="Aptos"/>
                <w:b w:val="0"/>
                <w:color w:val="152940"/>
                <w:sz w:val="16"/>
              </w:rPr>
              <w:t>Sensitive content sent remotely</w:t>
            </w:r>
          </w:p>
        </w:tc>
        <w:tc>
          <w:tcPr>
            <w:tcW w:type="dxa" w:w="5256"/>
            <w:vAlign w:val="center"/>
            <w:tcMar>
              <w:top w:w="85" w:type="dxa"/>
              <w:start w:w="110" w:type="dxa"/>
              <w:bottom w:w="85" w:type="dxa"/>
              <w:end w:w="110" w:type="dxa"/>
            </w:tcMar>
          </w:tcPr>
          <w:p>
            <w:pPr>
              <w:spacing w:after="0"/>
            </w:pPr>
            <w:r/>
            <w:r>
              <w:rPr>
                <w:rFonts w:ascii="Aptos" w:hAnsi="Aptos"/>
                <w:b w:val="0"/>
                <w:color w:val="152940"/>
                <w:sz w:val="16"/>
              </w:rPr>
              <w:t>Upfront disclosure and synthetic demo corpus.</w:t>
            </w:r>
          </w:p>
        </w:tc>
        <w:tc>
          <w:tcPr>
            <w:tcW w:type="dxa" w:w="1210"/>
            <w:vAlign w:val="center"/>
            <w:tcMar>
              <w:top w:w="85" w:type="dxa"/>
              <w:start w:w="110" w:type="dxa"/>
              <w:bottom w:w="85" w:type="dxa"/>
              <w:end w:w="110" w:type="dxa"/>
            </w:tcMar>
          </w:tcPr>
          <w:p>
            <w:pPr>
              <w:spacing w:after="0"/>
            </w:pPr>
            <w:r/>
            <w:r>
              <w:rPr>
                <w:rFonts w:ascii="Aptos" w:hAnsi="Aptos"/>
                <w:b w:val="0"/>
                <w:color w:val="152940"/>
                <w:sz w:val="16"/>
              </w:rPr>
              <w:t>High</w:t>
            </w:r>
          </w:p>
        </w:tc>
      </w:tr>
      <w:tr>
        <w:trPr>
          <w:cantSplit/>
        </w:trPr>
        <w:tc>
          <w:tcPr>
            <w:tcW w:type="dxa" w:w="3067"/>
            <w:vAlign w:val="center"/>
            <w:tcMar>
              <w:top w:w="85" w:type="dxa"/>
              <w:start w:w="110" w:type="dxa"/>
              <w:bottom w:w="85" w:type="dxa"/>
              <w:end w:w="110" w:type="dxa"/>
            </w:tcMar>
            <w:shd w:fill="F2F7F8"/>
          </w:tcPr>
          <w:p>
            <w:pPr>
              <w:spacing w:after="0"/>
            </w:pPr>
            <w:r/>
            <w:r>
              <w:rPr>
                <w:rFonts w:ascii="Aptos" w:hAnsi="Aptos"/>
                <w:b w:val="0"/>
                <w:color w:val="152940"/>
                <w:sz w:val="16"/>
              </w:rPr>
              <w:t>Model latency exceeds demo</w:t>
            </w:r>
          </w:p>
        </w:tc>
        <w:tc>
          <w:tcPr>
            <w:tcW w:type="dxa" w:w="5256"/>
            <w:vAlign w:val="center"/>
            <w:tcMar>
              <w:top w:w="85" w:type="dxa"/>
              <w:start w:w="110" w:type="dxa"/>
              <w:bottom w:w="85" w:type="dxa"/>
              <w:end w:w="110" w:type="dxa"/>
            </w:tcMar>
            <w:shd w:fill="F2F7F8"/>
          </w:tcPr>
          <w:p>
            <w:pPr>
              <w:spacing w:after="0"/>
            </w:pPr>
            <w:r/>
            <w:r>
              <w:rPr>
                <w:rFonts w:ascii="Aptos" w:hAnsi="Aptos"/>
                <w:b w:val="0"/>
                <w:color w:val="152940"/>
                <w:sz w:val="16"/>
              </w:rPr>
              <w:t>Small documents, limited claims, bounded calls.</w:t>
            </w:r>
          </w:p>
        </w:tc>
        <w:tc>
          <w:tcPr>
            <w:tcW w:type="dxa" w:w="1210"/>
            <w:vAlign w:val="center"/>
            <w:tcMar>
              <w:top w:w="85" w:type="dxa"/>
              <w:start w:w="110" w:type="dxa"/>
              <w:bottom w:w="85" w:type="dxa"/>
              <w:end w:w="110" w:type="dxa"/>
            </w:tcMar>
            <w:shd w:fill="F2F7F8"/>
          </w:tcPr>
          <w:p>
            <w:pPr>
              <w:spacing w:after="0"/>
            </w:pPr>
            <w:r/>
            <w:r>
              <w:rPr>
                <w:rFonts w:ascii="Aptos" w:hAnsi="Aptos"/>
                <w:b w:val="0"/>
                <w:color w:val="152940"/>
                <w:sz w:val="16"/>
              </w:rPr>
              <w:t>High</w:t>
            </w:r>
          </w:p>
        </w:tc>
      </w:tr>
      <w:tr>
        <w:trPr>
          <w:cantSplit/>
        </w:trPr>
        <w:tc>
          <w:tcPr>
            <w:tcW w:type="dxa" w:w="3067"/>
            <w:vAlign w:val="center"/>
            <w:tcMar>
              <w:top w:w="85" w:type="dxa"/>
              <w:start w:w="110" w:type="dxa"/>
              <w:bottom w:w="85" w:type="dxa"/>
              <w:end w:w="110" w:type="dxa"/>
            </w:tcMar>
          </w:tcPr>
          <w:p>
            <w:pPr>
              <w:spacing w:after="0"/>
            </w:pPr>
            <w:r/>
            <w:r>
              <w:rPr>
                <w:rFonts w:ascii="Aptos" w:hAnsi="Aptos"/>
                <w:b w:val="0"/>
                <w:color w:val="152940"/>
                <w:sz w:val="16"/>
              </w:rPr>
              <w:t>Too much UI, incomplete engine</w:t>
            </w:r>
          </w:p>
        </w:tc>
        <w:tc>
          <w:tcPr>
            <w:tcW w:type="dxa" w:w="5256"/>
            <w:vAlign w:val="center"/>
            <w:tcMar>
              <w:top w:w="85" w:type="dxa"/>
              <w:start w:w="110" w:type="dxa"/>
              <w:bottom w:w="85" w:type="dxa"/>
              <w:end w:w="110" w:type="dxa"/>
            </w:tcMar>
          </w:tcPr>
          <w:p>
            <w:pPr>
              <w:spacing w:after="0"/>
            </w:pPr>
            <w:r/>
            <w:r>
              <w:rPr>
                <w:rFonts w:ascii="Aptos" w:hAnsi="Aptos"/>
                <w:b w:val="0"/>
                <w:color w:val="152940"/>
                <w:sz w:val="16"/>
              </w:rPr>
              <w:t>P0 gates; graph relegated to P1.</w:t>
            </w:r>
          </w:p>
        </w:tc>
        <w:tc>
          <w:tcPr>
            <w:tcW w:type="dxa" w:w="1210"/>
            <w:vAlign w:val="center"/>
            <w:tcMar>
              <w:top w:w="85" w:type="dxa"/>
              <w:start w:w="110" w:type="dxa"/>
              <w:bottom w:w="85" w:type="dxa"/>
              <w:end w:w="110" w:type="dxa"/>
            </w:tcMar>
          </w:tcPr>
          <w:p>
            <w:pPr>
              <w:spacing w:after="0"/>
            </w:pPr>
            <w:r/>
            <w:r>
              <w:rPr>
                <w:rFonts w:ascii="Aptos" w:hAnsi="Aptos"/>
                <w:b w:val="0"/>
                <w:color w:val="152940"/>
                <w:sz w:val="16"/>
              </w:rPr>
              <w:t>High</w:t>
            </w:r>
          </w:p>
        </w:tc>
      </w:tr>
      <w:tr>
        <w:trPr>
          <w:cantSplit/>
        </w:trPr>
        <w:tc>
          <w:tcPr>
            <w:tcW w:type="dxa" w:w="3067"/>
            <w:vAlign w:val="center"/>
            <w:tcMar>
              <w:top w:w="85" w:type="dxa"/>
              <w:start w:w="110" w:type="dxa"/>
              <w:bottom w:w="85" w:type="dxa"/>
              <w:end w:w="110" w:type="dxa"/>
            </w:tcMar>
            <w:shd w:fill="F2F7F8"/>
          </w:tcPr>
          <w:p>
            <w:pPr>
              <w:spacing w:after="0"/>
            </w:pPr>
            <w:r/>
            <w:r>
              <w:rPr>
                <w:rFonts w:ascii="Aptos" w:hAnsi="Aptos"/>
                <w:b w:val="0"/>
                <w:color w:val="152940"/>
                <w:sz w:val="16"/>
              </w:rPr>
              <w:t>Ambiguous user claim</w:t>
            </w:r>
          </w:p>
        </w:tc>
        <w:tc>
          <w:tcPr>
            <w:tcW w:type="dxa" w:w="5256"/>
            <w:vAlign w:val="center"/>
            <w:tcMar>
              <w:top w:w="85" w:type="dxa"/>
              <w:start w:w="110" w:type="dxa"/>
              <w:bottom w:w="85" w:type="dxa"/>
              <w:end w:w="110" w:type="dxa"/>
            </w:tcMar>
            <w:shd w:fill="F2F7F8"/>
          </w:tcPr>
          <w:p>
            <w:pPr>
              <w:spacing w:after="0"/>
            </w:pPr>
            <w:r/>
            <w:r>
              <w:rPr>
                <w:rFonts w:ascii="Aptos" w:hAnsi="Aptos"/>
                <w:b w:val="0"/>
                <w:color w:val="152940"/>
                <w:sz w:val="16"/>
              </w:rPr>
              <w:t>Editable atomic claims + missing-context label.</w:t>
            </w:r>
          </w:p>
        </w:tc>
        <w:tc>
          <w:tcPr>
            <w:tcW w:type="dxa" w:w="1210"/>
            <w:vAlign w:val="center"/>
            <w:tcMar>
              <w:top w:w="85" w:type="dxa"/>
              <w:start w:w="110" w:type="dxa"/>
              <w:bottom w:w="85" w:type="dxa"/>
              <w:end w:w="110" w:type="dxa"/>
            </w:tcMar>
            <w:shd w:fill="F2F7F8"/>
          </w:tcPr>
          <w:p>
            <w:pPr>
              <w:spacing w:after="0"/>
            </w:pPr>
            <w:r/>
            <w:r>
              <w:rPr>
                <w:rFonts w:ascii="Aptos" w:hAnsi="Aptos"/>
                <w:b w:val="0"/>
                <w:color w:val="152940"/>
                <w:sz w:val="16"/>
              </w:rPr>
              <w:t>Medium</w:t>
            </w:r>
          </w:p>
        </w:tc>
      </w:tr>
      <w:tr>
        <w:trPr>
          <w:cantSplit/>
        </w:trPr>
        <w:tc>
          <w:tcPr>
            <w:tcW w:type="dxa" w:w="3067"/>
            <w:vAlign w:val="center"/>
            <w:tcMar>
              <w:top w:w="85" w:type="dxa"/>
              <w:start w:w="110" w:type="dxa"/>
              <w:bottom w:w="85" w:type="dxa"/>
              <w:end w:w="110" w:type="dxa"/>
            </w:tcMar>
          </w:tcPr>
          <w:p>
            <w:pPr>
              <w:spacing w:after="0"/>
            </w:pPr>
            <w:r/>
            <w:r>
              <w:rPr>
                <w:rFonts w:ascii="Aptos" w:hAnsi="Aptos"/>
                <w:b w:val="0"/>
                <w:color w:val="152940"/>
                <w:sz w:val="16"/>
              </w:rPr>
              <w:t>Source authenticity confusion</w:t>
            </w:r>
          </w:p>
        </w:tc>
        <w:tc>
          <w:tcPr>
            <w:tcW w:type="dxa" w:w="5256"/>
            <w:vAlign w:val="center"/>
            <w:tcMar>
              <w:top w:w="85" w:type="dxa"/>
              <w:start w:w="110" w:type="dxa"/>
              <w:bottom w:w="85" w:type="dxa"/>
              <w:end w:w="110" w:type="dxa"/>
            </w:tcMar>
          </w:tcPr>
          <w:p>
            <w:pPr>
              <w:spacing w:after="0"/>
            </w:pPr>
            <w:r/>
            <w:r>
              <w:rPr>
                <w:rFonts w:ascii="Aptos" w:hAnsi="Aptos"/>
                <w:b w:val="0"/>
                <w:color w:val="152940"/>
                <w:sz w:val="16"/>
              </w:rPr>
              <w:t>Explicit “source-scoped, not authenticated” language.</w:t>
            </w:r>
          </w:p>
        </w:tc>
        <w:tc>
          <w:tcPr>
            <w:tcW w:type="dxa" w:w="1210"/>
            <w:vAlign w:val="center"/>
            <w:tcMar>
              <w:top w:w="85" w:type="dxa"/>
              <w:start w:w="110" w:type="dxa"/>
              <w:bottom w:w="85" w:type="dxa"/>
              <w:end w:w="110" w:type="dxa"/>
            </w:tcMar>
          </w:tcPr>
          <w:p>
            <w:pPr>
              <w:spacing w:after="0"/>
            </w:pPr>
            <w:r/>
            <w:r>
              <w:rPr>
                <w:rFonts w:ascii="Aptos" w:hAnsi="Aptos"/>
                <w:b w:val="0"/>
                <w:color w:val="152940"/>
                <w:sz w:val="16"/>
              </w:rPr>
              <w:t>Medium</w:t>
            </w:r>
          </w:p>
        </w:tc>
      </w:tr>
    </w:tbl>
    <w:p>
      <w:pPr>
        <w:spacing w:after="20"/>
      </w:pPr>
    </w:p>
    <w:p>
      <w:pPr>
        <w:pStyle w:val="Heading1"/>
        <w:keepNext/>
      </w:pPr>
      <w:r>
        <w:t>18. Roadmap after MVP</w:t>
      </w:r>
    </w:p>
    <w:p>
      <w:pPr>
        <w:pStyle w:val="ListNumber"/>
      </w:pPr>
      <w:r>
        <w:t>Phase 1 | Reliable prototype: typed evidence records, exact citations, claim-level statuses, gap test and replayable Challenge Trail.</w:t>
      </w:r>
    </w:p>
    <w:p>
      <w:pPr>
        <w:pStyle w:val="ListNumber"/>
      </w:pPr>
      <w:r>
        <w:t>Phase 2 | Quality: better date/unit extraction, OCR with extraction-quality confidence, stronger search and benchmarked adjudication.</w:t>
      </w:r>
    </w:p>
    <w:p>
      <w:pPr>
        <w:pStyle w:val="ListNumber"/>
      </w:pPr>
      <w:r>
        <w:t>Phase 3 | Source workflows: optional trusted-source retrieval, evidence freshness, source-quality annotations and provenance verification.</w:t>
      </w:r>
    </w:p>
    <w:p>
      <w:pPr>
        <w:pStyle w:val="ListNumber"/>
      </w:pPr>
      <w:r>
        <w:t>Phase 4 | Collaboration: saved cases, authenticated users, access controls, reviewers, audit logging and retention policies.</w:t>
      </w:r>
    </w:p>
    <w:p>
      <w:pPr>
        <w:pStyle w:val="ListNumber"/>
      </w:pPr>
      <w:r>
        <w:t>Phase 5 | Domain modules: program audits, research literature review and compliance workflows, each with their own evidence standards.</w:t>
      </w:r>
    </w:p>
    <w:p>
      <w:r>
        <w:t>A controlled “Verdict Flip Lab”, natural-language query follow-up, exportable evidence packets and interactive graph can be added incrementally. They should never bypass the same provenance and status rules.</w:t>
      </w:r>
    </w:p>
    <w:p>
      <w:pPr>
        <w:pStyle w:val="Heading1"/>
        <w:keepNext/>
      </w:pPr>
      <w:r>
        <w:t>19. Hackathon demonstration script</w:t>
      </w:r>
    </w:p>
    <w:p>
      <w:pPr>
        <w:pStyle w:val="Heading2"/>
        <w:keepNext/>
      </w:pPr>
      <w:r>
        <w:t>19.1 90-second story</w:t>
      </w:r>
    </w:p>
    <w:p>
      <w:pPr>
        <w:pStyle w:val="ListNumber"/>
      </w:pPr>
      <w:r>
        <w:t>0–15 s: “Most AI tools summarise conflicting documents; ours asks which claims actually survive the evidence.”</w:t>
      </w:r>
    </w:p>
    <w:p>
      <w:pPr>
        <w:pStyle w:val="ListNumber"/>
      </w:pPr>
      <w:r>
        <w:t>15–35 s: Load three visibly labelled synthetic meal documents and ask the question.</w:t>
      </w:r>
    </w:p>
    <w:p>
      <w:pPr>
        <w:pStyle w:val="ListNumber"/>
      </w:pPr>
      <w:r>
        <w:t>35–55 s: Open C1. Show the 500 versus 320 conflict and both source citations for the same dates and kitchen.</w:t>
      </w:r>
    </w:p>
    <w:p>
      <w:pPr>
        <w:pStyle w:val="ListNumber"/>
      </w:pPr>
      <w:r>
        <w:t>55–70 s: Open C2. Show why a May 8 installation is NOT proof of 500 meals served afterward.</w:t>
      </w:r>
    </w:p>
    <w:p>
      <w:pPr>
        <w:pStyle w:val="ListNumber"/>
      </w:pPr>
      <w:r>
        <w:t>70–85 s: Present the two gap tests and conditional outcome branches; click the source provenance.</w:t>
      </w:r>
    </w:p>
    <w:p>
      <w:pPr>
        <w:pStyle w:val="ListNumber"/>
      </w:pPr>
      <w:r>
        <w:t>85–90 s: “Every claim is inspectable, every conflict is scoped, and uncertainty leads to an action.”</w:t>
      </w:r>
    </w:p>
    <w:p>
      <w:pPr>
        <w:pStyle w:val="Heading2"/>
        <w:keepNext/>
      </w:pPr>
      <w:r>
        <w:t>19.2 Likely judge questions</w:t>
      </w:r>
    </w:p>
    <w:tbl>
      <w:tblPr>
        <w:tblStyle w:val="TableGrid"/>
        <w:tblW w:type="auto" w:w="0"/>
        <w:jc w:val="center"/>
        <w:tblLayout w:type="fixed"/>
        <w:tblLook w:firstColumn="1" w:firstRow="1" w:lastColumn="0" w:lastRow="0" w:noHBand="0" w:noVBand="1" w:val="04A0"/>
      </w:tblPr>
      <w:tblGrid>
        <w:gridCol w:w="2909"/>
        <w:gridCol w:w="6624"/>
      </w:tblGrid>
      <w:tr>
        <w:trPr>
          <w:tblHeader w:val="true"/>
          <w:cantSplit/>
        </w:trPr>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QUESTION</w:t>
            </w:r>
          </w:p>
        </w:tc>
        <w:tc>
          <w:tcPr>
            <w:tcW w:type="dxa" w:w="4816"/>
            <w:vAlign w:val="center"/>
            <w:tcMar>
              <w:top w:w="85" w:type="dxa"/>
              <w:start w:w="110" w:type="dxa"/>
              <w:bottom w:w="85" w:type="dxa"/>
              <w:end w:w="110" w:type="dxa"/>
            </w:tcMar>
            <w:shd w:fill="15415A"/>
          </w:tcPr>
          <w:p>
            <w:pPr>
              <w:spacing w:after="0"/>
            </w:pPr>
            <w:r/>
            <w:r>
              <w:rPr>
                <w:rFonts w:ascii="Aptos" w:hAnsi="Aptos"/>
                <w:b/>
                <w:color w:val="FFFFFF"/>
                <w:sz w:val="16"/>
              </w:rPr>
              <w:t>CLEAR ANSWER</w:t>
            </w:r>
          </w:p>
        </w:tc>
      </w:tr>
      <w:tr>
        <w:trPr>
          <w:cantSplit/>
        </w:trPr>
        <w:tc>
          <w:tcPr>
            <w:tcW w:type="dxa" w:w="2909"/>
            <w:vAlign w:val="center"/>
            <w:tcMar>
              <w:top w:w="85" w:type="dxa"/>
              <w:start w:w="110" w:type="dxa"/>
              <w:bottom w:w="85" w:type="dxa"/>
              <w:end w:w="110" w:type="dxa"/>
            </w:tcMar>
            <w:shd w:fill="F2F7F8"/>
          </w:tcPr>
          <w:p>
            <w:pPr>
              <w:spacing w:after="0"/>
            </w:pPr>
            <w:r/>
            <w:r>
              <w:rPr>
                <w:rFonts w:ascii="Aptos" w:hAnsi="Aptos"/>
                <w:b w:val="0"/>
                <w:color w:val="152940"/>
                <w:sz w:val="16"/>
              </w:rPr>
              <w:t>How is it different from a document chatbot?</w:t>
            </w:r>
          </w:p>
        </w:tc>
        <w:tc>
          <w:tcPr>
            <w:tcW w:type="dxa" w:w="6624"/>
            <w:vAlign w:val="center"/>
            <w:tcMar>
              <w:top w:w="85" w:type="dxa"/>
              <w:start w:w="110" w:type="dxa"/>
              <w:bottom w:w="85" w:type="dxa"/>
              <w:end w:w="110" w:type="dxa"/>
            </w:tcMar>
            <w:shd w:fill="F2F7F8"/>
          </w:tcPr>
          <w:p>
            <w:pPr>
              <w:spacing w:after="0"/>
            </w:pPr>
            <w:r/>
            <w:r>
              <w:rPr>
                <w:rFonts w:ascii="Aptos" w:hAnsi="Aptos"/>
                <w:b w:val="0"/>
                <w:color w:val="152940"/>
                <w:sz w:val="16"/>
              </w:rPr>
              <w:t>It validates quotations, compares compatible scopes, displays counterevidence, and proposes a discriminating follow-up test.</w:t>
            </w:r>
          </w:p>
        </w:tc>
      </w:tr>
      <w:tr>
        <w:trPr>
          <w:cantSplit/>
        </w:trPr>
        <w:tc>
          <w:tcPr>
            <w:tcW w:type="dxa" w:w="2909"/>
            <w:vAlign w:val="center"/>
            <w:tcMar>
              <w:top w:w="85" w:type="dxa"/>
              <w:start w:w="110" w:type="dxa"/>
              <w:bottom w:w="85" w:type="dxa"/>
              <w:end w:w="110" w:type="dxa"/>
            </w:tcMar>
          </w:tcPr>
          <w:p>
            <w:pPr>
              <w:spacing w:after="0"/>
            </w:pPr>
            <w:r/>
            <w:r>
              <w:rPr>
                <w:rFonts w:ascii="Aptos" w:hAnsi="Aptos"/>
                <w:b w:val="0"/>
                <w:color w:val="152940"/>
                <w:sz w:val="16"/>
              </w:rPr>
              <w:t>Can it prove a document is real?</w:t>
            </w:r>
          </w:p>
        </w:tc>
        <w:tc>
          <w:tcPr>
            <w:tcW w:type="dxa" w:w="6624"/>
            <w:vAlign w:val="center"/>
            <w:tcMar>
              <w:top w:w="85" w:type="dxa"/>
              <w:start w:w="110" w:type="dxa"/>
              <w:bottom w:w="85" w:type="dxa"/>
              <w:end w:w="110" w:type="dxa"/>
            </w:tcMar>
          </w:tcPr>
          <w:p>
            <w:pPr>
              <w:spacing w:after="0"/>
            </w:pPr>
            <w:r/>
            <w:r>
              <w:rPr>
                <w:rFonts w:ascii="Aptos" w:hAnsi="Aptos"/>
                <w:b w:val="0"/>
                <w:color w:val="152940"/>
                <w:sz w:val="16"/>
              </w:rPr>
              <w:t>No. Provenance here means traceability to the uploaded file; document authenticity is not certified.</w:t>
            </w:r>
          </w:p>
        </w:tc>
      </w:tr>
      <w:tr>
        <w:trPr>
          <w:cantSplit/>
        </w:trPr>
        <w:tc>
          <w:tcPr>
            <w:tcW w:type="dxa" w:w="2909"/>
            <w:vAlign w:val="center"/>
            <w:tcMar>
              <w:top w:w="85" w:type="dxa"/>
              <w:start w:w="110" w:type="dxa"/>
              <w:bottom w:w="85" w:type="dxa"/>
              <w:end w:w="110" w:type="dxa"/>
            </w:tcMar>
            <w:shd w:fill="F2F7F8"/>
          </w:tcPr>
          <w:p>
            <w:pPr>
              <w:spacing w:after="0"/>
            </w:pPr>
            <w:r/>
            <w:r>
              <w:rPr>
                <w:rFonts w:ascii="Aptos" w:hAnsi="Aptos"/>
                <w:b w:val="0"/>
                <w:color w:val="152940"/>
                <w:sz w:val="16"/>
              </w:rPr>
              <w:t>What if Gemma hallucinates?</w:t>
            </w:r>
          </w:p>
        </w:tc>
        <w:tc>
          <w:tcPr>
            <w:tcW w:type="dxa" w:w="6624"/>
            <w:vAlign w:val="center"/>
            <w:tcMar>
              <w:top w:w="85" w:type="dxa"/>
              <w:start w:w="110" w:type="dxa"/>
              <w:bottom w:w="85" w:type="dxa"/>
              <w:end w:w="110" w:type="dxa"/>
            </w:tcMar>
            <w:shd w:fill="F2F7F8"/>
          </w:tcPr>
          <w:p>
            <w:pPr>
              <w:spacing w:after="0"/>
            </w:pPr>
            <w:r/>
            <w:r>
              <w:rPr>
                <w:rFonts w:ascii="Aptos" w:hAnsi="Aptos"/>
                <w:b w:val="0"/>
                <w:color w:val="152940"/>
                <w:sz w:val="16"/>
              </w:rPr>
              <w:t>Invalid source references never render as verified citations; status rules reject unsupported promotion.</w:t>
            </w:r>
          </w:p>
        </w:tc>
      </w:tr>
      <w:tr>
        <w:trPr>
          <w:cantSplit/>
        </w:trPr>
        <w:tc>
          <w:tcPr>
            <w:tcW w:type="dxa" w:w="2909"/>
            <w:vAlign w:val="center"/>
            <w:tcMar>
              <w:top w:w="85" w:type="dxa"/>
              <w:start w:w="110" w:type="dxa"/>
              <w:bottom w:w="85" w:type="dxa"/>
              <w:end w:w="110" w:type="dxa"/>
            </w:tcMar>
          </w:tcPr>
          <w:p>
            <w:pPr>
              <w:spacing w:after="0"/>
            </w:pPr>
            <w:r/>
            <w:r>
              <w:rPr>
                <w:rFonts w:ascii="Aptos" w:hAnsi="Aptos"/>
                <w:b w:val="0"/>
                <w:color w:val="152940"/>
                <w:sz w:val="16"/>
              </w:rPr>
              <w:t>Why not use a vector database?</w:t>
            </w:r>
          </w:p>
        </w:tc>
        <w:tc>
          <w:tcPr>
            <w:tcW w:type="dxa" w:w="6624"/>
            <w:vAlign w:val="center"/>
            <w:tcMar>
              <w:top w:w="85" w:type="dxa"/>
              <w:start w:w="110" w:type="dxa"/>
              <w:bottom w:w="85" w:type="dxa"/>
              <w:end w:w="110" w:type="dxa"/>
            </w:tcMar>
          </w:tcPr>
          <w:p>
            <w:pPr>
              <w:spacing w:after="0"/>
            </w:pPr>
            <w:r/>
            <w:r>
              <w:rPr>
                <w:rFonts w:ascii="Aptos" w:hAnsi="Aptos"/>
                <w:b w:val="0"/>
                <w:color w:val="152940"/>
                <w:sz w:val="16"/>
              </w:rPr>
              <w:t>For three small files, local retrieval is simpler, faster to debug and sufficient for the intended demo.</w:t>
            </w:r>
          </w:p>
        </w:tc>
      </w:tr>
      <w:tr>
        <w:trPr>
          <w:cantSplit/>
        </w:trPr>
        <w:tc>
          <w:tcPr>
            <w:tcW w:type="dxa" w:w="2909"/>
            <w:vAlign w:val="center"/>
            <w:tcMar>
              <w:top w:w="85" w:type="dxa"/>
              <w:start w:w="110" w:type="dxa"/>
              <w:bottom w:w="85" w:type="dxa"/>
              <w:end w:w="110" w:type="dxa"/>
            </w:tcMar>
            <w:shd w:fill="F2F7F8"/>
          </w:tcPr>
          <w:p>
            <w:pPr>
              <w:spacing w:after="0"/>
            </w:pPr>
            <w:r/>
            <w:r>
              <w:rPr>
                <w:rFonts w:ascii="Aptos" w:hAnsi="Aptos"/>
                <w:b w:val="0"/>
                <w:color w:val="152940"/>
                <w:sz w:val="16"/>
              </w:rPr>
              <w:t>Will it replace auditors?</w:t>
            </w:r>
          </w:p>
        </w:tc>
        <w:tc>
          <w:tcPr>
            <w:tcW w:type="dxa" w:w="6624"/>
            <w:vAlign w:val="center"/>
            <w:tcMar>
              <w:top w:w="85" w:type="dxa"/>
              <w:start w:w="110" w:type="dxa"/>
              <w:bottom w:w="85" w:type="dxa"/>
              <w:end w:w="110" w:type="dxa"/>
            </w:tcMar>
            <w:shd w:fill="F2F7F8"/>
          </w:tcPr>
          <w:p>
            <w:pPr>
              <w:spacing w:after="0"/>
            </w:pPr>
            <w:r/>
            <w:r>
              <w:rPr>
                <w:rFonts w:ascii="Aptos" w:hAnsi="Aptos"/>
                <w:b w:val="0"/>
                <w:color w:val="152940"/>
                <w:sz w:val="16"/>
              </w:rPr>
              <w:t>No. It is review support that makes the evidence, gaps and assumptions visible to a human.</w:t>
            </w:r>
          </w:p>
        </w:tc>
      </w:tr>
    </w:tbl>
    <w:p>
      <w:pPr>
        <w:spacing w:after="20"/>
      </w:pPr>
    </w:p>
    <w:p>
      <w:pPr>
        <w:pStyle w:val="Heading1"/>
        <w:keepNext/>
      </w:pPr>
      <w:r>
        <w:t>20. Assumptions and reference notes</w:t>
      </w:r>
    </w:p>
    <w:p>
      <w:pPr>
        <w:pStyle w:val="Heading2"/>
        <w:keepNext/>
      </w:pPr>
      <w:r>
        <w:t>20.1 Project assumptions requiring confirmation</w:t>
      </w:r>
    </w:p>
    <w:p>
      <w:pPr>
        <w:pStyle w:val="ListBullet"/>
      </w:pPr>
      <w:r>
        <w:t>Organisers allow a Streamlit/Python application and supply or permit a compatible Gemma 4 inference channel.</w:t>
      </w:r>
    </w:p>
    <w:p>
      <w:pPr>
        <w:pStyle w:val="ListBullet"/>
      </w:pPr>
      <w:r>
        <w:t>Permitted model ID, token limit, rate limit, network access and storage policy have not been specified in the supplied plan.</w:t>
      </w:r>
    </w:p>
    <w:p>
      <w:pPr>
        <w:pStyle w:val="ListBullet"/>
      </w:pPr>
      <w:r>
        <w:t>Assessment will reward working demonstrations and evidence traceability; the scoring rubric has not been provided.</w:t>
      </w:r>
    </w:p>
    <w:p>
      <w:pPr>
        <w:pStyle w:val="ListBullet"/>
      </w:pPr>
      <w:r>
        <w:t>The 500-Meal Mystery is synthetic. No real-world kitchen data or independent verification is claimed.</w:t>
      </w:r>
    </w:p>
    <w:p>
      <w:pPr>
        <w:pStyle w:val="Heading2"/>
        <w:keepNext/>
      </w:pPr>
      <w:r>
        <w:t>20.2 External references consulted</w:t>
      </w:r>
    </w:p>
    <w:p>
      <w:r>
        <w:t>Google AI for Developers: Gemma 4 model overview and available model sizes, https://ai.google.dev/gemma/docs/core</w:t>
      </w:r>
    </w:p>
    <w:p>
      <w:r>
        <w:t>Google AI for Developers: Gemma release history, https://ai.google.dev/gemma/docs/releases</w:t>
      </w:r>
    </w:p>
    <w:p>
      <w:r>
        <w:t>Streamlit: file uploader limitations and configuration, https://docs.streamlit.io/develop/api-reference/widgets/st.file_uploader</w:t>
      </w:r>
    </w:p>
    <w:p>
      <w:r>
        <w:t>OWASP GenAI: LLM prompt-injection prevention and least privilege, https://genai.owasp.org/llmrisk/llm01-prompt-injection/</w:t>
      </w:r>
    </w:p>
    <w:p>
      <w:r>
        <w:t>The architecture, priority choices, test fixtures, thresholds and execution schedule in this report are proposed design decisions, not third-party benchmark results. This revision supersedes the earlier report for planning purposes.</w:t>
      </w:r>
    </w:p>
    <w:p>
      <w:pPr>
        <w:pStyle w:val="Heading1"/>
        <w:keepNext/>
      </w:pPr>
      <w:r>
        <w:t>21. Final recommendation</w:t>
      </w:r>
    </w:p>
    <w:p>
      <w:r>
        <w:t>Retain Evidence Arena 2.0 and its core “What Would Change the Verdict?” positioning. Build the smallest complete, trustworthy loop: a few documents, a few atomic claims, verified source quotations, comparable conflict detection, cautious statuses, and a concrete next-evidence test. Prioritise the C1/C2 distinction in the demo: one genuine source dispute and one post-installation hypothesis that is still unverified.</w:t>
      </w:r>
    </w:p>
    <w:tbl>
      <w:tblPr>
        <w:tblW w:type="auto" w:w="0"/>
        <w:tblLook w:firstColumn="1" w:firstRow="1" w:lastColumn="0" w:lastRow="0" w:noHBand="0" w:noVBand="1" w:val="04A0"/>
      </w:tblPr>
      <w:tblGrid>
        <w:gridCol w:w="9633"/>
      </w:tblGrid>
      <w:tr>
        <w:tc>
          <w:tcPr>
            <w:tcW w:type="dxa" w:w="9633"/>
            <w:shd w:fill="E9F4F3"/>
            <w:tcMar>
              <w:top w:w="130" w:type="dxa"/>
              <w:start w:w="180" w:type="dxa"/>
              <w:bottom w:w="120" w:type="dxa"/>
              <w:end w:w="180" w:type="dxa"/>
            </w:tcMar>
          </w:tcPr>
          <w:p>
            <w:pPr>
              <w:spacing w:after="80"/>
            </w:pPr>
            <w:r>
              <w:rPr>
                <w:b/>
                <w:color w:val="00797B"/>
                <w:sz w:val="18"/>
              </w:rPr>
              <w:t>DEFINITION OF DEMO SUCCESS</w:t>
            </w:r>
          </w:p>
          <w:p>
            <w:pPr>
              <w:spacing w:after="0"/>
            </w:pPr>
            <w:r>
              <w:rPr>
                <w:sz w:val="19"/>
              </w:rPr>
              <w:t>A reviewer can challenge the app by clicking a citation, inspecting the precise source text, seeing why two statements do or do not conflict, and understanding exactly which future observation could change the current conclusion.</w:t>
            </w:r>
          </w:p>
        </w:tc>
      </w:tr>
    </w:tbl>
    <w:p>
      <w:pPr>
        <w:spacing w:after="0"/>
      </w:pPr>
    </w:p>
    <w:sectPr w:rsidR="00FC693F" w:rsidRPr="0006063C" w:rsidSect="00034616">
      <w:headerReference w:type="default" r:id="rId9"/>
      <w:footerReference w:type="default" r:id="rId10"/>
      <w:pgSz w:w="11909" w:h="16834"/>
      <w:pgMar w:top="1037" w:right="1138" w:bottom="1008" w:left="1138"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2"/>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B6872"/>
        <w:sz w:val="15"/>
      </w:rPr>
      <w:t>EVIDENCE ARENA 2.0  /  IMPROVED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529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5294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797B"/>
      <w:sz w:val="21"/>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5294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5294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46"/>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Detail">
    <w:name w:val="Code Detail"/>
    <w:pPr>
      <w:spacing w:after="200"/>
      <w:ind w:left="288" w:right="144"/>
    </w:pPr>
    <w:rPr>
      <w:rFonts w:ascii="Consolas" w:hAnsi="Consolas"/>
      <w:color w:val="1529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Arena 2.0 | Improved Hackathon Plan</dc:title>
  <dc:subject>Revised product, architecture, safety and three-hour implementation plan</dc:subject>
  <dc:creator/>
  <cp:keywords>Evidence Arena; Gemma 4; evidence verification; hackathon</cp:keywords>
  <dc:description>generated by python-docx</dc:description>
  <cp:lastModifiedBy/>
  <cp:revision>1</cp:revision>
  <dcterms:created xsi:type="dcterms:W3CDTF">2013-12-23T23:15:00Z</dcterms:created>
  <dcterms:modified xsi:type="dcterms:W3CDTF">2013-12-23T23:15:00Z</dcterms:modified>
  <cp:category/>
</cp:coreProperties>
</file>