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MediScan: Privacy-Preserving AI Deployment Platform</w:t>
      </w:r>
    </w:p>
    <w:p>
      <w:pPr>
        <w:jc w:val="center"/>
      </w:pPr>
      <w:r>
        <w:t>Final Project Report</w:t>
      </w:r>
    </w:p>
    <w:p>
      <w:r>
        <w:br/>
      </w:r>
    </w:p>
    <w:p>
      <w:pPr>
        <w:pStyle w:val="Heading1"/>
      </w:pPr>
      <w:r>
        <w:t>1. Problem Statement &amp; Objective</w:t>
      </w:r>
    </w:p>
    <w:p>
      <w:r>
        <w:t>Deploying Artificial Intelligence models on sensitive clinical data presents massive privacy and security risks. Standard cloud-based inference architectures require raw patient data to be transmitted over the internet, potentially violating HIPAA guidelines and exposing Personally Identifiable Information (PII) to interception.</w:t>
      </w:r>
    </w:p>
    <w:p>
      <w:r>
        <w:t>The objective of MediScan is to solve this by creating a highly secure, privacy-preserving AI inference platform. The platform guarantees that raw medical data is never stored, never transmitted to external APIs, and is strictly handled using role-based access controls and cryptographic hashing.</w:t>
      </w:r>
    </w:p>
    <w:p>
      <w:pPr>
        <w:pStyle w:val="Heading1"/>
      </w:pPr>
      <w:r>
        <w:t>2. AI Architecture &amp; Medical Logic</w:t>
      </w:r>
    </w:p>
    <w:p>
      <w:r>
        <w:t>To prevent the misuse of real medical records, the platform was trained on a mathematically generated synthetic dataset of 5,000 profiles. The underlying logic uses strict clinical thresholds (e.g., Blood Pressure &gt; 140, Glucose &gt; 125) and advanced compounding synergy rules (e.g., Smoking + Age &gt; 50).</w:t>
      </w:r>
    </w:p>
    <w:p>
      <w:r>
        <w:t>The core AI Engine utilizes a Logistic Regression model anchored to these clinical thresholds. This ensures the model outputs beautifully smooth, scientifically grounded probability curves (0-100%) rather than chaotic binary jumps, allowing for accurate categorization into Low, Medium, High, and Critical risk tiers.</w:t>
      </w:r>
    </w:p>
    <w:p>
      <w:pPr>
        <w:pStyle w:val="Heading1"/>
      </w:pPr>
      <w:r>
        <w:t>3. The Privacy-Preserving Pipeline</w:t>
      </w:r>
    </w:p>
    <w:p>
      <w:r>
        <w:t>The core innovation of the platform is its strict data handling pipeline:</w:t>
      </w:r>
    </w:p>
    <w:p>
      <w:pPr>
        <w:pStyle w:val="ListBullet"/>
      </w:pPr>
      <w:r>
        <w:t>Local Execution: The Logistic Regression model runs entirely locally. It does not require an internet connection or external API.</w:t>
      </w:r>
    </w:p>
    <w:p>
      <w:pPr>
        <w:pStyle w:val="ListBullet"/>
      </w:pPr>
      <w:r>
        <w:t>PII Masking: Any identifiable user metadata is masked (e.g., J*** D***).</w:t>
      </w:r>
    </w:p>
    <w:p>
      <w:pPr>
        <w:pStyle w:val="ListBullet"/>
      </w:pPr>
      <w:r>
        <w:t>Cryptographic Hashing: Raw medical metrics entered into the form are never stored in the database. Instead, they are combined and passed through a SHA-256 hashing algorithm.</w:t>
      </w:r>
    </w:p>
    <w:p>
      <w:pPr>
        <w:pStyle w:val="ListBullet"/>
      </w:pPr>
      <w:r>
        <w:t>Immutable Audit Logging: The database logs only the cryptographic hash, the exact timestamp, the execution latency, and the final score. 1 Million records consume less than 150MB of storage.</w:t>
      </w:r>
    </w:p>
    <w:p>
      <w:pPr>
        <w:pStyle w:val="Heading1"/>
      </w:pPr>
      <w:r>
        <w:t>4. User Interface &amp; Access Control</w:t>
      </w:r>
    </w:p>
    <w:p>
      <w:r>
        <w:t>The platform features a modern, responsive Glassmorphism UI built with Tailwind CSS. It dynamically changes colors, gradients, and health recommendations based on the probabilistic score.</w:t>
      </w:r>
    </w:p>
    <w:p>
      <w:r>
        <w:t>Access is strictly governed by Django decorators (@approved_required). New users cannot execute inferences until an Administrator explicitly reviews and approves their account.</w:t>
      </w:r>
    </w:p>
    <w:p>
      <w:pPr>
        <w:pStyle w:val="Heading1"/>
      </w:pPr>
      <w:r>
        <w:t>5. System Interface (Screenshots)</w:t>
      </w:r>
    </w:p>
    <w:p>
      <w:pPr>
        <w:jc w:val="center"/>
      </w:pPr>
      <w:r>
        <w:t>Sign-In &amp; Authentication Barrier:</w:t>
      </w:r>
    </w:p>
    <w:p>
      <w:r>
        <w:drawing>
          <wp:inline xmlns:a="http://schemas.openxmlformats.org/drawingml/2006/main" xmlns:pic="http://schemas.openxmlformats.org/drawingml/2006/picture">
            <wp:extent cx="5029200" cy="2276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scan_login_page_1777380457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t>Dynamic Risk Banner &amp; AI Factor Extraction:</w:t>
      </w:r>
    </w:p>
    <w:p>
      <w:r>
        <w:drawing>
          <wp:inline xmlns:a="http://schemas.openxmlformats.org/drawingml/2006/main" xmlns:pic="http://schemas.openxmlformats.org/drawingml/2006/picture">
            <wp:extent cx="5029200" cy="7204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3918130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[ PLACEHOLDER: Insert Screenshot of the Immutable Audit Log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