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Response to comments (27 August 2026)</w:t>
      </w:r>
    </w:p>
    <w:p>
      <w:pPr>
        <w:pStyle w:val="FirstParagraph"/>
      </w:pPr>
      <w:r>
        <w:t xml:space="preserve">Manuscript: An Open Multi-Source Data Engineering Framework for District-Level Agricultural Vulnerability Assessment in Bangladesh</w:t>
      </w:r>
    </w:p>
    <w:p>
      <w:pPr>
        <w:pStyle w:val="BodyText"/>
      </w:pPr>
      <w:r>
        <w:t xml:space="preserve">Thank you for the careful comments. While addressing them I re-audited the data pipeline and found three errors in the earlier version: BBS crop years were keyed one year early relative to the satellite and climate data, two BBS seasons had been dropped, and missing district-years had been filled by interpolation and NDVI-based estimates. The revised manuscript is therefore built only on BBS-observed yields (64 districts, harvest years 2011–2025, 960 district-years), and all results have been recomputed. Several conclusions changed; these are described in Section 4.1.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Restructure the abstract</w:t>
            </w:r>
          </w:p>
        </w:tc>
        <w:tc>
          <w:tcPr/>
          <w:p>
            <w:pPr>
              <w:pStyle w:val="Compact"/>
            </w:pPr>
            <w:r>
              <w:t xml:space="preserve">Rewritten as Background (1 sentence), Methods (2), Results (3), Conclusions (2).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Emphasise data engineering; treat vulnerability as a validation case</w:t>
            </w:r>
          </w:p>
        </w:tc>
        <w:tc>
          <w:tcPr/>
          <w:p>
            <w:pPr>
              <w:pStyle w:val="Compact"/>
            </w:pPr>
            <w:r>
              <w:t xml:space="preserve">Title kept; introduction, objectives and contributions now centre on pipeline architecture, validation and transferability. The vulnerability index and models are presented as a demonstration.</w:t>
            </w:r>
          </w:p>
        </w:tc>
        <w:tc>
          <w:tcPr/>
          <w:p>
            <w:pPr>
              <w:pStyle w:val="Compact"/>
            </w:pPr>
            <w:r>
              <w:t xml:space="preserve">Sections 1.1, 1.3, 2.3–2.4, 3.1, 4.1, 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Split into two papers</w:t>
            </w:r>
          </w:p>
        </w:tc>
        <w:tc>
          <w:tcPr/>
          <w:p>
            <w:pPr>
              <w:pStyle w:val="Compact"/>
            </w:pPr>
            <w:r>
              <w:t xml:space="preserve">Adopted in part. The econometric analysis is shortened to four models; salinity, groundwater, spatial panel models and policy analysis are deferred to a companion paper (Section 4.8).</w:t>
            </w:r>
          </w:p>
        </w:tc>
        <w:tc>
          <w:tcPr/>
          <w:p>
            <w:pPr>
              <w:pStyle w:val="Compact"/>
            </w:pPr>
            <w:r>
              <w:t xml:space="preserve">Sections 3.4, 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Full sample vs BBS-actual subsample is confusing</w:t>
            </w:r>
          </w:p>
        </w:tc>
        <w:tc>
          <w:tcPr/>
          <w:p>
            <w:pPr>
              <w:pStyle w:val="Compact"/>
            </w:pPr>
            <w:r>
              <w:t xml:space="preserve">Resolved by removing the proxy entirely: there is now a single, fully observed panel. Results follow the suggested order: data quality, descriptives, vulnerability index, spatial clustering, panel models, trends, dashboard.</w:t>
            </w:r>
          </w:p>
        </w:tc>
        <w:tc>
          <w:tcPr/>
          <w:p>
            <w:pPr>
              <w:pStyle w:val="Compact"/>
            </w:pPr>
            <w:r>
              <w:t xml:space="preserve">Section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Spatial lag model issues (N = 55, GM-2SLS, sample mismatch)</w:t>
            </w:r>
          </w:p>
        </w:tc>
        <w:tc>
          <w:tcPr/>
          <w:p>
            <w:pPr>
              <w:pStyle w:val="Compact"/>
            </w:pPr>
            <w:r>
              <w:t xml:space="preserve">Agreed on all three points. The cross-sectional spatial lag and error models have been removed.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Report spatial dependence tests instead; propose spatial panel FE as future work</w:t>
            </w:r>
          </w:p>
        </w:tc>
        <w:tc>
          <w:tcPr/>
          <w:p>
            <w:pPr>
              <w:pStyle w:val="Compact"/>
            </w:pPr>
            <w:r>
              <w:t xml:space="preserve">Moran’s I is now tested on the panel-model residuals for each year (Appendix A), Driscoll–Kraay standard errors are reported alongside clustered ones, and spatial panel FE is proposed as future work. No</w:t>
            </w:r>
            <w:r>
              <w:t xml:space="preserve"> </w:t>
            </w:r>
            <w:r>
              <w:t xml:space="preserve">“confirms robustness”</w:t>
            </w:r>
            <w:r>
              <w:t xml:space="preserve"> </w:t>
            </w:r>
            <w:r>
              <w:t xml:space="preserve">claim remains.</w:t>
            </w:r>
          </w:p>
        </w:tc>
        <w:tc>
          <w:tcPr/>
          <w:p>
            <w:pPr>
              <w:pStyle w:val="Compact"/>
            </w:pPr>
            <w:r>
              <w:t xml:space="preserve">Sections 2.8, 3.4, 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Inconsistent variable names</w:t>
            </w:r>
          </w:p>
        </w:tc>
        <w:tc>
          <w:tcPr/>
          <w:p>
            <w:pPr>
              <w:pStyle w:val="Compact"/>
            </w:pPr>
            <w:r>
              <w:t xml:space="preserve">One set of names is used throughout text, tables and figures: Boro yield, peak-season NDVI, mean temperature, season precipitation, hot days, monsoon flood fraction, flash flood fraction.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Overuse of bold and italics</w:t>
            </w:r>
          </w:p>
        </w:tc>
        <w:tc>
          <w:tcPr/>
          <w:p>
            <w:pPr>
              <w:pStyle w:val="Compact"/>
            </w:pPr>
            <w:r>
              <w:t xml:space="preserve">Removed except for headings.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Figures before first reference</w:t>
            </w:r>
          </w:p>
        </w:tc>
        <w:tc>
          <w:tcPr/>
          <w:p>
            <w:pPr>
              <w:pStyle w:val="Compact"/>
            </w:pPr>
            <w:r>
              <w:t xml:space="preserve">Every figure and table now follows the paragraph that first cites it, and numbering follows first citation.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</w:tr>
    </w:tbl>
    <w:p>
      <w:pPr>
        <w:pStyle w:val="BodyText"/>
      </w:pPr>
      <w:r>
        <w:t xml:space="preserve">Other changes:</w:t>
      </w:r>
    </w:p>
    <w:p>
      <w:pPr>
        <w:pStyle w:val="Compact"/>
        <w:numPr>
          <w:ilvl w:val="0"/>
          <w:numId w:val="1001"/>
        </w:numPr>
      </w:pPr>
      <w:r>
        <w:t xml:space="preserve">All 14 BBS yearbook editions (2012–2025) were re-extracted. Each value is checked against unit identities and the printed national total, and compared across the two editions that print each year (Table 4).</w:t>
      </w:r>
    </w:p>
    <w:p>
      <w:pPr>
        <w:pStyle w:val="Compact"/>
        <w:numPr>
          <w:ilvl w:val="0"/>
          <w:numId w:val="1001"/>
        </w:numPr>
      </w:pPr>
      <w:r>
        <w:t xml:space="preserve">Flood exposure is now measured as two variables aligned to the Boro calendar: monsoon flooding before planting and April–May flash flooding before harvest. Each is computed from both JRC (Landsat) and Sentinel-1, and the two sources are compared (Figure 3).</w:t>
      </w:r>
    </w:p>
    <w:p>
      <w:pPr>
        <w:pStyle w:val="Compact"/>
        <w:numPr>
          <w:ilvl w:val="0"/>
          <w:numId w:val="1001"/>
        </w:numPr>
      </w:pPr>
      <w:r>
        <w:t xml:space="preserve">New finding: because BBS yield is measured per harvested hectare, flood damage appears in harvested area and production rather than yield (Tables 8–9).</w:t>
      </w:r>
    </w:p>
    <w:p>
      <w:pPr>
        <w:pStyle w:val="Compact"/>
        <w:numPr>
          <w:ilvl w:val="0"/>
          <w:numId w:val="1001"/>
        </w:numPr>
      </w:pPr>
      <w:r>
        <w:t xml:space="preserve">The reference list was rebuilt. Every entry was checked against Crossref or DataCite, and mismatched or unverifiable citations were removed.</w:t>
      </w:r>
    </w:p>
    <w:p>
      <w:pPr>
        <w:pStyle w:val="Compact"/>
        <w:numPr>
          <w:ilvl w:val="0"/>
          <w:numId w:val="1001"/>
        </w:numPr>
      </w:pPr>
      <w:r>
        <w:t xml:space="preserve">All numbers in the manuscript are generated by the code in the repository (folder v2); the pipeline reruns with one command.</w:t>
      </w:r>
    </w:p>
    <w:sectPr>
      <w:pgSz w:h="15840" w:w="12240"/>
      <w:pgMar w:bottom="1440" w:footer="708" w:gutter="0" w:header="708" w:left="1440" w:right="1440" w:top="1440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2"/>
        <w:szCs w:val="22"/>
        <w:lang w:val="en-GB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b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val="000000"/>
      <w:b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val="000000"/>
      <w:b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b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 comments (27 August 2026)</dc:title>
  <dc:creator/>
  <cp:keywords/>
  <dcterms:created xsi:type="dcterms:W3CDTF">2026-10-25T05:02:38Z</dcterms:created>
  <dcterms:modified xsi:type="dcterms:W3CDTF">2026-10-25T05:02:38Z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