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In the 2017 haor flood, Boro area fell by about a third while yield barely moved</w:t>
      </w:r>
    </w:p>
    <w:p>
      <w:pPr>
        <w:pStyle w:val="Compact"/>
        <w:numPr>
          <w:ilvl w:val="0"/>
          <w:numId w:val="1001"/>
        </w:numPr>
      </w:pPr>
      <w:r>
        <w:t xml:space="preserve">BBS damage reports and satellite greenness loss support this loss</w:t>
      </w:r>
    </w:p>
    <w:p>
      <w:pPr>
        <w:pStyle w:val="Compact"/>
        <w:numPr>
          <w:ilvl w:val="0"/>
          <w:numId w:val="1001"/>
        </w:numPr>
      </w:pPr>
      <w:r>
        <w:t xml:space="preserve">The 2016 and 2022 flood years showed no comparable fall, so no general rule holds</w:t>
      </w:r>
    </w:p>
    <w:p>
      <w:pPr>
        <w:pStyle w:val="Compact"/>
        <w:numPr>
          <w:ilvl w:val="0"/>
          <w:numId w:val="1001"/>
        </w:numPr>
      </w:pPr>
      <w:r>
        <w:t xml:space="preserve">Exploratory results point to flood timing, a hypothesis that rests on 2017</w:t>
      </w:r>
    </w:p>
    <w:p>
      <w:pPr>
        <w:pStyle w:val="Compact"/>
        <w:numPr>
          <w:ilvl w:val="0"/>
          <w:numId w:val="1001"/>
        </w:numPr>
      </w:pPr>
      <w:r>
        <w:t xml:space="preserve">Yield alone can miss large flood losses, so track area and production too</w:t>
      </w:r>
    </w:p>
    <w:bookmarkEnd w:id="9"/>
    <w:sectPr>
      <w:pgSz w:h="15840" w:w="12240"/>
      <w:pgMar w:bottom="1440" w:footer="708" w:gutter="0" w:header="708" w:left="1440" w:right="1440" w:top="1440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  <w:lang w:val="en-GB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160" w:before="240"/>
      <w:keepNext/>
      <w:keepLines/>
    </w:pPr>
    <w:rPr>
      <w:b w:val="0"/>
      <w:bCs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val="000000"/>
      <w:b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val="000000"/>
      <w:b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b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0"/>
      <w:szCs w:val="20"/>
    </w:r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</w:pPr>
      <w:rPr>
        <w:b/>
        <w:bCs/>
      </w:rPr>
      <w:tblPr/>
      <w:trPr>
        <w:tblHeader/>
      </w:trPr>
      <w:tcPr>
        <w:shd w:color="auto" w:fill="E7E6E6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customStyle="1" w:styleId="Affiliation" w:type="paragraph">
    <w:name w:val="Affiliation"/>
    <w:basedOn w:val="Normal"/>
    <w:qFormat/>
    <w:pPr>
      <w:spacing w:after="40" w:before="0" w:line="276" w:lineRule="auto"/>
      <w:jc w:val="center"/>
    </w:pPr>
    <w:rPr>
      <w:i/>
      <w:iCs/>
      <w:sz w:val="20"/>
      <w:szCs w:val="20"/>
    </w:rPr>
  </w:style>
  <w:style w:customStyle="1" w:styleId="Correspondence" w:type="paragraph">
    <w:name w:val="Correspondence"/>
    <w:basedOn w:val="Normal"/>
    <w:qFormat/>
    <w:pPr>
      <w:spacing w:after="200" w:before="200" w:line="276" w:lineRule="auto"/>
      <w:jc w:val="center"/>
    </w:pPr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2026-10-31T04:47:46Z</dcterms:created>
  <dcterms:modified xsi:type="dcterms:W3CDTF">2026-10-31T04:47:46Z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