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4798100B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8643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8643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8643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8643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67503C0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8643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8643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8643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8643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78871195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86434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0D20C7E4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86434">
        <w:rPr>
          <w:noProof/>
          <w:sz w:val="26"/>
          <w:szCs w:val="26"/>
          <w:lang w:val="nl-NL"/>
        </w:rPr>
        <w:t>Viễn Thông Tiền Giang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6A52EBA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2F26B2D3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002E7848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8643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8643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4616C0D9" w:rsidR="003B5305" w:rsidRPr="00CE6577" w:rsidRDefault="0078643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13036A62" w:rsidR="003B5305" w:rsidRPr="00CE6577" w:rsidRDefault="0078643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7D6D951" w:rsidR="003B5305" w:rsidRPr="00CE6577" w:rsidRDefault="0078643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3AB91164" w:rsidR="003B5305" w:rsidRPr="004805D5" w:rsidRDefault="0078643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86434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