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D97706"/>
          <w:sz w:val="20"/>
        </w:rPr>
        <w:t>RESDA IT TRAINING &amp; ENTERPRISE SERVICES</w:t>
      </w:r>
    </w:p>
    <w:p>
      <w:pPr>
        <w:spacing w:before="80" w:after="120"/>
        <w:jc w:val="center"/>
      </w:pPr>
      <w:r>
        <w:rPr>
          <w:rFonts w:ascii="Calibri" w:hAnsi="Calibri"/>
          <w:b/>
          <w:color w:val="1A2B4C"/>
          <w:sz w:val="44"/>
        </w:rPr>
        <w:t>Web Platform Features &amp; Product Roadmap</w:t>
      </w:r>
    </w:p>
    <w:p>
      <w:pPr>
        <w:spacing w:before="0" w:after="360"/>
        <w:jc w:val="center"/>
      </w:pPr>
      <w:r>
        <w:rPr>
          <w:rFonts w:ascii="Calibri" w:hAnsi="Calibri"/>
          <w:color w:val="64748B"/>
          <w:sz w:val="19"/>
        </w:rPr>
        <w:t>Official Documentation • Next.js 16 (App Router) • React 19 • Gulshan-1, Dhaka</w:t>
      </w:r>
    </w:p>
    <w:tbl>
      <w:tblPr>
        <w:tblW w:type="auto" w:w="0"/>
        <w:jc w:val="center"/>
        <w:tblLayout w:type="fixed"/>
        <w:tblLook w:firstColumn="1" w:firstRow="1" w:lastColumn="0" w:lastRow="0" w:noHBand="0" w:noVBand="1" w:val="04A0"/>
      </w:tblPr>
      <w:tblGrid>
        <w:gridCol w:w="9936"/>
      </w:tblGrid>
      <w:tr>
        <w:tc>
          <w:tcPr>
            <w:tcW w:type="dxa" w:w="9936"/>
          </w:tcPr>
          <w:p>
            <w:pPr>
              <w:spacing w:before="0" w:after="0"/>
            </w:pPr>
            <w:r>
              <w:rPr>
                <w:b/>
                <w:color w:val="1A2B4C"/>
                <w:sz w:val="21"/>
              </w:rPr>
              <w:t xml:space="preserve">Corporate Headquarters &amp; Project Status: </w:t>
            </w:r>
            <w:r>
              <w:rPr>
                <w:color w:val="1E293B"/>
                <w:sz w:val="20"/>
              </w:rPr>
              <w:t>19th Floor, Nafi Tower, 53 Gulshan Avenue, Gulshan-1, Dhaka 1212, Bangladesh</w:t>
              <w:br/>
              <w:t>Development Server: http://localhost:3000  •  Network: http://192.168.1.100:3000</w:t>
            </w:r>
          </w:p>
          <w:tcPr>
            <w:shd w:fill="F1F5F9"/>
            <w:tcBorders>
              <w:left w:val="single" w:sz="24" w:space="0" w:color="1A2B4C"/>
              <w:top w:val="none"/>
              <w:right w:val="none"/>
              <w:bottom w:val="none"/>
            </w:tcBorders>
            <w:tcMar>
              <w:top w:w="120" w:type="dxa"/>
              <w:bottom w:w="120" w:type="dxa"/>
              <w:left w:w="200" w:type="dxa"/>
              <w:right w:w="200" w:type="dxa"/>
            </w:tcMar>
          </w:tcPr>
        </w:tc>
      </w:tr>
    </w:tbl>
    <w:p>
      <w:pPr>
        <w:spacing w:before="0" w:after="120"/>
      </w:pPr>
    </w:p>
    <w:p>
      <w:pPr>
        <w:keepNext/>
        <w:spacing w:before="320" w:after="120"/>
      </w:pPr>
      <w:r>
        <w:rPr>
          <w:rFonts w:ascii="Calibri" w:hAnsi="Calibri"/>
          <w:b/>
          <w:color w:val="1A2B4C"/>
          <w:sz w:val="32"/>
        </w:rPr>
        <w:t>1. Executive Overview</w:t>
      </w:r>
    </w:p>
    <w:p>
      <w:pPr>
        <w:spacing w:after="120"/>
      </w:pPr>
      <w:r>
        <w:t>RESDA's web platform is built to fulfill a dual commercial and educational mission for Bangladesh: empowering young talent with hands-on, job-ready IT skills and equipping modern enterprises with robust, custom software development and cloud consulting services. The frontend is engineered using Next.js 16 with Turbopack and React 19 for maximum performance and fluid transitions.</w:t>
      </w:r>
    </w:p>
    <w:p>
      <w:pPr>
        <w:keepNext/>
        <w:spacing w:before="320" w:after="120"/>
      </w:pPr>
      <w:r>
        <w:rPr>
          <w:rFonts w:ascii="Calibri" w:hAnsi="Calibri"/>
          <w:b/>
          <w:color w:val="1A2B4C"/>
          <w:sz w:val="32"/>
        </w:rPr>
        <w:t>2. Comprehensive Current Features</w:t>
      </w:r>
    </w:p>
    <w:p>
      <w:pPr>
        <w:keepNext/>
        <w:spacing w:before="240" w:after="80"/>
      </w:pPr>
      <w:r>
        <w:rPr>
          <w:rFonts w:ascii="Calibri" w:hAnsi="Calibri"/>
          <w:b/>
          <w:color w:val="D97706"/>
          <w:sz w:val="26"/>
        </w:rPr>
        <w:t>2.1 Interactive Home Page (/)</w:t>
      </w:r>
    </w:p>
    <w:p>
      <w:pPr>
        <w:pStyle w:val="ListBullet"/>
        <w:spacing w:before="0" w:after="60"/>
      </w:pPr>
      <w:r>
        <w:rPr>
          <w:b/>
          <w:color w:val="1E293B"/>
        </w:rPr>
        <w:t>Hero Section:</w:t>
      </w:r>
      <w:r>
        <w:rPr>
          <w:color w:val="1E293B"/>
        </w:rPr>
        <w:t xml:space="preserve"> Eye-catching value proposition, animated live admission status pill, and interactive terminal metrics window with quick navigation.</w:t>
      </w:r>
    </w:p>
    <w:p>
      <w:pPr>
        <w:pStyle w:val="ListBullet"/>
        <w:spacing w:before="0" w:after="60"/>
      </w:pPr>
      <w:r>
        <w:rPr>
          <w:b/>
          <w:color w:val="1E293B"/>
        </w:rPr>
        <w:t>Animated Metric Counters:</w:t>
      </w:r>
      <w:r>
        <w:rPr>
          <w:color w:val="1E293B"/>
        </w:rPr>
        <w:t xml:space="preserve"> Fluid requestAnimationFrame counter displaying 500+ Students, 50+ Certified Courses, 100+ Enterprise Projects, and 15+ Senior Mentors.</w:t>
      </w:r>
    </w:p>
    <w:p>
      <w:pPr>
        <w:pStyle w:val="ListBullet"/>
        <w:spacing w:before="0" w:after="60"/>
      </w:pPr>
      <w:r>
        <w:rPr>
          <w:b/>
          <w:color w:val="1E293B"/>
        </w:rPr>
        <w:t>3 Core Pillars Showcase:</w:t>
      </w:r>
      <w:r>
        <w:rPr>
          <w:color w:val="1E293B"/>
        </w:rPr>
        <w:t xml:space="preserve"> Interactive cards detailing Online Training (remote/flexible), Offline Training (physical Dhaka labs), and IT Services (enterprise grade).</w:t>
      </w:r>
    </w:p>
    <w:p>
      <w:pPr>
        <w:pStyle w:val="ListBullet"/>
        <w:spacing w:before="0" w:after="60"/>
      </w:pPr>
      <w:r>
        <w:rPr>
          <w:b/>
          <w:color w:val="1E293B"/>
        </w:rPr>
        <w:t>Dynamic Course Filtering:</w:t>
      </w:r>
      <w:r>
        <w:rPr>
          <w:color w:val="1E293B"/>
        </w:rPr>
        <w:t xml:space="preserve"> Pill-based tab filtering across Web Dev, Python &amp; Data, Mobile Apps, Cyber Security, and Digital Marketing with pricing discounts.</w:t>
      </w:r>
    </w:p>
    <w:p>
      <w:pPr>
        <w:pStyle w:val="ListBullet"/>
        <w:spacing w:before="0" w:after="60"/>
      </w:pPr>
      <w:r>
        <w:rPr>
          <w:b/>
          <w:color w:val="1E293B"/>
        </w:rPr>
        <w:t>Enterprise Services Overview:</w:t>
      </w:r>
      <w:r>
        <w:rPr>
          <w:color w:val="1E293B"/>
        </w:rPr>
        <w:t xml:space="preserve"> Highlighting 6 key commercial capabilities including SaaS web apps, mobile engineering, ERP automation, and cloud DevOps.</w:t>
      </w:r>
    </w:p>
    <w:p>
      <w:pPr>
        <w:pStyle w:val="ListBullet"/>
        <w:spacing w:before="0" w:after="60"/>
      </w:pPr>
      <w:r>
        <w:rPr>
          <w:b/>
          <w:color w:val="1E293B"/>
        </w:rPr>
        <w:t>Why Choose RESDA:</w:t>
      </w:r>
      <w:r>
        <w:rPr>
          <w:color w:val="1E293B"/>
        </w:rPr>
        <w:t xml:space="preserve"> Four value anchors: Expert Trainers, 100% Practical Capstones, Industry Certifications, and dedicated 94% Placement Support.</w:t>
      </w:r>
    </w:p>
    <w:p>
      <w:pPr>
        <w:pStyle w:val="ListBullet"/>
        <w:spacing w:before="0" w:after="60"/>
      </w:pPr>
      <w:r>
        <w:rPr>
          <w:b/>
          <w:color w:val="1E293B"/>
        </w:rPr>
        <w:t>Testimonials &amp; Partners:</w:t>
      </w:r>
      <w:r>
        <w:rPr>
          <w:color w:val="1E293B"/>
        </w:rPr>
        <w:t xml:space="preserve"> Real graduate success reviews and logos of reputable hiring partners and enterprise clients.</w:t>
      </w:r>
    </w:p>
    <w:p>
      <w:pPr>
        <w:pStyle w:val="ListBullet"/>
        <w:spacing w:before="0" w:after="60"/>
      </w:pPr>
      <w:r>
        <w:rPr>
          <w:b/>
          <w:color w:val="1E293B"/>
        </w:rPr>
        <w:t>Interactive Newsletter Form:</w:t>
      </w:r>
      <w:r>
        <w:rPr>
          <w:color w:val="1E293B"/>
        </w:rPr>
        <w:t xml:space="preserve"> Email capture with client-side regex validation, responsive loading state, and feedback confirmation.</w:t>
      </w:r>
    </w:p>
    <w:p>
      <w:pPr>
        <w:keepNext/>
        <w:spacing w:before="240" w:after="80"/>
      </w:pPr>
      <w:r>
        <w:rPr>
          <w:rFonts w:ascii="Calibri" w:hAnsi="Calibri"/>
          <w:b/>
          <w:color w:val="D97706"/>
          <w:sz w:val="26"/>
        </w:rPr>
        <w:t>2.2 Course Catalog &amp; Filtering (/courses)</w:t>
      </w:r>
    </w:p>
    <w:p>
      <w:pPr>
        <w:pStyle w:val="ListBullet"/>
        <w:spacing w:before="0" w:after="60"/>
      </w:pPr>
      <w:r>
        <w:rPr>
          <w:b/>
          <w:color w:val="1E293B"/>
        </w:rPr>
        <w:t>Real-Time Keyword Search:</w:t>
      </w:r>
      <w:r>
        <w:rPr>
          <w:color w:val="1E293B"/>
        </w:rPr>
        <w:t xml:space="preserve"> Instantly searches across all course titles, technology keywords, and instructor profiles.</w:t>
      </w:r>
    </w:p>
    <w:p>
      <w:pPr>
        <w:pStyle w:val="ListBullet"/>
        <w:spacing w:before="0" w:after="60"/>
      </w:pPr>
      <w:r>
        <w:rPr>
          <w:b/>
          <w:color w:val="1E293B"/>
        </w:rPr>
        <w:t>Category &amp; Difficulty Toggles:</w:t>
      </w:r>
      <w:r>
        <w:rPr>
          <w:color w:val="1E293B"/>
        </w:rPr>
        <w:t xml:space="preserve"> Filter by category or switch between Beginner, Intermediate, and Advanced skill requirements.</w:t>
      </w:r>
    </w:p>
    <w:p>
      <w:pPr>
        <w:pStyle w:val="ListBullet"/>
        <w:spacing w:before="0" w:after="60"/>
      </w:pPr>
      <w:r>
        <w:rPr>
          <w:b/>
          <w:color w:val="1E293B"/>
        </w:rPr>
        <w:t>Rich Course Metadata:</w:t>
      </w:r>
      <w:r>
        <w:rPr>
          <w:color w:val="1E293B"/>
        </w:rPr>
        <w:t xml:space="preserve"> Displays duration, total hours, lesson count, original fee vs. discounted fee, star ratings, and student reviews.</w:t>
      </w:r>
    </w:p>
    <w:p>
      <w:pPr>
        <w:keepNext/>
        <w:spacing w:before="240" w:after="80"/>
      </w:pPr>
      <w:r>
        <w:rPr>
          <w:rFonts w:ascii="Calibri" w:hAnsi="Calibri"/>
          <w:b/>
          <w:color w:val="D97706"/>
          <w:sz w:val="26"/>
        </w:rPr>
        <w:t>2.3 Offline Campus &amp; Lab Hub (/training)</w:t>
      </w:r>
    </w:p>
    <w:p>
      <w:pPr>
        <w:pStyle w:val="ListBullet"/>
        <w:spacing w:before="0" w:after="60"/>
      </w:pPr>
      <w:r>
        <w:rPr>
          <w:b/>
          <w:color w:val="1E293B"/>
        </w:rPr>
        <w:t>Physical Campus Facilities:</w:t>
      </w:r>
      <w:r>
        <w:rPr>
          <w:color w:val="1E293B"/>
        </w:rPr>
        <w:t xml:space="preserve"> Showcases high-spec computer workstations, air-conditioned labs, presentation screens, and gigabit fiber internet.</w:t>
      </w:r>
    </w:p>
    <w:p>
      <w:pPr>
        <w:pStyle w:val="ListBullet"/>
        <w:spacing w:before="0" w:after="60"/>
      </w:pPr>
      <w:r>
        <w:rPr>
          <w:b/>
          <w:color w:val="1E293B"/>
        </w:rPr>
        <w:t>Batch Schedules:</w:t>
      </w:r>
      <w:r>
        <w:rPr>
          <w:color w:val="1E293B"/>
        </w:rPr>
        <w:t xml:space="preserve"> Detailed listings for Weekend, Evening, and Morning cohorts with seat availability indicators.</w:t>
      </w:r>
    </w:p>
    <w:p>
      <w:pPr>
        <w:pStyle w:val="ListBullet"/>
        <w:spacing w:before="0" w:after="60"/>
      </w:pPr>
      <w:r>
        <w:rPr>
          <w:b/>
          <w:color w:val="1E293B"/>
        </w:rPr>
        <w:t>4-Step Admission Pathway:</w:t>
      </w:r>
      <w:r>
        <w:rPr>
          <w:color w:val="1E293B"/>
        </w:rPr>
        <w:t xml:space="preserve"> Clear roadmap from skills consultation to enrollment, hands-on lab sprints, and career placement.</w:t>
      </w:r>
    </w:p>
    <w:p>
      <w:pPr>
        <w:pStyle w:val="ListBullet"/>
        <w:spacing w:before="0" w:after="60"/>
      </w:pPr>
      <w:r>
        <w:rPr>
          <w:b/>
          <w:color w:val="1E293B"/>
        </w:rPr>
        <w:t>Campus Visiting Hours &amp; Directions:</w:t>
      </w:r>
      <w:r>
        <w:rPr>
          <w:color w:val="1E293B"/>
        </w:rPr>
        <w:t xml:space="preserve"> Clear logistical details for prospective students visiting Nafi Tower in Gulshan-1.</w:t>
      </w:r>
    </w:p>
    <w:p>
      <w:pPr>
        <w:keepNext/>
        <w:spacing w:before="240" w:after="80"/>
      </w:pPr>
      <w:r>
        <w:rPr>
          <w:rFonts w:ascii="Calibri" w:hAnsi="Calibri"/>
          <w:b/>
          <w:color w:val="D97706"/>
          <w:sz w:val="26"/>
        </w:rPr>
        <w:t>2.4 Enterprise IT Services (/services)</w:t>
      </w:r>
    </w:p>
    <w:p>
      <w:pPr>
        <w:pStyle w:val="ListBullet"/>
        <w:spacing w:before="0" w:after="60"/>
      </w:pPr>
      <w:r>
        <w:rPr>
          <w:b/>
          <w:color w:val="1E293B"/>
        </w:rPr>
        <w:t>12 Full Commercial Offerings:</w:t>
      </w:r>
      <w:r>
        <w:rPr>
          <w:color w:val="1E293B"/>
        </w:rPr>
        <w:t xml:space="preserve"> Web development, mobile apps, ERPs, UI/UX, cloud migration, cybersecurity audits, and dedicated engineering retainers.</w:t>
      </w:r>
    </w:p>
    <w:p>
      <w:pPr>
        <w:pStyle w:val="ListBullet"/>
        <w:spacing w:before="0" w:after="60"/>
      </w:pPr>
      <w:r>
        <w:rPr>
          <w:b/>
          <w:color w:val="1E293B"/>
        </w:rPr>
        <w:t>Transparent Delivery Process:</w:t>
      </w:r>
      <w:r>
        <w:rPr>
          <w:color w:val="1E293B"/>
        </w:rPr>
        <w:t xml:space="preserve"> Step-by-step methodology: Discovery &amp; Scoping → Wireframing → Agile Development → QA &amp; Pentesting → Deployment &amp; SLA.</w:t>
      </w:r>
    </w:p>
    <w:p>
      <w:pPr>
        <w:pStyle w:val="ListBullet"/>
        <w:spacing w:before="0" w:after="60"/>
      </w:pPr>
      <w:r>
        <w:rPr>
          <w:b/>
          <w:color w:val="1E293B"/>
        </w:rPr>
        <w:t>Free Technical Consultation:</w:t>
      </w:r>
      <w:r>
        <w:rPr>
          <w:color w:val="1E293B"/>
        </w:rPr>
        <w:t xml:space="preserve"> Direct CTA connecting clients to senior solution architects with a 24-hour response guarantee.</w:t>
      </w:r>
    </w:p>
    <w:p>
      <w:pPr>
        <w:keepNext/>
        <w:spacing w:before="240" w:after="80"/>
      </w:pPr>
      <w:r>
        <w:rPr>
          <w:rFonts w:ascii="Calibri" w:hAnsi="Calibri"/>
          <w:b/>
          <w:color w:val="D97706"/>
          <w:sz w:val="26"/>
        </w:rPr>
        <w:t>2.5 Portfolio &amp; Case Studies (/portfolio)</w:t>
      </w:r>
    </w:p>
    <w:p>
      <w:pPr>
        <w:pStyle w:val="ListBullet"/>
        <w:spacing w:before="0" w:after="60"/>
      </w:pPr>
      <w:r>
        <w:rPr>
          <w:b/>
          <w:color w:val="1E293B"/>
        </w:rPr>
        <w:t>Project Categories:</w:t>
      </w:r>
      <w:r>
        <w:rPr>
          <w:color w:val="1E293B"/>
        </w:rPr>
        <w:t xml:space="preserve"> Categorized case studies covering Web Apps, Mobile Systems, Enterprise Software, and UI/UX Design.</w:t>
      </w:r>
    </w:p>
    <w:p>
      <w:pPr>
        <w:pStyle w:val="ListBullet"/>
        <w:spacing w:before="0" w:after="60"/>
      </w:pPr>
      <w:r>
        <w:rPr>
          <w:b/>
          <w:color w:val="1E293B"/>
        </w:rPr>
        <w:t>Problem-Solution-Impact Breakdown:</w:t>
      </w:r>
      <w:r>
        <w:rPr>
          <w:color w:val="1E293B"/>
        </w:rPr>
        <w:t xml:space="preserve"> Each project includes the client profile, business hurdle, technical solution, and measured ROI.</w:t>
      </w:r>
    </w:p>
    <w:p>
      <w:pPr>
        <w:keepNext/>
        <w:spacing w:before="240" w:after="80"/>
      </w:pPr>
      <w:r>
        <w:rPr>
          <w:rFonts w:ascii="Calibri" w:hAnsi="Calibri"/>
          <w:b/>
          <w:color w:val="D97706"/>
          <w:sz w:val="26"/>
        </w:rPr>
        <w:t>2.6 About Us &amp; Leadership (/about)</w:t>
      </w:r>
    </w:p>
    <w:p>
      <w:pPr>
        <w:pStyle w:val="ListBullet"/>
        <w:spacing w:before="0" w:after="60"/>
      </w:pPr>
      <w:r>
        <w:rPr>
          <w:b/>
          <w:color w:val="1E293B"/>
        </w:rPr>
        <w:t>Foundational Vision:</w:t>
      </w:r>
      <w:r>
        <w:rPr>
          <w:color w:val="1E293B"/>
        </w:rPr>
        <w:t xml:space="preserve"> The backstory of RESDA and its commitment to digital empowerment in Bangladesh.</w:t>
      </w:r>
    </w:p>
    <w:p>
      <w:pPr>
        <w:pStyle w:val="ListBullet"/>
        <w:spacing w:before="0" w:after="60"/>
      </w:pPr>
      <w:r>
        <w:rPr>
          <w:b/>
          <w:color w:val="1E293B"/>
        </w:rPr>
        <w:t>Executive Leadership Profiles:</w:t>
      </w:r>
      <w:r>
        <w:rPr>
          <w:color w:val="1E293B"/>
        </w:rPr>
        <w:t xml:space="preserve"> Profiles of the CEO, CTO, and Head of Academics with professional backgrounds.</w:t>
      </w:r>
    </w:p>
    <w:p>
      <w:pPr>
        <w:keepNext/>
        <w:spacing w:before="240" w:after="80"/>
      </w:pPr>
      <w:r>
        <w:rPr>
          <w:rFonts w:ascii="Calibri" w:hAnsi="Calibri"/>
          <w:b/>
          <w:color w:val="D97706"/>
          <w:sz w:val="26"/>
        </w:rPr>
        <w:t>2.7 Contact, FAQs &amp; Verified Location (/contact)</w:t>
      </w:r>
    </w:p>
    <w:p>
      <w:pPr>
        <w:pStyle w:val="ListBullet"/>
        <w:spacing w:before="0" w:after="60"/>
      </w:pPr>
      <w:r>
        <w:rPr>
          <w:b/>
          <w:color w:val="1E293B"/>
        </w:rPr>
        <w:t>Inquiry Form:</w:t>
      </w:r>
      <w:r>
        <w:rPr>
          <w:color w:val="1E293B"/>
        </w:rPr>
        <w:t xml:space="preserve"> Support for Course Enrollment, Corporate IT Inquiries, and General Inquiries with instant validation.</w:t>
      </w:r>
    </w:p>
    <w:p>
      <w:pPr>
        <w:pStyle w:val="ListBullet"/>
        <w:spacing w:before="0" w:after="60"/>
      </w:pPr>
      <w:r>
        <w:rPr>
          <w:b/>
          <w:color w:val="1E293B"/>
        </w:rPr>
        <w:t>Interactive FAQ Accordion:</w:t>
      </w:r>
      <w:r>
        <w:rPr>
          <w:color w:val="1E293B"/>
        </w:rPr>
        <w:t xml:space="preserve"> Expandable answers for installment plans, certificate recognition, and prerequisites.</w:t>
      </w:r>
    </w:p>
    <w:p>
      <w:pPr>
        <w:pStyle w:val="ListBullet"/>
        <w:spacing w:before="0" w:after="60"/>
      </w:pPr>
      <w:r>
        <w:rPr>
          <w:b/>
          <w:color w:val="1E293B"/>
        </w:rPr>
        <w:t>Verified Gulshan-1 Location:</w:t>
      </w:r>
      <w:r>
        <w:rPr>
          <w:color w:val="1E293B"/>
        </w:rPr>
        <w:t xml:space="preserve"> Accurate Nafi Tower address, coordinates, landmark directions, and direct Google Maps links.</w:t>
      </w:r>
    </w:p>
    <w:p>
      <w:pPr>
        <w:keepNext/>
        <w:spacing w:before="240" w:after="80"/>
      </w:pPr>
      <w:r>
        <w:rPr>
          <w:rFonts w:ascii="Calibri" w:hAnsi="Calibri"/>
          <w:b/>
          <w:color w:val="D97706"/>
          <w:sz w:val="26"/>
        </w:rPr>
        <w:t>2.8 Navigation &amp; Global Footer</w:t>
      </w:r>
    </w:p>
    <w:p>
      <w:pPr>
        <w:pStyle w:val="ListBullet"/>
        <w:spacing w:before="0" w:after="60"/>
      </w:pPr>
      <w:r>
        <w:rPr>
          <w:b/>
          <w:color w:val="1E293B"/>
        </w:rPr>
        <w:t>Responsive Navigation:</w:t>
      </w:r>
      <w:r>
        <w:rPr>
          <w:color w:val="1E293B"/>
        </w:rPr>
        <w:t xml:space="preserve"> Sticky navbar with desktop dropdowns, mobile sliding drawer, and fast enrollment action triggers.</w:t>
      </w:r>
    </w:p>
    <w:p>
      <w:pPr>
        <w:pStyle w:val="ListBullet"/>
        <w:spacing w:before="0" w:after="60"/>
      </w:pPr>
      <w:r>
        <w:rPr>
          <w:b/>
          <w:color w:val="1E293B"/>
        </w:rPr>
        <w:t>Comprehensive Footer:</w:t>
      </w:r>
      <w:r>
        <w:rPr>
          <w:color w:val="1E293B"/>
        </w:rPr>
        <w:t xml:space="preserve"> Full site directory, social links, legal policies, and corporate address.</w:t>
      </w:r>
    </w:p>
    <w:p>
      <w:pPr>
        <w:keepNext/>
        <w:spacing w:before="320" w:after="120"/>
      </w:pPr>
      <w:r>
        <w:rPr>
          <w:rFonts w:ascii="Calibri" w:hAnsi="Calibri"/>
          <w:b/>
          <w:color w:val="1A2B4C"/>
          <w:sz w:val="32"/>
        </w:rPr>
        <w:t>3. Product Roadmap: Features to Include Next</w:t>
      </w:r>
    </w:p>
    <w:p>
      <w:pPr>
        <w:keepNext/>
        <w:spacing w:before="240" w:after="80"/>
      </w:pPr>
      <w:r>
        <w:rPr>
          <w:rFonts w:ascii="Calibri" w:hAnsi="Calibri"/>
          <w:b/>
          <w:color w:val="D97706"/>
          <w:sz w:val="26"/>
        </w:rPr>
        <w:t>Phase 1: High Priority (Immediate Value)</w:t>
      </w:r>
    </w:p>
    <w:p>
      <w:pPr>
        <w:pStyle w:val="ListBullet"/>
        <w:spacing w:before="0" w:after="60"/>
      </w:pPr>
      <w:r>
        <w:rPr>
          <w:b/>
          <w:color w:val="1E293B"/>
        </w:rPr>
        <w:t>Course Details Pages (/courses/[slug]):</w:t>
      </w:r>
      <w:r>
        <w:rPr>
          <w:color w:val="1E293B"/>
        </w:rPr>
        <w:t xml:space="preserve"> Individual syllabus pages with week-by-week curriculum accordions, lesson outlines, downloadable syllabus PDF, and instructor bios.</w:t>
      </w:r>
    </w:p>
    <w:p>
      <w:pPr>
        <w:pStyle w:val="ListBullet"/>
        <w:spacing w:before="0" w:after="60"/>
      </w:pPr>
      <w:r>
        <w:rPr>
          <w:b/>
          <w:color w:val="1E293B"/>
        </w:rPr>
        <w:t>Live Backend APIs &amp; Notification Service:</w:t>
      </w:r>
      <w:r>
        <w:rPr>
          <w:color w:val="1E293B"/>
        </w:rPr>
        <w:t xml:space="preserve"> Next.js Route Handlers (/api/contact, /api/newsletter, /api/enroll) connected to Resend/Nodemailer for automated email notifications.</w:t>
      </w:r>
    </w:p>
    <w:p>
      <w:pPr>
        <w:pStyle w:val="ListBullet"/>
        <w:spacing w:before="0" w:after="60"/>
      </w:pPr>
      <w:r>
        <w:rPr>
          <w:b/>
          <w:color w:val="1E293B"/>
        </w:rPr>
        <w:t>WhatsApp Quick Chat Floating Widget:</w:t>
      </w:r>
      <w:r>
        <w:rPr>
          <w:color w:val="1E293B"/>
        </w:rPr>
        <w:t xml:space="preserve"> One-click WhatsApp floating icon in the bottom corner for immediate student admissions queries.</w:t>
      </w:r>
    </w:p>
    <w:p>
      <w:pPr>
        <w:keepNext/>
        <w:spacing w:before="240" w:after="80"/>
      </w:pPr>
      <w:r>
        <w:rPr>
          <w:rFonts w:ascii="Calibri" w:hAnsi="Calibri"/>
          <w:b/>
          <w:color w:val="D97706"/>
          <w:sz w:val="26"/>
        </w:rPr>
        <w:t>Phase 2: Medium Priority (Growth &amp; Monetization)</w:t>
      </w:r>
    </w:p>
    <w:p>
      <w:pPr>
        <w:pStyle w:val="ListBullet"/>
        <w:spacing w:before="0" w:after="60"/>
      </w:pPr>
      <w:r>
        <w:rPr>
          <w:b/>
          <w:color w:val="1E293B"/>
        </w:rPr>
        <w:t>Online Fee Payment Gateway:</w:t>
      </w:r>
      <w:r>
        <w:rPr>
          <w:color w:val="1E293B"/>
        </w:rPr>
        <w:t xml:space="preserve"> Seamless tuition fee checkout using local Bangladesh MFS gateways (bKash, Nagad, Rocket) and credit cards via SSLCommerz.</w:t>
      </w:r>
    </w:p>
    <w:p>
      <w:pPr>
        <w:pStyle w:val="ListBullet"/>
        <w:spacing w:before="0" w:after="60"/>
      </w:pPr>
      <w:r>
        <w:rPr>
          <w:b/>
          <w:color w:val="1E293B"/>
        </w:rPr>
        <w:t>Digital Certificate Verification Portal (/verify):</w:t>
      </w:r>
      <w:r>
        <w:rPr>
          <w:color w:val="1E293B"/>
        </w:rPr>
        <w:t xml:space="preserve"> Public verification portal where employers can enter a Certificate ID or scan a QR code to verify graduate credentials.</w:t>
      </w:r>
    </w:p>
    <w:p>
      <w:pPr>
        <w:pStyle w:val="ListBullet"/>
        <w:spacing w:before="0" w:after="60"/>
      </w:pPr>
      <w:r>
        <w:rPr>
          <w:b/>
          <w:color w:val="1E293B"/>
        </w:rPr>
        <w:t>SEO Optimization &amp; Schema Markup:</w:t>
      </w:r>
      <w:r>
        <w:rPr>
          <w:color w:val="1E293B"/>
        </w:rPr>
        <w:t xml:space="preserve"> Dynamic XML sitemap (/sitemap.xml), robots.txt, and JSON-LD schema for Course, LocalBusiness, and EducationalOrganization.</w:t>
      </w:r>
    </w:p>
    <w:p>
      <w:pPr>
        <w:keepNext/>
        <w:spacing w:before="240" w:after="80"/>
      </w:pPr>
      <w:r>
        <w:rPr>
          <w:rFonts w:ascii="Calibri" w:hAnsi="Calibri"/>
          <w:b/>
          <w:color w:val="D97706"/>
          <w:sz w:val="26"/>
        </w:rPr>
        <w:t>Phase 3: Platform Expansion (Scale &amp; Ecosystem)</w:t>
      </w:r>
    </w:p>
    <w:p>
      <w:pPr>
        <w:pStyle w:val="ListBullet"/>
        <w:spacing w:before="0" w:after="60"/>
      </w:pPr>
      <w:r>
        <w:rPr>
          <w:b/>
          <w:color w:val="1E293B"/>
        </w:rPr>
        <w:t>Student LMS Portal:</w:t>
      </w:r>
      <w:r>
        <w:rPr>
          <w:color w:val="1E293B"/>
        </w:rPr>
        <w:t xml:space="preserve"> Secure login (NextAuth / Clerk) for enrolled students to stream lecture recordings, submit assignments, and track grades.</w:t>
      </w:r>
    </w:p>
    <w:p>
      <w:pPr>
        <w:pStyle w:val="ListBullet"/>
        <w:spacing w:before="0" w:after="60"/>
      </w:pPr>
      <w:r>
        <w:rPr>
          <w:b/>
          <w:color w:val="1E293B"/>
        </w:rPr>
        <w:t>Tech Blog &amp; Career Insights (/blog):</w:t>
      </w:r>
      <w:r>
        <w:rPr>
          <w:color w:val="1E293B"/>
        </w:rPr>
        <w:t xml:space="preserve"> SEO-optimized articles, tutorials, and career roadmaps to capture organic Google search traffic.</w:t>
      </w:r>
    </w:p>
    <w:p>
      <w:pPr>
        <w:pStyle w:val="ListBullet"/>
        <w:spacing w:before="0" w:after="60"/>
      </w:pPr>
      <w:r>
        <w:rPr>
          <w:b/>
          <w:color w:val="1E293B"/>
        </w:rPr>
        <w:t>Corporate Client Dashboard:</w:t>
      </w:r>
      <w:r>
        <w:rPr>
          <w:color w:val="1E293B"/>
        </w:rPr>
        <w:t xml:space="preserve"> Private client portal to track software development sprint deliverables, milestones, and staging links.</w:t>
      </w:r>
    </w:p>
    <w:p>
      <w:pPr>
        <w:keepNext/>
        <w:spacing w:before="320" w:after="120"/>
      </w:pPr>
      <w:r>
        <w:rPr>
          <w:rFonts w:ascii="Calibri" w:hAnsi="Calibri"/>
          <w:b/>
          <w:color w:val="1A2B4C"/>
          <w:sz w:val="32"/>
        </w:rPr>
        <w:t>4. Feature Status &amp; Implementation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vAlign w:val="center"/>
            <w:tcMar>
              <w:top w:w="80" w:type="dxa"/>
              <w:bottom w:w="80" w:type="dxa"/>
              <w:left w:w="120" w:type="dxa"/>
              <w:right w:w="120" w:type="dxa"/>
            </w:tcMar>
            <w:shd w:fill="1A2B4C"/>
          </w:tcPr>
          <w:p>
            <w:pPr>
              <w:spacing w:before="40" w:after="40"/>
            </w:pPr>
            <w:r>
              <w:rPr>
                <w:rFonts w:ascii="Calibri" w:hAnsi="Calibri"/>
                <w:b/>
                <w:color w:val="FFFFFF"/>
                <w:sz w:val="20"/>
              </w:rPr>
              <w:t>Feature Area</w:t>
            </w:r>
          </w:p>
        </w:tc>
        <w:tc>
          <w:tcPr>
            <w:tcW w:type="dxa" w:w="3312"/>
            <w:vAlign w:val="center"/>
            <w:tcMar>
              <w:top w:w="80" w:type="dxa"/>
              <w:bottom w:w="80" w:type="dxa"/>
              <w:left w:w="120" w:type="dxa"/>
              <w:right w:w="120" w:type="dxa"/>
            </w:tcMar>
            <w:shd w:fill="1A2B4C"/>
          </w:tcPr>
          <w:p>
            <w:pPr>
              <w:spacing w:before="40" w:after="40"/>
            </w:pPr>
            <w:r>
              <w:rPr>
                <w:rFonts w:ascii="Calibri" w:hAnsi="Calibri"/>
                <w:b/>
                <w:color w:val="FFFFFF"/>
                <w:sz w:val="20"/>
              </w:rPr>
              <w:t>Current Status</w:t>
            </w:r>
          </w:p>
        </w:tc>
        <w:tc>
          <w:tcPr>
            <w:tcW w:type="dxa" w:w="4032"/>
            <w:vAlign w:val="center"/>
            <w:tcMar>
              <w:top w:w="80" w:type="dxa"/>
              <w:bottom w:w="80" w:type="dxa"/>
              <w:left w:w="120" w:type="dxa"/>
              <w:right w:w="120" w:type="dxa"/>
            </w:tcMar>
            <w:shd w:fill="1A2B4C"/>
          </w:tcPr>
          <w:p>
            <w:pPr>
              <w:spacing w:before="40" w:after="40"/>
            </w:pPr>
            <w:r>
              <w:rPr>
                <w:rFonts w:ascii="Calibri" w:hAnsi="Calibri"/>
                <w:b/>
                <w:color w:val="FFFFFF"/>
                <w:sz w:val="20"/>
              </w:rPr>
              <w:t>Next Planned Enhancement</w:t>
            </w:r>
          </w:p>
        </w:tc>
      </w:tr>
      <w:tr>
        <w:tc>
          <w:tcPr>
            <w:tcW w:type="dxa" w:w="2592"/>
            <w:vAlign w:val="center"/>
            <w:tcMar>
              <w:top w:w="80" w:type="dxa"/>
              <w:bottom w:w="80" w:type="dxa"/>
              <w:left w:w="120" w:type="dxa"/>
              <w:right w:w="120" w:type="dxa"/>
            </w:tcMar>
            <w:shd w:fill="F8FAFC"/>
          </w:tcPr>
          <w:p>
            <w:pPr>
              <w:spacing w:before="40" w:after="40"/>
            </w:pPr>
            <w:r>
              <w:rPr>
                <w:rFonts w:ascii="Calibri" w:hAnsi="Calibri"/>
                <w:b/>
                <w:color w:val="1A2B4C"/>
                <w:sz w:val="19"/>
              </w:rPr>
              <w:t>Course Catalog</w:t>
            </w:r>
          </w:p>
        </w:tc>
        <w:tc>
          <w:tcPr>
            <w:tcW w:type="dxa" w:w="3312"/>
            <w:vAlign w:val="center"/>
            <w:tcMar>
              <w:top w:w="80" w:type="dxa"/>
              <w:bottom w:w="80" w:type="dxa"/>
              <w:left w:w="120" w:type="dxa"/>
              <w:right w:w="120" w:type="dxa"/>
            </w:tcMar>
            <w:shd w:fill="F8FAFC"/>
          </w:tcPr>
          <w:p>
            <w:pPr>
              <w:spacing w:before="40" w:after="40"/>
            </w:pPr>
            <w:r>
              <w:rPr>
                <w:rFonts w:ascii="Calibri" w:hAnsi="Calibri"/>
                <w:color w:val="1E293B"/>
                <w:sz w:val="19"/>
              </w:rPr>
              <w:t>Active (Search &amp; Filters)</w:t>
            </w:r>
          </w:p>
        </w:tc>
        <w:tc>
          <w:tcPr>
            <w:tcW w:type="dxa" w:w="4032"/>
            <w:vAlign w:val="center"/>
            <w:tcMar>
              <w:top w:w="80" w:type="dxa"/>
              <w:bottom w:w="80" w:type="dxa"/>
              <w:left w:w="120" w:type="dxa"/>
              <w:right w:w="120" w:type="dxa"/>
            </w:tcMar>
            <w:shd w:fill="F8FAFC"/>
          </w:tcPr>
          <w:p>
            <w:pPr>
              <w:spacing w:before="40" w:after="40"/>
            </w:pPr>
            <w:r>
              <w:rPr>
                <w:rFonts w:ascii="Calibri" w:hAnsi="Calibri"/>
                <w:color w:val="1E293B"/>
                <w:sz w:val="19"/>
              </w:rPr>
              <w:t>Detailed /courses/[slug] with downloadable PDF</w:t>
            </w:r>
          </w:p>
        </w:tc>
      </w:tr>
      <w:tr>
        <w:tc>
          <w:tcPr>
            <w:tcW w:type="dxa" w:w="2592"/>
            <w:vAlign w:val="center"/>
            <w:tcMar>
              <w:top w:w="80" w:type="dxa"/>
              <w:bottom w:w="80" w:type="dxa"/>
              <w:left w:w="120" w:type="dxa"/>
              <w:right w:w="120" w:type="dxa"/>
            </w:tcMar>
          </w:tcPr>
          <w:p>
            <w:pPr>
              <w:spacing w:before="40" w:after="40"/>
            </w:pPr>
            <w:r>
              <w:rPr>
                <w:rFonts w:ascii="Calibri" w:hAnsi="Calibri"/>
                <w:b/>
                <w:color w:val="1A2B4C"/>
                <w:sz w:val="19"/>
              </w:rPr>
              <w:t>Enrollment Flow</w:t>
            </w:r>
          </w:p>
        </w:tc>
        <w:tc>
          <w:tcPr>
            <w:tcW w:type="dxa" w:w="3312"/>
            <w:vAlign w:val="center"/>
            <w:tcMar>
              <w:top w:w="80" w:type="dxa"/>
              <w:bottom w:w="80" w:type="dxa"/>
              <w:left w:w="120" w:type="dxa"/>
              <w:right w:w="120" w:type="dxa"/>
            </w:tcMar>
          </w:tcPr>
          <w:p>
            <w:pPr>
              <w:spacing w:before="40" w:after="40"/>
            </w:pPr>
            <w:r>
              <w:rPr>
                <w:rFonts w:ascii="Calibri" w:hAnsi="Calibri"/>
                <w:color w:val="1E293B"/>
                <w:sz w:val="19"/>
              </w:rPr>
              <w:t>Contact form routing</w:t>
            </w:r>
          </w:p>
        </w:tc>
        <w:tc>
          <w:tcPr>
            <w:tcW w:type="dxa" w:w="4032"/>
            <w:vAlign w:val="center"/>
            <w:tcMar>
              <w:top w:w="80" w:type="dxa"/>
              <w:bottom w:w="80" w:type="dxa"/>
              <w:left w:w="120" w:type="dxa"/>
              <w:right w:w="120" w:type="dxa"/>
            </w:tcMar>
          </w:tcPr>
          <w:p>
            <w:pPr>
              <w:spacing w:before="40" w:after="40"/>
            </w:pPr>
            <w:r>
              <w:rPr>
                <w:rFonts w:ascii="Calibri" w:hAnsi="Calibri"/>
                <w:color w:val="1E293B"/>
                <w:sz w:val="19"/>
              </w:rPr>
              <w:t>Direct online batch checkout &amp; seat reservation</w:t>
            </w:r>
          </w:p>
        </w:tc>
      </w:tr>
      <w:tr>
        <w:tc>
          <w:tcPr>
            <w:tcW w:type="dxa" w:w="2592"/>
            <w:vAlign w:val="center"/>
            <w:tcMar>
              <w:top w:w="80" w:type="dxa"/>
              <w:bottom w:w="80" w:type="dxa"/>
              <w:left w:w="120" w:type="dxa"/>
              <w:right w:w="120" w:type="dxa"/>
            </w:tcMar>
            <w:shd w:fill="F8FAFC"/>
          </w:tcPr>
          <w:p>
            <w:pPr>
              <w:spacing w:before="40" w:after="40"/>
            </w:pPr>
            <w:r>
              <w:rPr>
                <w:rFonts w:ascii="Calibri" w:hAnsi="Calibri"/>
                <w:b/>
                <w:color w:val="1A2B4C"/>
                <w:sz w:val="19"/>
              </w:rPr>
              <w:t>Tuition Payment</w:t>
            </w:r>
          </w:p>
        </w:tc>
        <w:tc>
          <w:tcPr>
            <w:tcW w:type="dxa" w:w="3312"/>
            <w:vAlign w:val="center"/>
            <w:tcMar>
              <w:top w:w="80" w:type="dxa"/>
              <w:bottom w:w="80" w:type="dxa"/>
              <w:left w:w="120" w:type="dxa"/>
              <w:right w:w="120" w:type="dxa"/>
            </w:tcMar>
            <w:shd w:fill="F8FAFC"/>
          </w:tcPr>
          <w:p>
            <w:pPr>
              <w:spacing w:before="40" w:after="40"/>
            </w:pPr>
            <w:r>
              <w:rPr>
                <w:rFonts w:ascii="Calibri" w:hAnsi="Calibri"/>
                <w:color w:val="1E293B"/>
                <w:sz w:val="19"/>
              </w:rPr>
              <w:t>Manual / on-campus info</w:t>
            </w:r>
          </w:p>
        </w:tc>
        <w:tc>
          <w:tcPr>
            <w:tcW w:type="dxa" w:w="4032"/>
            <w:vAlign w:val="center"/>
            <w:tcMar>
              <w:top w:w="80" w:type="dxa"/>
              <w:bottom w:w="80" w:type="dxa"/>
              <w:left w:w="120" w:type="dxa"/>
              <w:right w:w="120" w:type="dxa"/>
            </w:tcMar>
            <w:shd w:fill="F8FAFC"/>
          </w:tcPr>
          <w:p>
            <w:pPr>
              <w:spacing w:before="40" w:after="40"/>
            </w:pPr>
            <w:r>
              <w:rPr>
                <w:rFonts w:ascii="Calibri" w:hAnsi="Calibri"/>
                <w:color w:val="1E293B"/>
                <w:sz w:val="19"/>
              </w:rPr>
              <w:t>Integrated bKash, Nagad &amp; SSLCommerz gateway</w:t>
            </w:r>
          </w:p>
        </w:tc>
      </w:tr>
      <w:tr>
        <w:tc>
          <w:tcPr>
            <w:tcW w:type="dxa" w:w="2592"/>
            <w:vAlign w:val="center"/>
            <w:tcMar>
              <w:top w:w="80" w:type="dxa"/>
              <w:bottom w:w="80" w:type="dxa"/>
              <w:left w:w="120" w:type="dxa"/>
              <w:right w:w="120" w:type="dxa"/>
            </w:tcMar>
          </w:tcPr>
          <w:p>
            <w:pPr>
              <w:spacing w:before="40" w:after="40"/>
            </w:pPr>
            <w:r>
              <w:rPr>
                <w:rFonts w:ascii="Calibri" w:hAnsi="Calibri"/>
                <w:b/>
                <w:color w:val="1A2B4C"/>
                <w:sz w:val="19"/>
              </w:rPr>
              <w:t>Form Processing</w:t>
            </w:r>
          </w:p>
        </w:tc>
        <w:tc>
          <w:tcPr>
            <w:tcW w:type="dxa" w:w="3312"/>
            <w:vAlign w:val="center"/>
            <w:tcMar>
              <w:top w:w="80" w:type="dxa"/>
              <w:bottom w:w="80" w:type="dxa"/>
              <w:left w:w="120" w:type="dxa"/>
              <w:right w:w="120" w:type="dxa"/>
            </w:tcMar>
          </w:tcPr>
          <w:p>
            <w:pPr>
              <w:spacing w:before="40" w:after="40"/>
            </w:pPr>
            <w:r>
              <w:rPr>
                <w:rFonts w:ascii="Calibri" w:hAnsi="Calibri"/>
                <w:color w:val="1E293B"/>
                <w:sz w:val="19"/>
              </w:rPr>
              <w:t>Client-side validated</w:t>
            </w:r>
          </w:p>
        </w:tc>
        <w:tc>
          <w:tcPr>
            <w:tcW w:type="dxa" w:w="4032"/>
            <w:vAlign w:val="center"/>
            <w:tcMar>
              <w:top w:w="80" w:type="dxa"/>
              <w:bottom w:w="80" w:type="dxa"/>
              <w:left w:w="120" w:type="dxa"/>
              <w:right w:w="120" w:type="dxa"/>
            </w:tcMar>
          </w:tcPr>
          <w:p>
            <w:pPr>
              <w:spacing w:before="40" w:after="40"/>
            </w:pPr>
            <w:r>
              <w:rPr>
                <w:rFonts w:ascii="Calibri" w:hAnsi="Calibri"/>
                <w:color w:val="1E293B"/>
                <w:sz w:val="19"/>
              </w:rPr>
              <w:t>Server API handlers + Resend email automation</w:t>
            </w:r>
          </w:p>
        </w:tc>
      </w:tr>
      <w:tr>
        <w:tc>
          <w:tcPr>
            <w:tcW w:type="dxa" w:w="2592"/>
            <w:vAlign w:val="center"/>
            <w:tcMar>
              <w:top w:w="80" w:type="dxa"/>
              <w:bottom w:w="80" w:type="dxa"/>
              <w:left w:w="120" w:type="dxa"/>
              <w:right w:w="120" w:type="dxa"/>
            </w:tcMar>
            <w:shd w:fill="F8FAFC"/>
          </w:tcPr>
          <w:p>
            <w:pPr>
              <w:spacing w:before="40" w:after="40"/>
            </w:pPr>
            <w:r>
              <w:rPr>
                <w:rFonts w:ascii="Calibri" w:hAnsi="Calibri"/>
                <w:b/>
                <w:color w:val="1A2B4C"/>
                <w:sz w:val="19"/>
              </w:rPr>
              <w:t>Certificate Check</w:t>
            </w:r>
          </w:p>
        </w:tc>
        <w:tc>
          <w:tcPr>
            <w:tcW w:type="dxa" w:w="3312"/>
            <w:vAlign w:val="center"/>
            <w:tcMar>
              <w:top w:w="80" w:type="dxa"/>
              <w:bottom w:w="80" w:type="dxa"/>
              <w:left w:w="120" w:type="dxa"/>
              <w:right w:w="120" w:type="dxa"/>
            </w:tcMar>
            <w:shd w:fill="F8FAFC"/>
          </w:tcPr>
          <w:p>
            <w:pPr>
              <w:spacing w:before="40" w:after="40"/>
            </w:pPr>
            <w:r>
              <w:rPr>
                <w:rFonts w:ascii="Calibri" w:hAnsi="Calibri"/>
                <w:color w:val="1E293B"/>
                <w:sz w:val="19"/>
              </w:rPr>
              <w:t>Static credential mention</w:t>
            </w:r>
          </w:p>
        </w:tc>
        <w:tc>
          <w:tcPr>
            <w:tcW w:type="dxa" w:w="4032"/>
            <w:vAlign w:val="center"/>
            <w:tcMar>
              <w:top w:w="80" w:type="dxa"/>
              <w:bottom w:w="80" w:type="dxa"/>
              <w:left w:w="120" w:type="dxa"/>
              <w:right w:w="120" w:type="dxa"/>
            </w:tcMar>
            <w:shd w:fill="F8FAFC"/>
          </w:tcPr>
          <w:p>
            <w:pPr>
              <w:spacing w:before="40" w:after="40"/>
            </w:pPr>
            <w:r>
              <w:rPr>
                <w:rFonts w:ascii="Calibri" w:hAnsi="Calibri"/>
                <w:color w:val="1E293B"/>
                <w:sz w:val="19"/>
              </w:rPr>
              <w:t>Public /verify portal with QR verification</w:t>
            </w:r>
          </w:p>
        </w:tc>
      </w:tr>
      <w:tr>
        <w:tc>
          <w:tcPr>
            <w:tcW w:type="dxa" w:w="2592"/>
            <w:vAlign w:val="center"/>
            <w:tcMar>
              <w:top w:w="80" w:type="dxa"/>
              <w:bottom w:w="80" w:type="dxa"/>
              <w:left w:w="120" w:type="dxa"/>
              <w:right w:w="120" w:type="dxa"/>
            </w:tcMar>
          </w:tcPr>
          <w:p>
            <w:pPr>
              <w:spacing w:before="40" w:after="40"/>
            </w:pPr>
            <w:r>
              <w:rPr>
                <w:rFonts w:ascii="Calibri" w:hAnsi="Calibri"/>
                <w:b/>
                <w:color w:val="1A2B4C"/>
                <w:sz w:val="19"/>
              </w:rPr>
              <w:t>Headquarters Location</w:t>
            </w:r>
          </w:p>
        </w:tc>
        <w:tc>
          <w:tcPr>
            <w:tcW w:type="dxa" w:w="3312"/>
            <w:vAlign w:val="center"/>
            <w:tcMar>
              <w:top w:w="80" w:type="dxa"/>
              <w:bottom w:w="80" w:type="dxa"/>
              <w:left w:w="120" w:type="dxa"/>
              <w:right w:w="120" w:type="dxa"/>
            </w:tcMar>
          </w:tcPr>
          <w:p>
            <w:pPr>
              <w:spacing w:before="40" w:after="40"/>
            </w:pPr>
            <w:r>
              <w:rPr>
                <w:rFonts w:ascii="Calibri" w:hAnsi="Calibri"/>
                <w:color w:val="1E293B"/>
                <w:sz w:val="19"/>
              </w:rPr>
              <w:t>Nafi Tower Gulshan-1 updated</w:t>
            </w:r>
          </w:p>
        </w:tc>
        <w:tc>
          <w:tcPr>
            <w:tcW w:type="dxa" w:w="4032"/>
            <w:vAlign w:val="center"/>
            <w:tcMar>
              <w:top w:w="80" w:type="dxa"/>
              <w:bottom w:w="80" w:type="dxa"/>
              <w:left w:w="120" w:type="dxa"/>
              <w:right w:w="120" w:type="dxa"/>
            </w:tcMar>
          </w:tcPr>
          <w:p>
            <w:pPr>
              <w:spacing w:before="40" w:after="40"/>
            </w:pPr>
            <w:r>
              <w:rPr>
                <w:rFonts w:ascii="Calibri" w:hAnsi="Calibri"/>
                <w:color w:val="1E293B"/>
                <w:sz w:val="19"/>
              </w:rPr>
              <w:t>Interactive embedded live map + WhatsApp widget</w:t>
            </w:r>
          </w:p>
        </w:tc>
      </w:tr>
      <w:tr>
        <w:tc>
          <w:tcPr>
            <w:tcW w:type="dxa" w:w="2592"/>
            <w:vAlign w:val="center"/>
            <w:tcMar>
              <w:top w:w="80" w:type="dxa"/>
              <w:bottom w:w="80" w:type="dxa"/>
              <w:left w:w="120" w:type="dxa"/>
              <w:right w:w="120" w:type="dxa"/>
            </w:tcMar>
            <w:shd w:fill="F8FAFC"/>
          </w:tcPr>
          <w:p>
            <w:pPr>
              <w:spacing w:before="40" w:after="40"/>
            </w:pPr>
            <w:r>
              <w:rPr>
                <w:rFonts w:ascii="Calibri" w:hAnsi="Calibri"/>
                <w:b/>
                <w:color w:val="1A2B4C"/>
                <w:sz w:val="19"/>
              </w:rPr>
              <w:t>Student Experience</w:t>
            </w:r>
          </w:p>
        </w:tc>
        <w:tc>
          <w:tcPr>
            <w:tcW w:type="dxa" w:w="3312"/>
            <w:vAlign w:val="center"/>
            <w:tcMar>
              <w:top w:w="80" w:type="dxa"/>
              <w:bottom w:w="80" w:type="dxa"/>
              <w:left w:w="120" w:type="dxa"/>
              <w:right w:w="120" w:type="dxa"/>
            </w:tcMar>
            <w:shd w:fill="F8FAFC"/>
          </w:tcPr>
          <w:p>
            <w:pPr>
              <w:spacing w:before="40" w:after="40"/>
            </w:pPr>
            <w:r>
              <w:rPr>
                <w:rFonts w:ascii="Calibri" w:hAnsi="Calibri"/>
                <w:color w:val="1E293B"/>
                <w:sz w:val="19"/>
              </w:rPr>
              <w:t>Public website information</w:t>
            </w:r>
          </w:p>
        </w:tc>
        <w:tc>
          <w:tcPr>
            <w:tcW w:type="dxa" w:w="4032"/>
            <w:vAlign w:val="center"/>
            <w:tcMar>
              <w:top w:w="80" w:type="dxa"/>
              <w:bottom w:w="80" w:type="dxa"/>
              <w:left w:w="120" w:type="dxa"/>
              <w:right w:w="120" w:type="dxa"/>
            </w:tcMar>
            <w:shd w:fill="F8FAFC"/>
          </w:tcPr>
          <w:p>
            <w:pPr>
              <w:spacing w:before="40" w:after="40"/>
            </w:pPr>
            <w:r>
              <w:rPr>
                <w:rFonts w:ascii="Calibri" w:hAnsi="Calibri"/>
                <w:color w:val="1E293B"/>
                <w:sz w:val="19"/>
              </w:rPr>
              <w:t>Student LMS login with lecture vaults &amp; labs</w:t>
            </w:r>
          </w:p>
        </w:tc>
      </w:tr>
      <w:tr>
        <w:tc>
          <w:tcPr>
            <w:tcW w:type="dxa" w:w="2592"/>
            <w:vAlign w:val="center"/>
            <w:tcMar>
              <w:top w:w="80" w:type="dxa"/>
              <w:bottom w:w="80" w:type="dxa"/>
              <w:left w:w="120" w:type="dxa"/>
              <w:right w:w="120" w:type="dxa"/>
            </w:tcMar>
          </w:tcPr>
          <w:p>
            <w:pPr>
              <w:spacing w:before="40" w:after="40"/>
            </w:pPr>
            <w:r>
              <w:rPr>
                <w:rFonts w:ascii="Calibri" w:hAnsi="Calibri"/>
                <w:b/>
                <w:color w:val="1A2B4C"/>
                <w:sz w:val="19"/>
              </w:rPr>
              <w:t>Inbound Content</w:t>
            </w:r>
          </w:p>
        </w:tc>
        <w:tc>
          <w:tcPr>
            <w:tcW w:type="dxa" w:w="3312"/>
            <w:vAlign w:val="center"/>
            <w:tcMar>
              <w:top w:w="80" w:type="dxa"/>
              <w:bottom w:w="80" w:type="dxa"/>
              <w:left w:w="120" w:type="dxa"/>
              <w:right w:w="120" w:type="dxa"/>
            </w:tcMar>
          </w:tcPr>
          <w:p>
            <w:pPr>
              <w:spacing w:before="40" w:after="40"/>
            </w:pPr>
            <w:r>
              <w:rPr>
                <w:rFonts w:ascii="Calibri" w:hAnsi="Calibri"/>
                <w:color w:val="1E293B"/>
                <w:sz w:val="19"/>
              </w:rPr>
              <w:t>Marketing pages</w:t>
            </w:r>
          </w:p>
        </w:tc>
        <w:tc>
          <w:tcPr>
            <w:tcW w:type="dxa" w:w="4032"/>
            <w:vAlign w:val="center"/>
            <w:tcMar>
              <w:top w:w="80" w:type="dxa"/>
              <w:bottom w:w="80" w:type="dxa"/>
              <w:left w:w="120" w:type="dxa"/>
              <w:right w:w="120" w:type="dxa"/>
            </w:tcMar>
          </w:tcPr>
          <w:p>
            <w:pPr>
              <w:spacing w:before="40" w:after="40"/>
            </w:pPr>
            <w:r>
              <w:rPr>
                <w:rFonts w:ascii="Calibri" w:hAnsi="Calibri"/>
                <w:color w:val="1E293B"/>
                <w:sz w:val="19"/>
              </w:rPr>
              <w:t>Tech Blog &amp; Tutorials (/blog) for Google SEO</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