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VAT</w:t>
      </w:r>
      <w:r>
        <w:t xml:space="preserve"> </w:t>
      </w:r>
      <w:r>
        <w:t xml:space="preserve">Contracted-Out</w:t>
      </w:r>
      <w:r>
        <w:t xml:space="preserve"> </w:t>
      </w:r>
      <w:r>
        <w:t xml:space="preserve">Services</w:t>
      </w:r>
      <w:r>
        <w:t xml:space="preserve"> </w:t>
      </w:r>
      <w:r>
        <w:t xml:space="preserve">(COS)</w:t>
      </w:r>
      <w:r>
        <w:t xml:space="preserve"> </w:t>
      </w:r>
      <w:r>
        <w:t xml:space="preserve">Headings</w:t>
      </w:r>
    </w:p>
    <w:p>
      <w:pPr>
        <w:pStyle w:val="Subtitle"/>
      </w:pPr>
      <w:r>
        <w:t xml:space="preserve">A</w:t>
      </w:r>
      <w:r>
        <w:t xml:space="preserve"> </w:t>
      </w:r>
      <w:r>
        <w:t xml:space="preserve">guide</w:t>
      </w:r>
      <w:r>
        <w:t xml:space="preserve"> </w:t>
      </w:r>
      <w:r>
        <w:t xml:space="preserve">for</w:t>
      </w:r>
      <w:r>
        <w:t xml:space="preserve"> </w:t>
      </w:r>
      <w:r>
        <w:t xml:space="preserve">a</w:t>
      </w:r>
      <w:r>
        <w:t xml:space="preserve"> </w:t>
      </w:r>
      <w:r>
        <w:t xml:space="preserve">UK</w:t>
      </w:r>
      <w:r>
        <w:t xml:space="preserve"> </w:t>
      </w:r>
      <w:r>
        <w:t xml:space="preserve">government</w:t>
      </w:r>
      <w:r>
        <w:t xml:space="preserve"> </w:t>
      </w:r>
      <w:r>
        <w:t xml:space="preserve">department,</w:t>
      </w:r>
      <w:r>
        <w:t xml:space="preserve"> </w:t>
      </w:r>
      <w:r>
        <w:t xml:space="preserve">with</w:t>
      </w:r>
      <w:r>
        <w:t xml:space="preserve"> </w:t>
      </w:r>
      <w:r>
        <w:t xml:space="preserve">the</w:t>
      </w:r>
      <w:r>
        <w:t xml:space="preserve"> </w:t>
      </w:r>
      <w:r>
        <w:t xml:space="preserve">VAT</w:t>
      </w:r>
      <w:r>
        <w:t xml:space="preserve"> </w:t>
      </w:r>
      <w:r>
        <w:t xml:space="preserve">basics,</w:t>
      </w:r>
      <w:r>
        <w:t xml:space="preserve"> </w:t>
      </w:r>
      <w:r>
        <w:t xml:space="preserve">imports</w:t>
      </w:r>
      <w:r>
        <w:t xml:space="preserve"> </w:t>
      </w:r>
      <w:r>
        <w:t xml:space="preserve">and</w:t>
      </w:r>
      <w:r>
        <w:t xml:space="preserve"> </w:t>
      </w:r>
      <w:r>
        <w:t xml:space="preserve">exports,</w:t>
      </w:r>
      <w:r>
        <w:t xml:space="preserve"> </w:t>
      </w:r>
      <w:r>
        <w:t xml:space="preserve">and</w:t>
      </w:r>
      <w:r>
        <w:t xml:space="preserve"> </w:t>
      </w:r>
      <w:r>
        <w:t xml:space="preserve">worked</w:t>
      </w:r>
      <w:r>
        <w:t xml:space="preserve"> </w:t>
      </w:r>
      <w:r>
        <w:t xml:space="preserve">examples</w:t>
      </w:r>
    </w:p>
    <w:p>
      <w:pPr>
        <w:pStyle w:val="Date"/>
      </w:pPr>
      <w:r>
        <w:t xml:space="preserve">Second</w:t>
      </w:r>
      <w:r>
        <w:t xml:space="preserve"> </w:t>
      </w:r>
      <w:r>
        <w:t xml:space="preserve">edition,</w:t>
      </w:r>
      <w:r>
        <w:t xml:space="preserve"> </w:t>
      </w:r>
      <w:r>
        <w:t xml:space="preserve">updated</w:t>
      </w:r>
      <w:r>
        <w:t xml:space="preserve"> </w:t>
      </w:r>
      <w:r>
        <w:t xml:space="preserve">12</w:t>
      </w:r>
      <w:r>
        <w:t xml:space="preserve"> </w:t>
      </w:r>
      <w:r>
        <w:t xml:space="preserve">October</w:t>
      </w:r>
      <w:r>
        <w:t xml:space="preserve"> </w:t>
      </w:r>
      <w:r>
        <w:t xml:space="preserve">2026</w:t>
      </w:r>
    </w:p>
    <w:p>
      <w:pPr>
        <w:pStyle w:val="BlockText"/>
      </w:pPr>
      <w:r>
        <w:rPr>
          <w:b/>
          <w:bCs/>
        </w:rPr>
        <w:t xml:space="preserve">About this guide</w:t>
      </w:r>
    </w:p>
    <w:p>
      <w:pPr>
        <w:pStyle w:val="Compact"/>
        <w:numPr>
          <w:ilvl w:val="0"/>
          <w:numId w:val="1001"/>
        </w:numPr>
      </w:pPr>
      <w:r>
        <w:rPr>
          <w:b/>
          <w:bCs/>
        </w:rPr>
        <w:t xml:space="preserve">What it is:</w:t>
      </w:r>
      <w:r>
        <w:t xml:space="preserve"> </w:t>
      </w:r>
      <w:r>
        <w:t xml:space="preserve">a plain-English guide to UK VAT for people working with or for a UK central government department. It starts with the basics (output tax, input tax, recoverable and irrecoverable VAT, business and non-business activity, VAT rates and liability, imports and exports). It then explains the VAT refund scheme for</w:t>
      </w:r>
      <w:r>
        <w:t xml:space="preserve"> </w:t>
      </w:r>
      <w:r>
        <w:t xml:space="preserve">“</w:t>
      </w:r>
      <w:r>
        <w:t xml:space="preserve">contracted-out services</w:t>
      </w:r>
      <w:r>
        <w:t xml:space="preserve">”</w:t>
      </w:r>
      <w:r>
        <w:t xml:space="preserve"> </w:t>
      </w:r>
      <w:r>
        <w:t xml:space="preserve">(COS): what the COS headings are, why they exist, who can use them, and every heading from 1 to 82, with worked examples.</w:t>
      </w:r>
    </w:p>
    <w:p>
      <w:pPr>
        <w:pStyle w:val="Compact"/>
        <w:numPr>
          <w:ilvl w:val="0"/>
          <w:numId w:val="1001"/>
        </w:numPr>
      </w:pPr>
      <w:r>
        <w:rPr>
          <w:b/>
          <w:bCs/>
        </w:rPr>
        <w:t xml:space="preserve">“</w:t>
      </w:r>
      <w:r>
        <w:rPr>
          <w:b/>
          <w:bCs/>
        </w:rPr>
        <w:t xml:space="preserve">The Department</w:t>
      </w:r>
      <w:r>
        <w:rPr>
          <w:b/>
          <w:bCs/>
        </w:rPr>
        <w:t xml:space="preserve">”</w:t>
      </w:r>
      <w:r>
        <w:t xml:space="preserve"> </w:t>
      </w:r>
      <w:r>
        <w:t xml:space="preserve">in the examples is a</w:t>
      </w:r>
      <w:r>
        <w:t xml:space="preserve"> </w:t>
      </w:r>
      <w:r>
        <w:rPr>
          <w:b/>
          <w:bCs/>
        </w:rPr>
        <w:t xml:space="preserve">fictional</w:t>
      </w:r>
      <w:r>
        <w:t xml:space="preserve"> </w:t>
      </w:r>
      <w:r>
        <w:t xml:space="preserve">UK central government department. It does not represent any real department. Some examples use other kinds of buyer (an NHS trust, a local authority, a charity or an ordinary business) to show how the same purchase can be treated differently.</w:t>
      </w:r>
    </w:p>
    <w:p>
      <w:pPr>
        <w:pStyle w:val="Compact"/>
        <w:numPr>
          <w:ilvl w:val="0"/>
          <w:numId w:val="1001"/>
        </w:numPr>
      </w:pPr>
      <w:r>
        <w:rPr>
          <w:b/>
          <w:bCs/>
        </w:rPr>
        <w:t xml:space="preserve">Sources:</w:t>
      </w:r>
      <w:r>
        <w:t xml:space="preserve"> </w:t>
      </w:r>
      <w:r>
        <w:t xml:space="preserve">the guide is referenced in the Harvard (Cite Them Right) style. In-text citations such as</w:t>
      </w:r>
      <w:r>
        <w:t xml:space="preserve"> </w:t>
      </w:r>
      <w:r>
        <w:t xml:space="preserve">(</w:t>
      </w:r>
      <w:hyperlink w:anchor="ref-hmrc_vatgpb">
        <w:r>
          <w:rPr>
            <w:rStyle w:val="Hyperlink"/>
          </w:rPr>
          <w:t xml:space="preserve">HMRC, 2026n, sec. VATGPB11030</w:t>
        </w:r>
      </w:hyperlink>
      <w:r>
        <w:t xml:space="preserve">)</w:t>
      </w:r>
      <w:r>
        <w:t xml:space="preserve"> </w:t>
      </w:r>
      <w:r>
        <w:t xml:space="preserve">point to the Reference list at the end.</w:t>
      </w:r>
      <w:r>
        <w:t xml:space="preserve"> </w:t>
      </w:r>
      <w:r>
        <w:t xml:space="preserve">“</w:t>
      </w:r>
      <w:r>
        <w:t xml:space="preserve">sec.</w:t>
      </w:r>
      <w:r>
        <w:t xml:space="preserve">”</w:t>
      </w:r>
      <w:r>
        <w:t xml:space="preserve"> </w:t>
      </w:r>
      <w:r>
        <w:t xml:space="preserve">gives the section of an HMRC manual and</w:t>
      </w:r>
      <w:r>
        <w:t xml:space="preserve"> </w:t>
      </w:r>
      <w:r>
        <w:t xml:space="preserve">“</w:t>
      </w:r>
      <w:r>
        <w:t xml:space="preserve">para.</w:t>
      </w:r>
      <w:r>
        <w:t xml:space="preserve">”</w:t>
      </w:r>
      <w:r>
        <w:t xml:space="preserve"> </w:t>
      </w:r>
      <w:r>
        <w:t xml:space="preserve">gives the paragraph of a VAT Notice. Acts of Parliament and statutory instruments are named in the text and listed under Legislation. Quotations from HMRC and HM Treasury material are Crown copyright and are reused under the Open Government Licence v3.0.</w:t>
      </w:r>
    </w:p>
    <w:p>
      <w:pPr>
        <w:pStyle w:val="Compact"/>
        <w:numPr>
          <w:ilvl w:val="0"/>
          <w:numId w:val="1001"/>
        </w:numPr>
      </w:pPr>
      <w:r>
        <w:rPr>
          <w:b/>
          <w:bCs/>
        </w:rPr>
        <w:t xml:space="preserve">This is guidance, not formal tax advice.</w:t>
      </w:r>
      <w:r>
        <w:t xml:space="preserve"> </w:t>
      </w:r>
      <w:r>
        <w:t xml:space="preserve">The law, the Treasury Direction and HMRC’s guidance change. Before relying on anything here, check the current source, or ask HMRC through your Customer Compliance Manager (CCM) where you have one.</w:t>
      </w:r>
    </w:p>
    <w:bookmarkStart w:id="20" w:name="how-to-use-this-guide"/>
    <w:p>
      <w:pPr>
        <w:pStyle w:val="Heading2"/>
      </w:pPr>
      <w:r>
        <w:t xml:space="preserve">How to use this guide</w:t>
      </w:r>
    </w:p>
    <w:p>
      <w:pPr>
        <w:pStyle w:val="Compact"/>
        <w:numPr>
          <w:ilvl w:val="0"/>
          <w:numId w:val="1002"/>
        </w:numPr>
      </w:pPr>
      <w:r>
        <w:rPr>
          <w:b/>
          <w:bCs/>
        </w:rPr>
        <w:t xml:space="preserve">New to VAT?</w:t>
      </w:r>
      <w:r>
        <w:t xml:space="preserve"> </w:t>
      </w:r>
      <w:r>
        <w:t xml:space="preserve">Start with Part 1 (output tax, input tax and recovering VAT) and Part 3 (VAT rates and liability).</w:t>
      </w:r>
    </w:p>
    <w:p>
      <w:pPr>
        <w:pStyle w:val="Compact"/>
        <w:numPr>
          <w:ilvl w:val="0"/>
          <w:numId w:val="1002"/>
        </w:numPr>
      </w:pPr>
      <w:r>
        <w:rPr>
          <w:b/>
          <w:bCs/>
        </w:rPr>
        <w:t xml:space="preserve">Not sure whether an activity is</w:t>
      </w:r>
      <w:r>
        <w:rPr>
          <w:b/>
          <w:bCs/>
        </w:rPr>
        <w:t xml:space="preserve"> </w:t>
      </w:r>
      <w:r>
        <w:rPr>
          <w:b/>
          <w:bCs/>
        </w:rPr>
        <w:t xml:space="preserve">“</w:t>
      </w:r>
      <w:r>
        <w:rPr>
          <w:b/>
          <w:bCs/>
        </w:rPr>
        <w:t xml:space="preserve">business</w:t>
      </w:r>
      <w:r>
        <w:rPr>
          <w:b/>
          <w:bCs/>
        </w:rPr>
        <w:t xml:space="preserve">”</w:t>
      </w:r>
      <w:r>
        <w:rPr>
          <w:b/>
          <w:bCs/>
        </w:rPr>
        <w:t xml:space="preserve"> </w:t>
      </w:r>
      <w:r>
        <w:rPr>
          <w:b/>
          <w:bCs/>
        </w:rPr>
        <w:t xml:space="preserve">for VAT?</w:t>
      </w:r>
      <w:r>
        <w:t xml:space="preserve"> </w:t>
      </w:r>
      <w:r>
        <w:t xml:space="preserve">Read Part 2 (business and non-business activity). It also covers defence and dealings with other governments.</w:t>
      </w:r>
    </w:p>
    <w:p>
      <w:pPr>
        <w:pStyle w:val="Compact"/>
        <w:numPr>
          <w:ilvl w:val="0"/>
          <w:numId w:val="1002"/>
        </w:numPr>
      </w:pPr>
      <w:r>
        <w:rPr>
          <w:b/>
          <w:bCs/>
        </w:rPr>
        <w:t xml:space="preserve">Buying from abroad or selling abroad?</w:t>
      </w:r>
      <w:r>
        <w:t xml:space="preserve"> </w:t>
      </w:r>
      <w:r>
        <w:t xml:space="preserve">Read Part 4 (imports and exports).</w:t>
      </w:r>
    </w:p>
    <w:p>
      <w:pPr>
        <w:pStyle w:val="Compact"/>
        <w:numPr>
          <w:ilvl w:val="0"/>
          <w:numId w:val="1002"/>
        </w:numPr>
      </w:pPr>
      <w:r>
        <w:rPr>
          <w:b/>
          <w:bCs/>
        </w:rPr>
        <w:t xml:space="preserve">Working out whether a government department can get VAT back on a purchase?</w:t>
      </w:r>
      <w:r>
        <w:t xml:space="preserve"> </w:t>
      </w:r>
      <w:r>
        <w:t xml:space="preserve">Read Part 5, then use Part 6 and Part 7 for worked examples and Part 8 to look up a heading.</w:t>
      </w:r>
    </w:p>
    <w:p>
      <w:pPr>
        <w:pStyle w:val="Compact"/>
        <w:numPr>
          <w:ilvl w:val="0"/>
          <w:numId w:val="1002"/>
        </w:numPr>
      </w:pPr>
      <w:r>
        <w:rPr>
          <w:b/>
          <w:bCs/>
        </w:rPr>
        <w:t xml:space="preserve">Labels used in examples:</w:t>
      </w:r>
    </w:p>
    <w:p>
      <w:pPr>
        <w:pStyle w:val="Compact"/>
        <w:numPr>
          <w:ilvl w:val="1"/>
          <w:numId w:val="1003"/>
        </w:numPr>
      </w:pPr>
      <w:r>
        <w:rPr>
          <w:b/>
          <w:bCs/>
        </w:rPr>
        <w:t xml:space="preserve">Recoverable:</w:t>
      </w:r>
      <w:r>
        <w:t xml:space="preserve">,</w:t>
      </w:r>
      <w:r>
        <w:t xml:space="preserve"> </w:t>
      </w:r>
      <w:r>
        <w:rPr>
          <w:b/>
          <w:bCs/>
        </w:rPr>
        <w:t xml:space="preserve">Not recoverable:</w:t>
      </w:r>
      <w:r>
        <w:t xml:space="preserve"> </w:t>
      </w:r>
      <w:r>
        <w:t xml:space="preserve">and</w:t>
      </w:r>
      <w:r>
        <w:t xml:space="preserve"> </w:t>
      </w:r>
      <w:r>
        <w:rPr>
          <w:b/>
          <w:bCs/>
        </w:rPr>
        <w:t xml:space="preserve">Partly recoverable:</w:t>
      </w:r>
      <w:r>
        <w:t xml:space="preserve"> </w:t>
      </w:r>
      <w:r>
        <w:t xml:space="preserve">describe ordinary VAT recovery.</w:t>
      </w:r>
    </w:p>
    <w:p>
      <w:pPr>
        <w:pStyle w:val="Compact"/>
        <w:numPr>
          <w:ilvl w:val="1"/>
          <w:numId w:val="1003"/>
        </w:numPr>
      </w:pPr>
      <w:r>
        <w:rPr>
          <w:b/>
          <w:bCs/>
        </w:rPr>
        <w:t xml:space="preserve">Claimable:</w:t>
      </w:r>
      <w:r>
        <w:t xml:space="preserve">,</w:t>
      </w:r>
      <w:r>
        <w:t xml:space="preserve"> </w:t>
      </w:r>
      <w:r>
        <w:rPr>
          <w:b/>
          <w:bCs/>
        </w:rPr>
        <w:t xml:space="preserve">Not claimable:</w:t>
      </w:r>
      <w:r>
        <w:t xml:space="preserve"> </w:t>
      </w:r>
      <w:r>
        <w:t xml:space="preserve">and</w:t>
      </w:r>
      <w:r>
        <w:t xml:space="preserve"> </w:t>
      </w:r>
      <w:r>
        <w:rPr>
          <w:b/>
          <w:bCs/>
        </w:rPr>
        <w:t xml:space="preserve">Check first:</w:t>
      </w:r>
      <w:r>
        <w:t xml:space="preserve"> </w:t>
      </w:r>
      <w:r>
        <w:t xml:space="preserve">describe whether a COS refund can be claimed.</w:t>
      </w:r>
      <w:r>
        <w:t xml:space="preserve"> </w:t>
      </w:r>
      <w:r>
        <w:t xml:space="preserve">“</w:t>
      </w:r>
      <w:r>
        <w:t xml:space="preserve">Check first</w:t>
      </w:r>
      <w:r>
        <w:t xml:space="preserve">”</w:t>
      </w:r>
      <w:r>
        <w:t xml:space="preserve"> </w:t>
      </w:r>
      <w:r>
        <w:t xml:space="preserve">means the point is uncertain, so confirm it with HMRC before claiming.</w:t>
      </w:r>
    </w:p>
    <w:p>
      <w:pPr>
        <w:pStyle w:val="Compact"/>
        <w:numPr>
          <w:ilvl w:val="0"/>
          <w:numId w:val="1002"/>
        </w:numPr>
      </w:pPr>
      <w:r>
        <w:rPr>
          <w:b/>
          <w:bCs/>
        </w:rPr>
        <w:t xml:space="preserve">Accessibility:</w:t>
      </w:r>
      <w:r>
        <w:t xml:space="preserve"> </w:t>
      </w:r>
      <w:r>
        <w:t xml:space="preserve">the guide uses Word’s built-in heading styles, so you can move around it with the Navigation Pane (View, then Navigation Pane). Tables have a header row that repeats on each page. Meaning never depends on colour alone.</w:t>
      </w:r>
    </w:p>
    <w:bookmarkEnd w:id="20"/>
    <w:bookmarkStart w:id="21" w:name="contents"/>
    <w:p>
      <w:pPr>
        <w:pStyle w:val="Heading2"/>
      </w:pPr>
      <w:r>
        <w:t xml:space="preserve">Contents</w:t>
      </w:r>
    </w:p>
    <w:p>
      <w:pPr>
        <w:pStyle w:val="Compact"/>
        <w:numPr>
          <w:ilvl w:val="0"/>
          <w:numId w:val="1004"/>
        </w:numPr>
      </w:pPr>
      <w:hyperlink w:anchor="how-to-use-this-guide">
        <w:r>
          <w:rPr>
            <w:rStyle w:val="Hyperlink"/>
          </w:rPr>
          <w:t xml:space="preserve">How to use this guide</w:t>
        </w:r>
      </w:hyperlink>
    </w:p>
    <w:p>
      <w:pPr>
        <w:pStyle w:val="Compact"/>
        <w:numPr>
          <w:ilvl w:val="0"/>
          <w:numId w:val="1004"/>
        </w:numPr>
      </w:pPr>
      <w:hyperlink w:anchor="X6cdada8564319d79954fe09b308ca4c67dbe0b1">
        <w:r>
          <w:rPr>
            <w:rStyle w:val="Hyperlink"/>
          </w:rPr>
          <w:t xml:space="preserve">Part 1: VAT basics: output tax, input tax and recovering VAT</w:t>
        </w:r>
      </w:hyperlink>
    </w:p>
    <w:p>
      <w:pPr>
        <w:pStyle w:val="Compact"/>
        <w:numPr>
          <w:ilvl w:val="1"/>
          <w:numId w:val="1005"/>
        </w:numPr>
      </w:pPr>
      <w:hyperlink w:anchor="what-vat-is">
        <w:r>
          <w:rPr>
            <w:rStyle w:val="Hyperlink"/>
          </w:rPr>
          <w:t xml:space="preserve">What VAT is</w:t>
        </w:r>
      </w:hyperlink>
    </w:p>
    <w:p>
      <w:pPr>
        <w:pStyle w:val="Compact"/>
        <w:numPr>
          <w:ilvl w:val="1"/>
          <w:numId w:val="1005"/>
        </w:numPr>
      </w:pPr>
      <w:hyperlink w:anchor="output-tax">
        <w:r>
          <w:rPr>
            <w:rStyle w:val="Hyperlink"/>
          </w:rPr>
          <w:t xml:space="preserve">Output tax</w:t>
        </w:r>
      </w:hyperlink>
    </w:p>
    <w:p>
      <w:pPr>
        <w:pStyle w:val="Compact"/>
        <w:numPr>
          <w:ilvl w:val="1"/>
          <w:numId w:val="1005"/>
        </w:numPr>
      </w:pPr>
      <w:hyperlink w:anchor="input-tax">
        <w:r>
          <w:rPr>
            <w:rStyle w:val="Hyperlink"/>
          </w:rPr>
          <w:t xml:space="preserve">Input tax</w:t>
        </w:r>
      </w:hyperlink>
    </w:p>
    <w:p>
      <w:pPr>
        <w:pStyle w:val="Compact"/>
        <w:numPr>
          <w:ilvl w:val="1"/>
          <w:numId w:val="1005"/>
        </w:numPr>
      </w:pPr>
      <w:hyperlink w:anchor="paying-or-reclaiming-the-net-position">
        <w:r>
          <w:rPr>
            <w:rStyle w:val="Hyperlink"/>
          </w:rPr>
          <w:t xml:space="preserve">Paying or reclaiming: the net position</w:t>
        </w:r>
      </w:hyperlink>
    </w:p>
    <w:p>
      <w:pPr>
        <w:pStyle w:val="Compact"/>
        <w:numPr>
          <w:ilvl w:val="1"/>
          <w:numId w:val="1005"/>
        </w:numPr>
      </w:pPr>
      <w:hyperlink w:anchor="recoverable-and-irrecoverable-vat">
        <w:r>
          <w:rPr>
            <w:rStyle w:val="Hyperlink"/>
          </w:rPr>
          <w:t xml:space="preserve">Recoverable and irrecoverable VAT</w:t>
        </w:r>
      </w:hyperlink>
    </w:p>
    <w:p>
      <w:pPr>
        <w:pStyle w:val="Compact"/>
        <w:numPr>
          <w:ilvl w:val="1"/>
          <w:numId w:val="1005"/>
        </w:numPr>
      </w:pPr>
      <w:hyperlink w:anchor="Xbef4bb9977c4b71515d4c7ae30c27ea88abc392">
        <w:r>
          <w:rPr>
            <w:rStyle w:val="Hyperlink"/>
          </w:rPr>
          <w:t xml:space="preserve">Recoverable and irrecoverable VAT in government departments</w:t>
        </w:r>
      </w:hyperlink>
    </w:p>
    <w:p>
      <w:pPr>
        <w:pStyle w:val="Compact"/>
        <w:numPr>
          <w:ilvl w:val="1"/>
          <w:numId w:val="1005"/>
        </w:numPr>
      </w:pPr>
      <w:hyperlink w:anchor="worked-examples">
        <w:r>
          <w:rPr>
            <w:rStyle w:val="Hyperlink"/>
          </w:rPr>
          <w:t xml:space="preserve">Worked examples</w:t>
        </w:r>
      </w:hyperlink>
    </w:p>
    <w:p>
      <w:pPr>
        <w:pStyle w:val="Compact"/>
        <w:numPr>
          <w:ilvl w:val="1"/>
          <w:numId w:val="1005"/>
        </w:numPr>
      </w:pPr>
      <w:hyperlink w:anchor="key-points-to-remember">
        <w:r>
          <w:rPr>
            <w:rStyle w:val="Hyperlink"/>
          </w:rPr>
          <w:t xml:space="preserve">Key points to remember</w:t>
        </w:r>
      </w:hyperlink>
    </w:p>
    <w:p>
      <w:pPr>
        <w:pStyle w:val="Compact"/>
        <w:numPr>
          <w:ilvl w:val="0"/>
          <w:numId w:val="1004"/>
        </w:numPr>
      </w:pPr>
      <w:hyperlink w:anchor="Xc5f0c51c80ffe3402aeddfb6e9886b354ff6fe8">
        <w:r>
          <w:rPr>
            <w:rStyle w:val="Hyperlink"/>
          </w:rPr>
          <w:t xml:space="preserve">Part 2: Business and non-business activity</w:t>
        </w:r>
      </w:hyperlink>
    </w:p>
    <w:p>
      <w:pPr>
        <w:pStyle w:val="Compact"/>
        <w:numPr>
          <w:ilvl w:val="1"/>
          <w:numId w:val="1006"/>
        </w:numPr>
      </w:pPr>
      <w:hyperlink w:anchor="why-this-matters">
        <w:r>
          <w:rPr>
            <w:rStyle w:val="Hyperlink"/>
          </w:rPr>
          <w:t xml:space="preserve">Why this matters</w:t>
        </w:r>
      </w:hyperlink>
    </w:p>
    <w:p>
      <w:pPr>
        <w:pStyle w:val="Compact"/>
        <w:numPr>
          <w:ilvl w:val="1"/>
          <w:numId w:val="1006"/>
        </w:numPr>
      </w:pPr>
      <w:hyperlink w:anchor="what-business-means-for-vat">
        <w:r>
          <w:rPr>
            <w:rStyle w:val="Hyperlink"/>
          </w:rPr>
          <w:t xml:space="preserve">What</w:t>
        </w:r>
        <w:r>
          <w:rPr>
            <w:rStyle w:val="Hyperlink"/>
          </w:rPr>
          <w:t xml:space="preserve"> </w:t>
        </w:r>
        <w:r>
          <w:rPr>
            <w:rStyle w:val="Hyperlink"/>
          </w:rPr>
          <w:t xml:space="preserve">“</w:t>
        </w:r>
        <w:r>
          <w:rPr>
            <w:rStyle w:val="Hyperlink"/>
          </w:rPr>
          <w:t xml:space="preserve">business</w:t>
        </w:r>
        <w:r>
          <w:rPr>
            <w:rStyle w:val="Hyperlink"/>
          </w:rPr>
          <w:t xml:space="preserve">”</w:t>
        </w:r>
        <w:r>
          <w:rPr>
            <w:rStyle w:val="Hyperlink"/>
          </w:rPr>
          <w:t xml:space="preserve"> </w:t>
        </w:r>
        <w:r>
          <w:rPr>
            <w:rStyle w:val="Hyperlink"/>
          </w:rPr>
          <w:t xml:space="preserve">means for VAT</w:t>
        </w:r>
      </w:hyperlink>
    </w:p>
    <w:p>
      <w:pPr>
        <w:pStyle w:val="Compact"/>
        <w:numPr>
          <w:ilvl w:val="1"/>
          <w:numId w:val="1006"/>
        </w:numPr>
      </w:pPr>
      <w:hyperlink w:anchor="Xb0faa1f54608a0b7b6af47e7c19c054193ce7e3">
        <w:r>
          <w:rPr>
            <w:rStyle w:val="Hyperlink"/>
          </w:rPr>
          <w:t xml:space="preserve">Public bodies: section 41A and the</w:t>
        </w:r>
        <w:r>
          <w:rPr>
            <w:rStyle w:val="Hyperlink"/>
          </w:rPr>
          <w:t xml:space="preserve"> </w:t>
        </w:r>
        <w:r>
          <w:rPr>
            <w:rStyle w:val="Hyperlink"/>
          </w:rPr>
          <w:t xml:space="preserve">“</w:t>
        </w:r>
        <w:r>
          <w:rPr>
            <w:rStyle w:val="Hyperlink"/>
          </w:rPr>
          <w:t xml:space="preserve">public authority</w:t>
        </w:r>
        <w:r>
          <w:rPr>
            <w:rStyle w:val="Hyperlink"/>
          </w:rPr>
          <w:t xml:space="preserve">”</w:t>
        </w:r>
        <w:r>
          <w:rPr>
            <w:rStyle w:val="Hyperlink"/>
          </w:rPr>
          <w:t xml:space="preserve"> </w:t>
        </w:r>
        <w:r>
          <w:rPr>
            <w:rStyle w:val="Hyperlink"/>
          </w:rPr>
          <w:t xml:space="preserve">rule</w:t>
        </w:r>
      </w:hyperlink>
    </w:p>
    <w:p>
      <w:pPr>
        <w:pStyle w:val="Compact"/>
        <w:numPr>
          <w:ilvl w:val="1"/>
          <w:numId w:val="1006"/>
        </w:numPr>
      </w:pPr>
      <w:hyperlink w:anchor="X75a84645a7eb1317db88eeea66af9d120a2fba8">
        <w:r>
          <w:rPr>
            <w:rStyle w:val="Hyperlink"/>
          </w:rPr>
          <w:t xml:space="preserve">How this applies to central government departments</w:t>
        </w:r>
      </w:hyperlink>
    </w:p>
    <w:p>
      <w:pPr>
        <w:pStyle w:val="Compact"/>
        <w:numPr>
          <w:ilvl w:val="1"/>
          <w:numId w:val="1006"/>
        </w:numPr>
      </w:pPr>
      <w:hyperlink w:anchor="Xbb35833047940b688c1aabf2c4f069719ab6e18">
        <w:r>
          <w:rPr>
            <w:rStyle w:val="Hyperlink"/>
          </w:rPr>
          <w:t xml:space="preserve">Defence: does protecting people count as business?</w:t>
        </w:r>
      </w:hyperlink>
    </w:p>
    <w:p>
      <w:pPr>
        <w:pStyle w:val="Compact"/>
        <w:numPr>
          <w:ilvl w:val="1"/>
          <w:numId w:val="1006"/>
        </w:numPr>
      </w:pPr>
      <w:hyperlink w:anchor="worked-examples">
        <w:r>
          <w:rPr>
            <w:rStyle w:val="Hyperlink"/>
          </w:rPr>
          <w:t xml:space="preserve">Worked examples</w:t>
        </w:r>
      </w:hyperlink>
    </w:p>
    <w:p>
      <w:pPr>
        <w:pStyle w:val="Compact"/>
        <w:numPr>
          <w:ilvl w:val="1"/>
          <w:numId w:val="1006"/>
        </w:numPr>
      </w:pPr>
      <w:hyperlink w:anchor="common-misunderstandings">
        <w:r>
          <w:rPr>
            <w:rStyle w:val="Hyperlink"/>
          </w:rPr>
          <w:t xml:space="preserve">Common misunderstandings</w:t>
        </w:r>
      </w:hyperlink>
    </w:p>
    <w:p>
      <w:pPr>
        <w:pStyle w:val="Compact"/>
        <w:numPr>
          <w:ilvl w:val="1"/>
          <w:numId w:val="1006"/>
        </w:numPr>
      </w:pPr>
      <w:hyperlink w:anchor="key-points-to-remember">
        <w:r>
          <w:rPr>
            <w:rStyle w:val="Hyperlink"/>
          </w:rPr>
          <w:t xml:space="preserve">Key points to remember</w:t>
        </w:r>
      </w:hyperlink>
    </w:p>
    <w:p>
      <w:pPr>
        <w:pStyle w:val="Compact"/>
        <w:numPr>
          <w:ilvl w:val="0"/>
          <w:numId w:val="1004"/>
        </w:numPr>
      </w:pPr>
      <w:hyperlink w:anchor="X366a674a5c86a1c667c11445d827cfc509e740b">
        <w:r>
          <w:rPr>
            <w:rStyle w:val="Hyperlink"/>
          </w:rPr>
          <w:t xml:space="preserve">Part 3: VAT liability: standard-rated, reduced-rated, zero-rated, exempt and outside the scope</w:t>
        </w:r>
      </w:hyperlink>
    </w:p>
    <w:p>
      <w:pPr>
        <w:pStyle w:val="Compact"/>
        <w:numPr>
          <w:ilvl w:val="1"/>
          <w:numId w:val="1007"/>
        </w:numPr>
      </w:pPr>
      <w:hyperlink w:anchor="why-liability-matters">
        <w:r>
          <w:rPr>
            <w:rStyle w:val="Hyperlink"/>
          </w:rPr>
          <w:t xml:space="preserve">Why liability matters</w:t>
        </w:r>
      </w:hyperlink>
    </w:p>
    <w:p>
      <w:pPr>
        <w:pStyle w:val="Compact"/>
        <w:numPr>
          <w:ilvl w:val="1"/>
          <w:numId w:val="1007"/>
        </w:numPr>
      </w:pPr>
      <w:hyperlink w:anchor="standard-rate-20">
        <w:r>
          <w:rPr>
            <w:rStyle w:val="Hyperlink"/>
          </w:rPr>
          <w:t xml:space="preserve">Standard rate (20%)</w:t>
        </w:r>
      </w:hyperlink>
    </w:p>
    <w:p>
      <w:pPr>
        <w:pStyle w:val="Compact"/>
        <w:numPr>
          <w:ilvl w:val="1"/>
          <w:numId w:val="1007"/>
        </w:numPr>
      </w:pPr>
      <w:hyperlink w:anchor="reduced-rate-5">
        <w:r>
          <w:rPr>
            <w:rStyle w:val="Hyperlink"/>
          </w:rPr>
          <w:t xml:space="preserve">Reduced rate (5%)</w:t>
        </w:r>
      </w:hyperlink>
    </w:p>
    <w:p>
      <w:pPr>
        <w:pStyle w:val="Compact"/>
        <w:numPr>
          <w:ilvl w:val="1"/>
          <w:numId w:val="1007"/>
        </w:numPr>
      </w:pPr>
      <w:hyperlink w:anchor="zero-rate-0">
        <w:r>
          <w:rPr>
            <w:rStyle w:val="Hyperlink"/>
          </w:rPr>
          <w:t xml:space="preserve">Zero rate (0%)</w:t>
        </w:r>
      </w:hyperlink>
    </w:p>
    <w:p>
      <w:pPr>
        <w:pStyle w:val="Compact"/>
        <w:numPr>
          <w:ilvl w:val="1"/>
          <w:numId w:val="1007"/>
        </w:numPr>
      </w:pPr>
      <w:hyperlink w:anchor="exempt-supplies">
        <w:r>
          <w:rPr>
            <w:rStyle w:val="Hyperlink"/>
          </w:rPr>
          <w:t xml:space="preserve">Exempt supplies</w:t>
        </w:r>
      </w:hyperlink>
    </w:p>
    <w:p>
      <w:pPr>
        <w:pStyle w:val="Compact"/>
        <w:numPr>
          <w:ilvl w:val="1"/>
          <w:numId w:val="1007"/>
        </w:numPr>
      </w:pPr>
      <w:hyperlink w:anchor="Xcf6b7ea6e97797d03b6aa93a4f7a7ac8e3a0d0b">
        <w:r>
          <w:rPr>
            <w:rStyle w:val="Hyperlink"/>
          </w:rPr>
          <w:t xml:space="preserve">Zero-rated versus exempt: the key difference</w:t>
        </w:r>
      </w:hyperlink>
    </w:p>
    <w:p>
      <w:pPr>
        <w:pStyle w:val="Compact"/>
        <w:numPr>
          <w:ilvl w:val="1"/>
          <w:numId w:val="1007"/>
        </w:numPr>
      </w:pPr>
      <w:hyperlink w:anchor="outside-the-scope-of-vat">
        <w:r>
          <w:rPr>
            <w:rStyle w:val="Hyperlink"/>
          </w:rPr>
          <w:t xml:space="preserve">Outside the scope of VAT</w:t>
        </w:r>
      </w:hyperlink>
    </w:p>
    <w:p>
      <w:pPr>
        <w:pStyle w:val="Compact"/>
        <w:numPr>
          <w:ilvl w:val="1"/>
          <w:numId w:val="1007"/>
        </w:numPr>
      </w:pPr>
      <w:hyperlink w:anchor="X51e0d2b700a2e67e174ea41f601ce062d61de73">
        <w:r>
          <w:rPr>
            <w:rStyle w:val="Hyperlink"/>
          </w:rPr>
          <w:t xml:space="preserve">Single and multiple supplies; disbursements</w:t>
        </w:r>
      </w:hyperlink>
    </w:p>
    <w:p>
      <w:pPr>
        <w:pStyle w:val="Compact"/>
        <w:numPr>
          <w:ilvl w:val="1"/>
          <w:numId w:val="1007"/>
        </w:numPr>
      </w:pPr>
      <w:hyperlink w:anchor="X128db7b337f9f0910eb20907d1280516b761d8e">
        <w:r>
          <w:rPr>
            <w:rStyle w:val="Hyperlink"/>
          </w:rPr>
          <w:t xml:space="preserve">What liability means for a government department as a buyer</w:t>
        </w:r>
      </w:hyperlink>
    </w:p>
    <w:p>
      <w:pPr>
        <w:pStyle w:val="Compact"/>
        <w:numPr>
          <w:ilvl w:val="1"/>
          <w:numId w:val="1007"/>
        </w:numPr>
      </w:pPr>
      <w:hyperlink w:anchor="summary-table">
        <w:r>
          <w:rPr>
            <w:rStyle w:val="Hyperlink"/>
          </w:rPr>
          <w:t xml:space="preserve">Summary table</w:t>
        </w:r>
      </w:hyperlink>
    </w:p>
    <w:p>
      <w:pPr>
        <w:pStyle w:val="Compact"/>
        <w:numPr>
          <w:ilvl w:val="1"/>
          <w:numId w:val="1007"/>
        </w:numPr>
      </w:pPr>
      <w:hyperlink w:anchor="key-points-to-remember">
        <w:r>
          <w:rPr>
            <w:rStyle w:val="Hyperlink"/>
          </w:rPr>
          <w:t xml:space="preserve">Key points to remember</w:t>
        </w:r>
      </w:hyperlink>
    </w:p>
    <w:p>
      <w:pPr>
        <w:pStyle w:val="Compact"/>
        <w:numPr>
          <w:ilvl w:val="0"/>
          <w:numId w:val="1004"/>
        </w:numPr>
      </w:pPr>
      <w:hyperlink w:anchor="part-4-vat-on-imports-and-exports">
        <w:r>
          <w:rPr>
            <w:rStyle w:val="Hyperlink"/>
          </w:rPr>
          <w:t xml:space="preserve">Part 4: VAT on imports and exports</w:t>
        </w:r>
      </w:hyperlink>
    </w:p>
    <w:p>
      <w:pPr>
        <w:pStyle w:val="Compact"/>
        <w:numPr>
          <w:ilvl w:val="1"/>
          <w:numId w:val="1008"/>
        </w:numPr>
      </w:pPr>
      <w:hyperlink w:anchor="Xf7e833e6ab16d7d0d6658e58a139008df376fcd">
        <w:r>
          <w:rPr>
            <w:rStyle w:val="Hyperlink"/>
          </w:rPr>
          <w:t xml:space="preserve">Goods and services are treated differently</w:t>
        </w:r>
      </w:hyperlink>
    </w:p>
    <w:p>
      <w:pPr>
        <w:pStyle w:val="Compact"/>
        <w:numPr>
          <w:ilvl w:val="1"/>
          <w:numId w:val="1008"/>
        </w:numPr>
      </w:pPr>
      <w:hyperlink w:anchor="importing-goods-into-great-britain">
        <w:r>
          <w:rPr>
            <w:rStyle w:val="Hyperlink"/>
          </w:rPr>
          <w:t xml:space="preserve">Importing goods into Great Britain</w:t>
        </w:r>
      </w:hyperlink>
    </w:p>
    <w:p>
      <w:pPr>
        <w:pStyle w:val="Compact"/>
        <w:numPr>
          <w:ilvl w:val="1"/>
          <w:numId w:val="1008"/>
        </w:numPr>
      </w:pPr>
      <w:hyperlink w:anchor="import-vat-and-government-departments">
        <w:r>
          <w:rPr>
            <w:rStyle w:val="Hyperlink"/>
          </w:rPr>
          <w:t xml:space="preserve">Import VAT and government departments</w:t>
        </w:r>
      </w:hyperlink>
    </w:p>
    <w:p>
      <w:pPr>
        <w:pStyle w:val="Compact"/>
        <w:numPr>
          <w:ilvl w:val="1"/>
          <w:numId w:val="1008"/>
        </w:numPr>
      </w:pPr>
      <w:hyperlink w:anchor="exporting-goods">
        <w:r>
          <w:rPr>
            <w:rStyle w:val="Hyperlink"/>
          </w:rPr>
          <w:t xml:space="preserve">Exporting goods</w:t>
        </w:r>
      </w:hyperlink>
    </w:p>
    <w:p>
      <w:pPr>
        <w:pStyle w:val="Compact"/>
        <w:numPr>
          <w:ilvl w:val="1"/>
          <w:numId w:val="1008"/>
        </w:numPr>
      </w:pPr>
      <w:hyperlink w:anchor="services-across-borders-place-of-supply">
        <w:r>
          <w:rPr>
            <w:rStyle w:val="Hyperlink"/>
          </w:rPr>
          <w:t xml:space="preserve">Services across borders: place of supply</w:t>
        </w:r>
      </w:hyperlink>
    </w:p>
    <w:p>
      <w:pPr>
        <w:pStyle w:val="Compact"/>
        <w:numPr>
          <w:ilvl w:val="1"/>
          <w:numId w:val="1008"/>
        </w:numPr>
      </w:pPr>
      <w:hyperlink w:anchor="selling-services-to-overseas-customers">
        <w:r>
          <w:rPr>
            <w:rStyle w:val="Hyperlink"/>
          </w:rPr>
          <w:t xml:space="preserve">Selling services to overseas customers</w:t>
        </w:r>
      </w:hyperlink>
    </w:p>
    <w:p>
      <w:pPr>
        <w:pStyle w:val="Compact"/>
        <w:numPr>
          <w:ilvl w:val="1"/>
          <w:numId w:val="1008"/>
        </w:numPr>
      </w:pPr>
      <w:hyperlink w:anchor="foreign-vat-charged-abroad">
        <w:r>
          <w:rPr>
            <w:rStyle w:val="Hyperlink"/>
          </w:rPr>
          <w:t xml:space="preserve">Foreign VAT charged abroad</w:t>
        </w:r>
      </w:hyperlink>
    </w:p>
    <w:p>
      <w:pPr>
        <w:pStyle w:val="Compact"/>
        <w:numPr>
          <w:ilvl w:val="1"/>
          <w:numId w:val="1008"/>
        </w:numPr>
      </w:pPr>
      <w:hyperlink w:anchor="worked-examples">
        <w:r>
          <w:rPr>
            <w:rStyle w:val="Hyperlink"/>
          </w:rPr>
          <w:t xml:space="preserve">Worked examples</w:t>
        </w:r>
      </w:hyperlink>
    </w:p>
    <w:p>
      <w:pPr>
        <w:pStyle w:val="Compact"/>
        <w:numPr>
          <w:ilvl w:val="1"/>
          <w:numId w:val="1008"/>
        </w:numPr>
      </w:pPr>
      <w:hyperlink w:anchor="key-points-to-remember">
        <w:r>
          <w:rPr>
            <w:rStyle w:val="Hyperlink"/>
          </w:rPr>
          <w:t xml:space="preserve">Key points to remember</w:t>
        </w:r>
      </w:hyperlink>
    </w:p>
    <w:p>
      <w:pPr>
        <w:pStyle w:val="Compact"/>
        <w:numPr>
          <w:ilvl w:val="0"/>
          <w:numId w:val="1004"/>
        </w:numPr>
      </w:pPr>
      <w:hyperlink w:anchor="part-5-cos-headings-explained">
        <w:r>
          <w:rPr>
            <w:rStyle w:val="Hyperlink"/>
          </w:rPr>
          <w:t xml:space="preserve">Part 5: COS headings explained</w:t>
        </w:r>
      </w:hyperlink>
    </w:p>
    <w:p>
      <w:pPr>
        <w:pStyle w:val="Compact"/>
        <w:numPr>
          <w:ilvl w:val="1"/>
          <w:numId w:val="1009"/>
        </w:numPr>
      </w:pPr>
      <w:hyperlink w:anchor="what-are-cos-headings">
        <w:r>
          <w:rPr>
            <w:rStyle w:val="Hyperlink"/>
          </w:rPr>
          <w:t xml:space="preserve">What are COS headings?</w:t>
        </w:r>
      </w:hyperlink>
    </w:p>
    <w:p>
      <w:pPr>
        <w:pStyle w:val="Compact"/>
        <w:numPr>
          <w:ilvl w:val="1"/>
          <w:numId w:val="1009"/>
        </w:numPr>
      </w:pPr>
      <w:hyperlink w:anchor="why-do-they-exist">
        <w:r>
          <w:rPr>
            <w:rStyle w:val="Hyperlink"/>
          </w:rPr>
          <w:t xml:space="preserve">Why do they exist?</w:t>
        </w:r>
      </w:hyperlink>
    </w:p>
    <w:p>
      <w:pPr>
        <w:pStyle w:val="Compact"/>
        <w:numPr>
          <w:ilvl w:val="1"/>
          <w:numId w:val="1009"/>
        </w:numPr>
      </w:pPr>
      <w:hyperlink w:anchor="who-do-they-apply-to">
        <w:r>
          <w:rPr>
            <w:rStyle w:val="Hyperlink"/>
          </w:rPr>
          <w:t xml:space="preserve">Who do they apply to?</w:t>
        </w:r>
      </w:hyperlink>
    </w:p>
    <w:p>
      <w:pPr>
        <w:pStyle w:val="Compact"/>
        <w:numPr>
          <w:ilvl w:val="1"/>
          <w:numId w:val="1009"/>
        </w:numPr>
      </w:pPr>
      <w:hyperlink w:anchor="business-vs-non-business-the-key-test">
        <w:r>
          <w:rPr>
            <w:rStyle w:val="Hyperlink"/>
          </w:rPr>
          <w:t xml:space="preserve">Business vs non-business: the key test</w:t>
        </w:r>
      </w:hyperlink>
    </w:p>
    <w:p>
      <w:pPr>
        <w:pStyle w:val="Compact"/>
        <w:numPr>
          <w:ilvl w:val="1"/>
          <w:numId w:val="1009"/>
        </w:numPr>
      </w:pPr>
      <w:hyperlink w:anchor="how-and-when-to-claim">
        <w:r>
          <w:rPr>
            <w:rStyle w:val="Hyperlink"/>
          </w:rPr>
          <w:t xml:space="preserve">How and when to claim</w:t>
        </w:r>
      </w:hyperlink>
    </w:p>
    <w:p>
      <w:pPr>
        <w:pStyle w:val="Compact"/>
        <w:numPr>
          <w:ilvl w:val="1"/>
          <w:numId w:val="1009"/>
        </w:numPr>
      </w:pPr>
      <w:hyperlink w:anchor="common-reasons-a-cos-claim-fails">
        <w:r>
          <w:rPr>
            <w:rStyle w:val="Hyperlink"/>
          </w:rPr>
          <w:t xml:space="preserve">Common reasons a COS claim fails</w:t>
        </w:r>
      </w:hyperlink>
    </w:p>
    <w:p>
      <w:pPr>
        <w:pStyle w:val="Compact"/>
        <w:numPr>
          <w:ilvl w:val="0"/>
          <w:numId w:val="1004"/>
        </w:numPr>
      </w:pPr>
      <w:hyperlink w:anchor="X612431b1c35d5d80c9ec303def490770be144d7">
        <w:r>
          <w:rPr>
            <w:rStyle w:val="Hyperlink"/>
          </w:rPr>
          <w:t xml:space="preserve">Part 6: The Department’s activities, step by step</w:t>
        </w:r>
      </w:hyperlink>
    </w:p>
    <w:p>
      <w:pPr>
        <w:pStyle w:val="Compact"/>
        <w:numPr>
          <w:ilvl w:val="1"/>
          <w:numId w:val="1010"/>
        </w:numPr>
      </w:pPr>
      <w:hyperlink w:anchor="X882479dbb0f2598aed75d66972ad735c461c4f7">
        <w:r>
          <w:rPr>
            <w:rStyle w:val="Hyperlink"/>
          </w:rPr>
          <w:t xml:space="preserve">1. Buying training for staff</w:t>
        </w:r>
      </w:hyperlink>
    </w:p>
    <w:p>
      <w:pPr>
        <w:pStyle w:val="Compact"/>
        <w:numPr>
          <w:ilvl w:val="1"/>
          <w:numId w:val="1010"/>
        </w:numPr>
      </w:pPr>
      <w:hyperlink w:anchor="X494b4f5e1244d12c574b688776adbe9d2b84b1c">
        <w:r>
          <w:rPr>
            <w:rStyle w:val="Hyperlink"/>
          </w:rPr>
          <w:t xml:space="preserve">2. Sending staff abroad</w:t>
        </w:r>
      </w:hyperlink>
    </w:p>
    <w:p>
      <w:pPr>
        <w:pStyle w:val="Compact"/>
        <w:numPr>
          <w:ilvl w:val="1"/>
          <w:numId w:val="1010"/>
        </w:numPr>
      </w:pPr>
      <w:hyperlink w:anchor="Xd95dad182a8637c73ac8f1c9b2a7d1ad0b08950">
        <w:r>
          <w:rPr>
            <w:rStyle w:val="Hyperlink"/>
          </w:rPr>
          <w:t xml:space="preserve">3. Selling items abroad</w:t>
        </w:r>
      </w:hyperlink>
    </w:p>
    <w:p>
      <w:pPr>
        <w:pStyle w:val="Compact"/>
        <w:numPr>
          <w:ilvl w:val="1"/>
          <w:numId w:val="1010"/>
        </w:numPr>
      </w:pPr>
      <w:hyperlink w:anchor="Xbcf661fe83a2545969e38fa7be662189c0ed952">
        <w:r>
          <w:rPr>
            <w:rStyle w:val="Hyperlink"/>
          </w:rPr>
          <w:t xml:space="preserve">4. Providing items to overseas governments</w:t>
        </w:r>
      </w:hyperlink>
    </w:p>
    <w:p>
      <w:pPr>
        <w:pStyle w:val="Compact"/>
        <w:numPr>
          <w:ilvl w:val="1"/>
          <w:numId w:val="1010"/>
        </w:numPr>
      </w:pPr>
      <w:hyperlink w:anchor="Xb45ef390a2c715b2ced14814a369756cf4a6454">
        <w:r>
          <w:rPr>
            <w:rStyle w:val="Hyperlink"/>
          </w:rPr>
          <w:t xml:space="preserve">Quick-reference table: Department purchase → COS heading?</w:t>
        </w:r>
      </w:hyperlink>
    </w:p>
    <w:p>
      <w:pPr>
        <w:pStyle w:val="Compact"/>
        <w:numPr>
          <w:ilvl w:val="0"/>
          <w:numId w:val="1004"/>
        </w:numPr>
      </w:pPr>
      <w:hyperlink w:anchor="Xf56bdbbcf97fc379fd6244641dc4a67ce3f060e">
        <w:r>
          <w:rPr>
            <w:rStyle w:val="Hyperlink"/>
          </w:rPr>
          <w:t xml:space="preserve">Part 7: More worked examples: buying goods and other items</w:t>
        </w:r>
      </w:hyperlink>
    </w:p>
    <w:p>
      <w:pPr>
        <w:pStyle w:val="Compact"/>
        <w:numPr>
          <w:ilvl w:val="1"/>
          <w:numId w:val="1011"/>
        </w:numPr>
      </w:pPr>
      <w:hyperlink w:anchor="how-to-read-these-examples">
        <w:r>
          <w:rPr>
            <w:rStyle w:val="Hyperlink"/>
          </w:rPr>
          <w:t xml:space="preserve">How to read these examples</w:t>
        </w:r>
      </w:hyperlink>
    </w:p>
    <w:p>
      <w:pPr>
        <w:pStyle w:val="Compact"/>
        <w:numPr>
          <w:ilvl w:val="1"/>
          <w:numId w:val="1011"/>
        </w:numPr>
      </w:pPr>
      <w:hyperlink w:anchor="summary-table">
        <w:r>
          <w:rPr>
            <w:rStyle w:val="Hyperlink"/>
          </w:rPr>
          <w:t xml:space="preserve">Summary table</w:t>
        </w:r>
      </w:hyperlink>
    </w:p>
    <w:p>
      <w:pPr>
        <w:pStyle w:val="Compact"/>
        <w:numPr>
          <w:ilvl w:val="1"/>
          <w:numId w:val="1011"/>
        </w:numPr>
      </w:pPr>
      <w:hyperlink w:anchor="the-worked-examples">
        <w:r>
          <w:rPr>
            <w:rStyle w:val="Hyperlink"/>
          </w:rPr>
          <w:t xml:space="preserve">The worked examples</w:t>
        </w:r>
      </w:hyperlink>
    </w:p>
    <w:p>
      <w:pPr>
        <w:pStyle w:val="Compact"/>
        <w:numPr>
          <w:ilvl w:val="1"/>
          <w:numId w:val="1011"/>
        </w:numPr>
      </w:pPr>
      <w:hyperlink w:anchor="what-these-examples-show">
        <w:r>
          <w:rPr>
            <w:rStyle w:val="Hyperlink"/>
          </w:rPr>
          <w:t xml:space="preserve">What these examples show</w:t>
        </w:r>
      </w:hyperlink>
    </w:p>
    <w:p>
      <w:pPr>
        <w:pStyle w:val="Compact"/>
        <w:numPr>
          <w:ilvl w:val="0"/>
          <w:numId w:val="1004"/>
        </w:numPr>
      </w:pPr>
      <w:hyperlink w:anchor="part-8-the-cos-headings-one-by-one">
        <w:r>
          <w:rPr>
            <w:rStyle w:val="Hyperlink"/>
          </w:rPr>
          <w:t xml:space="preserve">Part 8: The COS headings, one by one</w:t>
        </w:r>
      </w:hyperlink>
    </w:p>
    <w:p>
      <w:pPr>
        <w:pStyle w:val="Compact"/>
        <w:numPr>
          <w:ilvl w:val="0"/>
          <w:numId w:val="1004"/>
        </w:numPr>
      </w:pPr>
      <w:hyperlink w:anchor="appendix-a-glossary">
        <w:r>
          <w:rPr>
            <w:rStyle w:val="Hyperlink"/>
          </w:rPr>
          <w:t xml:space="preserve">Appendix A: Glossary</w:t>
        </w:r>
      </w:hyperlink>
    </w:p>
    <w:p>
      <w:pPr>
        <w:pStyle w:val="Compact"/>
        <w:numPr>
          <w:ilvl w:val="0"/>
          <w:numId w:val="1004"/>
        </w:numPr>
      </w:pPr>
      <w:hyperlink w:anchor="X370c6c4e2891220b0018b7ecdf7867799eb5fd2">
        <w:r>
          <w:rPr>
            <w:rStyle w:val="Hyperlink"/>
          </w:rPr>
          <w:t xml:space="preserve">Appendix B: Points this guide could not confirm</w:t>
        </w:r>
      </w:hyperlink>
    </w:p>
    <w:p>
      <w:pPr>
        <w:pStyle w:val="Compact"/>
        <w:numPr>
          <w:ilvl w:val="0"/>
          <w:numId w:val="1004"/>
        </w:numPr>
      </w:pPr>
      <w:hyperlink w:anchor="reference-list">
        <w:r>
          <w:rPr>
            <w:rStyle w:val="Hyperlink"/>
          </w:rPr>
          <w:t xml:space="preserve">Reference list</w:t>
        </w:r>
      </w:hyperlink>
    </w:p>
    <w:p>
      <w:pPr>
        <w:pStyle w:val="Compact"/>
        <w:numPr>
          <w:ilvl w:val="0"/>
          <w:numId w:val="1004"/>
        </w:numPr>
      </w:pPr>
      <w:hyperlink w:anchor="legislation">
        <w:r>
          <w:rPr>
            <w:rStyle w:val="Hyperlink"/>
          </w:rPr>
          <w:t xml:space="preserve">Legislation</w:t>
        </w:r>
      </w:hyperlink>
    </w:p>
    <w:p>
      <w:pPr>
        <w:pStyle w:val="Compact"/>
        <w:numPr>
          <w:ilvl w:val="0"/>
          <w:numId w:val="1004"/>
        </w:numPr>
      </w:pPr>
      <w:hyperlink w:anchor="cases">
        <w:r>
          <w:rPr>
            <w:rStyle w:val="Hyperlink"/>
          </w:rPr>
          <w:t xml:space="preserve">Cases</w:t>
        </w:r>
      </w:hyperlink>
    </w:p>
    <w:bookmarkEnd w:id="21"/>
    <w:bookmarkStart w:id="70" w:name="X6cdada8564319d79954fe09b308ca4c67dbe0b1"/>
    <w:p>
      <w:pPr>
        <w:pStyle w:val="Heading2"/>
      </w:pPr>
      <w:r>
        <w:t xml:space="preserve">Part 1: VAT basics: output tax, input tax and recovering VAT</w:t>
      </w:r>
    </w:p>
    <w:p>
      <w:pPr>
        <w:pStyle w:val="FirstParagraph"/>
      </w:pPr>
      <w:r>
        <w:t xml:space="preserve">This part explains how VAT works before the guide moves on to COS. Read it first if VAT is new to you. It is also a refresher before Parts 5 to 8.</w:t>
      </w:r>
    </w:p>
    <w:p>
      <w:pPr>
        <w:pStyle w:val="BodyText"/>
      </w:pPr>
      <w:r>
        <w:t xml:space="preserve">It answers three questions:</w:t>
      </w:r>
    </w:p>
    <w:p>
      <w:pPr>
        <w:pStyle w:val="Compact"/>
        <w:numPr>
          <w:ilvl w:val="0"/>
          <w:numId w:val="1012"/>
        </w:numPr>
      </w:pPr>
      <w:r>
        <w:t xml:space="preserve">What is VAT charged on, and who charges it?</w:t>
      </w:r>
    </w:p>
    <w:p>
      <w:pPr>
        <w:pStyle w:val="Compact"/>
        <w:numPr>
          <w:ilvl w:val="0"/>
          <w:numId w:val="1012"/>
        </w:numPr>
      </w:pPr>
      <w:r>
        <w:t xml:space="preserve">When can VAT paid on purchases be got back, and when can it not?</w:t>
      </w:r>
    </w:p>
    <w:p>
      <w:pPr>
        <w:pStyle w:val="Compact"/>
        <w:numPr>
          <w:ilvl w:val="0"/>
          <w:numId w:val="1012"/>
        </w:numPr>
      </w:pPr>
      <w:r>
        <w:t xml:space="preserve">Why does a government department get back less VAT than a business or a local authority?</w:t>
      </w:r>
    </w:p>
    <w:bookmarkStart w:id="24" w:name="what-vat-is"/>
    <w:p>
      <w:pPr>
        <w:pStyle w:val="Heading3"/>
      </w:pPr>
      <w:r>
        <w:t xml:space="preserve">What VAT is</w:t>
      </w:r>
    </w:p>
    <w:p>
      <w:pPr>
        <w:pStyle w:val="FirstParagraph"/>
      </w:pPr>
      <w:r>
        <w:t xml:space="preserve">VAT (value added tax) is a tax on consumer spending. It is collected on business transactions and on imports</w:t>
      </w:r>
      <w:r>
        <w:t xml:space="preserve"> </w:t>
      </w:r>
      <w:r>
        <w:t xml:space="preserve">(</w:t>
      </w:r>
      <w:hyperlink w:anchor="ref-hmrc_n700">
        <w:r>
          <w:rPr>
            <w:rStyle w:val="Hyperlink"/>
          </w:rPr>
          <w:t xml:space="preserve">HMRC, 2026o, para. 3.2</w:t>
        </w:r>
      </w:hyperlink>
      <w:r>
        <w:t xml:space="preserve">)</w:t>
      </w:r>
      <w:r>
        <w:t xml:space="preserve">.</w:t>
      </w:r>
    </w:p>
    <w:p>
      <w:pPr>
        <w:pStyle w:val="BodyText"/>
      </w:pPr>
      <w:r>
        <w:t xml:space="preserve">It is collected in stages:</w:t>
      </w:r>
    </w:p>
    <w:p>
      <w:pPr>
        <w:pStyle w:val="Compact"/>
        <w:numPr>
          <w:ilvl w:val="0"/>
          <w:numId w:val="1013"/>
        </w:numPr>
      </w:pPr>
      <w:r>
        <w:t xml:space="preserve">Each VAT-registered business charges VAT on what it sells. This is its</w:t>
      </w:r>
      <w:r>
        <w:t xml:space="preserve"> </w:t>
      </w:r>
      <w:r>
        <w:rPr>
          <w:b/>
          <w:bCs/>
        </w:rPr>
        <w:t xml:space="preserve">output tax</w:t>
      </w:r>
      <w:r>
        <w:t xml:space="preserve">.</w:t>
      </w:r>
    </w:p>
    <w:p>
      <w:pPr>
        <w:pStyle w:val="Compact"/>
        <w:numPr>
          <w:ilvl w:val="0"/>
          <w:numId w:val="1013"/>
        </w:numPr>
      </w:pPr>
      <w:r>
        <w:t xml:space="preserve">It deducts the VAT it paid on its business purchases. This is its</w:t>
      </w:r>
      <w:r>
        <w:t xml:space="preserve"> </w:t>
      </w:r>
      <w:r>
        <w:rPr>
          <w:b/>
          <w:bCs/>
        </w:rPr>
        <w:t xml:space="preserve">input tax</w:t>
      </w:r>
      <w:r>
        <w:t xml:space="preserve">.</w:t>
      </w:r>
    </w:p>
    <w:p>
      <w:pPr>
        <w:pStyle w:val="Compact"/>
        <w:numPr>
          <w:ilvl w:val="0"/>
          <w:numId w:val="1013"/>
        </w:numPr>
      </w:pPr>
      <w:r>
        <w:t xml:space="preserve">It pays HMRC the difference. If its input tax is bigger, HMRC pays it back the difference</w:t>
      </w:r>
      <w:r>
        <w:t xml:space="preserve"> </w:t>
      </w:r>
      <w:r>
        <w:t xml:space="preserve">(</w:t>
      </w:r>
      <w:hyperlink w:anchor="ref-hmrc_n700">
        <w:r>
          <w:rPr>
            <w:rStyle w:val="Hyperlink"/>
          </w:rPr>
          <w:t xml:space="preserve">HMRC, 2026o, paras 4.1–4.2</w:t>
        </w:r>
      </w:hyperlink>
      <w:r>
        <w:t xml:space="preserve">)</w:t>
      </w:r>
      <w:r>
        <w:t xml:space="preserve">.</w:t>
      </w:r>
    </w:p>
    <w:p>
      <w:pPr>
        <w:pStyle w:val="FirstParagraph"/>
      </w:pPr>
      <w:r>
        <w:t xml:space="preserve">The final customer cannot reclaim anything, so the final customer bears the tax. HM Treasury calls VAT</w:t>
      </w:r>
      <w:r>
        <w:t xml:space="preserve"> </w:t>
      </w:r>
      <w:r>
        <w:t xml:space="preserve">“</w:t>
      </w:r>
      <w:r>
        <w:t xml:space="preserve">a broad-based tax on consumption</w:t>
      </w:r>
      <w:r>
        <w:t xml:space="preserve">”</w:t>
      </w:r>
      <w:r>
        <w:t xml:space="preserve">. It says registered businesses collect the tax on their sales</w:t>
      </w:r>
      <w:r>
        <w:t xml:space="preserve"> </w:t>
      </w:r>
      <w:r>
        <w:t xml:space="preserve">“</w:t>
      </w:r>
      <w:r>
        <w:t xml:space="preserve">and may then recover the VAT that they have incurred during the course of making those supplies</w:t>
      </w:r>
      <w:r>
        <w:t xml:space="preserve">”</w:t>
      </w:r>
      <w:r>
        <w:t xml:space="preserve"> </w:t>
      </w:r>
      <w:r>
        <w:t xml:space="preserve">(</w:t>
      </w:r>
      <w:hyperlink w:anchor="ref-hmt_s41_paper_2020">
        <w:r>
          <w:rPr>
            <w:rStyle w:val="Hyperlink"/>
          </w:rPr>
          <w:t xml:space="preserve">HM Treasury, 2020a, para. 1.5</w:t>
        </w:r>
      </w:hyperlink>
      <w:r>
        <w:t xml:space="preserve">)</w:t>
      </w:r>
      <w:r>
        <w:t xml:space="preserve">.</w:t>
      </w:r>
    </w:p>
    <w:p>
      <w:pPr>
        <w:pStyle w:val="BodyText"/>
      </w:pPr>
      <w:r>
        <w:t xml:space="preserve">The table below uses made-up figures to show how the VAT on one desk is collected in stages. It assumes the timber merchant paid no VAT on its own costs.</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440"/>
        <w:gridCol w:w="1841"/>
        <w:gridCol w:w="1841"/>
        <w:gridCol w:w="1902"/>
      </w:tblGrid>
      <w:tr>
        <w:trPr>
          <w:tblHeader w:val="true"/>
          <w:cantSplit w:val="true"/>
        </w:trPr>
        <w:tc>
          <w:tcPr>
            <w:tcW w:w="3440" w:type="dxa"/>
            <w:shd w:val="clear" w:color="auto" w:fill="1B3A5C"/>
          </w:tcPr>
          <w:p>
            <w:pPr>
              <w:pStyle w:val="Compact"/>
              <w:spacing w:after="40" w:before="40"/>
              <w:jc w:val="left"/>
            </w:pPr>
            <w:r>
              <w:rPr>
                <w:rFonts w:ascii="Tahoma" w:hAnsi="Tahoma"/>
                <w:b/>
                <w:color w:val="FFFFFF"/>
                <w:sz w:val="22"/>
              </w:rPr>
              <w:t xml:space="preserve">Stage</w:t>
            </w:r>
          </w:p>
        </w:tc>
        <w:tc>
          <w:tcPr>
            <w:tcW w:w="1841" w:type="dxa"/>
            <w:shd w:val="clear" w:color="auto" w:fill="1B3A5C"/>
          </w:tcPr>
          <w:p>
            <w:pPr>
              <w:pStyle w:val="Compact"/>
              <w:spacing w:after="40" w:before="40"/>
              <w:jc w:val="left"/>
            </w:pPr>
            <w:r>
              <w:rPr>
                <w:rFonts w:ascii="Tahoma" w:hAnsi="Tahoma"/>
                <w:b/>
                <w:color w:val="FFFFFF"/>
                <w:sz w:val="22"/>
              </w:rPr>
              <w:t xml:space="preserve">Price before VAT</w:t>
            </w:r>
          </w:p>
        </w:tc>
        <w:tc>
          <w:tcPr>
            <w:tcW w:w="1841" w:type="dxa"/>
            <w:shd w:val="clear" w:color="auto" w:fill="1B3A5C"/>
          </w:tcPr>
          <w:p>
            <w:pPr>
              <w:pStyle w:val="Compact"/>
              <w:spacing w:after="40" w:before="40"/>
              <w:jc w:val="left"/>
            </w:pPr>
            <w:r>
              <w:rPr>
                <w:rFonts w:ascii="Tahoma" w:hAnsi="Tahoma"/>
                <w:b/>
                <w:color w:val="FFFFFF"/>
                <w:sz w:val="22"/>
              </w:rPr>
              <w:t xml:space="preserve">VAT charged</w:t>
            </w:r>
          </w:p>
        </w:tc>
        <w:tc>
          <w:tcPr>
            <w:tcW w:w="1902" w:type="dxa"/>
            <w:shd w:val="clear" w:color="auto" w:fill="1B3A5C"/>
          </w:tcPr>
          <w:p>
            <w:pPr>
              <w:pStyle w:val="Compact"/>
              <w:spacing w:after="40" w:before="40"/>
              <w:jc w:val="left"/>
            </w:pPr>
            <w:r>
              <w:rPr>
                <w:rFonts w:ascii="Tahoma" w:hAnsi="Tahoma"/>
                <w:b/>
                <w:color w:val="FFFFFF"/>
                <w:sz w:val="22"/>
              </w:rPr>
              <w:t xml:space="preserve">Paid to HMRC</w:t>
            </w:r>
          </w:p>
        </w:tc>
      </w:tr>
      <w:tr>
        <w:trPr>
          <w:cantSplit w:val="true"/>
        </w:trPr>
        <w:tc>
          <w:tcPr>
            <w:tcW w:w="3440" w:type="dxa"/>
            <w:shd w:val="clear" w:color="auto" w:fill="EAF3FA"/>
          </w:tcPr>
          <w:p>
            <w:pPr>
              <w:pStyle w:val="Compact"/>
              <w:spacing w:after="40" w:before="40"/>
              <w:jc w:val="left"/>
            </w:pPr>
            <w:r>
              <w:rPr>
                <w:rFonts w:ascii="Tahoma" w:hAnsi="Tahoma"/>
                <w:sz w:val="22"/>
              </w:rPr>
              <w:t xml:space="preserve">Timber merchant sells timber to a furniture maker</w:t>
            </w:r>
          </w:p>
        </w:tc>
        <w:tc>
          <w:tcPr>
            <w:tcW w:w="1841" w:type="dxa"/>
            <w:shd w:val="clear" w:color="auto" w:fill="EAF3FA"/>
          </w:tcPr>
          <w:p>
            <w:pPr>
              <w:pStyle w:val="Compact"/>
              <w:spacing w:after="40" w:before="40"/>
              <w:jc w:val="left"/>
            </w:pPr>
            <w:r>
              <w:rPr>
                <w:rFonts w:ascii="Tahoma" w:hAnsi="Tahoma"/>
                <w:sz w:val="22"/>
              </w:rPr>
              <w:t xml:space="preserve">£100</w:t>
            </w:r>
          </w:p>
        </w:tc>
        <w:tc>
          <w:tcPr>
            <w:tcW w:w="1841" w:type="dxa"/>
            <w:shd w:val="clear" w:color="auto" w:fill="EAF3FA"/>
          </w:tcPr>
          <w:p>
            <w:pPr>
              <w:pStyle w:val="Compact"/>
              <w:spacing w:after="40" w:before="40"/>
              <w:jc w:val="left"/>
            </w:pPr>
            <w:r>
              <w:rPr>
                <w:rFonts w:ascii="Tahoma" w:hAnsi="Tahoma"/>
                <w:sz w:val="22"/>
              </w:rPr>
              <w:t xml:space="preserve">£20</w:t>
            </w:r>
          </w:p>
        </w:tc>
        <w:tc>
          <w:tcPr>
            <w:tcW w:w="1902" w:type="dxa"/>
            <w:shd w:val="clear" w:color="auto" w:fill="EAF3FA"/>
          </w:tcPr>
          <w:p>
            <w:pPr>
              <w:pStyle w:val="Compact"/>
              <w:spacing w:after="40" w:before="40"/>
              <w:jc w:val="left"/>
            </w:pPr>
            <w:r>
              <w:rPr>
                <w:rFonts w:ascii="Tahoma" w:hAnsi="Tahoma"/>
                <w:sz w:val="22"/>
              </w:rPr>
              <w:t xml:space="preserve">£20</w:t>
            </w:r>
          </w:p>
        </w:tc>
      </w:tr>
      <w:tr>
        <w:trPr>
          <w:cantSplit w:val="true"/>
        </w:trPr>
        <w:tc>
          <w:tcPr>
            <w:tcW w:w="3440" w:type="dxa"/>
            <w:shd w:val="clear" w:color="auto" w:fill="FFFFFF"/>
          </w:tcPr>
          <w:p>
            <w:pPr>
              <w:pStyle w:val="Compact"/>
              <w:spacing w:after="40" w:before="40"/>
              <w:jc w:val="left"/>
            </w:pPr>
            <w:r>
              <w:rPr>
                <w:rFonts w:ascii="Tahoma" w:hAnsi="Tahoma"/>
                <w:sz w:val="22"/>
              </w:rPr>
              <w:t xml:space="preserve">Furniture maker sells the desk to a shop</w:t>
            </w:r>
          </w:p>
        </w:tc>
        <w:tc>
          <w:tcPr>
            <w:tcW w:w="1841" w:type="dxa"/>
            <w:shd w:val="clear" w:color="auto" w:fill="FFFFFF"/>
          </w:tcPr>
          <w:p>
            <w:pPr>
              <w:pStyle w:val="Compact"/>
              <w:spacing w:after="40" w:before="40"/>
              <w:jc w:val="left"/>
            </w:pPr>
            <w:r>
              <w:rPr>
                <w:rFonts w:ascii="Tahoma" w:hAnsi="Tahoma"/>
                <w:sz w:val="22"/>
              </w:rPr>
              <w:t xml:space="preserve">£250</w:t>
            </w:r>
          </w:p>
        </w:tc>
        <w:tc>
          <w:tcPr>
            <w:tcW w:w="1841" w:type="dxa"/>
            <w:shd w:val="clear" w:color="auto" w:fill="FFFFFF"/>
          </w:tcPr>
          <w:p>
            <w:pPr>
              <w:pStyle w:val="Compact"/>
              <w:spacing w:after="40" w:before="40"/>
              <w:jc w:val="left"/>
            </w:pPr>
            <w:r>
              <w:rPr>
                <w:rFonts w:ascii="Tahoma" w:hAnsi="Tahoma"/>
                <w:sz w:val="22"/>
              </w:rPr>
              <w:t xml:space="preserve">£50</w:t>
            </w:r>
          </w:p>
        </w:tc>
        <w:tc>
          <w:tcPr>
            <w:tcW w:w="1902" w:type="dxa"/>
            <w:shd w:val="clear" w:color="auto" w:fill="FFFFFF"/>
          </w:tcPr>
          <w:p>
            <w:pPr>
              <w:pStyle w:val="Compact"/>
              <w:spacing w:after="40" w:before="40"/>
              <w:jc w:val="left"/>
            </w:pPr>
            <w:r>
              <w:rPr>
                <w:rFonts w:ascii="Tahoma" w:hAnsi="Tahoma"/>
                <w:sz w:val="22"/>
              </w:rPr>
              <w:t xml:space="preserve">£50 − £20 = £30</w:t>
            </w:r>
          </w:p>
        </w:tc>
      </w:tr>
      <w:tr>
        <w:trPr>
          <w:cantSplit w:val="true"/>
        </w:trPr>
        <w:tc>
          <w:tcPr>
            <w:tcW w:w="3440" w:type="dxa"/>
            <w:shd w:val="clear" w:color="auto" w:fill="FBEAF1"/>
          </w:tcPr>
          <w:p>
            <w:pPr>
              <w:pStyle w:val="Compact"/>
              <w:spacing w:after="40" w:before="40"/>
              <w:jc w:val="left"/>
            </w:pPr>
            <w:r>
              <w:rPr>
                <w:rFonts w:ascii="Tahoma" w:hAnsi="Tahoma"/>
                <w:sz w:val="22"/>
              </w:rPr>
              <w:t xml:space="preserve">Shop sells the desk to a member of the public</w:t>
            </w:r>
          </w:p>
        </w:tc>
        <w:tc>
          <w:tcPr>
            <w:tcW w:w="1841" w:type="dxa"/>
            <w:shd w:val="clear" w:color="auto" w:fill="FBEAF1"/>
          </w:tcPr>
          <w:p>
            <w:pPr>
              <w:pStyle w:val="Compact"/>
              <w:spacing w:after="40" w:before="40"/>
              <w:jc w:val="left"/>
            </w:pPr>
            <w:r>
              <w:rPr>
                <w:rFonts w:ascii="Tahoma" w:hAnsi="Tahoma"/>
                <w:sz w:val="22"/>
              </w:rPr>
              <w:t xml:space="preserve">£300</w:t>
            </w:r>
          </w:p>
        </w:tc>
        <w:tc>
          <w:tcPr>
            <w:tcW w:w="1841" w:type="dxa"/>
            <w:shd w:val="clear" w:color="auto" w:fill="FBEAF1"/>
          </w:tcPr>
          <w:p>
            <w:pPr>
              <w:pStyle w:val="Compact"/>
              <w:spacing w:after="40" w:before="40"/>
              <w:jc w:val="left"/>
            </w:pPr>
            <w:r>
              <w:rPr>
                <w:rFonts w:ascii="Tahoma" w:hAnsi="Tahoma"/>
                <w:sz w:val="22"/>
              </w:rPr>
              <w:t xml:space="preserve">£60</w:t>
            </w:r>
          </w:p>
        </w:tc>
        <w:tc>
          <w:tcPr>
            <w:tcW w:w="1902" w:type="dxa"/>
            <w:shd w:val="clear" w:color="auto" w:fill="FBEAF1"/>
          </w:tcPr>
          <w:p>
            <w:pPr>
              <w:pStyle w:val="Compact"/>
              <w:spacing w:after="40" w:before="40"/>
              <w:jc w:val="left"/>
            </w:pPr>
            <w:r>
              <w:rPr>
                <w:rFonts w:ascii="Tahoma" w:hAnsi="Tahoma"/>
                <w:sz w:val="22"/>
              </w:rPr>
              <w:t xml:space="preserve">£60 − £50 = £10</w:t>
            </w:r>
          </w:p>
        </w:tc>
      </w:tr>
      <w:tr>
        <w:trPr>
          <w:cantSplit w:val="true"/>
        </w:trPr>
        <w:tc>
          <w:tcPr>
            <w:tcW w:w="3440" w:type="dxa"/>
            <w:shd w:val="clear" w:color="auto" w:fill="EAF3FA"/>
          </w:tcPr>
          <w:p>
            <w:pPr>
              <w:pStyle w:val="Compact"/>
              <w:spacing w:after="40" w:before="40"/>
              <w:jc w:val="left"/>
            </w:pPr>
            <w:r>
              <w:rPr>
                <w:rFonts w:ascii="Tahoma" w:hAnsi="Tahoma"/>
                <w:sz w:val="22"/>
              </w:rPr>
              <w:t xml:space="preserve">Total paid to HMRC</w:t>
            </w:r>
          </w:p>
        </w:tc>
        <w:tc>
          <w:tcPr>
            <w:tcW w:w="1841" w:type="dxa"/>
            <w:shd w:val="clear" w:color="auto" w:fill="EAF3FA"/>
          </w:tcPr>
          <w:p>
            <w:pPr>
              <w:pStyle w:val="Compact"/>
              <w:spacing w:after="40" w:before="40"/>
            </w:pPr>
          </w:p>
        </w:tc>
        <w:tc>
          <w:tcPr>
            <w:tcW w:w="1841" w:type="dxa"/>
            <w:shd w:val="clear" w:color="auto" w:fill="EAF3FA"/>
          </w:tcPr>
          <w:p>
            <w:pPr>
              <w:pStyle w:val="Compact"/>
              <w:spacing w:after="40" w:before="40"/>
            </w:pPr>
          </w:p>
        </w:tc>
        <w:tc>
          <w:tcPr>
            <w:tcW w:w="1902" w:type="dxa"/>
            <w:shd w:val="clear" w:color="auto" w:fill="EAF3FA"/>
          </w:tcPr>
          <w:p>
            <w:pPr>
              <w:pStyle w:val="Compact"/>
              <w:spacing w:after="40" w:before="40"/>
              <w:jc w:val="left"/>
            </w:pPr>
            <w:r>
              <w:rPr>
                <w:rFonts w:ascii="Tahoma" w:hAnsi="Tahoma"/>
                <w:sz w:val="22"/>
              </w:rPr>
              <w:t xml:space="preserve">£60</w:t>
            </w:r>
          </w:p>
        </w:tc>
      </w:tr>
    </w:tbl>
    <w:p>
      <w:pPr>
        <w:pStyle w:val="BodyText"/>
        <w:spacing w:before="200"/>
      </w:pPr>
      <w:r>
        <w:t xml:space="preserve">HMRC receives £20 + £30 + £10 = £60, which is 20% of the final price of £300. The member of the public pays £360 and cannot reclaim the £60.</w:t>
      </w:r>
    </w:p>
    <w:bookmarkStart w:id="22" w:name="who-has-to-register"/>
    <w:p>
      <w:pPr>
        <w:pStyle w:val="Heading4"/>
      </w:pPr>
      <w:r>
        <w:t xml:space="preserve">Who has to register</w:t>
      </w:r>
    </w:p>
    <w:p>
      <w:pPr>
        <w:pStyle w:val="Compact"/>
        <w:numPr>
          <w:ilvl w:val="0"/>
          <w:numId w:val="1014"/>
        </w:numPr>
      </w:pPr>
      <w:r>
        <w:t xml:space="preserve">A business must register if its taxable turnover for the last 12 months goes over £90,000. It must also register if it expects its taxable turnover to go over £90,000 in the next 30 days</w:t>
      </w:r>
      <w:r>
        <w:t xml:space="preserve"> </w:t>
      </w:r>
      <w:r>
        <w:t xml:space="preserve">(</w:t>
      </w:r>
      <w:hyperlink w:anchor="ref-hmrc_register_vat">
        <w:r>
          <w:rPr>
            <w:rStyle w:val="Hyperlink"/>
          </w:rPr>
          <w:t xml:space="preserve">HMRC, 2024d</w:t>
        </w:r>
      </w:hyperlink>
      <w:r>
        <w:t xml:space="preserve">)</w:t>
      </w:r>
      <w:r>
        <w:t xml:space="preserve">.</w:t>
      </w:r>
    </w:p>
    <w:p>
      <w:pPr>
        <w:pStyle w:val="Compact"/>
        <w:numPr>
          <w:ilvl w:val="0"/>
          <w:numId w:val="1014"/>
        </w:numPr>
      </w:pPr>
      <w:r>
        <w:t xml:space="preserve">Taxable turnover means everything sold that is not exempt or outside the scope of VAT. Zero-rated sales count</w:t>
      </w:r>
      <w:r>
        <w:t xml:space="preserve"> </w:t>
      </w:r>
      <w:r>
        <w:t xml:space="preserve">(</w:t>
      </w:r>
      <w:hyperlink w:anchor="ref-hmrc_register_vat">
        <w:r>
          <w:rPr>
            <w:rStyle w:val="Hyperlink"/>
          </w:rPr>
          <w:t xml:space="preserve">HMRC, 2024d</w:t>
        </w:r>
      </w:hyperlink>
      <w:r>
        <w:t xml:space="preserve">)</w:t>
      </w:r>
      <w:r>
        <w:t xml:space="preserve">.</w:t>
      </w:r>
    </w:p>
    <w:p>
      <w:pPr>
        <w:pStyle w:val="Compact"/>
        <w:numPr>
          <w:ilvl w:val="0"/>
          <w:numId w:val="1014"/>
        </w:numPr>
      </w:pPr>
      <w:r>
        <w:t xml:space="preserve">A business below the threshold can choose to register</w:t>
      </w:r>
      <w:r>
        <w:t xml:space="preserve"> </w:t>
      </w:r>
      <w:r>
        <w:t xml:space="preserve">(</w:t>
      </w:r>
      <w:hyperlink w:anchor="ref-hmrc_register_vat">
        <w:r>
          <w:rPr>
            <w:rStyle w:val="Hyperlink"/>
          </w:rPr>
          <w:t xml:space="preserve">HMRC, 2024d</w:t>
        </w:r>
      </w:hyperlink>
      <w:r>
        <w:t xml:space="preserve">)</w:t>
      </w:r>
      <w:r>
        <w:t xml:space="preserve">.</w:t>
      </w:r>
    </w:p>
    <w:p>
      <w:pPr>
        <w:pStyle w:val="Compact"/>
        <w:numPr>
          <w:ilvl w:val="0"/>
          <w:numId w:val="1014"/>
        </w:numPr>
      </w:pPr>
      <w:r>
        <w:t xml:space="preserve">A</w:t>
      </w:r>
      <w:r>
        <w:t xml:space="preserve"> </w:t>
      </w:r>
      <w:r>
        <w:t xml:space="preserve">“</w:t>
      </w:r>
      <w:r>
        <w:t xml:space="preserve">taxable person</w:t>
      </w:r>
      <w:r>
        <w:t xml:space="preserve">”</w:t>
      </w:r>
      <w:r>
        <w:t xml:space="preserve"> </w:t>
      </w:r>
      <w:r>
        <w:t xml:space="preserve">is anyone who is registered, or who ought to be registered</w:t>
      </w:r>
      <w:r>
        <w:t xml:space="preserve"> </w:t>
      </w:r>
      <w:r>
        <w:t xml:space="preserve">(</w:t>
      </w:r>
      <w:hyperlink w:anchor="ref-hmrc_n700">
        <w:r>
          <w:rPr>
            <w:rStyle w:val="Hyperlink"/>
          </w:rPr>
          <w:t xml:space="preserve">HMRC, 2026o, para. 3.2</w:t>
        </w:r>
      </w:hyperlink>
      <w:r>
        <w:t xml:space="preserve">)</w:t>
      </w:r>
      <w:r>
        <w:t xml:space="preserve">.</w:t>
      </w:r>
    </w:p>
    <w:p>
      <w:pPr>
        <w:pStyle w:val="Compact"/>
        <w:numPr>
          <w:ilvl w:val="0"/>
          <w:numId w:val="1014"/>
        </w:numPr>
      </w:pPr>
      <w:r>
        <w:t xml:space="preserve">Government departments are different. They must register for VAT whatever the value of their taxable supplies</w:t>
      </w:r>
      <w:r>
        <w:t xml:space="preserve"> </w:t>
      </w:r>
      <w:r>
        <w:t xml:space="preserve">(</w:t>
      </w:r>
      <w:hyperlink w:anchor="ref-hmrc_vatgpb">
        <w:r>
          <w:rPr>
            <w:rStyle w:val="Hyperlink"/>
          </w:rPr>
          <w:t xml:space="preserve">HMRC, 2026n, sec. VATGPB9400</w:t>
        </w:r>
      </w:hyperlink>
      <w:r>
        <w:t xml:space="preserve">)</w:t>
      </w:r>
      <w:r>
        <w:t xml:space="preserve">. HMRC says registration allows a department to claim refunds under section 41(3) on qualifying contracted-out services used for non-business purposes</w:t>
      </w:r>
      <w:r>
        <w:t xml:space="preserve"> </w:t>
      </w:r>
      <w:r>
        <w:t xml:space="preserve">(</w:t>
      </w:r>
      <w:hyperlink w:anchor="ref-hmrc_gdpef">
        <w:r>
          <w:rPr>
            <w:rStyle w:val="Hyperlink"/>
          </w:rPr>
          <w:t xml:space="preserve">HMRC, 2023c</w:t>
        </w:r>
      </w:hyperlink>
      <w:r>
        <w:t xml:space="preserve">)</w:t>
      </w:r>
      <w:r>
        <w:t xml:space="preserve">.</w:t>
      </w:r>
    </w:p>
    <w:bookmarkEnd w:id="22"/>
    <w:bookmarkStart w:id="23" w:name="the-rates-in-brief"/>
    <w:p>
      <w:pPr>
        <w:pStyle w:val="Heading4"/>
      </w:pPr>
      <w:r>
        <w:t xml:space="preserve">The rates in brief</w:t>
      </w:r>
    </w:p>
    <w:p>
      <w:pPr>
        <w:pStyle w:val="Compact"/>
        <w:numPr>
          <w:ilvl w:val="0"/>
          <w:numId w:val="1015"/>
        </w:numPr>
      </w:pPr>
      <w:r>
        <w:rPr>
          <w:b/>
          <w:bCs/>
        </w:rPr>
        <w:t xml:space="preserve">Standard rate:</w:t>
      </w:r>
      <w:r>
        <w:t xml:space="preserve"> </w:t>
      </w:r>
      <w:r>
        <w:t xml:space="preserve">20% (Value Added Tax Act 1994, s. 2(1)).</w:t>
      </w:r>
    </w:p>
    <w:p>
      <w:pPr>
        <w:pStyle w:val="Compact"/>
        <w:numPr>
          <w:ilvl w:val="0"/>
          <w:numId w:val="1015"/>
        </w:numPr>
      </w:pPr>
      <w:r>
        <w:rPr>
          <w:b/>
          <w:bCs/>
        </w:rPr>
        <w:t xml:space="preserve">Reduced rate:</w:t>
      </w:r>
      <w:r>
        <w:t xml:space="preserve"> </w:t>
      </w:r>
      <w:r>
        <w:t xml:space="preserve">5%, for supplies listed in Schedule 7A (Value Added Tax Act 1994, s. 29A).</w:t>
      </w:r>
    </w:p>
    <w:p>
      <w:pPr>
        <w:pStyle w:val="Compact"/>
        <w:numPr>
          <w:ilvl w:val="0"/>
          <w:numId w:val="1015"/>
        </w:numPr>
      </w:pPr>
      <w:r>
        <w:rPr>
          <w:b/>
          <w:bCs/>
        </w:rPr>
        <w:t xml:space="preserve">Zero rate:</w:t>
      </w:r>
      <w:r>
        <w:t xml:space="preserve"> </w:t>
      </w:r>
      <w:r>
        <w:t xml:space="preserve">0%, for supplies listed in Schedule 8 (Value Added Tax Act 1994, s. 30).</w:t>
      </w:r>
    </w:p>
    <w:p>
      <w:pPr>
        <w:pStyle w:val="FirstParagraph"/>
      </w:pPr>
      <w:r>
        <w:t xml:space="preserve">Zero-rated and reduced-rated supplies are still taxable supplies. The seller can still recover the VAT on its own costs, subject to the normal restrictions</w:t>
      </w:r>
      <w:r>
        <w:t xml:space="preserve"> </w:t>
      </w:r>
      <w:r>
        <w:t xml:space="preserve">(</w:t>
      </w:r>
      <w:hyperlink w:anchor="ref-hmrc_n700">
        <w:r>
          <w:rPr>
            <w:rStyle w:val="Hyperlink"/>
          </w:rPr>
          <w:t xml:space="preserve">HMRC, 2026o, paras 3.4–3.5</w:t>
        </w:r>
      </w:hyperlink>
      <w:r>
        <w:t xml:space="preserve">)</w:t>
      </w:r>
      <w:r>
        <w:t xml:space="preserve">.</w:t>
      </w:r>
    </w:p>
    <w:p>
      <w:pPr>
        <w:pStyle w:val="BodyText"/>
      </w:pPr>
      <w:r>
        <w:t xml:space="preserve">Exempt supplies are different. No VAT is charged, but the seller normally cannot recover the VAT on its costs</w:t>
      </w:r>
      <w:r>
        <w:t xml:space="preserve"> </w:t>
      </w:r>
      <w:r>
        <w:t xml:space="preserve">(</w:t>
      </w:r>
      <w:hyperlink w:anchor="ref-hmrc_n700">
        <w:r>
          <w:rPr>
            <w:rStyle w:val="Hyperlink"/>
          </w:rPr>
          <w:t xml:space="preserve">HMRC, 2026o, para. 3.6</w:t>
        </w:r>
      </w:hyperlink>
      <w:r>
        <w:t xml:space="preserve">)</w:t>
      </w:r>
      <w:r>
        <w:t xml:space="preserve">.</w:t>
      </w:r>
    </w:p>
    <w:p>
      <w:pPr>
        <w:pStyle w:val="BodyText"/>
      </w:pPr>
      <w:r>
        <w:t xml:space="preserve">Some supplies are outside the scope of UK VAT altogether. One example is anything not done in the course or furtherance of a business</w:t>
      </w:r>
      <w:r>
        <w:t xml:space="preserve"> </w:t>
      </w:r>
      <w:r>
        <w:t xml:space="preserve">(</w:t>
      </w:r>
      <w:hyperlink w:anchor="ref-hmrc_n700">
        <w:r>
          <w:rPr>
            <w:rStyle w:val="Hyperlink"/>
          </w:rPr>
          <w:t xml:space="preserve">HMRC, 2026o, para. 3.2</w:t>
        </w:r>
      </w:hyperlink>
      <w:r>
        <w:t xml:space="preserve">)</w:t>
      </w:r>
      <w:r>
        <w:t xml:space="preserve">.</w:t>
      </w:r>
    </w:p>
    <w:p>
      <w:pPr>
        <w:pStyle w:val="BodyText"/>
      </w:pPr>
      <w:r>
        <w:t xml:space="preserve">Each of these categories is explained in detail later (see Part 3).</w:t>
      </w:r>
    </w:p>
    <w:bookmarkEnd w:id="23"/>
    <w:bookmarkEnd w:id="24"/>
    <w:bookmarkStart w:id="30" w:name="output-tax"/>
    <w:p>
      <w:pPr>
        <w:pStyle w:val="Heading3"/>
      </w:pPr>
      <w:r>
        <w:t xml:space="preserve">Output tax</w:t>
      </w:r>
    </w:p>
    <w:bookmarkStart w:id="25" w:name="what-output-tax-is"/>
    <w:p>
      <w:pPr>
        <w:pStyle w:val="Heading4"/>
      </w:pPr>
      <w:r>
        <w:t xml:space="preserve">What output tax is</w:t>
      </w:r>
    </w:p>
    <w:p>
      <w:pPr>
        <w:pStyle w:val="FirstParagraph"/>
      </w:pPr>
      <w:r>
        <w:t xml:space="preserve">The law defines</w:t>
      </w:r>
      <w:r>
        <w:t xml:space="preserve"> </w:t>
      </w:r>
      <w:r>
        <w:t xml:space="preserve">“</w:t>
      </w:r>
      <w:r>
        <w:t xml:space="preserve">output tax</w:t>
      </w:r>
      <w:r>
        <w:t xml:space="preserve">”</w:t>
      </w:r>
      <w:r>
        <w:t xml:space="preserve">, for a taxable person, as</w:t>
      </w:r>
      <w:r>
        <w:t xml:space="preserve"> </w:t>
      </w:r>
      <w:r>
        <w:t xml:space="preserve">“</w:t>
      </w:r>
      <w:r>
        <w:t xml:space="preserve">VAT on supplies which he makes</w:t>
      </w:r>
      <w:r>
        <w:t xml:space="preserve">”</w:t>
      </w:r>
      <w:r>
        <w:t xml:space="preserve"> </w:t>
      </w:r>
      <w:r>
        <w:t xml:space="preserve">(Value Added Tax Act 1994, s. 24(2)). HMRC puts it more simply:</w:t>
      </w:r>
      <w:r>
        <w:t xml:space="preserve"> </w:t>
      </w:r>
      <w:r>
        <w:t xml:space="preserve">“</w:t>
      </w:r>
      <w:r>
        <w:t xml:space="preserve">Output tax is the VAT that’s due on your taxable supplies</w:t>
      </w:r>
      <w:r>
        <w:t xml:space="preserve">”</w:t>
      </w:r>
      <w:r>
        <w:t xml:space="preserve"> </w:t>
      </w:r>
      <w:r>
        <w:t xml:space="preserve">(</w:t>
      </w:r>
      <w:hyperlink w:anchor="ref-hmrc_n700">
        <w:r>
          <w:rPr>
            <w:rStyle w:val="Hyperlink"/>
          </w:rPr>
          <w:t xml:space="preserve">HMRC, 2026o, para. 7.1</w:t>
        </w:r>
      </w:hyperlink>
      <w:r>
        <w:t xml:space="preserve">)</w:t>
      </w:r>
      <w:r>
        <w:t xml:space="preserve">.</w:t>
      </w:r>
    </w:p>
    <w:p>
      <w:pPr>
        <w:pStyle w:val="BodyText"/>
      </w:pPr>
      <w:r>
        <w:t xml:space="preserve">VAT is charged on a supply only if all four of these are true (Value Added Tax Act 1994, s. 4):</w:t>
      </w:r>
    </w:p>
    <w:p>
      <w:pPr>
        <w:pStyle w:val="Compact"/>
        <w:numPr>
          <w:ilvl w:val="0"/>
          <w:numId w:val="1016"/>
        </w:numPr>
      </w:pPr>
      <w:r>
        <w:t xml:space="preserve">It is a supply of goods or services made in the UK.</w:t>
      </w:r>
    </w:p>
    <w:p>
      <w:pPr>
        <w:pStyle w:val="Compact"/>
        <w:numPr>
          <w:ilvl w:val="0"/>
          <w:numId w:val="1016"/>
        </w:numPr>
      </w:pPr>
      <w:r>
        <w:t xml:space="preserve">It is made by a taxable person.</w:t>
      </w:r>
    </w:p>
    <w:p>
      <w:pPr>
        <w:pStyle w:val="Compact"/>
        <w:numPr>
          <w:ilvl w:val="0"/>
          <w:numId w:val="1016"/>
        </w:numPr>
      </w:pPr>
      <w:r>
        <w:t xml:space="preserve">It is made in the course or furtherance of a business.</w:t>
      </w:r>
    </w:p>
    <w:p>
      <w:pPr>
        <w:pStyle w:val="Compact"/>
        <w:numPr>
          <w:ilvl w:val="0"/>
          <w:numId w:val="1016"/>
        </w:numPr>
      </w:pPr>
      <w:r>
        <w:t xml:space="preserve">It is a taxable supply, meaning it is not exempt.</w:t>
      </w:r>
    </w:p>
    <w:p>
      <w:pPr>
        <w:pStyle w:val="FirstParagraph"/>
      </w:pPr>
      <w:r>
        <w:t xml:space="preserve">Imports and the reverse charge on services from abroad have their own rules (see Part 4).</w:t>
      </w:r>
    </w:p>
    <w:p>
      <w:pPr>
        <w:pStyle w:val="BodyText"/>
      </w:pPr>
      <w:r>
        <w:t xml:space="preserve">The VAT is the seller’s legal liability. It becomes due at the time of supply (Value Added Tax Act 1994, s. 1(2)).</w:t>
      </w:r>
    </w:p>
    <w:p>
      <w:pPr>
        <w:pStyle w:val="BodyText"/>
      </w:pPr>
      <w:r>
        <w:rPr>
          <w:b/>
          <w:bCs/>
        </w:rPr>
        <w:t xml:space="preserve">How much:</w:t>
      </w:r>
      <w:r>
        <w:t xml:space="preserve"> </w:t>
      </w:r>
      <w:r>
        <w:t xml:space="preserve">the VAT is the value of the supply multiplied by the rate</w:t>
      </w:r>
      <w:r>
        <w:t xml:space="preserve"> </w:t>
      </w:r>
      <w:r>
        <w:t xml:space="preserve">(</w:t>
      </w:r>
      <w:hyperlink w:anchor="ref-hmrc_n700">
        <w:r>
          <w:rPr>
            <w:rStyle w:val="Hyperlink"/>
          </w:rPr>
          <w:t xml:space="preserve">HMRC, 2026o, para. 7.2</w:t>
        </w:r>
      </w:hyperlink>
      <w:r>
        <w:t xml:space="preserve">)</w:t>
      </w:r>
      <w:r>
        <w:t xml:space="preserve">. If a price already includes VAT at 20%, the VAT is one-sixth of the price. HMRC calls this the</w:t>
      </w:r>
      <w:r>
        <w:t xml:space="preserve"> </w:t>
      </w:r>
      <w:r>
        <w:t xml:space="preserve">“</w:t>
      </w:r>
      <w:r>
        <w:t xml:space="preserve">VAT fraction</w:t>
      </w:r>
      <w:r>
        <w:t xml:space="preserve">”</w:t>
      </w:r>
      <w:r>
        <w:t xml:space="preserve"> </w:t>
      </w:r>
      <w:r>
        <w:t xml:space="preserve">(</w:t>
      </w:r>
      <w:hyperlink w:anchor="ref-hmrc_n700">
        <w:r>
          <w:rPr>
            <w:rStyle w:val="Hyperlink"/>
          </w:rPr>
          <w:t xml:space="preserve">HMRC, 2026o, para. 7.3.1</w:t>
        </w:r>
      </w:hyperlink>
      <w:r>
        <w:t xml:space="preserve">)</w:t>
      </w:r>
      <w:r>
        <w:t xml:space="preserve">.</w:t>
      </w:r>
    </w:p>
    <w:p>
      <w:pPr>
        <w:pStyle w:val="BodyText"/>
      </w:pPr>
      <w:r>
        <w:t xml:space="preserve">Output tax can also be due on supplies outside the main run of a business. HMRC’s examples include:</w:t>
      </w:r>
    </w:p>
    <w:p>
      <w:pPr>
        <w:pStyle w:val="Compact"/>
        <w:numPr>
          <w:ilvl w:val="0"/>
          <w:numId w:val="1017"/>
        </w:numPr>
      </w:pPr>
      <w:r>
        <w:t xml:space="preserve">the sale of stocks and assets;</w:t>
      </w:r>
    </w:p>
    <w:p>
      <w:pPr>
        <w:pStyle w:val="Compact"/>
        <w:numPr>
          <w:ilvl w:val="0"/>
          <w:numId w:val="1017"/>
        </w:numPr>
      </w:pPr>
      <w:r>
        <w:t xml:space="preserve">gifts of goods that cost more than £50, excluding VAT; and</w:t>
      </w:r>
    </w:p>
    <w:p>
      <w:pPr>
        <w:pStyle w:val="Compact"/>
        <w:numPr>
          <w:ilvl w:val="0"/>
          <w:numId w:val="1017"/>
        </w:numPr>
      </w:pPr>
      <w:r>
        <w:t xml:space="preserve">VAT due under the reverse charge, for example on some services bought from abroad</w:t>
      </w:r>
      <w:r>
        <w:t xml:space="preserve"> </w:t>
      </w:r>
      <w:r>
        <w:t xml:space="preserve">(</w:t>
      </w:r>
      <w:hyperlink w:anchor="ref-hmrc_n70012">
        <w:r>
          <w:rPr>
            <w:rStyle w:val="Hyperlink"/>
          </w:rPr>
          <w:t xml:space="preserve">HMRC, 2025f, para. 3.2</w:t>
        </w:r>
      </w:hyperlink>
      <w:r>
        <w:t xml:space="preserve">)</w:t>
      </w:r>
      <w:r>
        <w:t xml:space="preserve">.</w:t>
      </w:r>
    </w:p>
    <w:p>
      <w:pPr>
        <w:pStyle w:val="FirstParagraph"/>
      </w:pPr>
      <w:r>
        <w:t xml:space="preserve">The reverse charge means the customer, not the supplier, accounts for the VAT</w:t>
      </w:r>
      <w:r>
        <w:t xml:space="preserve"> </w:t>
      </w:r>
      <w:r>
        <w:t xml:space="preserve">(</w:t>
      </w:r>
      <w:hyperlink w:anchor="ref-hmrc_n70012">
        <w:r>
          <w:rPr>
            <w:rStyle w:val="Hyperlink"/>
          </w:rPr>
          <w:t xml:space="preserve">HMRC, 2025f, para. 4.6</w:t>
        </w:r>
      </w:hyperlink>
      <w:r>
        <w:t xml:space="preserve">)</w:t>
      </w:r>
      <w:r>
        <w:t xml:space="preserve">.</w:t>
      </w:r>
    </w:p>
    <w:bookmarkEnd w:id="25"/>
    <w:bookmarkStart w:id="26" w:name="the-tax-point"/>
    <w:p>
      <w:pPr>
        <w:pStyle w:val="Heading4"/>
      </w:pPr>
      <w:r>
        <w:t xml:space="preserve">The tax point</w:t>
      </w:r>
    </w:p>
    <w:p>
      <w:pPr>
        <w:pStyle w:val="FirstParagraph"/>
      </w:pPr>
      <w:r>
        <w:t xml:space="preserve">The</w:t>
      </w:r>
      <w:r>
        <w:t xml:space="preserve"> </w:t>
      </w:r>
      <w:r>
        <w:rPr>
          <w:b/>
          <w:bCs/>
        </w:rPr>
        <w:t xml:space="preserve">tax point</w:t>
      </w:r>
      <w:r>
        <w:t xml:space="preserve"> </w:t>
      </w:r>
      <w:r>
        <w:t xml:space="preserve">(also called the time of supply) is the date that decides two things. It decides which VAT return the VAT goes on, and which rate of VAT applies</w:t>
      </w:r>
      <w:r>
        <w:t xml:space="preserve"> </w:t>
      </w:r>
      <w:r>
        <w:t xml:space="preserve">(</w:t>
      </w:r>
      <w:hyperlink w:anchor="ref-hmrc_n700">
        <w:r>
          <w:rPr>
            <w:rStyle w:val="Hyperlink"/>
          </w:rPr>
          <w:t xml:space="preserve">HMRC, 2026o, para. 14.1</w:t>
        </w:r>
      </w:hyperlink>
      <w:r>
        <w:t xml:space="preserve">)</w:t>
      </w:r>
      <w:r>
        <w:t xml:space="preserve">. The basic rules are set out below.</w:t>
      </w:r>
    </w:p>
    <w:p>
      <w:pPr>
        <w:pStyle w:val="Compact"/>
        <w:numPr>
          <w:ilvl w:val="0"/>
          <w:numId w:val="1018"/>
        </w:numPr>
      </w:pPr>
      <w:r>
        <w:rPr>
          <w:b/>
          <w:bCs/>
        </w:rPr>
        <w:t xml:space="preserve">Goods (basic tax point):</w:t>
      </w:r>
      <w:r>
        <w:t xml:space="preserve"> </w:t>
      </w:r>
      <w:r>
        <w:t xml:space="preserve">usually the date the goods are sent to the customer or the customer takes them away. If the goods are not moved, it is the date they are made available to the customer</w:t>
      </w:r>
      <w:r>
        <w:t xml:space="preserve"> </w:t>
      </w:r>
      <w:r>
        <w:t xml:space="preserve">(</w:t>
      </w:r>
      <w:hyperlink w:anchor="ref-hmrc_n700">
        <w:r>
          <w:rPr>
            <w:rStyle w:val="Hyperlink"/>
          </w:rPr>
          <w:t xml:space="preserve">HMRC, 2026o, para. 14.2.1</w:t>
        </w:r>
      </w:hyperlink>
      <w:r>
        <w:t xml:space="preserve">)</w:t>
      </w:r>
      <w:r>
        <w:t xml:space="preserve">.</w:t>
      </w:r>
    </w:p>
    <w:p>
      <w:pPr>
        <w:pStyle w:val="Compact"/>
        <w:numPr>
          <w:ilvl w:val="0"/>
          <w:numId w:val="1018"/>
        </w:numPr>
      </w:pPr>
      <w:r>
        <w:rPr>
          <w:b/>
          <w:bCs/>
        </w:rPr>
        <w:t xml:space="preserve">Services (basic tax point):</w:t>
      </w:r>
      <w:r>
        <w:t xml:space="preserve"> </w:t>
      </w:r>
      <w:r>
        <w:t xml:space="preserve">the date the service is performed. This is normally when all the work except invoicing is finished</w:t>
      </w:r>
      <w:r>
        <w:t xml:space="preserve"> </w:t>
      </w:r>
      <w:r>
        <w:t xml:space="preserve">(</w:t>
      </w:r>
      <w:hyperlink w:anchor="ref-hmrc_n700">
        <w:r>
          <w:rPr>
            <w:rStyle w:val="Hyperlink"/>
          </w:rPr>
          <w:t xml:space="preserve">HMRC, 2026o, para. 14.2.1</w:t>
        </w:r>
      </w:hyperlink>
      <w:r>
        <w:t xml:space="preserve">)</w:t>
      </w:r>
      <w:r>
        <w:t xml:space="preserve">.</w:t>
      </w:r>
    </w:p>
    <w:p>
      <w:pPr>
        <w:pStyle w:val="Compact"/>
        <w:numPr>
          <w:ilvl w:val="0"/>
          <w:numId w:val="1018"/>
        </w:numPr>
      </w:pPr>
      <w:r>
        <w:rPr>
          <w:b/>
          <w:bCs/>
        </w:rPr>
        <w:t xml:space="preserve">Earlier invoice or payment:</w:t>
      </w:r>
      <w:r>
        <w:t xml:space="preserve"> </w:t>
      </w:r>
      <w:r>
        <w:t xml:space="preserve">if a VAT invoice is issued, or payment is received, before the basic tax point, the earlier date becomes the tax point for the amount invoiced or paid</w:t>
      </w:r>
      <w:r>
        <w:t xml:space="preserve"> </w:t>
      </w:r>
      <w:r>
        <w:t xml:space="preserve">(</w:t>
      </w:r>
      <w:hyperlink w:anchor="ref-hmrc_n700">
        <w:r>
          <w:rPr>
            <w:rStyle w:val="Hyperlink"/>
          </w:rPr>
          <w:t xml:space="preserve">HMRC, 2026o, para. 14.2.2</w:t>
        </w:r>
      </w:hyperlink>
      <w:r>
        <w:t xml:space="preserve">)</w:t>
      </w:r>
      <w:r>
        <w:t xml:space="preserve">.</w:t>
      </w:r>
    </w:p>
    <w:p>
      <w:pPr>
        <w:pStyle w:val="Compact"/>
        <w:numPr>
          <w:ilvl w:val="0"/>
          <w:numId w:val="1018"/>
        </w:numPr>
      </w:pPr>
      <w:r>
        <w:rPr>
          <w:b/>
          <w:bCs/>
        </w:rPr>
        <w:t xml:space="preserve">The 14-day rule:</w:t>
      </w:r>
      <w:r>
        <w:t xml:space="preserve"> </w:t>
      </w:r>
      <w:r>
        <w:t xml:space="preserve">if a VAT invoice is issued within 14 days after the basic tax point, the invoice date normally becomes the tax point</w:t>
      </w:r>
      <w:r>
        <w:t xml:space="preserve"> </w:t>
      </w:r>
      <w:r>
        <w:t xml:space="preserve">(</w:t>
      </w:r>
      <w:hyperlink w:anchor="ref-hmrc_n700">
        <w:r>
          <w:rPr>
            <w:rStyle w:val="Hyperlink"/>
          </w:rPr>
          <w:t xml:space="preserve">HMRC, 2026o, para. 14.2.2</w:t>
        </w:r>
      </w:hyperlink>
      <w:r>
        <w:t xml:space="preserve">)</w:t>
      </w:r>
      <w:r>
        <w:t xml:space="preserve">.</w:t>
      </w:r>
    </w:p>
    <w:p>
      <w:pPr>
        <w:pStyle w:val="FirstParagraph"/>
      </w:pPr>
      <w:r>
        <w:t xml:space="preserve">The legal rules are in section 6(2) to (5) of the Value Added Tax Act 1994.</w:t>
      </w:r>
    </w:p>
    <w:p>
      <w:pPr>
        <w:pStyle w:val="BodyText"/>
      </w:pPr>
      <w:r>
        <w:rPr>
          <w:b/>
          <w:bCs/>
        </w:rPr>
        <w:t xml:space="preserve">Why this matters to the Department:</w:t>
      </w:r>
      <w:r>
        <w:t xml:space="preserve"> </w:t>
      </w:r>
      <w:r>
        <w:t xml:space="preserve">the Department must claim COS refunds in the financial year in which the tax point falls. It has until the June VAT return after the year end</w:t>
      </w:r>
      <w:r>
        <w:t xml:space="preserve"> </w:t>
      </w:r>
      <w:r>
        <w:t xml:space="preserve">(</w:t>
      </w:r>
      <w:hyperlink w:anchor="ref-hmrc_vatgpb">
        <w:r>
          <w:rPr>
            <w:rStyle w:val="Hyperlink"/>
          </w:rPr>
          <w:t xml:space="preserve">HMRC, 2026n, sec. VATGPB9720</w:t>
        </w:r>
      </w:hyperlink>
      <w:r>
        <w:t xml:space="preserve">)</w:t>
      </w:r>
      <w:r>
        <w:t xml:space="preserve">. See Part 5, How and when to claim.</w:t>
      </w:r>
    </w:p>
    <w:bookmarkEnd w:id="26"/>
    <w:bookmarkStart w:id="27" w:name="which-boxes-on-the-vat-return"/>
    <w:p>
      <w:pPr>
        <w:pStyle w:val="Heading4"/>
      </w:pPr>
      <w:r>
        <w:t xml:space="preserve">Which boxes on the VAT return</w:t>
      </w:r>
    </w:p>
    <w:p>
      <w:pPr>
        <w:pStyle w:val="FirstParagraph"/>
      </w:pPr>
      <w:r>
        <w:t xml:space="preserve">The table below shows the VAT return boxes used in this guide</w:t>
      </w:r>
      <w:r>
        <w:t xml:space="preserve"> </w:t>
      </w:r>
      <w:r>
        <w:t xml:space="preserve">(</w:t>
      </w:r>
      <w:hyperlink w:anchor="ref-hmrc_n70012">
        <w:r>
          <w:rPr>
            <w:rStyle w:val="Hyperlink"/>
          </w:rPr>
          <w:t xml:space="preserve">HMRC, 2025f, paras 3.2–3.8</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856"/>
        <w:gridCol w:w="6169"/>
      </w:tblGrid>
      <w:tr>
        <w:trPr>
          <w:tblHeader w:val="true"/>
          <w:cantSplit w:val="true"/>
        </w:trPr>
        <w:tc>
          <w:tcPr>
            <w:tcW w:w="2856" w:type="dxa"/>
            <w:shd w:val="clear" w:color="auto" w:fill="1B3A5C"/>
          </w:tcPr>
          <w:p>
            <w:pPr>
              <w:pStyle w:val="Compact"/>
              <w:spacing w:after="40" w:before="40"/>
              <w:jc w:val="left"/>
            </w:pPr>
            <w:r>
              <w:rPr>
                <w:rFonts w:ascii="Tahoma" w:hAnsi="Tahoma"/>
                <w:b/>
                <w:color w:val="FFFFFF"/>
                <w:sz w:val="22"/>
              </w:rPr>
              <w:t xml:space="preserve">Box</w:t>
            </w:r>
          </w:p>
        </w:tc>
        <w:tc>
          <w:tcPr>
            <w:tcW w:w="6169" w:type="dxa"/>
            <w:shd w:val="clear" w:color="auto" w:fill="1B3A5C"/>
          </w:tcPr>
          <w:p>
            <w:pPr>
              <w:pStyle w:val="Compact"/>
              <w:spacing w:after="40" w:before="40"/>
              <w:jc w:val="left"/>
            </w:pPr>
            <w:r>
              <w:rPr>
                <w:rFonts w:ascii="Tahoma" w:hAnsi="Tahoma"/>
                <w:b/>
                <w:color w:val="FFFFFF"/>
                <w:sz w:val="22"/>
              </w:rPr>
              <w:t xml:space="preserve">What goes in it</w:t>
            </w:r>
          </w:p>
        </w:tc>
      </w:tr>
      <w:tr>
        <w:trPr>
          <w:cantSplit w:val="true"/>
        </w:trPr>
        <w:tc>
          <w:tcPr>
            <w:tcW w:w="2856" w:type="dxa"/>
            <w:shd w:val="clear" w:color="auto" w:fill="EAF3FA"/>
          </w:tcPr>
          <w:p>
            <w:pPr>
              <w:pStyle w:val="Compact"/>
              <w:spacing w:after="40" w:before="40"/>
              <w:jc w:val="left"/>
            </w:pPr>
            <w:r>
              <w:rPr>
                <w:rFonts w:ascii="Tahoma" w:hAnsi="Tahoma"/>
                <w:sz w:val="22"/>
              </w:rPr>
              <w:t xml:space="preserve">Box 1</w:t>
            </w:r>
          </w:p>
        </w:tc>
        <w:tc>
          <w:tcPr>
            <w:tcW w:w="6169" w:type="dxa"/>
            <w:shd w:val="clear" w:color="auto" w:fill="EAF3FA"/>
          </w:tcPr>
          <w:p>
            <w:pPr>
              <w:pStyle w:val="Compact"/>
              <w:spacing w:after="40" w:before="40"/>
              <w:jc w:val="left"/>
            </w:pPr>
            <w:r>
              <w:rPr>
                <w:rFonts w:ascii="Tahoma" w:hAnsi="Tahoma"/>
                <w:sz w:val="22"/>
              </w:rPr>
              <w:t xml:space="preserve">VAT due on sales and other outputs (output tax)</w:t>
            </w:r>
          </w:p>
        </w:tc>
      </w:tr>
      <w:tr>
        <w:trPr>
          <w:cantSplit w:val="true"/>
        </w:trPr>
        <w:tc>
          <w:tcPr>
            <w:tcW w:w="2856" w:type="dxa"/>
            <w:shd w:val="clear" w:color="auto" w:fill="FFFFFF"/>
          </w:tcPr>
          <w:p>
            <w:pPr>
              <w:pStyle w:val="Compact"/>
              <w:spacing w:after="40" w:before="40"/>
              <w:jc w:val="left"/>
            </w:pPr>
            <w:r>
              <w:rPr>
                <w:rFonts w:ascii="Tahoma" w:hAnsi="Tahoma"/>
                <w:sz w:val="22"/>
              </w:rPr>
              <w:t xml:space="preserve">Box 2</w:t>
            </w:r>
          </w:p>
        </w:tc>
        <w:tc>
          <w:tcPr>
            <w:tcW w:w="6169" w:type="dxa"/>
            <w:shd w:val="clear" w:color="auto" w:fill="FFFFFF"/>
          </w:tcPr>
          <w:p>
            <w:pPr>
              <w:pStyle w:val="Compact"/>
              <w:spacing w:after="40" w:before="40"/>
              <w:jc w:val="left"/>
            </w:pPr>
            <w:r>
              <w:rPr>
                <w:rFonts w:ascii="Tahoma" w:hAnsi="Tahoma"/>
                <w:sz w:val="22"/>
              </w:rPr>
              <w:t xml:space="preserve">VAT due on goods brought into Northern Ireland from EU member states</w:t>
            </w:r>
          </w:p>
        </w:tc>
      </w:tr>
      <w:tr>
        <w:trPr>
          <w:cantSplit w:val="true"/>
        </w:trPr>
        <w:tc>
          <w:tcPr>
            <w:tcW w:w="2856" w:type="dxa"/>
            <w:shd w:val="clear" w:color="auto" w:fill="FBEAF1"/>
          </w:tcPr>
          <w:p>
            <w:pPr>
              <w:pStyle w:val="Compact"/>
              <w:spacing w:after="40" w:before="40"/>
              <w:jc w:val="left"/>
            </w:pPr>
            <w:r>
              <w:rPr>
                <w:rFonts w:ascii="Tahoma" w:hAnsi="Tahoma"/>
                <w:sz w:val="22"/>
              </w:rPr>
              <w:t xml:space="preserve">Box 3</w:t>
            </w:r>
          </w:p>
        </w:tc>
        <w:tc>
          <w:tcPr>
            <w:tcW w:w="6169" w:type="dxa"/>
            <w:shd w:val="clear" w:color="auto" w:fill="FBEAF1"/>
          </w:tcPr>
          <w:p>
            <w:pPr>
              <w:pStyle w:val="Compact"/>
              <w:spacing w:after="40" w:before="40"/>
              <w:jc w:val="left"/>
            </w:pPr>
            <w:r>
              <w:rPr>
                <w:rFonts w:ascii="Tahoma" w:hAnsi="Tahoma"/>
                <w:sz w:val="22"/>
              </w:rPr>
              <w:t xml:space="preserve">Total VAT due (box 1 plus box 2)</w:t>
            </w:r>
          </w:p>
        </w:tc>
      </w:tr>
      <w:tr>
        <w:trPr>
          <w:cantSplit w:val="true"/>
        </w:trPr>
        <w:tc>
          <w:tcPr>
            <w:tcW w:w="2856" w:type="dxa"/>
            <w:shd w:val="clear" w:color="auto" w:fill="EAF3FA"/>
          </w:tcPr>
          <w:p>
            <w:pPr>
              <w:pStyle w:val="Compact"/>
              <w:spacing w:after="40" w:before="40"/>
              <w:jc w:val="left"/>
            </w:pPr>
            <w:r>
              <w:rPr>
                <w:rFonts w:ascii="Tahoma" w:hAnsi="Tahoma"/>
                <w:sz w:val="22"/>
              </w:rPr>
              <w:t xml:space="preserve">Box 4</w:t>
            </w:r>
          </w:p>
        </w:tc>
        <w:tc>
          <w:tcPr>
            <w:tcW w:w="6169" w:type="dxa"/>
            <w:shd w:val="clear" w:color="auto" w:fill="EAF3FA"/>
          </w:tcPr>
          <w:p>
            <w:pPr>
              <w:pStyle w:val="Compact"/>
              <w:spacing w:after="40" w:before="40"/>
              <w:jc w:val="left"/>
            </w:pPr>
            <w:r>
              <w:rPr>
                <w:rFonts w:ascii="Tahoma" w:hAnsi="Tahoma"/>
                <w:sz w:val="22"/>
              </w:rPr>
              <w:t xml:space="preserve">VAT reclaimed on purchases and other inputs (input tax)</w:t>
            </w:r>
          </w:p>
        </w:tc>
      </w:tr>
      <w:tr>
        <w:trPr>
          <w:cantSplit w:val="true"/>
        </w:trPr>
        <w:tc>
          <w:tcPr>
            <w:tcW w:w="2856" w:type="dxa"/>
            <w:shd w:val="clear" w:color="auto" w:fill="FFFFFF"/>
          </w:tcPr>
          <w:p>
            <w:pPr>
              <w:pStyle w:val="Compact"/>
              <w:spacing w:after="40" w:before="40"/>
              <w:jc w:val="left"/>
            </w:pPr>
            <w:r>
              <w:rPr>
                <w:rFonts w:ascii="Tahoma" w:hAnsi="Tahoma"/>
                <w:sz w:val="22"/>
              </w:rPr>
              <w:t xml:space="preserve">Box 5</w:t>
            </w:r>
          </w:p>
        </w:tc>
        <w:tc>
          <w:tcPr>
            <w:tcW w:w="6169" w:type="dxa"/>
            <w:shd w:val="clear" w:color="auto" w:fill="FFFFFF"/>
          </w:tcPr>
          <w:p>
            <w:pPr>
              <w:pStyle w:val="Compact"/>
              <w:spacing w:after="40" w:before="40"/>
              <w:jc w:val="left"/>
            </w:pPr>
            <w:r>
              <w:rPr>
                <w:rFonts w:ascii="Tahoma" w:hAnsi="Tahoma"/>
                <w:sz w:val="22"/>
              </w:rPr>
              <w:t xml:space="preserve">Net VAT to pay or reclaim (box 3 minus box 4)</w:t>
            </w:r>
          </w:p>
        </w:tc>
      </w:tr>
      <w:tr>
        <w:trPr>
          <w:cantSplit w:val="true"/>
        </w:trPr>
        <w:tc>
          <w:tcPr>
            <w:tcW w:w="2856" w:type="dxa"/>
            <w:shd w:val="clear" w:color="auto" w:fill="FBEAF1"/>
          </w:tcPr>
          <w:p>
            <w:pPr>
              <w:pStyle w:val="Compact"/>
              <w:spacing w:after="40" w:before="40"/>
              <w:jc w:val="left"/>
            </w:pPr>
            <w:r>
              <w:rPr>
                <w:rFonts w:ascii="Tahoma" w:hAnsi="Tahoma"/>
                <w:sz w:val="22"/>
              </w:rPr>
              <w:t xml:space="preserve">Box 6</w:t>
            </w:r>
          </w:p>
        </w:tc>
        <w:tc>
          <w:tcPr>
            <w:tcW w:w="6169" w:type="dxa"/>
            <w:shd w:val="clear" w:color="auto" w:fill="FBEAF1"/>
          </w:tcPr>
          <w:p>
            <w:pPr>
              <w:pStyle w:val="Compact"/>
              <w:spacing w:after="40" w:before="40"/>
              <w:jc w:val="left"/>
            </w:pPr>
            <w:r>
              <w:rPr>
                <w:rFonts w:ascii="Tahoma" w:hAnsi="Tahoma"/>
                <w:sz w:val="22"/>
              </w:rPr>
              <w:t xml:space="preserve">Total value of sales, excluding VAT</w:t>
            </w:r>
          </w:p>
        </w:tc>
      </w:tr>
      <w:tr>
        <w:trPr>
          <w:cantSplit w:val="true"/>
        </w:trPr>
        <w:tc>
          <w:tcPr>
            <w:tcW w:w="2856" w:type="dxa"/>
            <w:shd w:val="clear" w:color="auto" w:fill="EAF3FA"/>
          </w:tcPr>
          <w:p>
            <w:pPr>
              <w:pStyle w:val="Compact"/>
              <w:spacing w:after="40" w:before="40"/>
              <w:jc w:val="left"/>
            </w:pPr>
            <w:r>
              <w:rPr>
                <w:rFonts w:ascii="Tahoma" w:hAnsi="Tahoma"/>
                <w:sz w:val="22"/>
              </w:rPr>
              <w:t xml:space="preserve">Box 7</w:t>
            </w:r>
          </w:p>
        </w:tc>
        <w:tc>
          <w:tcPr>
            <w:tcW w:w="6169" w:type="dxa"/>
            <w:shd w:val="clear" w:color="auto" w:fill="EAF3FA"/>
          </w:tcPr>
          <w:p>
            <w:pPr>
              <w:pStyle w:val="Compact"/>
              <w:spacing w:after="40" w:before="40"/>
              <w:jc w:val="left"/>
            </w:pPr>
            <w:r>
              <w:rPr>
                <w:rFonts w:ascii="Tahoma" w:hAnsi="Tahoma"/>
                <w:sz w:val="22"/>
              </w:rPr>
              <w:t xml:space="preserve">Total value of purchases, excluding VAT</w:t>
            </w:r>
          </w:p>
        </w:tc>
      </w:tr>
    </w:tbl>
    <w:p>
      <w:pPr>
        <w:pStyle w:val="BodyText"/>
        <w:spacing w:before="200"/>
      </w:pPr>
      <w:r>
        <w:t xml:space="preserve">Box 6 includes zero-rated sales, exempt sales and exports, even though there is no VAT on them</w:t>
      </w:r>
      <w:r>
        <w:t xml:space="preserve"> </w:t>
      </w:r>
      <w:r>
        <w:t xml:space="preserve">(</w:t>
      </w:r>
      <w:hyperlink w:anchor="ref-hmrc_n70012">
        <w:r>
          <w:rPr>
            <w:rStyle w:val="Hyperlink"/>
          </w:rPr>
          <w:t xml:space="preserve">HMRC, 2025f, para. 3.7</w:t>
        </w:r>
      </w:hyperlink>
      <w:r>
        <w:t xml:space="preserve">)</w:t>
      </w:r>
      <w:r>
        <w:t xml:space="preserve">.</w:t>
      </w:r>
    </w:p>
    <w:bookmarkEnd w:id="27"/>
    <w:bookmarkStart w:id="28" w:name="X2048c67b5947261795cc824a001bf842241e51e"/>
    <w:p>
      <w:pPr>
        <w:pStyle w:val="Heading4"/>
      </w:pPr>
      <w:r>
        <w:t xml:space="preserve">Output tax example 1: an office supplies company sells chairs</w:t>
      </w:r>
    </w:p>
    <w:p>
      <w:pPr>
        <w:pStyle w:val="Compact"/>
        <w:numPr>
          <w:ilvl w:val="0"/>
          <w:numId w:val="1019"/>
        </w:numPr>
      </w:pPr>
      <w:r>
        <w:t xml:space="preserve">A VAT-registered office supplies company sells 100 office chairs to a UK firm at £150 each.</w:t>
      </w:r>
    </w:p>
    <w:p>
      <w:pPr>
        <w:pStyle w:val="Compact"/>
        <w:numPr>
          <w:ilvl w:val="0"/>
          <w:numId w:val="1019"/>
        </w:numPr>
      </w:pPr>
      <w:r>
        <w:t xml:space="preserve">Value: 100 × £150 = £15,000.</w:t>
      </w:r>
    </w:p>
    <w:p>
      <w:pPr>
        <w:pStyle w:val="Compact"/>
        <w:numPr>
          <w:ilvl w:val="0"/>
          <w:numId w:val="1019"/>
        </w:numPr>
      </w:pPr>
      <w:r>
        <w:t xml:space="preserve">VAT: £15,000 × 20% = £3,000. The customer pays £15,000 + £3,000 = £18,000.</w:t>
      </w:r>
    </w:p>
    <w:p>
      <w:pPr>
        <w:pStyle w:val="Compact"/>
        <w:numPr>
          <w:ilvl w:val="0"/>
          <w:numId w:val="1019"/>
        </w:numPr>
      </w:pPr>
      <w:r>
        <w:t xml:space="preserve">The chairs are delivered on 3 March and the VAT invoice is issued on 10 March. The invoice is issued within 14 days of delivery, so the tax point is 10 March</w:t>
      </w:r>
      <w:r>
        <w:t xml:space="preserve"> </w:t>
      </w:r>
      <w:r>
        <w:t xml:space="preserve">(</w:t>
      </w:r>
      <w:hyperlink w:anchor="ref-hmrc_n700">
        <w:r>
          <w:rPr>
            <w:rStyle w:val="Hyperlink"/>
          </w:rPr>
          <w:t xml:space="preserve">HMRC, 2026o, para. 14.2.2</w:t>
        </w:r>
      </w:hyperlink>
      <w:r>
        <w:t xml:space="preserve">)</w:t>
      </w:r>
      <w:r>
        <w:t xml:space="preserve">.</w:t>
      </w:r>
    </w:p>
    <w:p>
      <w:pPr>
        <w:pStyle w:val="Compact"/>
        <w:numPr>
          <w:ilvl w:val="0"/>
          <w:numId w:val="1019"/>
        </w:numPr>
      </w:pPr>
      <w:r>
        <w:t xml:space="preserve">On the VAT return for the period that includes 10 March, the company puts £3,000 in box 1 and £15,000 in box 6</w:t>
      </w:r>
      <w:r>
        <w:t xml:space="preserve"> </w:t>
      </w:r>
      <w:r>
        <w:t xml:space="preserve">(</w:t>
      </w:r>
      <w:hyperlink w:anchor="ref-hmrc_n70012">
        <w:r>
          <w:rPr>
            <w:rStyle w:val="Hyperlink"/>
          </w:rPr>
          <w:t xml:space="preserve">HMRC, 2025f, paras 3.2, 3.7</w:t>
        </w:r>
      </w:hyperlink>
      <w:r>
        <w:t xml:space="preserve">)</w:t>
      </w:r>
      <w:r>
        <w:t xml:space="preserve">.</w:t>
      </w:r>
    </w:p>
    <w:bookmarkEnd w:id="28"/>
    <w:bookmarkStart w:id="29" w:name="X78984ff70c0dcec51ba4aebf5ec28b7a5ad6a66"/>
    <w:p>
      <w:pPr>
        <w:pStyle w:val="Heading4"/>
      </w:pPr>
      <w:r>
        <w:t xml:space="preserve">Output tax example 2: the Department sells surplus equipment in the UK</w:t>
      </w:r>
    </w:p>
    <w:p>
      <w:pPr>
        <w:pStyle w:val="Compact"/>
        <w:numPr>
          <w:ilvl w:val="0"/>
          <w:numId w:val="1020"/>
        </w:numPr>
      </w:pPr>
      <w:r>
        <w:t xml:space="preserve">The Department clears an office. It sells 60 surplus desks and 20 filing cabinets to a UK second-hand furniture dealer for £4,000.</w:t>
      </w:r>
    </w:p>
    <w:p>
      <w:pPr>
        <w:pStyle w:val="Compact"/>
        <w:numPr>
          <w:ilvl w:val="0"/>
          <w:numId w:val="1020"/>
        </w:numPr>
      </w:pPr>
      <w:r>
        <w:t xml:space="preserve">HMRC’s framework for government departments lists</w:t>
      </w:r>
      <w:r>
        <w:t xml:space="preserve"> </w:t>
      </w:r>
      <w:r>
        <w:t xml:space="preserve">“</w:t>
      </w:r>
      <w:r>
        <w:t xml:space="preserve">sale of assets</w:t>
      </w:r>
      <w:r>
        <w:t xml:space="preserve">”</w:t>
      </w:r>
      <w:r>
        <w:t xml:space="preserve"> </w:t>
      </w:r>
      <w:r>
        <w:t xml:space="preserve">as one of the standard-rated supplies a department may make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20"/>
        </w:numPr>
      </w:pPr>
      <w:r>
        <w:t xml:space="preserve">The VAT Act applies to taxable supplies by the Crown in the same way as it applies to any taxable person (Value Added Tax Act 1994, s. 41(1)).</w:t>
      </w:r>
    </w:p>
    <w:p>
      <w:pPr>
        <w:pStyle w:val="Compact"/>
        <w:numPr>
          <w:ilvl w:val="0"/>
          <w:numId w:val="1020"/>
        </w:numPr>
      </w:pPr>
      <w:r>
        <w:t xml:space="preserve">Selling business assets is normally a supply, and VAT is due if the supply is taxable</w:t>
      </w:r>
      <w:r>
        <w:t xml:space="preserve"> </w:t>
      </w:r>
      <w:r>
        <w:t xml:space="preserve">(</w:t>
      </w:r>
      <w:hyperlink w:anchor="ref-hmrc_n700">
        <w:r>
          <w:rPr>
            <w:rStyle w:val="Hyperlink"/>
          </w:rPr>
          <w:t xml:space="preserve">HMRC, 2026o, para. 9.1</w:t>
        </w:r>
      </w:hyperlink>
      <w:r>
        <w:t xml:space="preserve">)</w:t>
      </w:r>
      <w:r>
        <w:t xml:space="preserve">.</w:t>
      </w:r>
    </w:p>
    <w:p>
      <w:pPr>
        <w:pStyle w:val="Compact"/>
        <w:numPr>
          <w:ilvl w:val="0"/>
          <w:numId w:val="1020"/>
        </w:numPr>
      </w:pPr>
      <w:r>
        <w:t xml:space="preserve">Output tax: £4,000 × 20% = £800. The dealer pays £4,000 + £800 = £4,800.</w:t>
      </w:r>
    </w:p>
    <w:p>
      <w:pPr>
        <w:pStyle w:val="Compact"/>
        <w:numPr>
          <w:ilvl w:val="0"/>
          <w:numId w:val="1020"/>
        </w:numPr>
      </w:pPr>
      <w:r>
        <w:t xml:space="preserve">The Department puts £800 in box 1 and £4,000 in box 6.</w:t>
      </w:r>
    </w:p>
    <w:p>
      <w:pPr>
        <w:pStyle w:val="Compact"/>
        <w:numPr>
          <w:ilvl w:val="0"/>
          <w:numId w:val="1020"/>
        </w:numPr>
      </w:pPr>
      <w:r>
        <w:t xml:space="preserve">If the buyer were overseas and the goods were exported, the sale could be zero-rated, but only if the export conditions are met</w:t>
      </w:r>
      <w:r>
        <w:t xml:space="preserve"> </w:t>
      </w:r>
      <w:r>
        <w:t xml:space="preserve">(</w:t>
      </w:r>
      <w:hyperlink w:anchor="ref-hmrc_n703">
        <w:r>
          <w:rPr>
            <w:rStyle w:val="Hyperlink"/>
          </w:rPr>
          <w:t xml:space="preserve">HMRC, 2026p, para. 2.1</w:t>
        </w:r>
      </w:hyperlink>
      <w:r>
        <w:t xml:space="preserve">)</w:t>
      </w:r>
      <w:r>
        <w:t xml:space="preserve">. See Part 4.</w:t>
      </w:r>
    </w:p>
    <w:p>
      <w:pPr>
        <w:pStyle w:val="Compact"/>
        <w:numPr>
          <w:ilvl w:val="0"/>
          <w:numId w:val="1020"/>
        </w:numPr>
      </w:pPr>
      <w:r>
        <w:rPr>
          <w:b/>
          <w:bCs/>
        </w:rPr>
        <w:t xml:space="preserve">Check first:</w:t>
      </w:r>
      <w:r>
        <w:t xml:space="preserve"> </w:t>
      </w:r>
      <w:r>
        <w:t xml:space="preserve">whether a particular sale is a business activity depends on the facts, including the section 41A tests explained later in this part (see also Part 5 and Part 6).</w:t>
      </w:r>
    </w:p>
    <w:bookmarkEnd w:id="29"/>
    <w:bookmarkEnd w:id="30"/>
    <w:bookmarkStart w:id="35" w:name="input-tax"/>
    <w:p>
      <w:pPr>
        <w:pStyle w:val="Heading3"/>
      </w:pPr>
      <w:r>
        <w:t xml:space="preserve">Input tax</w:t>
      </w:r>
    </w:p>
    <w:bookmarkStart w:id="31" w:name="what-input-tax-is"/>
    <w:p>
      <w:pPr>
        <w:pStyle w:val="Heading4"/>
      </w:pPr>
      <w:r>
        <w:t xml:space="preserve">What input tax is</w:t>
      </w:r>
    </w:p>
    <w:p>
      <w:pPr>
        <w:pStyle w:val="FirstParagraph"/>
      </w:pPr>
      <w:r>
        <w:t xml:space="preserve">The law defines</w:t>
      </w:r>
      <w:r>
        <w:t xml:space="preserve"> </w:t>
      </w:r>
      <w:r>
        <w:t xml:space="preserve">“</w:t>
      </w:r>
      <w:r>
        <w:t xml:space="preserve">input tax</w:t>
      </w:r>
      <w:r>
        <w:t xml:space="preserve">”</w:t>
      </w:r>
      <w:r>
        <w:t xml:space="preserve">, for a taxable person, as VAT on goods or services supplied to that person, and VAT on goods that person imports. The goods or services must be</w:t>
      </w:r>
      <w:r>
        <w:t xml:space="preserve"> </w:t>
      </w:r>
      <w:r>
        <w:t xml:space="preserve">“</w:t>
      </w:r>
      <w:r>
        <w:t xml:space="preserve">used or to be used for the purpose of any business carried on or to be carried on by him</w:t>
      </w:r>
      <w:r>
        <w:t xml:space="preserve">”</w:t>
      </w:r>
      <w:r>
        <w:t xml:space="preserve"> </w:t>
      </w:r>
      <w:r>
        <w:t xml:space="preserve">(Value Added Tax Act 1994, s. 24(1)).</w:t>
      </w:r>
    </w:p>
    <w:p>
      <w:pPr>
        <w:pStyle w:val="BodyText"/>
      </w:pPr>
      <w:r>
        <w:t xml:space="preserve">HMRC puts it more simply:</w:t>
      </w:r>
      <w:r>
        <w:t xml:space="preserve"> </w:t>
      </w:r>
      <w:r>
        <w:t xml:space="preserve">“</w:t>
      </w:r>
      <w:r>
        <w:t xml:space="preserve">Input tax is the VAT you’re charged on your business purchases and expenses</w:t>
      </w:r>
      <w:r>
        <w:t xml:space="preserve">”</w:t>
      </w:r>
      <w:r>
        <w:t xml:space="preserve">. This includes goods and services bought in the UK, imported goods, services received from abroad, and overheads</w:t>
      </w:r>
      <w:r>
        <w:t xml:space="preserve"> </w:t>
      </w:r>
      <w:r>
        <w:t xml:space="preserve">(</w:t>
      </w:r>
      <w:hyperlink w:anchor="ref-hmrc_n700">
        <w:r>
          <w:rPr>
            <w:rStyle w:val="Hyperlink"/>
          </w:rPr>
          <w:t xml:space="preserve">HMRC, 2026o, para. 10.1</w:t>
        </w:r>
      </w:hyperlink>
      <w:r>
        <w:t xml:space="preserve">)</w:t>
      </w:r>
      <w:r>
        <w:t xml:space="preserve">.</w:t>
      </w:r>
    </w:p>
    <w:p>
      <w:pPr>
        <w:pStyle w:val="BodyText"/>
      </w:pPr>
      <w:r>
        <w:rPr>
          <w:b/>
          <w:bCs/>
        </w:rPr>
        <w:t xml:space="preserve">The key point:</w:t>
      </w:r>
      <w:r>
        <w:t xml:space="preserve"> </w:t>
      </w:r>
      <w:r>
        <w:t xml:space="preserve">VAT on a purchase that is not used for a business is not input tax at all. It cannot be reclaimed</w:t>
      </w:r>
      <w:r>
        <w:t xml:space="preserve"> </w:t>
      </w:r>
      <w:r>
        <w:t xml:space="preserve">(</w:t>
      </w:r>
      <w:hyperlink w:anchor="ref-hmrc_n700">
        <w:r>
          <w:rPr>
            <w:rStyle w:val="Hyperlink"/>
          </w:rPr>
          <w:t xml:space="preserve">HMRC, 2026o, para. 4.6.3</w:t>
        </w:r>
      </w:hyperlink>
      <w:r>
        <w:t xml:space="preserve">)</w:t>
      </w:r>
      <w:r>
        <w:t xml:space="preserve">.</w:t>
      </w:r>
    </w:p>
    <w:p>
      <w:pPr>
        <w:pStyle w:val="BodyText"/>
      </w:pPr>
      <w:r>
        <w:t xml:space="preserve">At the end of each VAT period, a registered business can deduct its allowable input tax from its output tax. If the input tax is bigger, HMRC pays the excess as a</w:t>
      </w:r>
      <w:r>
        <w:t xml:space="preserve"> </w:t>
      </w:r>
      <w:r>
        <w:t xml:space="preserve">“</w:t>
      </w:r>
      <w:r>
        <w:t xml:space="preserve">VAT credit</w:t>
      </w:r>
      <w:r>
        <w:t xml:space="preserve">”</w:t>
      </w:r>
      <w:r>
        <w:t xml:space="preserve"> </w:t>
      </w:r>
      <w:r>
        <w:t xml:space="preserve">(Value Added Tax Act 1994, s. 25(2)–(3)).</w:t>
      </w:r>
    </w:p>
    <w:bookmarkEnd w:id="31"/>
    <w:bookmarkStart w:id="32" w:name="the-conditions-for-recovering-input-tax"/>
    <w:p>
      <w:pPr>
        <w:pStyle w:val="Heading4"/>
      </w:pPr>
      <w:r>
        <w:t xml:space="preserve">The conditions for recovering input tax</w:t>
      </w:r>
    </w:p>
    <w:p>
      <w:pPr>
        <w:pStyle w:val="FirstParagraph"/>
      </w:pPr>
      <w:r>
        <w:t xml:space="preserve">A business can recover input tax only if all of these conditions are met.</w:t>
      </w:r>
    </w:p>
    <w:p>
      <w:pPr>
        <w:pStyle w:val="Compact"/>
        <w:numPr>
          <w:ilvl w:val="0"/>
          <w:numId w:val="1021"/>
        </w:numPr>
      </w:pPr>
      <w:r>
        <w:rPr>
          <w:b/>
          <w:bCs/>
        </w:rPr>
        <w:t xml:space="preserve">It is a taxable person.</w:t>
      </w:r>
      <w:r>
        <w:t xml:space="preserve"> </w:t>
      </w:r>
      <w:r>
        <w:t xml:space="preserve">In other words, it is registered for VAT or ought to be</w:t>
      </w:r>
      <w:r>
        <w:t xml:space="preserve"> </w:t>
      </w:r>
      <w:r>
        <w:t xml:space="preserve">(</w:t>
      </w:r>
      <w:hyperlink w:anchor="ref-hmrc_n700">
        <w:r>
          <w:rPr>
            <w:rStyle w:val="Hyperlink"/>
          </w:rPr>
          <w:t xml:space="preserve">HMRC, 2026o, para. 3.2</w:t>
        </w:r>
      </w:hyperlink>
      <w:r>
        <w:t xml:space="preserve">)</w:t>
      </w:r>
      <w:r>
        <w:t xml:space="preserve">.</w:t>
      </w:r>
    </w:p>
    <w:p>
      <w:pPr>
        <w:pStyle w:val="Compact"/>
        <w:numPr>
          <w:ilvl w:val="0"/>
          <w:numId w:val="1021"/>
        </w:numPr>
      </w:pPr>
      <w:r>
        <w:rPr>
          <w:b/>
          <w:bCs/>
        </w:rPr>
        <w:t xml:space="preserve">The VAT was charged on a supply to it, or on goods it imported</w:t>
      </w:r>
      <w:r>
        <w:t xml:space="preserve"> </w:t>
      </w:r>
      <w:r>
        <w:t xml:space="preserve">(Value Added Tax Act 1994, s. 24(1)).</w:t>
      </w:r>
    </w:p>
    <w:p>
      <w:pPr>
        <w:pStyle w:val="Compact"/>
        <w:numPr>
          <w:ilvl w:val="0"/>
          <w:numId w:val="1021"/>
        </w:numPr>
      </w:pPr>
      <w:r>
        <w:rPr>
          <w:b/>
          <w:bCs/>
        </w:rPr>
        <w:t xml:space="preserve">It holds the right evidence.</w:t>
      </w:r>
    </w:p>
    <w:p>
      <w:pPr>
        <w:pStyle w:val="Compact"/>
        <w:numPr>
          <w:ilvl w:val="1"/>
          <w:numId w:val="1022"/>
        </w:numPr>
      </w:pPr>
      <w:r>
        <w:t xml:space="preserve">For a purchase from a UK supplier, this is a valid VAT invoice</w:t>
      </w:r>
      <w:r>
        <w:t xml:space="preserve"> </w:t>
      </w:r>
      <w:r>
        <w:t xml:space="preserve">(</w:t>
      </w:r>
      <w:hyperlink w:anchor="ref-hmrc_n700">
        <w:r>
          <w:rPr>
            <w:rStyle w:val="Hyperlink"/>
          </w:rPr>
          <w:t xml:space="preserve">HMRC, 2026o, paras 10.6, 19.5.3</w:t>
        </w:r>
      </w:hyperlink>
      <w:r>
        <w:t xml:space="preserve">)</w:t>
      </w:r>
      <w:r>
        <w:t xml:space="preserve">. A valid invoice shows, among other things, the supplier’s VAT registration number, the tax point, the customer’s name and address and the VAT charged</w:t>
      </w:r>
      <w:r>
        <w:t xml:space="preserve"> </w:t>
      </w:r>
      <w:r>
        <w:t xml:space="preserve">(</w:t>
      </w:r>
      <w:hyperlink w:anchor="ref-hmrc_n700">
        <w:r>
          <w:rPr>
            <w:rStyle w:val="Hyperlink"/>
          </w:rPr>
          <w:t xml:space="preserve">HMRC, 2026o, para. 16.3.1</w:t>
        </w:r>
      </w:hyperlink>
      <w:r>
        <w:t xml:space="preserve">)</w:t>
      </w:r>
      <w:r>
        <w:t xml:space="preserve">.</w:t>
      </w:r>
    </w:p>
    <w:p>
      <w:pPr>
        <w:pStyle w:val="Compact"/>
        <w:numPr>
          <w:ilvl w:val="1"/>
          <w:numId w:val="1022"/>
        </w:numPr>
      </w:pPr>
      <w:r>
        <w:t xml:space="preserve">For imported goods, it is the official import VAT certificate (C79)</w:t>
      </w:r>
      <w:r>
        <w:t xml:space="preserve"> </w:t>
      </w:r>
      <w:r>
        <w:t xml:space="preserve">(</w:t>
      </w:r>
      <w:hyperlink w:anchor="ref-hmrc_n700">
        <w:r>
          <w:rPr>
            <w:rStyle w:val="Hyperlink"/>
          </w:rPr>
          <w:t xml:space="preserve">HMRC, 2026o, para. 19.5.7</w:t>
        </w:r>
      </w:hyperlink>
      <w:r>
        <w:t xml:space="preserve">)</w:t>
      </w:r>
      <w:r>
        <w:t xml:space="preserve">. Where postponed VAT accounting is used, it is the monthly postponed import VAT statement</w:t>
      </w:r>
      <w:r>
        <w:t xml:space="preserve"> </w:t>
      </w:r>
      <w:r>
        <w:t xml:space="preserve">(</w:t>
      </w:r>
      <w:hyperlink w:anchor="ref-hmrc_pva_return">
        <w:r>
          <w:rPr>
            <w:rStyle w:val="Hyperlink"/>
          </w:rPr>
          <w:t xml:space="preserve">HMRC, 2023a</w:t>
        </w:r>
      </w:hyperlink>
      <w:r>
        <w:t xml:space="preserve">)</w:t>
      </w:r>
      <w:r>
        <w:t xml:space="preserve">.</w:t>
      </w:r>
    </w:p>
    <w:p>
      <w:pPr>
        <w:pStyle w:val="Compact"/>
        <w:numPr>
          <w:ilvl w:val="1"/>
          <w:numId w:val="1022"/>
        </w:numPr>
      </w:pPr>
      <w:r>
        <w:t xml:space="preserve">For services received from abroad, it is the supplier’s invoice</w:t>
      </w:r>
      <w:r>
        <w:t xml:space="preserve"> </w:t>
      </w:r>
      <w:r>
        <w:t xml:space="preserve">(</w:t>
      </w:r>
      <w:hyperlink w:anchor="ref-hmrc_n700">
        <w:r>
          <w:rPr>
            <w:rStyle w:val="Hyperlink"/>
          </w:rPr>
          <w:t xml:space="preserve">HMRC, 2026o, para. 19.5.8</w:t>
        </w:r>
      </w:hyperlink>
      <w:r>
        <w:t xml:space="preserve">)</w:t>
      </w:r>
      <w:r>
        <w:t xml:space="preserve">.</w:t>
      </w:r>
    </w:p>
    <w:p>
      <w:pPr>
        <w:pStyle w:val="Compact"/>
        <w:numPr>
          <w:ilvl w:val="1"/>
          <w:numId w:val="1022"/>
        </w:numPr>
      </w:pPr>
      <w:r>
        <w:t xml:space="preserve">The legal rules on evidence are in regulation 29(2) of the Value Added Tax Regulations 1995.</w:t>
      </w:r>
    </w:p>
    <w:p>
      <w:pPr>
        <w:pStyle w:val="Compact"/>
        <w:numPr>
          <w:ilvl w:val="0"/>
          <w:numId w:val="1021"/>
        </w:numPr>
      </w:pPr>
      <w:r>
        <w:rPr>
          <w:b/>
          <w:bCs/>
        </w:rPr>
        <w:t xml:space="preserve">The purchase is used, or will be used, for its business.</w:t>
      </w:r>
      <w:r>
        <w:t xml:space="preserve"> </w:t>
      </w:r>
      <w:r>
        <w:t xml:space="preserve">If the purchase is used partly for other purposes, the VAT must be split. Only the business share is input tax (Value Added Tax Act 1994, s. 24(5)).</w:t>
      </w:r>
    </w:p>
    <w:p>
      <w:pPr>
        <w:pStyle w:val="Compact"/>
        <w:numPr>
          <w:ilvl w:val="0"/>
          <w:numId w:val="1021"/>
        </w:numPr>
      </w:pPr>
      <w:r>
        <w:rPr>
          <w:b/>
          <w:bCs/>
        </w:rPr>
        <w:t xml:space="preserve">The purchase is used to make supplies that carry the right to recover VAT</w:t>
      </w:r>
      <w:r>
        <w:t xml:space="preserve"> </w:t>
      </w:r>
      <w:r>
        <w:t xml:space="preserve">(Value Added Tax Act 1994, s. 26(2)). These are:</w:t>
      </w:r>
    </w:p>
    <w:p>
      <w:pPr>
        <w:pStyle w:val="Compact"/>
        <w:numPr>
          <w:ilvl w:val="1"/>
          <w:numId w:val="1023"/>
        </w:numPr>
      </w:pPr>
      <w:r>
        <w:t xml:space="preserve">taxable supplies (standard-rated, reduced-rated or zero-rated);</w:t>
      </w:r>
    </w:p>
    <w:p>
      <w:pPr>
        <w:pStyle w:val="Compact"/>
        <w:numPr>
          <w:ilvl w:val="1"/>
          <w:numId w:val="1023"/>
        </w:numPr>
      </w:pPr>
      <w:r>
        <w:t xml:space="preserve">supplies made outside the UK that would be taxable if made in the UK; and</w:t>
      </w:r>
    </w:p>
    <w:p>
      <w:pPr>
        <w:pStyle w:val="Compact"/>
        <w:numPr>
          <w:ilvl w:val="1"/>
          <w:numId w:val="1023"/>
        </w:numPr>
      </w:pPr>
      <w:r>
        <w:t xml:space="preserve">certain insurance and financial services supplied to customers who belong outside the UK, or directly linked to exporting goods</w:t>
      </w:r>
      <w:r>
        <w:t xml:space="preserve"> </w:t>
      </w:r>
      <w:r>
        <w:t xml:space="preserve">(</w:t>
      </w:r>
      <w:hyperlink w:anchor="ref-hmrc_n700">
        <w:r>
          <w:rPr>
            <w:rStyle w:val="Hyperlink"/>
          </w:rPr>
          <w:t xml:space="preserve">HMRC, 2026o, para. 10.2</w:t>
        </w:r>
      </w:hyperlink>
      <w:r>
        <w:t xml:space="preserve">)</w:t>
      </w:r>
      <w:r>
        <w:t xml:space="preserve">. These are called</w:t>
      </w:r>
      <w:r>
        <w:t xml:space="preserve"> </w:t>
      </w:r>
      <w:r>
        <w:rPr>
          <w:b/>
          <w:bCs/>
        </w:rPr>
        <w:t xml:space="preserve">specified supplies</w:t>
      </w:r>
      <w:r>
        <w:t xml:space="preserve"> </w:t>
      </w:r>
      <w:r>
        <w:t xml:space="preserve">(</w:t>
      </w:r>
      <w:hyperlink w:anchor="ref-hmrc_n706">
        <w:r>
          <w:rPr>
            <w:rStyle w:val="Hyperlink"/>
          </w:rPr>
          <w:t xml:space="preserve">HMRC, 2025h, para. 2.3</w:t>
        </w:r>
      </w:hyperlink>
      <w:r>
        <w:t xml:space="preserve">)</w:t>
      </w:r>
      <w:r>
        <w:t xml:space="preserve">.</w:t>
      </w:r>
    </w:p>
    <w:p>
      <w:pPr>
        <w:pStyle w:val="Compact"/>
        <w:numPr>
          <w:ilvl w:val="0"/>
          <w:numId w:val="1021"/>
        </w:numPr>
      </w:pPr>
      <w:r>
        <w:rPr>
          <w:b/>
          <w:bCs/>
        </w:rPr>
        <w:t xml:space="preserve">The VAT is not blocked.</w:t>
      </w:r>
      <w:r>
        <w:t xml:space="preserve"> </w:t>
      </w:r>
      <w:r>
        <w:t xml:space="preserve">VAT on some items, such as most cars and most business entertainment, is</w:t>
      </w:r>
      <w:r>
        <w:t xml:space="preserve"> </w:t>
      </w:r>
      <w:r>
        <w:t xml:space="preserve">“</w:t>
      </w:r>
      <w:r>
        <w:t xml:space="preserve">blocked</w:t>
      </w:r>
      <w:r>
        <w:t xml:space="preserve">”</w:t>
      </w:r>
      <w:r>
        <w:t xml:space="preserve"> </w:t>
      </w:r>
      <w:r>
        <w:t xml:space="preserve">and cannot be recovered</w:t>
      </w:r>
      <w:r>
        <w:t xml:space="preserve"> </w:t>
      </w:r>
      <w:r>
        <w:t xml:space="preserve">(</w:t>
      </w:r>
      <w:hyperlink w:anchor="ref-hmrc_n706">
        <w:r>
          <w:rPr>
            <w:rStyle w:val="Hyperlink"/>
          </w:rPr>
          <w:t xml:space="preserve">HMRC, 2025h, para. 2.4</w:t>
        </w:r>
      </w:hyperlink>
      <w:r>
        <w:t xml:space="preserve">;</w:t>
      </w:r>
      <w:r>
        <w:t xml:space="preserve"> </w:t>
      </w:r>
      <w:hyperlink w:anchor="ref-hmrc_n700">
        <w:r>
          <w:rPr>
            <w:rStyle w:val="Hyperlink"/>
          </w:rPr>
          <w:t xml:space="preserve">2026o, para. 10.3</w:t>
        </w:r>
      </w:hyperlink>
      <w:r>
        <w:t xml:space="preserve">)</w:t>
      </w:r>
      <w:r>
        <w:t xml:space="preserve">.</w:t>
      </w:r>
    </w:p>
    <w:p>
      <w:pPr>
        <w:pStyle w:val="Compact"/>
        <w:numPr>
          <w:ilvl w:val="0"/>
          <w:numId w:val="1021"/>
        </w:numPr>
      </w:pPr>
      <w:r>
        <w:rPr>
          <w:b/>
          <w:bCs/>
        </w:rPr>
        <w:t xml:space="preserve">The VAT was charged correctly.</w:t>
      </w:r>
      <w:r>
        <w:t xml:space="preserve"> </w:t>
      </w:r>
      <w:r>
        <w:t xml:space="preserve">VAT charged by mistake cannot be reclaimed</w:t>
      </w:r>
      <w:r>
        <w:t xml:space="preserve"> </w:t>
      </w:r>
      <w:r>
        <w:t xml:space="preserve">(</w:t>
      </w:r>
      <w:hyperlink w:anchor="ref-hmrc_n700">
        <w:r>
          <w:rPr>
            <w:rStyle w:val="Hyperlink"/>
          </w:rPr>
          <w:t xml:space="preserve">HMRC, 2026o, para. 10.3</w:t>
        </w:r>
      </w:hyperlink>
      <w:r>
        <w:t xml:space="preserve">)</w:t>
      </w:r>
      <w:r>
        <w:t xml:space="preserve">.</w:t>
      </w:r>
    </w:p>
    <w:p>
      <w:pPr>
        <w:pStyle w:val="FirstParagraph"/>
      </w:pPr>
      <w:r>
        <w:t xml:space="preserve">There is also a timing rule. If the business does not pay its supplier within 6 months of the date of supply (or of the due date for payment, if that is later), it must repay the input tax it claimed</w:t>
      </w:r>
      <w:r>
        <w:t xml:space="preserve"> </w:t>
      </w:r>
      <w:r>
        <w:t xml:space="preserve">(</w:t>
      </w:r>
      <w:hyperlink w:anchor="ref-hmrc_n700">
        <w:r>
          <w:rPr>
            <w:rStyle w:val="Hyperlink"/>
          </w:rPr>
          <w:t xml:space="preserve">HMRC, 2026o, para. 10.6.1</w:t>
        </w:r>
      </w:hyperlink>
      <w:r>
        <w:t xml:space="preserve">)</w:t>
      </w:r>
      <w:r>
        <w:t xml:space="preserve">.</w:t>
      </w:r>
    </w:p>
    <w:bookmarkEnd w:id="32"/>
    <w:bookmarkStart w:id="33" w:name="time-limits-for-claiming-input-tax"/>
    <w:p>
      <w:pPr>
        <w:pStyle w:val="Heading4"/>
      </w:pPr>
      <w:r>
        <w:t xml:space="preserve">Time limits for claiming input tax</w:t>
      </w:r>
    </w:p>
    <w:p>
      <w:pPr>
        <w:pStyle w:val="Compact"/>
        <w:numPr>
          <w:ilvl w:val="0"/>
          <w:numId w:val="1024"/>
        </w:numPr>
      </w:pPr>
      <w:r>
        <w:rPr>
          <w:b/>
          <w:bCs/>
        </w:rPr>
        <w:t xml:space="preserve">Normal rule:</w:t>
      </w:r>
      <w:r>
        <w:t xml:space="preserve"> </w:t>
      </w:r>
      <w:r>
        <w:t xml:space="preserve">claim the input tax on the VAT return for the period in which the tax point falls</w:t>
      </w:r>
      <w:r>
        <w:t xml:space="preserve"> </w:t>
      </w:r>
      <w:r>
        <w:t xml:space="preserve">(</w:t>
      </w:r>
      <w:hyperlink w:anchor="ref-hmrc_n700">
        <w:r>
          <w:rPr>
            <w:rStyle w:val="Hyperlink"/>
          </w:rPr>
          <w:t xml:space="preserve">HMRC, 2026o, para. 10.5</w:t>
        </w:r>
      </w:hyperlink>
      <w:r>
        <w:t xml:space="preserve">)</w:t>
      </w:r>
      <w:r>
        <w:t xml:space="preserve">.</w:t>
      </w:r>
    </w:p>
    <w:p>
      <w:pPr>
        <w:pStyle w:val="Compact"/>
        <w:numPr>
          <w:ilvl w:val="0"/>
          <w:numId w:val="1024"/>
        </w:numPr>
      </w:pPr>
      <w:r>
        <w:rPr>
          <w:b/>
          <w:bCs/>
        </w:rPr>
        <w:t xml:space="preserve">If the invoice arrives late:</w:t>
      </w:r>
      <w:r>
        <w:t xml:space="preserve"> </w:t>
      </w:r>
      <w:r>
        <w:t xml:space="preserve">claim on the return for the period in which you receive the evidence</w:t>
      </w:r>
      <w:r>
        <w:t xml:space="preserve"> </w:t>
      </w:r>
      <w:r>
        <w:t xml:space="preserve">(</w:t>
      </w:r>
      <w:hyperlink w:anchor="ref-hmrc_n700">
        <w:r>
          <w:rPr>
            <w:rStyle w:val="Hyperlink"/>
          </w:rPr>
          <w:t xml:space="preserve">HMRC, 2026o, para. 10.5</w:t>
        </w:r>
      </w:hyperlink>
      <w:r>
        <w:t xml:space="preserve">)</w:t>
      </w:r>
      <w:r>
        <w:t xml:space="preserve">.</w:t>
      </w:r>
    </w:p>
    <w:p>
      <w:pPr>
        <w:pStyle w:val="Compact"/>
        <w:numPr>
          <w:ilvl w:val="0"/>
          <w:numId w:val="1024"/>
        </w:numPr>
      </w:pPr>
      <w:r>
        <w:rPr>
          <w:b/>
          <w:bCs/>
        </w:rPr>
        <w:t xml:space="preserve">If you miss a claim you could have made:</w:t>
      </w:r>
      <w:r>
        <w:t xml:space="preserve"> </w:t>
      </w:r>
      <w:r>
        <w:t xml:space="preserve">this is an error. You cannot simply deduct it on a later return. You must correct it using HMRC’s error correction rules</w:t>
      </w:r>
      <w:r>
        <w:t xml:space="preserve"> </w:t>
      </w:r>
      <w:r>
        <w:t xml:space="preserve">(</w:t>
      </w:r>
      <w:hyperlink w:anchor="ref-hmrc_n700">
        <w:r>
          <w:rPr>
            <w:rStyle w:val="Hyperlink"/>
          </w:rPr>
          <w:t xml:space="preserve">HMRC, 2026o, para. 10.5</w:t>
        </w:r>
      </w:hyperlink>
      <w:r>
        <w:t xml:space="preserve">)</w:t>
      </w:r>
      <w:r>
        <w:t xml:space="preserve">.</w:t>
      </w:r>
    </w:p>
    <w:p>
      <w:pPr>
        <w:pStyle w:val="Compact"/>
        <w:numPr>
          <w:ilvl w:val="1"/>
          <w:numId w:val="1025"/>
        </w:numPr>
      </w:pPr>
      <w:r>
        <w:rPr>
          <w:b/>
          <w:bCs/>
        </w:rPr>
        <w:t xml:space="preserve">Method 1:</w:t>
      </w:r>
      <w:r>
        <w:t xml:space="preserve"> </w:t>
      </w:r>
      <w:r>
        <w:t xml:space="preserve">if the net value of the errors is not more than £10,000, or is between £10,000 and £50,000 but not more than 1% of box 6, you can include the correction on your current return</w:t>
      </w:r>
      <w:r>
        <w:t xml:space="preserve"> </w:t>
      </w:r>
      <w:r>
        <w:t xml:space="preserve">(</w:t>
      </w:r>
      <w:hyperlink w:anchor="ref-hmrc_n70045">
        <w:r>
          <w:rPr>
            <w:rStyle w:val="Hyperlink"/>
          </w:rPr>
          <w:t xml:space="preserve">HMRC, 2025e, paras 4.2–4.3</w:t>
        </w:r>
      </w:hyperlink>
      <w:r>
        <w:t xml:space="preserve">)</w:t>
      </w:r>
      <w:r>
        <w:t xml:space="preserve">.</w:t>
      </w:r>
    </w:p>
    <w:p>
      <w:pPr>
        <w:pStyle w:val="Compact"/>
        <w:numPr>
          <w:ilvl w:val="1"/>
          <w:numId w:val="1025"/>
        </w:numPr>
      </w:pPr>
      <w:r>
        <w:rPr>
          <w:b/>
          <w:bCs/>
        </w:rPr>
        <w:t xml:space="preserve">Method 2:</w:t>
      </w:r>
      <w:r>
        <w:t xml:space="preserve"> </w:t>
      </w:r>
      <w:r>
        <w:t xml:space="preserve">for bigger errors, you must tell HMRC about the error separately</w:t>
      </w:r>
      <w:r>
        <w:t xml:space="preserve"> </w:t>
      </w:r>
      <w:r>
        <w:t xml:space="preserve">(</w:t>
      </w:r>
      <w:hyperlink w:anchor="ref-hmrc_n70045">
        <w:r>
          <w:rPr>
            <w:rStyle w:val="Hyperlink"/>
          </w:rPr>
          <w:t xml:space="preserve">HMRC, 2025e, para. 4.4</w:t>
        </w:r>
      </w:hyperlink>
      <w:r>
        <w:t xml:space="preserve">)</w:t>
      </w:r>
      <w:r>
        <w:t xml:space="preserve">.</w:t>
      </w:r>
    </w:p>
    <w:p>
      <w:pPr>
        <w:pStyle w:val="Compact"/>
        <w:numPr>
          <w:ilvl w:val="0"/>
          <w:numId w:val="1024"/>
        </w:numPr>
      </w:pPr>
      <w:r>
        <w:rPr>
          <w:b/>
          <w:bCs/>
        </w:rPr>
        <w:t xml:space="preserve">The four-year cap:</w:t>
      </w:r>
      <w:r>
        <w:t xml:space="preserve"> </w:t>
      </w:r>
      <w:r>
        <w:t xml:space="preserve">the time limit is 4 years from the due date of the return for the period in which you were first entitled to claim</w:t>
      </w:r>
      <w:r>
        <w:t xml:space="preserve"> </w:t>
      </w:r>
      <w:r>
        <w:t xml:space="preserve">(</w:t>
      </w:r>
      <w:hyperlink w:anchor="ref-hmrc_n70045">
        <w:r>
          <w:rPr>
            <w:rStyle w:val="Hyperlink"/>
          </w:rPr>
          <w:t xml:space="preserve">HMRC, 2025e, para. 4.7</w:t>
        </w:r>
      </w:hyperlink>
      <w:r>
        <w:t xml:space="preserve">;</w:t>
      </w:r>
      <w:r>
        <w:t xml:space="preserve"> </w:t>
      </w:r>
      <w:hyperlink w:anchor="ref-hmrc_n700">
        <w:r>
          <w:rPr>
            <w:rStyle w:val="Hyperlink"/>
          </w:rPr>
          <w:t xml:space="preserve">2026o, para. 10.5</w:t>
        </w:r>
      </w:hyperlink>
      <w:r>
        <w:t xml:space="preserve">)</w:t>
      </w:r>
      <w:r>
        <w:t xml:space="preserve">. The legal rule is in regulation 29(1A) of the Value Added Tax Regulations 1995.</w:t>
      </w:r>
    </w:p>
    <w:p>
      <w:pPr>
        <w:pStyle w:val="FirstParagraph"/>
      </w:pPr>
      <w:r>
        <w:rPr>
          <w:b/>
          <w:bCs/>
        </w:rPr>
        <w:t xml:space="preserve">Warning for the Department:</w:t>
      </w:r>
      <w:r>
        <w:t xml:space="preserve"> </w:t>
      </w:r>
      <w:r>
        <w:t xml:space="preserve">COS refunds do</w:t>
      </w:r>
      <w:r>
        <w:t xml:space="preserve"> </w:t>
      </w:r>
      <w:r>
        <w:rPr>
          <w:b/>
          <w:bCs/>
        </w:rPr>
        <w:t xml:space="preserve">not</w:t>
      </w:r>
      <w:r>
        <w:t xml:space="preserve"> </w:t>
      </w:r>
      <w:r>
        <w:t xml:space="preserve">follow this four-year rule. They must be claimed within the financial year of the tax point, or by the June VAT return after the year end. The four-year cap applies to a late COS claim only in a few cases where HMRC or HM Treasury caused the delay</w:t>
      </w:r>
      <w:r>
        <w:t xml:space="preserve"> </w:t>
      </w:r>
      <w:r>
        <w:t xml:space="preserve">(</w:t>
      </w:r>
      <w:hyperlink w:anchor="ref-hmrc_vatgpb">
        <w:r>
          <w:rPr>
            <w:rStyle w:val="Hyperlink"/>
          </w:rPr>
          <w:t xml:space="preserve">HMRC, 2026n, sec. VATGPB9720</w:t>
        </w:r>
      </w:hyperlink>
      <w:r>
        <w:t xml:space="preserve">)</w:t>
      </w:r>
      <w:r>
        <w:t xml:space="preserve">. See Part 5, How and when to claim.</w:t>
      </w:r>
    </w:p>
    <w:bookmarkEnd w:id="33"/>
    <w:bookmarkStart w:id="34" w:name="Xb42a129481c0c680fb84f6d39011c6244f01940"/>
    <w:p>
      <w:pPr>
        <w:pStyle w:val="Heading4"/>
      </w:pPr>
      <w:r>
        <w:t xml:space="preserve">Input tax example: the office supplies company buys warehouse racking</w:t>
      </w:r>
    </w:p>
    <w:p>
      <w:pPr>
        <w:pStyle w:val="Compact"/>
        <w:numPr>
          <w:ilvl w:val="0"/>
          <w:numId w:val="1026"/>
        </w:numPr>
      </w:pPr>
      <w:r>
        <w:t xml:space="preserve">The office supplies company from output tax example 1 buys racking for its warehouse.</w:t>
      </w:r>
    </w:p>
    <w:p>
      <w:pPr>
        <w:pStyle w:val="Compact"/>
        <w:numPr>
          <w:ilvl w:val="0"/>
          <w:numId w:val="1026"/>
        </w:numPr>
      </w:pPr>
      <w:r>
        <w:t xml:space="preserve">Cost: £6,000 + VAT of £1,200 (£6,000 × 20%) = £7,200. The VAT invoice is dated 14 February. The company’s VAT quarter runs from January to March.</w:t>
      </w:r>
    </w:p>
    <w:p>
      <w:pPr>
        <w:pStyle w:val="Compact"/>
        <w:numPr>
          <w:ilvl w:val="0"/>
          <w:numId w:val="1026"/>
        </w:numPr>
      </w:pPr>
      <w:r>
        <w:t xml:space="preserve">The racking is used only to store chairs that the company sells at the standard rate. That is a taxable supply, so the VAT is recoverable (Value Added Tax Act 1994, s. 26(2)(a)).</w:t>
      </w:r>
    </w:p>
    <w:p>
      <w:pPr>
        <w:pStyle w:val="Compact"/>
        <w:numPr>
          <w:ilvl w:val="0"/>
          <w:numId w:val="1026"/>
        </w:numPr>
      </w:pPr>
      <w:r>
        <w:rPr>
          <w:b/>
          <w:bCs/>
        </w:rPr>
        <w:t xml:space="preserve">Recoverable:</w:t>
      </w:r>
      <w:r>
        <w:t xml:space="preserve"> </w:t>
      </w:r>
      <w:r>
        <w:t xml:space="preserve">£1,200, in box 4 of the January to March return. The £6,000 goes in box 7</w:t>
      </w:r>
      <w:r>
        <w:t xml:space="preserve"> </w:t>
      </w:r>
      <w:r>
        <w:t xml:space="preserve">(</w:t>
      </w:r>
      <w:hyperlink w:anchor="ref-hmrc_n70012">
        <w:r>
          <w:rPr>
            <w:rStyle w:val="Hyperlink"/>
          </w:rPr>
          <w:t xml:space="preserve">HMRC, 2025f, paras 3.5, 3.8</w:t>
        </w:r>
      </w:hyperlink>
      <w:r>
        <w:t xml:space="preserve">)</w:t>
      </w:r>
      <w:r>
        <w:t xml:space="preserve">.</w:t>
      </w:r>
    </w:p>
    <w:p>
      <w:pPr>
        <w:pStyle w:val="Compact"/>
        <w:numPr>
          <w:ilvl w:val="0"/>
          <w:numId w:val="1026"/>
        </w:numPr>
      </w:pPr>
      <w:r>
        <w:t xml:space="preserve">If the invoice did not arrive until 20 April, the company would claim on the April to June return instead</w:t>
      </w:r>
      <w:r>
        <w:t xml:space="preserve"> </w:t>
      </w:r>
      <w:r>
        <w:t xml:space="preserve">(</w:t>
      </w:r>
      <w:hyperlink w:anchor="ref-hmrc_n700">
        <w:r>
          <w:rPr>
            <w:rStyle w:val="Hyperlink"/>
          </w:rPr>
          <w:t xml:space="preserve">HMRC, 2026o, para. 10.5</w:t>
        </w:r>
      </w:hyperlink>
      <w:r>
        <w:t xml:space="preserve">)</w:t>
      </w:r>
      <w:r>
        <w:t xml:space="preserve">.</w:t>
      </w:r>
    </w:p>
    <w:p>
      <w:pPr>
        <w:pStyle w:val="Compact"/>
        <w:numPr>
          <w:ilvl w:val="0"/>
          <w:numId w:val="1026"/>
        </w:numPr>
      </w:pPr>
      <w:r>
        <w:t xml:space="preserve">If the company held the invoice in time but simply forgot to claim, that is an error. It has 4 years from the due date of the January to March return to correct it</w:t>
      </w:r>
      <w:r>
        <w:t xml:space="preserve"> </w:t>
      </w:r>
      <w:r>
        <w:t xml:space="preserve">(</w:t>
      </w:r>
      <w:hyperlink w:anchor="ref-hmrc_n70045">
        <w:r>
          <w:rPr>
            <w:rStyle w:val="Hyperlink"/>
          </w:rPr>
          <w:t xml:space="preserve">HMRC, 2025e, paras 4.7, 6.1</w:t>
        </w:r>
      </w:hyperlink>
      <w:r>
        <w:t xml:space="preserve">)</w:t>
      </w:r>
      <w:r>
        <w:t xml:space="preserve">.</w:t>
      </w:r>
    </w:p>
    <w:bookmarkEnd w:id="34"/>
    <w:bookmarkEnd w:id="35"/>
    <w:bookmarkStart w:id="38" w:name="paying-or-reclaiming-the-net-position"/>
    <w:p>
      <w:pPr>
        <w:pStyle w:val="Heading3"/>
      </w:pPr>
      <w:r>
        <w:t xml:space="preserve">Paying or reclaiming: the net position</w:t>
      </w:r>
    </w:p>
    <w:p>
      <w:pPr>
        <w:pStyle w:val="FirstParagraph"/>
      </w:pPr>
      <w:r>
        <w:t xml:space="preserve">At the end of each VAT period, a business takes its input tax (box 4) away from its total VAT due (box 3). The answer goes in box 5</w:t>
      </w:r>
      <w:r>
        <w:t xml:space="preserve"> </w:t>
      </w:r>
      <w:r>
        <w:t xml:space="preserve">(</w:t>
      </w:r>
      <w:hyperlink w:anchor="ref-hmrc_n70012">
        <w:r>
          <w:rPr>
            <w:rStyle w:val="Hyperlink"/>
          </w:rPr>
          <w:t xml:space="preserve">HMRC, 2025f, para. 3.6</w:t>
        </w:r>
      </w:hyperlink>
      <w:r>
        <w:t xml:space="preserve">)</w:t>
      </w:r>
      <w:r>
        <w:t xml:space="preserve">.</w:t>
      </w:r>
    </w:p>
    <w:p>
      <w:pPr>
        <w:pStyle w:val="Compact"/>
        <w:numPr>
          <w:ilvl w:val="0"/>
          <w:numId w:val="1027"/>
        </w:numPr>
      </w:pPr>
      <w:r>
        <w:t xml:space="preserve">If box 3 is bigger than box 4, the business pays the difference to HMRC.</w:t>
      </w:r>
    </w:p>
    <w:p>
      <w:pPr>
        <w:pStyle w:val="Compact"/>
        <w:numPr>
          <w:ilvl w:val="0"/>
          <w:numId w:val="1027"/>
        </w:numPr>
      </w:pPr>
      <w:r>
        <w:t xml:space="preserve">If box 4 is bigger than box 3, HMRC repays the difference, subject to any checks it needs to make</w:t>
      </w:r>
      <w:r>
        <w:t xml:space="preserve"> </w:t>
      </w:r>
      <w:r>
        <w:t xml:space="preserve">(</w:t>
      </w:r>
      <w:hyperlink w:anchor="ref-hmrc_n70012">
        <w:r>
          <w:rPr>
            <w:rStyle w:val="Hyperlink"/>
          </w:rPr>
          <w:t xml:space="preserve">HMRC, 2025f, para. 3.6</w:t>
        </w:r>
      </w:hyperlink>
      <w:r>
        <w:t xml:space="preserve">)</w:t>
      </w:r>
      <w:r>
        <w:t xml:space="preserve">.</w:t>
      </w:r>
    </w:p>
    <w:p>
      <w:pPr>
        <w:pStyle w:val="Compact"/>
        <w:numPr>
          <w:ilvl w:val="0"/>
          <w:numId w:val="1027"/>
        </w:numPr>
      </w:pPr>
      <w:r>
        <w:t xml:space="preserve">On a paper return, do not put a minus sign in box 5, even when HMRC owes the business money</w:t>
      </w:r>
      <w:r>
        <w:t xml:space="preserve"> </w:t>
      </w:r>
      <w:r>
        <w:t xml:space="preserve">(</w:t>
      </w:r>
      <w:hyperlink w:anchor="ref-hmrc_n70012">
        <w:r>
          <w:rPr>
            <w:rStyle w:val="Hyperlink"/>
          </w:rPr>
          <w:t xml:space="preserve">HMRC, 2025f, para. 3.1</w:t>
        </w:r>
      </w:hyperlink>
      <w:r>
        <w:t xml:space="preserve">)</w:t>
      </w:r>
      <w:r>
        <w:t xml:space="preserve">.</w:t>
      </w:r>
    </w:p>
    <w:bookmarkStart w:id="36" w:name="X6d2d60f6ac261870d4dd4d5627d194408df68f9"/>
    <w:p>
      <w:pPr>
        <w:pStyle w:val="Heading4"/>
      </w:pPr>
      <w:r>
        <w:t xml:space="preserve">Worked VAT return 1: a quarter where the business pays HMRC</w:t>
      </w:r>
    </w:p>
    <w:p>
      <w:pPr>
        <w:pStyle w:val="FirstParagraph"/>
      </w:pPr>
      <w:r>
        <w:t xml:space="preserve">The office supplies company’s quarter from April to June:</w:t>
      </w:r>
    </w:p>
    <w:p>
      <w:pPr>
        <w:pStyle w:val="Compact"/>
        <w:numPr>
          <w:ilvl w:val="0"/>
          <w:numId w:val="1028"/>
        </w:numPr>
      </w:pPr>
      <w:r>
        <w:t xml:space="preserve">UK sales of £150,000, all standard-rated. Output tax: £150,000 × 20% = £30,000.</w:t>
      </w:r>
    </w:p>
    <w:p>
      <w:pPr>
        <w:pStyle w:val="Compact"/>
        <w:numPr>
          <w:ilvl w:val="0"/>
          <w:numId w:val="1028"/>
        </w:numPr>
      </w:pPr>
      <w:r>
        <w:t xml:space="preserve">Exports of £20,000 to a customer in Norway. These are zero-rated if the export conditions are met, so the VAT is £0</w:t>
      </w:r>
      <w:r>
        <w:t xml:space="preserve"> </w:t>
      </w:r>
      <w:r>
        <w:t xml:space="preserve">(</w:t>
      </w:r>
      <w:hyperlink w:anchor="ref-hmrc_n703">
        <w:r>
          <w:rPr>
            <w:rStyle w:val="Hyperlink"/>
          </w:rPr>
          <w:t xml:space="preserve">HMRC, 2026p, para. 2.1</w:t>
        </w:r>
      </w:hyperlink>
      <w:r>
        <w:t xml:space="preserve">)</w:t>
      </w:r>
      <w:r>
        <w:t xml:space="preserve">. The value still goes in box 6</w:t>
      </w:r>
      <w:r>
        <w:t xml:space="preserve"> </w:t>
      </w:r>
      <w:r>
        <w:t xml:space="preserve">(</w:t>
      </w:r>
      <w:hyperlink w:anchor="ref-hmrc_n70012">
        <w:r>
          <w:rPr>
            <w:rStyle w:val="Hyperlink"/>
          </w:rPr>
          <w:t xml:space="preserve">HMRC, 2025f, para. 3.7</w:t>
        </w:r>
      </w:hyperlink>
      <w:r>
        <w:t xml:space="preserve">)</w:t>
      </w:r>
      <w:r>
        <w:t xml:space="preserve">. See Part 4.</w:t>
      </w:r>
    </w:p>
    <w:p>
      <w:pPr>
        <w:pStyle w:val="Compact"/>
        <w:numPr>
          <w:ilvl w:val="0"/>
          <w:numId w:val="1028"/>
        </w:numPr>
      </w:pPr>
      <w:r>
        <w:t xml:space="preserve">Stock bought for resale: £90,000 + VAT of £18,000.</w:t>
      </w:r>
    </w:p>
    <w:p>
      <w:pPr>
        <w:pStyle w:val="Compact"/>
        <w:numPr>
          <w:ilvl w:val="0"/>
          <w:numId w:val="1028"/>
        </w:numPr>
      </w:pPr>
      <w:r>
        <w:t xml:space="preserve">Overheads (IT support, van servicing and office cleaning): £10,000 + VAT of £2,000.</w:t>
      </w:r>
    </w:p>
    <w:p>
      <w:pPr>
        <w:pStyle w:val="Compact"/>
        <w:numPr>
          <w:ilvl w:val="0"/>
          <w:numId w:val="1028"/>
        </w:numPr>
      </w:pPr>
      <w:r>
        <w:t xml:space="preserve">All purchases are used for the company’s taxable sales, so all the VAT is input tax.</w:t>
      </w:r>
    </w:p>
    <w:p>
      <w:pPr>
        <w:pStyle w:val="FirstParagraph"/>
      </w:pPr>
      <w:r>
        <w:t xml:space="preserve">The table below shows how each box is worked out.</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687"/>
        <w:gridCol w:w="3651"/>
        <w:gridCol w:w="2687"/>
      </w:tblGrid>
      <w:tr>
        <w:trPr>
          <w:tblHeader w:val="true"/>
          <w:cantSplit w:val="true"/>
        </w:trPr>
        <w:tc>
          <w:tcPr>
            <w:tcW w:w="2687" w:type="dxa"/>
            <w:shd w:val="clear" w:color="auto" w:fill="1B3A5C"/>
          </w:tcPr>
          <w:p>
            <w:pPr>
              <w:pStyle w:val="Compact"/>
              <w:spacing w:after="40" w:before="40"/>
              <w:jc w:val="left"/>
            </w:pPr>
            <w:r>
              <w:rPr>
                <w:rFonts w:ascii="Tahoma" w:hAnsi="Tahoma"/>
                <w:b/>
                <w:color w:val="FFFFFF"/>
                <w:sz w:val="22"/>
              </w:rPr>
              <w:t xml:space="preserve">Box</w:t>
            </w:r>
          </w:p>
        </w:tc>
        <w:tc>
          <w:tcPr>
            <w:tcW w:w="3651" w:type="dxa"/>
            <w:shd w:val="clear" w:color="auto" w:fill="1B3A5C"/>
          </w:tcPr>
          <w:p>
            <w:pPr>
              <w:pStyle w:val="Compact"/>
              <w:spacing w:after="40" w:before="40"/>
              <w:jc w:val="left"/>
            </w:pPr>
            <w:r>
              <w:rPr>
                <w:rFonts w:ascii="Tahoma" w:hAnsi="Tahoma"/>
                <w:b/>
                <w:color w:val="FFFFFF"/>
                <w:sz w:val="22"/>
              </w:rPr>
              <w:t xml:space="preserve">Working</w:t>
            </w:r>
          </w:p>
        </w:tc>
        <w:tc>
          <w:tcPr>
            <w:tcW w:w="2687" w:type="dxa"/>
            <w:shd w:val="clear" w:color="auto" w:fill="1B3A5C"/>
          </w:tcPr>
          <w:p>
            <w:pPr>
              <w:pStyle w:val="Compact"/>
              <w:spacing w:after="40" w:before="40"/>
              <w:jc w:val="left"/>
            </w:pPr>
            <w:r>
              <w:rPr>
                <w:rFonts w:ascii="Tahoma" w:hAnsi="Tahoma"/>
                <w:b/>
                <w:color w:val="FFFFFF"/>
                <w:sz w:val="22"/>
              </w:rPr>
              <w:t xml:space="preserve">Amount</w:t>
            </w:r>
          </w:p>
        </w:tc>
      </w:tr>
      <w:tr>
        <w:trPr>
          <w:cantSplit w:val="true"/>
        </w:trPr>
        <w:tc>
          <w:tcPr>
            <w:tcW w:w="2687" w:type="dxa"/>
            <w:shd w:val="clear" w:color="auto" w:fill="EAF3FA"/>
          </w:tcPr>
          <w:p>
            <w:pPr>
              <w:pStyle w:val="Compact"/>
              <w:spacing w:after="40" w:before="40"/>
              <w:jc w:val="left"/>
            </w:pPr>
            <w:r>
              <w:rPr>
                <w:rFonts w:ascii="Tahoma" w:hAnsi="Tahoma"/>
                <w:sz w:val="22"/>
              </w:rPr>
              <w:t xml:space="preserve">Box 1</w:t>
            </w:r>
          </w:p>
        </w:tc>
        <w:tc>
          <w:tcPr>
            <w:tcW w:w="3651" w:type="dxa"/>
            <w:shd w:val="clear" w:color="auto" w:fill="EAF3FA"/>
          </w:tcPr>
          <w:p>
            <w:pPr>
              <w:pStyle w:val="Compact"/>
              <w:spacing w:after="40" w:before="40"/>
              <w:jc w:val="left"/>
            </w:pPr>
            <w:r>
              <w:rPr>
                <w:rFonts w:ascii="Tahoma" w:hAnsi="Tahoma"/>
                <w:sz w:val="22"/>
              </w:rPr>
              <w:t xml:space="preserve">£150,000 × 20%</w:t>
            </w:r>
          </w:p>
        </w:tc>
        <w:tc>
          <w:tcPr>
            <w:tcW w:w="2687" w:type="dxa"/>
            <w:shd w:val="clear" w:color="auto" w:fill="EAF3FA"/>
          </w:tcPr>
          <w:p>
            <w:pPr>
              <w:pStyle w:val="Compact"/>
              <w:spacing w:after="40" w:before="40"/>
              <w:jc w:val="left"/>
            </w:pPr>
            <w:r>
              <w:rPr>
                <w:rFonts w:ascii="Tahoma" w:hAnsi="Tahoma"/>
                <w:sz w:val="22"/>
              </w:rPr>
              <w:t xml:space="preserve">£30,000</w:t>
            </w:r>
          </w:p>
        </w:tc>
      </w:tr>
      <w:tr>
        <w:trPr>
          <w:cantSplit w:val="true"/>
        </w:trPr>
        <w:tc>
          <w:tcPr>
            <w:tcW w:w="2687" w:type="dxa"/>
            <w:shd w:val="clear" w:color="auto" w:fill="FFFFFF"/>
          </w:tcPr>
          <w:p>
            <w:pPr>
              <w:pStyle w:val="Compact"/>
              <w:spacing w:after="40" w:before="40"/>
              <w:jc w:val="left"/>
            </w:pPr>
            <w:r>
              <w:rPr>
                <w:rFonts w:ascii="Tahoma" w:hAnsi="Tahoma"/>
                <w:sz w:val="22"/>
              </w:rPr>
              <w:t xml:space="preserve">Box 2</w:t>
            </w:r>
          </w:p>
        </w:tc>
        <w:tc>
          <w:tcPr>
            <w:tcW w:w="3651" w:type="dxa"/>
            <w:shd w:val="clear" w:color="auto" w:fill="FFFFFF"/>
          </w:tcPr>
          <w:p>
            <w:pPr>
              <w:pStyle w:val="Compact"/>
              <w:spacing w:after="40" w:before="40"/>
              <w:jc w:val="left"/>
            </w:pPr>
            <w:r>
              <w:rPr>
                <w:rFonts w:ascii="Tahoma" w:hAnsi="Tahoma"/>
                <w:sz w:val="22"/>
              </w:rPr>
              <w:t xml:space="preserve">No Northern Ireland acquisitions</w:t>
            </w:r>
          </w:p>
        </w:tc>
        <w:tc>
          <w:tcPr>
            <w:tcW w:w="2687" w:type="dxa"/>
            <w:shd w:val="clear" w:color="auto" w:fill="FFFFFF"/>
          </w:tcPr>
          <w:p>
            <w:pPr>
              <w:pStyle w:val="Compact"/>
              <w:spacing w:after="40" w:before="40"/>
              <w:jc w:val="left"/>
            </w:pPr>
            <w:r>
              <w:rPr>
                <w:rFonts w:ascii="Tahoma" w:hAnsi="Tahoma"/>
                <w:sz w:val="22"/>
              </w:rPr>
              <w:t xml:space="preserve">£0</w:t>
            </w:r>
          </w:p>
        </w:tc>
      </w:tr>
      <w:tr>
        <w:trPr>
          <w:cantSplit w:val="true"/>
        </w:trPr>
        <w:tc>
          <w:tcPr>
            <w:tcW w:w="2687" w:type="dxa"/>
            <w:shd w:val="clear" w:color="auto" w:fill="FBEAF1"/>
          </w:tcPr>
          <w:p>
            <w:pPr>
              <w:pStyle w:val="Compact"/>
              <w:spacing w:after="40" w:before="40"/>
              <w:jc w:val="left"/>
            </w:pPr>
            <w:r>
              <w:rPr>
                <w:rFonts w:ascii="Tahoma" w:hAnsi="Tahoma"/>
                <w:sz w:val="22"/>
              </w:rPr>
              <w:t xml:space="preserve">Box 3</w:t>
            </w:r>
          </w:p>
        </w:tc>
        <w:tc>
          <w:tcPr>
            <w:tcW w:w="3651" w:type="dxa"/>
            <w:shd w:val="clear" w:color="auto" w:fill="FBEAF1"/>
          </w:tcPr>
          <w:p>
            <w:pPr>
              <w:pStyle w:val="Compact"/>
              <w:spacing w:after="40" w:before="40"/>
              <w:jc w:val="left"/>
            </w:pPr>
            <w:r>
              <w:rPr>
                <w:rFonts w:ascii="Tahoma" w:hAnsi="Tahoma"/>
                <w:sz w:val="22"/>
              </w:rPr>
              <w:t xml:space="preserve">£30,000 + £0</w:t>
            </w:r>
          </w:p>
        </w:tc>
        <w:tc>
          <w:tcPr>
            <w:tcW w:w="2687" w:type="dxa"/>
            <w:shd w:val="clear" w:color="auto" w:fill="FBEAF1"/>
          </w:tcPr>
          <w:p>
            <w:pPr>
              <w:pStyle w:val="Compact"/>
              <w:spacing w:after="40" w:before="40"/>
              <w:jc w:val="left"/>
            </w:pPr>
            <w:r>
              <w:rPr>
                <w:rFonts w:ascii="Tahoma" w:hAnsi="Tahoma"/>
                <w:sz w:val="22"/>
              </w:rPr>
              <w:t xml:space="preserve">£30,000</w:t>
            </w:r>
          </w:p>
        </w:tc>
      </w:tr>
      <w:tr>
        <w:trPr>
          <w:cantSplit w:val="true"/>
        </w:trPr>
        <w:tc>
          <w:tcPr>
            <w:tcW w:w="2687" w:type="dxa"/>
            <w:shd w:val="clear" w:color="auto" w:fill="EAF3FA"/>
          </w:tcPr>
          <w:p>
            <w:pPr>
              <w:pStyle w:val="Compact"/>
              <w:spacing w:after="40" w:before="40"/>
              <w:jc w:val="left"/>
            </w:pPr>
            <w:r>
              <w:rPr>
                <w:rFonts w:ascii="Tahoma" w:hAnsi="Tahoma"/>
                <w:sz w:val="22"/>
              </w:rPr>
              <w:t xml:space="preserve">Box 4</w:t>
            </w:r>
          </w:p>
        </w:tc>
        <w:tc>
          <w:tcPr>
            <w:tcW w:w="3651" w:type="dxa"/>
            <w:shd w:val="clear" w:color="auto" w:fill="EAF3FA"/>
          </w:tcPr>
          <w:p>
            <w:pPr>
              <w:pStyle w:val="Compact"/>
              <w:spacing w:after="40" w:before="40"/>
              <w:jc w:val="left"/>
            </w:pPr>
            <w:r>
              <w:rPr>
                <w:rFonts w:ascii="Tahoma" w:hAnsi="Tahoma"/>
                <w:sz w:val="22"/>
              </w:rPr>
              <w:t xml:space="preserve">£18,000 + £2,000</w:t>
            </w:r>
          </w:p>
        </w:tc>
        <w:tc>
          <w:tcPr>
            <w:tcW w:w="2687" w:type="dxa"/>
            <w:shd w:val="clear" w:color="auto" w:fill="EAF3FA"/>
          </w:tcPr>
          <w:p>
            <w:pPr>
              <w:pStyle w:val="Compact"/>
              <w:spacing w:after="40" w:before="40"/>
              <w:jc w:val="left"/>
            </w:pPr>
            <w:r>
              <w:rPr>
                <w:rFonts w:ascii="Tahoma" w:hAnsi="Tahoma"/>
                <w:sz w:val="22"/>
              </w:rPr>
              <w:t xml:space="preserve">£20,000</w:t>
            </w:r>
          </w:p>
        </w:tc>
      </w:tr>
      <w:tr>
        <w:trPr>
          <w:cantSplit w:val="true"/>
        </w:trPr>
        <w:tc>
          <w:tcPr>
            <w:tcW w:w="2687" w:type="dxa"/>
            <w:shd w:val="clear" w:color="auto" w:fill="FFFFFF"/>
          </w:tcPr>
          <w:p>
            <w:pPr>
              <w:pStyle w:val="Compact"/>
              <w:spacing w:after="40" w:before="40"/>
              <w:jc w:val="left"/>
            </w:pPr>
            <w:r>
              <w:rPr>
                <w:rFonts w:ascii="Tahoma" w:hAnsi="Tahoma"/>
                <w:sz w:val="22"/>
              </w:rPr>
              <w:t xml:space="preserve">Box 5</w:t>
            </w:r>
          </w:p>
        </w:tc>
        <w:tc>
          <w:tcPr>
            <w:tcW w:w="3651" w:type="dxa"/>
            <w:shd w:val="clear" w:color="auto" w:fill="FFFFFF"/>
          </w:tcPr>
          <w:p>
            <w:pPr>
              <w:pStyle w:val="Compact"/>
              <w:spacing w:after="40" w:before="40"/>
              <w:jc w:val="left"/>
            </w:pPr>
            <w:r>
              <w:rPr>
                <w:rFonts w:ascii="Tahoma" w:hAnsi="Tahoma"/>
                <w:sz w:val="22"/>
              </w:rPr>
              <w:t xml:space="preserve">£30,000 − £20,000</w:t>
            </w:r>
          </w:p>
        </w:tc>
        <w:tc>
          <w:tcPr>
            <w:tcW w:w="2687" w:type="dxa"/>
            <w:shd w:val="clear" w:color="auto" w:fill="FFFFFF"/>
          </w:tcPr>
          <w:p>
            <w:pPr>
              <w:pStyle w:val="Compact"/>
              <w:spacing w:after="40" w:before="40"/>
              <w:jc w:val="left"/>
            </w:pPr>
            <w:r>
              <w:rPr>
                <w:rFonts w:ascii="Tahoma" w:hAnsi="Tahoma"/>
                <w:sz w:val="22"/>
              </w:rPr>
              <w:t xml:space="preserve">£10,000 to pay</w:t>
            </w:r>
          </w:p>
        </w:tc>
      </w:tr>
      <w:tr>
        <w:trPr>
          <w:cantSplit w:val="true"/>
        </w:trPr>
        <w:tc>
          <w:tcPr>
            <w:tcW w:w="2687" w:type="dxa"/>
            <w:shd w:val="clear" w:color="auto" w:fill="FBEAF1"/>
          </w:tcPr>
          <w:p>
            <w:pPr>
              <w:pStyle w:val="Compact"/>
              <w:spacing w:after="40" w:before="40"/>
              <w:jc w:val="left"/>
            </w:pPr>
            <w:r>
              <w:rPr>
                <w:rFonts w:ascii="Tahoma" w:hAnsi="Tahoma"/>
                <w:sz w:val="22"/>
              </w:rPr>
              <w:t xml:space="preserve">Box 6</w:t>
            </w:r>
          </w:p>
        </w:tc>
        <w:tc>
          <w:tcPr>
            <w:tcW w:w="3651" w:type="dxa"/>
            <w:shd w:val="clear" w:color="auto" w:fill="FBEAF1"/>
          </w:tcPr>
          <w:p>
            <w:pPr>
              <w:pStyle w:val="Compact"/>
              <w:spacing w:after="40" w:before="40"/>
              <w:jc w:val="left"/>
            </w:pPr>
            <w:r>
              <w:rPr>
                <w:rFonts w:ascii="Tahoma" w:hAnsi="Tahoma"/>
                <w:sz w:val="22"/>
              </w:rPr>
              <w:t xml:space="preserve">£150,000 + £20,000</w:t>
            </w:r>
          </w:p>
        </w:tc>
        <w:tc>
          <w:tcPr>
            <w:tcW w:w="2687" w:type="dxa"/>
            <w:shd w:val="clear" w:color="auto" w:fill="FBEAF1"/>
          </w:tcPr>
          <w:p>
            <w:pPr>
              <w:pStyle w:val="Compact"/>
              <w:spacing w:after="40" w:before="40"/>
              <w:jc w:val="left"/>
            </w:pPr>
            <w:r>
              <w:rPr>
                <w:rFonts w:ascii="Tahoma" w:hAnsi="Tahoma"/>
                <w:sz w:val="22"/>
              </w:rPr>
              <w:t xml:space="preserve">£170,000</w:t>
            </w:r>
          </w:p>
        </w:tc>
      </w:tr>
      <w:tr>
        <w:trPr>
          <w:cantSplit w:val="true"/>
        </w:trPr>
        <w:tc>
          <w:tcPr>
            <w:tcW w:w="2687" w:type="dxa"/>
            <w:shd w:val="clear" w:color="auto" w:fill="EAF3FA"/>
          </w:tcPr>
          <w:p>
            <w:pPr>
              <w:pStyle w:val="Compact"/>
              <w:spacing w:after="40" w:before="40"/>
              <w:jc w:val="left"/>
            </w:pPr>
            <w:r>
              <w:rPr>
                <w:rFonts w:ascii="Tahoma" w:hAnsi="Tahoma"/>
                <w:sz w:val="22"/>
              </w:rPr>
              <w:t xml:space="preserve">Box 7</w:t>
            </w:r>
          </w:p>
        </w:tc>
        <w:tc>
          <w:tcPr>
            <w:tcW w:w="3651" w:type="dxa"/>
            <w:shd w:val="clear" w:color="auto" w:fill="EAF3FA"/>
          </w:tcPr>
          <w:p>
            <w:pPr>
              <w:pStyle w:val="Compact"/>
              <w:spacing w:after="40" w:before="40"/>
              <w:jc w:val="left"/>
            </w:pPr>
            <w:r>
              <w:rPr>
                <w:rFonts w:ascii="Tahoma" w:hAnsi="Tahoma"/>
                <w:sz w:val="22"/>
              </w:rPr>
              <w:t xml:space="preserve">£90,000 + £10,000</w:t>
            </w:r>
          </w:p>
        </w:tc>
        <w:tc>
          <w:tcPr>
            <w:tcW w:w="2687" w:type="dxa"/>
            <w:shd w:val="clear" w:color="auto" w:fill="EAF3FA"/>
          </w:tcPr>
          <w:p>
            <w:pPr>
              <w:pStyle w:val="Compact"/>
              <w:spacing w:after="40" w:before="40"/>
              <w:jc w:val="left"/>
            </w:pPr>
            <w:r>
              <w:rPr>
                <w:rFonts w:ascii="Tahoma" w:hAnsi="Tahoma"/>
                <w:sz w:val="22"/>
              </w:rPr>
              <w:t xml:space="preserve">£100,000</w:t>
            </w:r>
          </w:p>
        </w:tc>
      </w:tr>
    </w:tbl>
    <w:bookmarkEnd w:id="36"/>
    <w:bookmarkStart w:id="37" w:name="Xadc6dedb0c1076ee0c241b51fcd005c35cda953"/>
    <w:p>
      <w:pPr>
        <w:pStyle w:val="Heading4"/>
      </w:pPr>
      <w:r>
        <w:t xml:space="preserve">Worked VAT return 2: a quarter where HMRC repays</w:t>
      </w:r>
    </w:p>
    <w:p>
      <w:pPr>
        <w:pStyle w:val="FirstParagraph"/>
      </w:pPr>
      <w:r>
        <w:t xml:space="preserve">The company’s quarter from July to September is mostly exports:</w:t>
      </w:r>
    </w:p>
    <w:p>
      <w:pPr>
        <w:pStyle w:val="Compact"/>
        <w:numPr>
          <w:ilvl w:val="0"/>
          <w:numId w:val="1029"/>
        </w:numPr>
      </w:pPr>
      <w:r>
        <w:t xml:space="preserve">UK sales of £30,000. Output tax: £30,000 × 20% = £6,000.</w:t>
      </w:r>
    </w:p>
    <w:p>
      <w:pPr>
        <w:pStyle w:val="Compact"/>
        <w:numPr>
          <w:ilvl w:val="0"/>
          <w:numId w:val="1029"/>
        </w:numPr>
      </w:pPr>
      <w:r>
        <w:t xml:space="preserve">Exports of £120,000, all zero-rated (the export conditions are met), so no VAT.</w:t>
      </w:r>
    </w:p>
    <w:p>
      <w:pPr>
        <w:pStyle w:val="Compact"/>
        <w:numPr>
          <w:ilvl w:val="0"/>
          <w:numId w:val="1029"/>
        </w:numPr>
      </w:pPr>
      <w:r>
        <w:t xml:space="preserve">Purchases of £100,000 + VAT of £20,000. All of them are used for taxable sales.</w:t>
      </w:r>
    </w:p>
    <w:p>
      <w:pPr>
        <w:pStyle w:val="FirstParagraph"/>
      </w:pPr>
      <w:r>
        <w:t xml:space="preserve">The table below shows the result.</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606"/>
        <w:gridCol w:w="3812"/>
        <w:gridCol w:w="2606"/>
      </w:tblGrid>
      <w:tr>
        <w:trPr>
          <w:tblHeader w:val="true"/>
          <w:cantSplit w:val="true"/>
        </w:trPr>
        <w:tc>
          <w:tcPr>
            <w:tcW w:w="2606" w:type="dxa"/>
            <w:shd w:val="clear" w:color="auto" w:fill="1B3A5C"/>
          </w:tcPr>
          <w:p>
            <w:pPr>
              <w:pStyle w:val="Compact"/>
              <w:spacing w:after="40" w:before="40"/>
              <w:jc w:val="left"/>
            </w:pPr>
            <w:r>
              <w:rPr>
                <w:rFonts w:ascii="Tahoma" w:hAnsi="Tahoma"/>
                <w:b/>
                <w:color w:val="FFFFFF"/>
                <w:sz w:val="22"/>
              </w:rPr>
              <w:t xml:space="preserve">Box</w:t>
            </w:r>
          </w:p>
        </w:tc>
        <w:tc>
          <w:tcPr>
            <w:tcW w:w="3812" w:type="dxa"/>
            <w:shd w:val="clear" w:color="auto" w:fill="1B3A5C"/>
          </w:tcPr>
          <w:p>
            <w:pPr>
              <w:pStyle w:val="Compact"/>
              <w:spacing w:after="40" w:before="40"/>
              <w:jc w:val="left"/>
            </w:pPr>
            <w:r>
              <w:rPr>
                <w:rFonts w:ascii="Tahoma" w:hAnsi="Tahoma"/>
                <w:b/>
                <w:color w:val="FFFFFF"/>
                <w:sz w:val="22"/>
              </w:rPr>
              <w:t xml:space="preserve">Working</w:t>
            </w:r>
          </w:p>
        </w:tc>
        <w:tc>
          <w:tcPr>
            <w:tcW w:w="2606" w:type="dxa"/>
            <w:shd w:val="clear" w:color="auto" w:fill="1B3A5C"/>
          </w:tcPr>
          <w:p>
            <w:pPr>
              <w:pStyle w:val="Compact"/>
              <w:spacing w:after="40" w:before="40"/>
              <w:jc w:val="left"/>
            </w:pPr>
            <w:r>
              <w:rPr>
                <w:rFonts w:ascii="Tahoma" w:hAnsi="Tahoma"/>
                <w:b/>
                <w:color w:val="FFFFFF"/>
                <w:sz w:val="22"/>
              </w:rPr>
              <w:t xml:space="preserve">Amount</w:t>
            </w:r>
          </w:p>
        </w:tc>
      </w:tr>
      <w:tr>
        <w:trPr>
          <w:cantSplit w:val="true"/>
        </w:trPr>
        <w:tc>
          <w:tcPr>
            <w:tcW w:w="2606" w:type="dxa"/>
            <w:shd w:val="clear" w:color="auto" w:fill="EAF3FA"/>
          </w:tcPr>
          <w:p>
            <w:pPr>
              <w:pStyle w:val="Compact"/>
              <w:spacing w:after="40" w:before="40"/>
              <w:jc w:val="left"/>
            </w:pPr>
            <w:r>
              <w:rPr>
                <w:rFonts w:ascii="Tahoma" w:hAnsi="Tahoma"/>
                <w:sz w:val="22"/>
              </w:rPr>
              <w:t xml:space="preserve">Box 1</w:t>
            </w:r>
          </w:p>
        </w:tc>
        <w:tc>
          <w:tcPr>
            <w:tcW w:w="3812" w:type="dxa"/>
            <w:shd w:val="clear" w:color="auto" w:fill="EAF3FA"/>
          </w:tcPr>
          <w:p>
            <w:pPr>
              <w:pStyle w:val="Compact"/>
              <w:spacing w:after="40" w:before="40"/>
              <w:jc w:val="left"/>
            </w:pPr>
            <w:r>
              <w:rPr>
                <w:rFonts w:ascii="Tahoma" w:hAnsi="Tahoma"/>
                <w:sz w:val="22"/>
              </w:rPr>
              <w:t xml:space="preserve">£30,000 × 20%</w:t>
            </w:r>
          </w:p>
        </w:tc>
        <w:tc>
          <w:tcPr>
            <w:tcW w:w="2606" w:type="dxa"/>
            <w:shd w:val="clear" w:color="auto" w:fill="EAF3FA"/>
          </w:tcPr>
          <w:p>
            <w:pPr>
              <w:pStyle w:val="Compact"/>
              <w:spacing w:after="40" w:before="40"/>
              <w:jc w:val="left"/>
            </w:pPr>
            <w:r>
              <w:rPr>
                <w:rFonts w:ascii="Tahoma" w:hAnsi="Tahoma"/>
                <w:sz w:val="22"/>
              </w:rPr>
              <w:t xml:space="preserve">£6,000</w:t>
            </w:r>
          </w:p>
        </w:tc>
      </w:tr>
      <w:tr>
        <w:trPr>
          <w:cantSplit w:val="true"/>
        </w:trPr>
        <w:tc>
          <w:tcPr>
            <w:tcW w:w="2606" w:type="dxa"/>
            <w:shd w:val="clear" w:color="auto" w:fill="FFFFFF"/>
          </w:tcPr>
          <w:p>
            <w:pPr>
              <w:pStyle w:val="Compact"/>
              <w:spacing w:after="40" w:before="40"/>
              <w:jc w:val="left"/>
            </w:pPr>
            <w:r>
              <w:rPr>
                <w:rFonts w:ascii="Tahoma" w:hAnsi="Tahoma"/>
                <w:sz w:val="22"/>
              </w:rPr>
              <w:t xml:space="preserve">Box 2</w:t>
            </w:r>
          </w:p>
        </w:tc>
        <w:tc>
          <w:tcPr>
            <w:tcW w:w="3812" w:type="dxa"/>
            <w:shd w:val="clear" w:color="auto" w:fill="FFFFFF"/>
          </w:tcPr>
          <w:p>
            <w:pPr>
              <w:pStyle w:val="Compact"/>
              <w:spacing w:after="40" w:before="40"/>
              <w:jc w:val="left"/>
            </w:pPr>
            <w:r>
              <w:rPr>
                <w:rFonts w:ascii="Tahoma" w:hAnsi="Tahoma"/>
                <w:sz w:val="22"/>
              </w:rPr>
              <w:t xml:space="preserve">No Northern Ireland acquisitions</w:t>
            </w:r>
          </w:p>
        </w:tc>
        <w:tc>
          <w:tcPr>
            <w:tcW w:w="2606" w:type="dxa"/>
            <w:shd w:val="clear" w:color="auto" w:fill="FFFFFF"/>
          </w:tcPr>
          <w:p>
            <w:pPr>
              <w:pStyle w:val="Compact"/>
              <w:spacing w:after="40" w:before="40"/>
              <w:jc w:val="left"/>
            </w:pPr>
            <w:r>
              <w:rPr>
                <w:rFonts w:ascii="Tahoma" w:hAnsi="Tahoma"/>
                <w:sz w:val="22"/>
              </w:rPr>
              <w:t xml:space="preserve">£0</w:t>
            </w:r>
          </w:p>
        </w:tc>
      </w:tr>
      <w:tr>
        <w:trPr>
          <w:cantSplit w:val="true"/>
        </w:trPr>
        <w:tc>
          <w:tcPr>
            <w:tcW w:w="2606" w:type="dxa"/>
            <w:shd w:val="clear" w:color="auto" w:fill="FBEAF1"/>
          </w:tcPr>
          <w:p>
            <w:pPr>
              <w:pStyle w:val="Compact"/>
              <w:spacing w:after="40" w:before="40"/>
              <w:jc w:val="left"/>
            </w:pPr>
            <w:r>
              <w:rPr>
                <w:rFonts w:ascii="Tahoma" w:hAnsi="Tahoma"/>
                <w:sz w:val="22"/>
              </w:rPr>
              <w:t xml:space="preserve">Box 3</w:t>
            </w:r>
          </w:p>
        </w:tc>
        <w:tc>
          <w:tcPr>
            <w:tcW w:w="3812" w:type="dxa"/>
            <w:shd w:val="clear" w:color="auto" w:fill="FBEAF1"/>
          </w:tcPr>
          <w:p>
            <w:pPr>
              <w:pStyle w:val="Compact"/>
              <w:spacing w:after="40" w:before="40"/>
              <w:jc w:val="left"/>
            </w:pPr>
            <w:r>
              <w:rPr>
                <w:rFonts w:ascii="Tahoma" w:hAnsi="Tahoma"/>
                <w:sz w:val="22"/>
              </w:rPr>
              <w:t xml:space="preserve">£6,000 + £0</w:t>
            </w:r>
          </w:p>
        </w:tc>
        <w:tc>
          <w:tcPr>
            <w:tcW w:w="2606" w:type="dxa"/>
            <w:shd w:val="clear" w:color="auto" w:fill="FBEAF1"/>
          </w:tcPr>
          <w:p>
            <w:pPr>
              <w:pStyle w:val="Compact"/>
              <w:spacing w:after="40" w:before="40"/>
              <w:jc w:val="left"/>
            </w:pPr>
            <w:r>
              <w:rPr>
                <w:rFonts w:ascii="Tahoma" w:hAnsi="Tahoma"/>
                <w:sz w:val="22"/>
              </w:rPr>
              <w:t xml:space="preserve">£6,000</w:t>
            </w:r>
          </w:p>
        </w:tc>
      </w:tr>
      <w:tr>
        <w:trPr>
          <w:cantSplit w:val="true"/>
        </w:trPr>
        <w:tc>
          <w:tcPr>
            <w:tcW w:w="2606" w:type="dxa"/>
            <w:shd w:val="clear" w:color="auto" w:fill="EAF3FA"/>
          </w:tcPr>
          <w:p>
            <w:pPr>
              <w:pStyle w:val="Compact"/>
              <w:spacing w:after="40" w:before="40"/>
              <w:jc w:val="left"/>
            </w:pPr>
            <w:r>
              <w:rPr>
                <w:rFonts w:ascii="Tahoma" w:hAnsi="Tahoma"/>
                <w:sz w:val="22"/>
              </w:rPr>
              <w:t xml:space="preserve">Box 4</w:t>
            </w:r>
          </w:p>
        </w:tc>
        <w:tc>
          <w:tcPr>
            <w:tcW w:w="3812" w:type="dxa"/>
            <w:shd w:val="clear" w:color="auto" w:fill="EAF3FA"/>
          </w:tcPr>
          <w:p>
            <w:pPr>
              <w:pStyle w:val="Compact"/>
              <w:spacing w:after="40" w:before="40"/>
              <w:jc w:val="left"/>
            </w:pPr>
            <w:r>
              <w:rPr>
                <w:rFonts w:ascii="Tahoma" w:hAnsi="Tahoma"/>
                <w:sz w:val="22"/>
              </w:rPr>
              <w:t xml:space="preserve">VAT on purchases</w:t>
            </w:r>
          </w:p>
        </w:tc>
        <w:tc>
          <w:tcPr>
            <w:tcW w:w="2606" w:type="dxa"/>
            <w:shd w:val="clear" w:color="auto" w:fill="EAF3FA"/>
          </w:tcPr>
          <w:p>
            <w:pPr>
              <w:pStyle w:val="Compact"/>
              <w:spacing w:after="40" w:before="40"/>
              <w:jc w:val="left"/>
            </w:pPr>
            <w:r>
              <w:rPr>
                <w:rFonts w:ascii="Tahoma" w:hAnsi="Tahoma"/>
                <w:sz w:val="22"/>
              </w:rPr>
              <w:t xml:space="preserve">£20,000</w:t>
            </w:r>
          </w:p>
        </w:tc>
      </w:tr>
      <w:tr>
        <w:trPr>
          <w:cantSplit w:val="true"/>
        </w:trPr>
        <w:tc>
          <w:tcPr>
            <w:tcW w:w="2606" w:type="dxa"/>
            <w:shd w:val="clear" w:color="auto" w:fill="FFFFFF"/>
          </w:tcPr>
          <w:p>
            <w:pPr>
              <w:pStyle w:val="Compact"/>
              <w:spacing w:after="40" w:before="40"/>
              <w:jc w:val="left"/>
            </w:pPr>
            <w:r>
              <w:rPr>
                <w:rFonts w:ascii="Tahoma" w:hAnsi="Tahoma"/>
                <w:sz w:val="22"/>
              </w:rPr>
              <w:t xml:space="preserve">Box 5</w:t>
            </w:r>
          </w:p>
        </w:tc>
        <w:tc>
          <w:tcPr>
            <w:tcW w:w="3812" w:type="dxa"/>
            <w:shd w:val="clear" w:color="auto" w:fill="FFFFFF"/>
          </w:tcPr>
          <w:p>
            <w:pPr>
              <w:pStyle w:val="Compact"/>
              <w:spacing w:after="40" w:before="40"/>
              <w:jc w:val="left"/>
            </w:pPr>
            <w:r>
              <w:rPr>
                <w:rFonts w:ascii="Tahoma" w:hAnsi="Tahoma"/>
                <w:sz w:val="22"/>
              </w:rPr>
              <w:t xml:space="preserve">£20,000 − £6,000 (box 4 is bigger)</w:t>
            </w:r>
          </w:p>
        </w:tc>
        <w:tc>
          <w:tcPr>
            <w:tcW w:w="2606" w:type="dxa"/>
            <w:shd w:val="clear" w:color="auto" w:fill="FFFFFF"/>
          </w:tcPr>
          <w:p>
            <w:pPr>
              <w:pStyle w:val="Compact"/>
              <w:spacing w:after="40" w:before="40"/>
              <w:jc w:val="left"/>
            </w:pPr>
            <w:r>
              <w:rPr>
                <w:rFonts w:ascii="Tahoma" w:hAnsi="Tahoma"/>
                <w:sz w:val="22"/>
              </w:rPr>
              <w:t xml:space="preserve">£14,000 repayable by HMRC</w:t>
            </w:r>
          </w:p>
        </w:tc>
      </w:tr>
      <w:tr>
        <w:trPr>
          <w:cantSplit w:val="true"/>
        </w:trPr>
        <w:tc>
          <w:tcPr>
            <w:tcW w:w="2606" w:type="dxa"/>
            <w:shd w:val="clear" w:color="auto" w:fill="FBEAF1"/>
          </w:tcPr>
          <w:p>
            <w:pPr>
              <w:pStyle w:val="Compact"/>
              <w:spacing w:after="40" w:before="40"/>
              <w:jc w:val="left"/>
            </w:pPr>
            <w:r>
              <w:rPr>
                <w:rFonts w:ascii="Tahoma" w:hAnsi="Tahoma"/>
                <w:sz w:val="22"/>
              </w:rPr>
              <w:t xml:space="preserve">Box 6</w:t>
            </w:r>
          </w:p>
        </w:tc>
        <w:tc>
          <w:tcPr>
            <w:tcW w:w="3812" w:type="dxa"/>
            <w:shd w:val="clear" w:color="auto" w:fill="FBEAF1"/>
          </w:tcPr>
          <w:p>
            <w:pPr>
              <w:pStyle w:val="Compact"/>
              <w:spacing w:after="40" w:before="40"/>
              <w:jc w:val="left"/>
            </w:pPr>
            <w:r>
              <w:rPr>
                <w:rFonts w:ascii="Tahoma" w:hAnsi="Tahoma"/>
                <w:sz w:val="22"/>
              </w:rPr>
              <w:t xml:space="preserve">£30,000 + £120,000</w:t>
            </w:r>
          </w:p>
        </w:tc>
        <w:tc>
          <w:tcPr>
            <w:tcW w:w="2606" w:type="dxa"/>
            <w:shd w:val="clear" w:color="auto" w:fill="FBEAF1"/>
          </w:tcPr>
          <w:p>
            <w:pPr>
              <w:pStyle w:val="Compact"/>
              <w:spacing w:after="40" w:before="40"/>
              <w:jc w:val="left"/>
            </w:pPr>
            <w:r>
              <w:rPr>
                <w:rFonts w:ascii="Tahoma" w:hAnsi="Tahoma"/>
                <w:sz w:val="22"/>
              </w:rPr>
              <w:t xml:space="preserve">£150,000</w:t>
            </w:r>
          </w:p>
        </w:tc>
      </w:tr>
      <w:tr>
        <w:trPr>
          <w:cantSplit w:val="true"/>
        </w:trPr>
        <w:tc>
          <w:tcPr>
            <w:tcW w:w="2606" w:type="dxa"/>
            <w:shd w:val="clear" w:color="auto" w:fill="EAF3FA"/>
          </w:tcPr>
          <w:p>
            <w:pPr>
              <w:pStyle w:val="Compact"/>
              <w:spacing w:after="40" w:before="40"/>
              <w:jc w:val="left"/>
            </w:pPr>
            <w:r>
              <w:rPr>
                <w:rFonts w:ascii="Tahoma" w:hAnsi="Tahoma"/>
                <w:sz w:val="22"/>
              </w:rPr>
              <w:t xml:space="preserve">Box 7</w:t>
            </w:r>
          </w:p>
        </w:tc>
        <w:tc>
          <w:tcPr>
            <w:tcW w:w="3812" w:type="dxa"/>
            <w:shd w:val="clear" w:color="auto" w:fill="EAF3FA"/>
          </w:tcPr>
          <w:p>
            <w:pPr>
              <w:pStyle w:val="Compact"/>
              <w:spacing w:after="40" w:before="40"/>
              <w:jc w:val="left"/>
            </w:pPr>
            <w:r>
              <w:rPr>
                <w:rFonts w:ascii="Tahoma" w:hAnsi="Tahoma"/>
                <w:sz w:val="22"/>
              </w:rPr>
              <w:t xml:space="preserve">Purchases excluding VAT</w:t>
            </w:r>
          </w:p>
        </w:tc>
        <w:tc>
          <w:tcPr>
            <w:tcW w:w="2606" w:type="dxa"/>
            <w:shd w:val="clear" w:color="auto" w:fill="EAF3FA"/>
          </w:tcPr>
          <w:p>
            <w:pPr>
              <w:pStyle w:val="Compact"/>
              <w:spacing w:after="40" w:before="40"/>
              <w:jc w:val="left"/>
            </w:pPr>
            <w:r>
              <w:rPr>
                <w:rFonts w:ascii="Tahoma" w:hAnsi="Tahoma"/>
                <w:sz w:val="22"/>
              </w:rPr>
              <w:t xml:space="preserve">£100,000</w:t>
            </w:r>
          </w:p>
        </w:tc>
      </w:tr>
    </w:tbl>
    <w:p>
      <w:pPr>
        <w:pStyle w:val="BodyText"/>
        <w:spacing w:before="200"/>
      </w:pPr>
      <w:r>
        <w:rPr>
          <w:b/>
          <w:bCs/>
        </w:rPr>
        <w:t xml:space="preserve">Why HMRC repays:</w:t>
      </w:r>
      <w:r>
        <w:t xml:space="preserve"> </w:t>
      </w:r>
      <w:r>
        <w:t xml:space="preserve">zero-rated sales are taxable supplies. The VAT on the costs of making them can therefore be recovered, even though no VAT was charged on the sales</w:t>
      </w:r>
      <w:r>
        <w:t xml:space="preserve"> </w:t>
      </w:r>
      <w:r>
        <w:t xml:space="preserve">(</w:t>
      </w:r>
      <w:hyperlink w:anchor="ref-hmrc_n700">
        <w:r>
          <w:rPr>
            <w:rStyle w:val="Hyperlink"/>
          </w:rPr>
          <w:t xml:space="preserve">HMRC, 2026o, para. 3.5</w:t>
        </w:r>
      </w:hyperlink>
      <w:r>
        <w:t xml:space="preserve">)</w:t>
      </w:r>
      <w:r>
        <w:t xml:space="preserve">.</w:t>
      </w:r>
    </w:p>
    <w:p>
      <w:pPr>
        <w:pStyle w:val="BodyText"/>
      </w:pPr>
      <w:r>
        <w:t xml:space="preserve">The Department’s VAT return uses the same boxes. COS refunds are also claimed on it</w:t>
      </w:r>
      <w:r>
        <w:t xml:space="preserve"> </w:t>
      </w:r>
      <w:r>
        <w:t xml:space="preserve">(</w:t>
      </w:r>
      <w:hyperlink w:anchor="ref-hmrc_vatgpb">
        <w:r>
          <w:rPr>
            <w:rStyle w:val="Hyperlink"/>
          </w:rPr>
          <w:t xml:space="preserve">HMRC, 2026n, sec. VATGPB9720</w:t>
        </w:r>
      </w:hyperlink>
      <w:r>
        <w:t xml:space="preserve">)</w:t>
      </w:r>
      <w:r>
        <w:t xml:space="preserve">. See Part 5, How and when to claim.</w:t>
      </w:r>
    </w:p>
    <w:bookmarkEnd w:id="37"/>
    <w:bookmarkEnd w:id="38"/>
    <w:bookmarkStart w:id="50" w:name="recoverable-and-irrecoverable-vat"/>
    <w:p>
      <w:pPr>
        <w:pStyle w:val="Heading3"/>
      </w:pPr>
      <w:r>
        <w:t xml:space="preserve">Recoverable and irrecoverable VAT</w:t>
      </w:r>
    </w:p>
    <w:bookmarkStart w:id="39" w:name="plain-definitions"/>
    <w:p>
      <w:pPr>
        <w:pStyle w:val="Heading4"/>
      </w:pPr>
      <w:r>
        <w:t xml:space="preserve">Plain definitions</w:t>
      </w:r>
    </w:p>
    <w:p>
      <w:pPr>
        <w:pStyle w:val="Compact"/>
        <w:numPr>
          <w:ilvl w:val="0"/>
          <w:numId w:val="1030"/>
        </w:numPr>
      </w:pPr>
      <w:r>
        <w:rPr>
          <w:b/>
          <w:bCs/>
        </w:rPr>
        <w:t xml:space="preserve">Recoverable VAT</w:t>
      </w:r>
      <w:r>
        <w:t xml:space="preserve"> </w:t>
      </w:r>
      <w:r>
        <w:t xml:space="preserve">is VAT you pay and can get back.</w:t>
      </w:r>
    </w:p>
    <w:p>
      <w:pPr>
        <w:pStyle w:val="Compact"/>
        <w:numPr>
          <w:ilvl w:val="1"/>
          <w:numId w:val="1031"/>
        </w:numPr>
      </w:pPr>
      <w:r>
        <w:t xml:space="preserve">A business gets it back as input tax on its VAT return</w:t>
      </w:r>
      <w:r>
        <w:t xml:space="preserve"> </w:t>
      </w:r>
      <w:r>
        <w:t xml:space="preserve">(</w:t>
      </w:r>
      <w:hyperlink w:anchor="ref-hmrc_n700">
        <w:r>
          <w:rPr>
            <w:rStyle w:val="Hyperlink"/>
          </w:rPr>
          <w:t xml:space="preserve">HMRC, 2026o, para. 10.4.1</w:t>
        </w:r>
      </w:hyperlink>
      <w:r>
        <w:t xml:space="preserve">)</w:t>
      </w:r>
      <w:r>
        <w:t xml:space="preserve">.</w:t>
      </w:r>
    </w:p>
    <w:p>
      <w:pPr>
        <w:pStyle w:val="Compact"/>
        <w:numPr>
          <w:ilvl w:val="1"/>
          <w:numId w:val="1031"/>
        </w:numPr>
      </w:pPr>
      <w:r>
        <w:t xml:space="preserve">Some public bodies can also get VAT back through special refund schemes. Examples are the COS scheme for government departments under section 41(3), and the section 33 scheme for local authorities</w:t>
      </w:r>
      <w:r>
        <w:t xml:space="preserve"> </w:t>
      </w:r>
      <w:r>
        <w:t xml:space="preserve">(</w:t>
      </w:r>
      <w:hyperlink w:anchor="ref-hmrc_vatgpb">
        <w:r>
          <w:rPr>
            <w:rStyle w:val="Hyperlink"/>
          </w:rPr>
          <w:t xml:space="preserve">HMRC, 2026n, sec. VATGPB9340</w:t>
        </w:r>
      </w:hyperlink>
      <w:r>
        <w:t xml:space="preserve">)</w:t>
      </w:r>
      <w:r>
        <w:t xml:space="preserve">.</w:t>
      </w:r>
    </w:p>
    <w:p>
      <w:pPr>
        <w:pStyle w:val="Compact"/>
        <w:numPr>
          <w:ilvl w:val="0"/>
          <w:numId w:val="1030"/>
        </w:numPr>
      </w:pPr>
      <w:r>
        <w:rPr>
          <w:b/>
          <w:bCs/>
        </w:rPr>
        <w:t xml:space="preserve">Irrecoverable VAT</w:t>
      </w:r>
      <w:r>
        <w:t xml:space="preserve"> </w:t>
      </w:r>
      <w:r>
        <w:t xml:space="preserve">is VAT you pay and cannot get back by any route. It is a real cost.</w:t>
      </w:r>
    </w:p>
    <w:p>
      <w:pPr>
        <w:pStyle w:val="Compact"/>
        <w:numPr>
          <w:ilvl w:val="0"/>
          <w:numId w:val="1030"/>
        </w:numPr>
      </w:pPr>
      <w:r>
        <w:rPr>
          <w:b/>
          <w:bCs/>
        </w:rPr>
        <w:t xml:space="preserve">Partly recoverable VAT</w:t>
      </w:r>
      <w:r>
        <w:t xml:space="preserve"> </w:t>
      </w:r>
      <w:r>
        <w:t xml:space="preserve">is VAT on a cost that is used for more than one purpose. Only the share used for recoverable purposes comes back</w:t>
      </w:r>
      <w:r>
        <w:t xml:space="preserve"> </w:t>
      </w:r>
      <w:r>
        <w:t xml:space="preserve">(</w:t>
      </w:r>
      <w:hyperlink w:anchor="ref-hmrc_n706">
        <w:r>
          <w:rPr>
            <w:rStyle w:val="Hyperlink"/>
          </w:rPr>
          <w:t xml:space="preserve">HMRC, 2025h, para. 2.3</w:t>
        </w:r>
      </w:hyperlink>
      <w:r>
        <w:t xml:space="preserve">)</w:t>
      </w:r>
      <w:r>
        <w:t xml:space="preserve">.</w:t>
      </w:r>
    </w:p>
    <w:bookmarkEnd w:id="39"/>
    <w:bookmarkStart w:id="40" w:name="what-happens-to-irrecoverable-vat"/>
    <w:p>
      <w:pPr>
        <w:pStyle w:val="Heading4"/>
      </w:pPr>
      <w:r>
        <w:t xml:space="preserve">What happens to irrecoverable VAT</w:t>
      </w:r>
    </w:p>
    <w:p>
      <w:pPr>
        <w:pStyle w:val="Compact"/>
        <w:numPr>
          <w:ilvl w:val="0"/>
          <w:numId w:val="1032"/>
        </w:numPr>
      </w:pPr>
      <w:r>
        <w:rPr>
          <w:b/>
          <w:bCs/>
        </w:rPr>
        <w:t xml:space="preserve">For a business:</w:t>
      </w:r>
      <w:r>
        <w:t xml:space="preserve"> </w:t>
      </w:r>
      <w:r>
        <w:t xml:space="preserve">irrecoverable VAT is simply part of what the item costs.</w:t>
      </w:r>
    </w:p>
    <w:p>
      <w:pPr>
        <w:pStyle w:val="Compact"/>
        <w:numPr>
          <w:ilvl w:val="0"/>
          <w:numId w:val="1032"/>
        </w:numPr>
      </w:pPr>
      <w:r>
        <w:rPr>
          <w:b/>
          <w:bCs/>
        </w:rPr>
        <w:t xml:space="preserve">For a government department:</w:t>
      </w:r>
      <w:r>
        <w:t xml:space="preserve"> </w:t>
      </w:r>
      <w:r>
        <w:t xml:space="preserve">HM Treasury says VAT a department cannot reclaim</w:t>
      </w:r>
      <w:r>
        <w:t xml:space="preserve"> </w:t>
      </w:r>
      <w:r>
        <w:t xml:space="preserve">“</w:t>
      </w:r>
      <w:r>
        <w:t xml:space="preserve">is therefore a cost for departments</w:t>
      </w:r>
      <w:r>
        <w:t xml:space="preserve">”</w:t>
      </w:r>
      <w:r>
        <w:t xml:space="preserve">. Without specific refund rules, it</w:t>
      </w:r>
      <w:r>
        <w:t xml:space="preserve"> </w:t>
      </w:r>
      <w:r>
        <w:t xml:space="preserve">“</w:t>
      </w:r>
      <w:r>
        <w:t xml:space="preserve">must be funded through departmental budgets</w:t>
      </w:r>
      <w:r>
        <w:t xml:space="preserve">”</w:t>
      </w:r>
      <w:r>
        <w:t xml:space="preserve"> </w:t>
      </w:r>
      <w:r>
        <w:t xml:space="preserve">(</w:t>
      </w:r>
      <w:hyperlink w:anchor="ref-hmt_s41_paper_2020">
        <w:r>
          <w:rPr>
            <w:rStyle w:val="Hyperlink"/>
          </w:rPr>
          <w:t xml:space="preserve">HM Treasury, 2020a, para. 1.6</w:t>
        </w:r>
      </w:hyperlink>
      <w:r>
        <w:t xml:space="preserve">)</w:t>
      </w:r>
      <w:r>
        <w:t xml:space="preserve">.</w:t>
      </w:r>
    </w:p>
    <w:p>
      <w:pPr>
        <w:pStyle w:val="Compact"/>
        <w:numPr>
          <w:ilvl w:val="0"/>
          <w:numId w:val="1032"/>
        </w:numPr>
      </w:pPr>
      <w:r>
        <w:t xml:space="preserve">HM Treasury’s 2020 policy paper explains that these VAT costs are funded with other costs through Departmental Expenditure Limits (DEL)</w:t>
      </w:r>
      <w:r>
        <w:t xml:space="preserve"> </w:t>
      </w:r>
      <w:r>
        <w:t xml:space="preserve">(</w:t>
      </w:r>
      <w:hyperlink w:anchor="ref-hmt_s41_paper_2020">
        <w:r>
          <w:rPr>
            <w:rStyle w:val="Hyperlink"/>
          </w:rPr>
          <w:t xml:space="preserve">HM Treasury, 2020a, para. 1.24</w:t>
        </w:r>
      </w:hyperlink>
      <w:r>
        <w:t xml:space="preserve">)</w:t>
      </w:r>
      <w:r>
        <w:t xml:space="preserve">.</w:t>
      </w:r>
    </w:p>
    <w:p>
      <w:pPr>
        <w:pStyle w:val="Compact"/>
        <w:numPr>
          <w:ilvl w:val="0"/>
          <w:numId w:val="1032"/>
        </w:numPr>
      </w:pPr>
      <w:r>
        <w:t xml:space="preserve">The same paper says COS refunds are treated differently. They are not funded through DEL. They are accounted for through Annually Managed Expenditure (AME)</w:t>
      </w:r>
      <w:r>
        <w:t xml:space="preserve"> </w:t>
      </w:r>
      <w:r>
        <w:t xml:space="preserve">(</w:t>
      </w:r>
      <w:hyperlink w:anchor="ref-hmt_s41_paper_2020">
        <w:r>
          <w:rPr>
            <w:rStyle w:val="Hyperlink"/>
          </w:rPr>
          <w:t xml:space="preserve">HM Treasury, 2020a, paras 1.26–1.27</w:t>
        </w:r>
      </w:hyperlink>
      <w:r>
        <w:t xml:space="preserve">)</w:t>
      </w:r>
      <w:r>
        <w:t xml:space="preserve">.</w:t>
      </w:r>
    </w:p>
    <w:p>
      <w:pPr>
        <w:pStyle w:val="Compact"/>
        <w:numPr>
          <w:ilvl w:val="0"/>
          <w:numId w:val="1032"/>
        </w:numPr>
      </w:pPr>
      <w:r>
        <w:rPr>
          <w:b/>
          <w:bCs/>
        </w:rPr>
        <w:t xml:space="preserve">In practice:</w:t>
      </w:r>
      <w:r>
        <w:t xml:space="preserve"> </w:t>
      </w:r>
      <w:r>
        <w:t xml:space="preserve">budget for the full VAT-inclusive price of anything whose VAT will not come back.</w:t>
      </w:r>
    </w:p>
    <w:bookmarkEnd w:id="40"/>
    <w:bookmarkStart w:id="41" w:name="the-main-reasons-vat-is-irrecoverable"/>
    <w:p>
      <w:pPr>
        <w:pStyle w:val="Heading4"/>
      </w:pPr>
      <w:r>
        <w:t xml:space="preserve">The main reasons VAT is irrecoverable</w:t>
      </w:r>
    </w:p>
    <w:p>
      <w:pPr>
        <w:pStyle w:val="FirstParagraph"/>
      </w:pPr>
      <w:r>
        <w:t xml:space="preserve">The table below lists the main reasons, each with a short example.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884"/>
        <w:gridCol w:w="4014"/>
        <w:gridCol w:w="2126"/>
      </w:tblGrid>
      <w:tr>
        <w:trPr>
          <w:tblHeader w:val="true"/>
          <w:cantSplit w:val="true"/>
        </w:trPr>
        <w:tc>
          <w:tcPr>
            <w:tcW w:w="2884" w:type="dxa"/>
            <w:shd w:val="clear" w:color="auto" w:fill="1B3A5C"/>
          </w:tcPr>
          <w:p>
            <w:pPr>
              <w:pStyle w:val="Compact"/>
              <w:spacing w:after="40" w:before="40"/>
              <w:jc w:val="left"/>
            </w:pPr>
            <w:r>
              <w:rPr>
                <w:rFonts w:ascii="Tahoma" w:hAnsi="Tahoma"/>
                <w:b/>
                <w:color w:val="FFFFFF"/>
                <w:sz w:val="22"/>
              </w:rPr>
              <w:t xml:space="preserve">Reason</w:t>
            </w:r>
          </w:p>
        </w:tc>
        <w:tc>
          <w:tcPr>
            <w:tcW w:w="4014" w:type="dxa"/>
            <w:shd w:val="clear" w:color="auto" w:fill="1B3A5C"/>
          </w:tcPr>
          <w:p>
            <w:pPr>
              <w:pStyle w:val="Compact"/>
              <w:spacing w:after="40" w:before="40"/>
              <w:jc w:val="left"/>
            </w:pPr>
            <w:r>
              <w:rPr>
                <w:rFonts w:ascii="Tahoma" w:hAnsi="Tahoma"/>
                <w:b/>
                <w:color w:val="FFFFFF"/>
                <w:sz w:val="22"/>
              </w:rPr>
              <w:t xml:space="preserve">Short example</w:t>
            </w:r>
          </w:p>
        </w:tc>
        <w:tc>
          <w:tcPr>
            <w:tcW w:w="2126" w:type="dxa"/>
            <w:shd w:val="clear" w:color="auto" w:fill="1B3A5C"/>
          </w:tcPr>
          <w:p>
            <w:pPr>
              <w:pStyle w:val="Compact"/>
              <w:spacing w:after="40" w:before="40"/>
              <w:jc w:val="left"/>
            </w:pPr>
            <w:r>
              <w:rPr>
                <w:rFonts w:ascii="Tahoma" w:hAnsi="Tahoma"/>
                <w:b/>
                <w:color w:val="FFFFFF"/>
                <w:sz w:val="22"/>
              </w:rPr>
              <w:t xml:space="preserve">Where to read more</w:t>
            </w:r>
          </w:p>
        </w:tc>
      </w:tr>
      <w:tr>
        <w:trPr>
          <w:cantSplit w:val="true"/>
        </w:trPr>
        <w:tc>
          <w:tcPr>
            <w:tcW w:w="2884" w:type="dxa"/>
            <w:shd w:val="clear" w:color="auto" w:fill="EAF3FA"/>
          </w:tcPr>
          <w:p>
            <w:pPr>
              <w:pStyle w:val="Compact"/>
              <w:spacing w:after="40" w:before="40"/>
              <w:jc w:val="left"/>
            </w:pPr>
            <w:r>
              <w:rPr>
                <w:rFonts w:ascii="Tahoma" w:hAnsi="Tahoma"/>
                <w:sz w:val="22"/>
              </w:rPr>
              <w:t xml:space="preserve">Used for exempt supplies</w:t>
            </w:r>
          </w:p>
        </w:tc>
        <w:tc>
          <w:tcPr>
            <w:tcW w:w="4014" w:type="dxa"/>
            <w:shd w:val="clear" w:color="auto" w:fill="EAF3FA"/>
          </w:tcPr>
          <w:p>
            <w:pPr>
              <w:pStyle w:val="Compact"/>
              <w:spacing w:after="40" w:before="40"/>
              <w:jc w:val="left"/>
            </w:pPr>
            <w:r>
              <w:rPr>
                <w:rFonts w:ascii="Tahoma" w:hAnsi="Tahoma"/>
                <w:sz w:val="22"/>
              </w:rPr>
              <w:t xml:space="preserve">VAT on costs of letting property without an option to tax</w:t>
            </w:r>
          </w:p>
        </w:tc>
        <w:tc>
          <w:tcPr>
            <w:tcW w:w="2126" w:type="dxa"/>
            <w:shd w:val="clear" w:color="auto" w:fill="EAF3FA"/>
          </w:tcPr>
          <w:p>
            <w:pPr>
              <w:pStyle w:val="Compact"/>
              <w:spacing w:after="40" w:before="40"/>
              <w:jc w:val="left"/>
            </w:pPr>
            <w:r>
              <w:rPr>
                <w:rFonts w:ascii="Tahoma" w:hAnsi="Tahoma"/>
                <w:sz w:val="22"/>
              </w:rPr>
              <w:t xml:space="preserve">Below, and Part 3</w:t>
            </w:r>
          </w:p>
        </w:tc>
      </w:tr>
      <w:tr>
        <w:trPr>
          <w:cantSplit w:val="true"/>
        </w:trPr>
        <w:tc>
          <w:tcPr>
            <w:tcW w:w="2884" w:type="dxa"/>
            <w:shd w:val="clear" w:color="auto" w:fill="FFFFFF"/>
          </w:tcPr>
          <w:p>
            <w:pPr>
              <w:pStyle w:val="Compact"/>
              <w:spacing w:after="40" w:before="40"/>
              <w:jc w:val="left"/>
            </w:pPr>
            <w:r>
              <w:rPr>
                <w:rFonts w:ascii="Tahoma" w:hAnsi="Tahoma"/>
                <w:sz w:val="22"/>
              </w:rPr>
              <w:t xml:space="preserve">Used for non-business activities</w:t>
            </w:r>
          </w:p>
        </w:tc>
        <w:tc>
          <w:tcPr>
            <w:tcW w:w="4014" w:type="dxa"/>
            <w:shd w:val="clear" w:color="auto" w:fill="FFFFFF"/>
          </w:tcPr>
          <w:p>
            <w:pPr>
              <w:pStyle w:val="Compact"/>
              <w:spacing w:after="40" w:before="40"/>
              <w:jc w:val="left"/>
            </w:pPr>
            <w:r>
              <w:rPr>
                <w:rFonts w:ascii="Tahoma" w:hAnsi="Tahoma"/>
                <w:sz w:val="22"/>
              </w:rPr>
              <w:t xml:space="preserve">VAT on laptops used only for policy work</w:t>
            </w:r>
          </w:p>
        </w:tc>
        <w:tc>
          <w:tcPr>
            <w:tcW w:w="2126" w:type="dxa"/>
            <w:shd w:val="clear" w:color="auto" w:fill="FFFFFF"/>
          </w:tcPr>
          <w:p>
            <w:pPr>
              <w:pStyle w:val="Compact"/>
              <w:spacing w:after="40" w:before="40"/>
              <w:jc w:val="left"/>
            </w:pPr>
            <w:r>
              <w:rPr>
                <w:rFonts w:ascii="Tahoma" w:hAnsi="Tahoma"/>
                <w:sz w:val="22"/>
              </w:rPr>
              <w:t xml:space="preserve">Below</w:t>
            </w:r>
          </w:p>
        </w:tc>
      </w:tr>
      <w:tr>
        <w:trPr>
          <w:cantSplit w:val="true"/>
        </w:trPr>
        <w:tc>
          <w:tcPr>
            <w:tcW w:w="2884" w:type="dxa"/>
            <w:shd w:val="clear" w:color="auto" w:fill="FBEAF1"/>
          </w:tcPr>
          <w:p>
            <w:pPr>
              <w:pStyle w:val="Compact"/>
              <w:spacing w:after="40" w:before="40"/>
              <w:jc w:val="left"/>
            </w:pPr>
            <w:r>
              <w:rPr>
                <w:rFonts w:ascii="Tahoma" w:hAnsi="Tahoma"/>
                <w:sz w:val="22"/>
              </w:rPr>
              <w:t xml:space="preserve">Blocked by law</w:t>
            </w:r>
          </w:p>
        </w:tc>
        <w:tc>
          <w:tcPr>
            <w:tcW w:w="4014" w:type="dxa"/>
            <w:shd w:val="clear" w:color="auto" w:fill="FBEAF1"/>
          </w:tcPr>
          <w:p>
            <w:pPr>
              <w:pStyle w:val="Compact"/>
              <w:spacing w:after="40" w:before="40"/>
              <w:jc w:val="left"/>
            </w:pPr>
            <w:r>
              <w:rPr>
                <w:rFonts w:ascii="Tahoma" w:hAnsi="Tahoma"/>
                <w:sz w:val="22"/>
              </w:rPr>
              <w:t xml:space="preserve">A car available for private use; business entertainment</w:t>
            </w:r>
          </w:p>
        </w:tc>
        <w:tc>
          <w:tcPr>
            <w:tcW w:w="2126" w:type="dxa"/>
            <w:shd w:val="clear" w:color="auto" w:fill="FBEAF1"/>
          </w:tcPr>
          <w:p>
            <w:pPr>
              <w:pStyle w:val="Compact"/>
              <w:spacing w:after="40" w:before="40"/>
              <w:jc w:val="left"/>
            </w:pPr>
            <w:r>
              <w:rPr>
                <w:rFonts w:ascii="Tahoma" w:hAnsi="Tahoma"/>
                <w:sz w:val="22"/>
              </w:rPr>
              <w:t xml:space="preserve">Below</w:t>
            </w:r>
          </w:p>
        </w:tc>
      </w:tr>
      <w:tr>
        <w:trPr>
          <w:cantSplit w:val="true"/>
        </w:trPr>
        <w:tc>
          <w:tcPr>
            <w:tcW w:w="2884" w:type="dxa"/>
            <w:shd w:val="clear" w:color="auto" w:fill="EAF3FA"/>
          </w:tcPr>
          <w:p>
            <w:pPr>
              <w:pStyle w:val="Compact"/>
              <w:spacing w:after="40" w:before="40"/>
              <w:jc w:val="left"/>
            </w:pPr>
            <w:r>
              <w:rPr>
                <w:rFonts w:ascii="Tahoma" w:hAnsi="Tahoma"/>
                <w:sz w:val="22"/>
              </w:rPr>
              <w:t xml:space="preserve">No valid evidence</w:t>
            </w:r>
          </w:p>
        </w:tc>
        <w:tc>
          <w:tcPr>
            <w:tcW w:w="4014" w:type="dxa"/>
            <w:shd w:val="clear" w:color="auto" w:fill="EAF3FA"/>
          </w:tcPr>
          <w:p>
            <w:pPr>
              <w:pStyle w:val="Compact"/>
              <w:spacing w:after="40" w:before="40"/>
              <w:jc w:val="left"/>
            </w:pPr>
            <w:r>
              <w:rPr>
                <w:rFonts w:ascii="Tahoma" w:hAnsi="Tahoma"/>
                <w:sz w:val="22"/>
              </w:rPr>
              <w:t xml:space="preserve">No VAT invoice, or no import VAT evidence</w:t>
            </w:r>
          </w:p>
        </w:tc>
        <w:tc>
          <w:tcPr>
            <w:tcW w:w="2126" w:type="dxa"/>
            <w:shd w:val="clear" w:color="auto" w:fill="EAF3FA"/>
          </w:tcPr>
          <w:p>
            <w:pPr>
              <w:pStyle w:val="Compact"/>
              <w:spacing w:after="40" w:before="40"/>
              <w:jc w:val="left"/>
            </w:pPr>
            <w:r>
              <w:rPr>
                <w:rFonts w:ascii="Tahoma" w:hAnsi="Tahoma"/>
                <w:sz w:val="22"/>
              </w:rPr>
              <w:t xml:space="preserve">Below</w:t>
            </w:r>
          </w:p>
        </w:tc>
      </w:tr>
      <w:tr>
        <w:trPr>
          <w:cantSplit w:val="true"/>
        </w:trPr>
        <w:tc>
          <w:tcPr>
            <w:tcW w:w="2884" w:type="dxa"/>
            <w:shd w:val="clear" w:color="auto" w:fill="FFFFFF"/>
          </w:tcPr>
          <w:p>
            <w:pPr>
              <w:pStyle w:val="Compact"/>
              <w:spacing w:after="40" w:before="40"/>
              <w:jc w:val="left"/>
            </w:pPr>
            <w:r>
              <w:rPr>
                <w:rFonts w:ascii="Tahoma" w:hAnsi="Tahoma"/>
                <w:sz w:val="22"/>
              </w:rPr>
              <w:t xml:space="preserve">Private use</w:t>
            </w:r>
          </w:p>
        </w:tc>
        <w:tc>
          <w:tcPr>
            <w:tcW w:w="4014" w:type="dxa"/>
            <w:shd w:val="clear" w:color="auto" w:fill="FFFFFF"/>
          </w:tcPr>
          <w:p>
            <w:pPr>
              <w:pStyle w:val="Compact"/>
              <w:spacing w:after="40" w:before="40"/>
              <w:jc w:val="left"/>
            </w:pPr>
            <w:r>
              <w:rPr>
                <w:rFonts w:ascii="Tahoma" w:hAnsi="Tahoma"/>
                <w:sz w:val="22"/>
              </w:rPr>
              <w:t xml:space="preserve">The private share of a cost</w:t>
            </w:r>
          </w:p>
        </w:tc>
        <w:tc>
          <w:tcPr>
            <w:tcW w:w="2126" w:type="dxa"/>
            <w:shd w:val="clear" w:color="auto" w:fill="FFFFFF"/>
          </w:tcPr>
          <w:p>
            <w:pPr>
              <w:pStyle w:val="Compact"/>
              <w:spacing w:after="40" w:before="40"/>
              <w:jc w:val="left"/>
            </w:pPr>
            <w:r>
              <w:rPr>
                <w:rFonts w:ascii="Tahoma" w:hAnsi="Tahoma"/>
                <w:sz w:val="22"/>
              </w:rPr>
              <w:t xml:space="preserve">Below</w:t>
            </w:r>
          </w:p>
        </w:tc>
      </w:tr>
      <w:tr>
        <w:trPr>
          <w:cantSplit w:val="true"/>
        </w:trPr>
        <w:tc>
          <w:tcPr>
            <w:tcW w:w="2884" w:type="dxa"/>
            <w:shd w:val="clear" w:color="auto" w:fill="FBEAF1"/>
          </w:tcPr>
          <w:p>
            <w:pPr>
              <w:pStyle w:val="Compact"/>
              <w:spacing w:after="40" w:before="40"/>
              <w:jc w:val="left"/>
            </w:pPr>
            <w:r>
              <w:rPr>
                <w:rFonts w:ascii="Tahoma" w:hAnsi="Tahoma"/>
                <w:sz w:val="22"/>
              </w:rPr>
              <w:t xml:space="preserve">Foreign VAT (through the UK return or COS)</w:t>
            </w:r>
          </w:p>
        </w:tc>
        <w:tc>
          <w:tcPr>
            <w:tcW w:w="4014" w:type="dxa"/>
            <w:shd w:val="clear" w:color="auto" w:fill="FBEAF1"/>
          </w:tcPr>
          <w:p>
            <w:pPr>
              <w:pStyle w:val="Compact"/>
              <w:spacing w:after="40" w:before="40"/>
              <w:jc w:val="left"/>
            </w:pPr>
            <w:r>
              <w:rPr>
                <w:rFonts w:ascii="Tahoma" w:hAnsi="Tahoma"/>
                <w:sz w:val="22"/>
              </w:rPr>
              <w:t xml:space="preserve">German VAT on a conference in Berlin</w:t>
            </w:r>
          </w:p>
        </w:tc>
        <w:tc>
          <w:tcPr>
            <w:tcW w:w="2126" w:type="dxa"/>
            <w:shd w:val="clear" w:color="auto" w:fill="FBEAF1"/>
          </w:tcPr>
          <w:p>
            <w:pPr>
              <w:pStyle w:val="Compact"/>
              <w:spacing w:after="40" w:before="40"/>
              <w:jc w:val="left"/>
            </w:pPr>
            <w:r>
              <w:rPr>
                <w:rFonts w:ascii="Tahoma" w:hAnsi="Tahoma"/>
                <w:sz w:val="22"/>
              </w:rPr>
              <w:t xml:space="preserve">Below, and Part 4</w:t>
            </w:r>
          </w:p>
        </w:tc>
      </w:tr>
      <w:tr>
        <w:trPr>
          <w:cantSplit w:val="true"/>
        </w:trPr>
        <w:tc>
          <w:tcPr>
            <w:tcW w:w="2884" w:type="dxa"/>
            <w:shd w:val="clear" w:color="auto" w:fill="EAF3FA"/>
          </w:tcPr>
          <w:p>
            <w:pPr>
              <w:pStyle w:val="Compact"/>
              <w:spacing w:after="40" w:before="40"/>
              <w:jc w:val="left"/>
            </w:pPr>
            <w:r>
              <w:rPr>
                <w:rFonts w:ascii="Tahoma" w:hAnsi="Tahoma"/>
                <w:sz w:val="22"/>
              </w:rPr>
              <w:t xml:space="preserve">Out of time</w:t>
            </w:r>
          </w:p>
        </w:tc>
        <w:tc>
          <w:tcPr>
            <w:tcW w:w="4014" w:type="dxa"/>
            <w:shd w:val="clear" w:color="auto" w:fill="EAF3FA"/>
          </w:tcPr>
          <w:p>
            <w:pPr>
              <w:pStyle w:val="Compact"/>
              <w:spacing w:after="40" w:before="40"/>
              <w:jc w:val="left"/>
            </w:pPr>
            <w:r>
              <w:rPr>
                <w:rFonts w:ascii="Tahoma" w:hAnsi="Tahoma"/>
                <w:sz w:val="22"/>
              </w:rPr>
              <w:t xml:space="preserve">A claim made after the time limit</w:t>
            </w:r>
          </w:p>
        </w:tc>
        <w:tc>
          <w:tcPr>
            <w:tcW w:w="2126" w:type="dxa"/>
            <w:shd w:val="clear" w:color="auto" w:fill="EAF3FA"/>
          </w:tcPr>
          <w:p>
            <w:pPr>
              <w:pStyle w:val="Compact"/>
              <w:spacing w:after="40" w:before="40"/>
              <w:jc w:val="left"/>
            </w:pPr>
            <w:r>
              <w:rPr>
                <w:rFonts w:ascii="Tahoma" w:hAnsi="Tahoma"/>
                <w:sz w:val="22"/>
              </w:rPr>
              <w:t xml:space="preserve">Below, and Part 5</w:t>
            </w:r>
          </w:p>
        </w:tc>
      </w:tr>
      <w:tr>
        <w:trPr>
          <w:cantSplit w:val="true"/>
        </w:trPr>
        <w:tc>
          <w:tcPr>
            <w:tcW w:w="2884" w:type="dxa"/>
            <w:shd w:val="clear" w:color="auto" w:fill="FFFFFF"/>
          </w:tcPr>
          <w:p>
            <w:pPr>
              <w:pStyle w:val="Compact"/>
              <w:spacing w:after="40" w:before="40"/>
              <w:jc w:val="left"/>
            </w:pPr>
            <w:r>
              <w:rPr>
                <w:rFonts w:ascii="Tahoma" w:hAnsi="Tahoma"/>
                <w:sz w:val="22"/>
              </w:rPr>
              <w:t xml:space="preserve">Charged in error</w:t>
            </w:r>
          </w:p>
        </w:tc>
        <w:tc>
          <w:tcPr>
            <w:tcW w:w="4014" w:type="dxa"/>
            <w:shd w:val="clear" w:color="auto" w:fill="FFFFFF"/>
          </w:tcPr>
          <w:p>
            <w:pPr>
              <w:pStyle w:val="Compact"/>
              <w:spacing w:after="40" w:before="40"/>
              <w:jc w:val="left"/>
            </w:pPr>
            <w:r>
              <w:rPr>
                <w:rFonts w:ascii="Tahoma" w:hAnsi="Tahoma"/>
                <w:sz w:val="22"/>
              </w:rPr>
              <w:t xml:space="preserve">VAT wrongly charged by a supplier</w:t>
            </w:r>
          </w:p>
        </w:tc>
        <w:tc>
          <w:tcPr>
            <w:tcW w:w="2126" w:type="dxa"/>
            <w:shd w:val="clear" w:color="auto" w:fill="FFFFFF"/>
          </w:tcPr>
          <w:p>
            <w:pPr>
              <w:pStyle w:val="Compact"/>
              <w:spacing w:after="40" w:before="40"/>
              <w:jc w:val="left"/>
            </w:pPr>
            <w:r>
              <w:rPr>
                <w:rFonts w:ascii="Tahoma" w:hAnsi="Tahoma"/>
                <w:sz w:val="22"/>
              </w:rPr>
              <w:t xml:space="preserve">Below</w:t>
            </w:r>
          </w:p>
        </w:tc>
      </w:tr>
    </w:tbl>
    <w:bookmarkEnd w:id="41"/>
    <w:bookmarkStart w:id="42" w:name="exempt-supplies-and-partial-exemption"/>
    <w:p>
      <w:pPr>
        <w:pStyle w:val="Heading4"/>
      </w:pPr>
      <w:r>
        <w:t xml:space="preserve">Exempt supplies and partial exemption</w:t>
      </w:r>
    </w:p>
    <w:p>
      <w:pPr>
        <w:pStyle w:val="Compact"/>
        <w:numPr>
          <w:ilvl w:val="0"/>
          <w:numId w:val="1033"/>
        </w:numPr>
      </w:pPr>
      <w:r>
        <w:t xml:space="preserve">VAT on costs used to make exempt supplies is called</w:t>
      </w:r>
      <w:r>
        <w:t xml:space="preserve"> </w:t>
      </w:r>
      <w:r>
        <w:rPr>
          <w:b/>
          <w:bCs/>
        </w:rPr>
        <w:t xml:space="preserve">exempt input tax</w:t>
      </w:r>
      <w:r>
        <w:t xml:space="preserve">. It cannot normally be recovered</w:t>
      </w:r>
      <w:r>
        <w:t xml:space="preserve"> </w:t>
      </w:r>
      <w:r>
        <w:t xml:space="preserve">(</w:t>
      </w:r>
      <w:hyperlink w:anchor="ref-hmrc_n706">
        <w:r>
          <w:rPr>
            <w:rStyle w:val="Hyperlink"/>
          </w:rPr>
          <w:t xml:space="preserve">HMRC, 2025h, para. 2.3</w:t>
        </w:r>
      </w:hyperlink>
      <w:r>
        <w:t xml:space="preserve">)</w:t>
      </w:r>
      <w:r>
        <w:t xml:space="preserve">.</w:t>
      </w:r>
    </w:p>
    <w:p>
      <w:pPr>
        <w:pStyle w:val="Compact"/>
        <w:numPr>
          <w:ilvl w:val="0"/>
          <w:numId w:val="1033"/>
        </w:numPr>
      </w:pPr>
      <w:r>
        <w:t xml:space="preserve">A business that makes both taxable and exempt supplies is</w:t>
      </w:r>
      <w:r>
        <w:t xml:space="preserve"> </w:t>
      </w:r>
      <w:r>
        <w:rPr>
          <w:b/>
          <w:bCs/>
        </w:rPr>
        <w:t xml:space="preserve">partly exempt</w:t>
      </w:r>
      <w:r>
        <w:t xml:space="preserve">. It must use a partial exemption method to work out how much input tax it can recover</w:t>
      </w:r>
      <w:r>
        <w:t xml:space="preserve"> </w:t>
      </w:r>
      <w:r>
        <w:t xml:space="preserve">(</w:t>
      </w:r>
      <w:hyperlink w:anchor="ref-hmrc_n700">
        <w:r>
          <w:rPr>
            <w:rStyle w:val="Hyperlink"/>
          </w:rPr>
          <w:t xml:space="preserve">HMRC, 2026o, para. 13.1</w:t>
        </w:r>
      </w:hyperlink>
      <w:r>
        <w:t xml:space="preserve">)</w:t>
      </w:r>
      <w:r>
        <w:t xml:space="preserve">. The standard method applies unless HMRC has approved a special method</w:t>
      </w:r>
      <w:r>
        <w:t xml:space="preserve"> </w:t>
      </w:r>
      <w:r>
        <w:t xml:space="preserve">(</w:t>
      </w:r>
      <w:hyperlink w:anchor="ref-hmrc_n706">
        <w:r>
          <w:rPr>
            <w:rStyle w:val="Hyperlink"/>
          </w:rPr>
          <w:t xml:space="preserve">HMRC, 2025h, para. 4.1</w:t>
        </w:r>
      </w:hyperlink>
      <w:r>
        <w:t xml:space="preserve">)</w:t>
      </w:r>
      <w:r>
        <w:t xml:space="preserve">.</w:t>
      </w:r>
    </w:p>
    <w:p>
      <w:pPr>
        <w:pStyle w:val="Compact"/>
        <w:numPr>
          <w:ilvl w:val="0"/>
          <w:numId w:val="1033"/>
        </w:numPr>
      </w:pPr>
      <w:r>
        <w:rPr>
          <w:b/>
          <w:bCs/>
        </w:rPr>
        <w:t xml:space="preserve">De minimis:</w:t>
      </w:r>
      <w:r>
        <w:t xml:space="preserve"> </w:t>
      </w:r>
      <w:r>
        <w:t xml:space="preserve">a partly exempt business can recover all of its exempt input tax if the exempt input tax is not more than both:</w:t>
      </w:r>
    </w:p>
    <w:p>
      <w:pPr>
        <w:pStyle w:val="Compact"/>
        <w:numPr>
          <w:ilvl w:val="1"/>
          <w:numId w:val="1034"/>
        </w:numPr>
      </w:pPr>
      <w:r>
        <w:t xml:space="preserve">£625 per month on average; and</w:t>
      </w:r>
    </w:p>
    <w:p>
      <w:pPr>
        <w:pStyle w:val="Compact"/>
        <w:numPr>
          <w:ilvl w:val="1"/>
          <w:numId w:val="1034"/>
        </w:numPr>
      </w:pPr>
      <w:r>
        <w:t xml:space="preserve">half of all its input tax for the period</w:t>
      </w:r>
      <w:r>
        <w:t xml:space="preserve"> </w:t>
      </w:r>
      <w:r>
        <w:t xml:space="preserve">(</w:t>
      </w:r>
      <w:hyperlink w:anchor="ref-hmrc_n706">
        <w:r>
          <w:rPr>
            <w:rStyle w:val="Hyperlink"/>
          </w:rPr>
          <w:t xml:space="preserve">HMRC, 2025h, para. 11.2</w:t>
        </w:r>
      </w:hyperlink>
      <w:r>
        <w:t xml:space="preserve">)</w:t>
      </w:r>
      <w:r>
        <w:t xml:space="preserve">.</w:t>
      </w:r>
    </w:p>
    <w:p>
      <w:pPr>
        <w:pStyle w:val="Compact"/>
        <w:numPr>
          <w:ilvl w:val="0"/>
          <w:numId w:val="1033"/>
        </w:numPr>
      </w:pPr>
      <w:r>
        <w:t xml:space="preserve">Both conditions must be met. Failing either one means the business fails this test, and its exempt input tax is not recoverable unless it passes one of the simplified tests below</w:t>
      </w:r>
      <w:r>
        <w:t xml:space="preserve"> </w:t>
      </w:r>
      <w:r>
        <w:t xml:space="preserve">(</w:t>
      </w:r>
      <w:hyperlink w:anchor="ref-hmrc_n706">
        <w:r>
          <w:rPr>
            <w:rStyle w:val="Hyperlink"/>
          </w:rPr>
          <w:t xml:space="preserve">HMRC, 2025h, paras 11.6–11.8</w:t>
        </w:r>
      </w:hyperlink>
      <w:r>
        <w:t xml:space="preserve">)</w:t>
      </w:r>
      <w:r>
        <w:t xml:space="preserve">.</w:t>
      </w:r>
    </w:p>
    <w:p>
      <w:pPr>
        <w:pStyle w:val="Compact"/>
        <w:numPr>
          <w:ilvl w:val="0"/>
          <w:numId w:val="1033"/>
        </w:numPr>
      </w:pPr>
      <w:r>
        <w:t xml:space="preserve">The test is applied each VAT period and again at the year end</w:t>
      </w:r>
      <w:r>
        <w:t xml:space="preserve"> </w:t>
      </w:r>
      <w:r>
        <w:t xml:space="preserve">(</w:t>
      </w:r>
      <w:hyperlink w:anchor="ref-hmrc_n706">
        <w:r>
          <w:rPr>
            <w:rStyle w:val="Hyperlink"/>
          </w:rPr>
          <w:t xml:space="preserve">HMRC, 2025h, para. 11.5</w:t>
        </w:r>
      </w:hyperlink>
      <w:r>
        <w:t xml:space="preserve">)</w:t>
      </w:r>
      <w:r>
        <w:t xml:space="preserve">.</w:t>
      </w:r>
    </w:p>
    <w:p>
      <w:pPr>
        <w:pStyle w:val="Compact"/>
        <w:numPr>
          <w:ilvl w:val="0"/>
          <w:numId w:val="1033"/>
        </w:numPr>
      </w:pPr>
      <w:r>
        <w:t xml:space="preserve">HMRC also allows two simpler tests that can save a full calculation. A business that passes any one of the three tests is de minimis</w:t>
      </w:r>
      <w:r>
        <w:t xml:space="preserve"> </w:t>
      </w:r>
      <w:r>
        <w:t xml:space="preserve">(</w:t>
      </w:r>
      <w:hyperlink w:anchor="ref-hmrc_n706">
        <w:r>
          <w:rPr>
            <w:rStyle w:val="Hyperlink"/>
          </w:rPr>
          <w:t xml:space="preserve">HMRC, 2025h, paras 11.7–11.8</w:t>
        </w:r>
      </w:hyperlink>
      <w:r>
        <w:t xml:space="preserve">)</w:t>
      </w:r>
      <w:r>
        <w:t xml:space="preserve">.</w:t>
      </w:r>
    </w:p>
    <w:p>
      <w:pPr>
        <w:pStyle w:val="Compact"/>
        <w:numPr>
          <w:ilvl w:val="0"/>
          <w:numId w:val="1033"/>
        </w:numPr>
      </w:pPr>
      <w:r>
        <w:t xml:space="preserve">The legal rule is regulation 106 of the Value Added Tax Regulations 1995.</w:t>
      </w:r>
    </w:p>
    <w:p>
      <w:pPr>
        <w:pStyle w:val="Compact"/>
        <w:numPr>
          <w:ilvl w:val="0"/>
          <w:numId w:val="1033"/>
        </w:numPr>
      </w:pPr>
      <w:r>
        <w:t xml:space="preserve">HMRC is clear:</w:t>
      </w:r>
      <w:r>
        <w:t xml:space="preserve"> </w:t>
      </w:r>
      <w:r>
        <w:t xml:space="preserve">“</w:t>
      </w:r>
      <w:r>
        <w:t xml:space="preserve">There is no de minimis limit for non-business VAT</w:t>
      </w:r>
      <w:r>
        <w:t xml:space="preserve">”</w:t>
      </w:r>
      <w:r>
        <w:t xml:space="preserve"> </w:t>
      </w:r>
      <w:r>
        <w:t xml:space="preserve">(</w:t>
      </w:r>
      <w:hyperlink w:anchor="ref-hmrc_n706">
        <w:r>
          <w:rPr>
            <w:rStyle w:val="Hyperlink"/>
          </w:rPr>
          <w:t xml:space="preserve">HMRC, 2025h, para. 11.1</w:t>
        </w:r>
      </w:hyperlink>
      <w:r>
        <w:t xml:space="preserve">)</w:t>
      </w:r>
      <w:r>
        <w:t xml:space="preserve">.</w:t>
      </w:r>
    </w:p>
    <w:p>
      <w:pPr>
        <w:pStyle w:val="Compact"/>
        <w:numPr>
          <w:ilvl w:val="0"/>
          <w:numId w:val="1033"/>
        </w:numPr>
      </w:pPr>
      <w:r>
        <w:t xml:space="preserve">Which supplies are exempt is explained later (see Part 3).</w:t>
      </w:r>
    </w:p>
    <w:p>
      <w:pPr>
        <w:pStyle w:val="FirstParagraph"/>
      </w:pPr>
      <w:r>
        <w:rPr>
          <w:b/>
          <w:bCs/>
        </w:rPr>
        <w:t xml:space="preserve">De minimis example:</w:t>
      </w:r>
      <w:r>
        <w:t xml:space="preserve"> </w:t>
      </w:r>
      <w:r>
        <w:t xml:space="preserve">a small property management company makes standard-rated management fees and exempt residential lettings. In one quarter its total input tax is £4,800.</w:t>
      </w:r>
    </w:p>
    <w:p>
      <w:pPr>
        <w:pStyle w:val="Compact"/>
        <w:numPr>
          <w:ilvl w:val="0"/>
          <w:numId w:val="1035"/>
        </w:numPr>
      </w:pPr>
      <w:r>
        <w:rPr>
          <w:b/>
          <w:bCs/>
        </w:rPr>
        <w:t xml:space="preserve">Case A:</w:t>
      </w:r>
      <w:r>
        <w:t xml:space="preserve"> </w:t>
      </w:r>
      <w:r>
        <w:t xml:space="preserve">exempt input tax of £1,500. The monthly average is £1,500 ÷ 3 = £500, which is below £625. It is also £1,500 ÷ £4,800 = 31% of total input tax, which is below half.</w:t>
      </w:r>
      <w:r>
        <w:t xml:space="preserve"> </w:t>
      </w:r>
      <w:r>
        <w:rPr>
          <w:b/>
          <w:bCs/>
        </w:rPr>
        <w:t xml:space="preserve">Recoverable:</w:t>
      </w:r>
      <w:r>
        <w:t xml:space="preserve"> </w:t>
      </w:r>
      <w:r>
        <w:t xml:space="preserve">all £4,800.</w:t>
      </w:r>
    </w:p>
    <w:p>
      <w:pPr>
        <w:pStyle w:val="Compact"/>
        <w:numPr>
          <w:ilvl w:val="0"/>
          <w:numId w:val="1035"/>
        </w:numPr>
      </w:pPr>
      <w:r>
        <w:rPr>
          <w:b/>
          <w:bCs/>
        </w:rPr>
        <w:t xml:space="preserve">Case B:</w:t>
      </w:r>
      <w:r>
        <w:t xml:space="preserve"> </w:t>
      </w:r>
      <w:r>
        <w:t xml:space="preserve">exempt input tax of £2,400. The monthly average is £2,400 ÷ 3 = £800, which is above £625. The first test fails. The two simplified tests also fail, because even the exempt input tax alone averages more than £625 a month, so the company is not de minimis</w:t>
      </w:r>
      <w:r>
        <w:t xml:space="preserve"> </w:t>
      </w:r>
      <w:r>
        <w:t xml:space="preserve">(</w:t>
      </w:r>
      <w:hyperlink w:anchor="ref-hmrc_n706">
        <w:r>
          <w:rPr>
            <w:rStyle w:val="Hyperlink"/>
          </w:rPr>
          <w:t xml:space="preserve">HMRC, 2025h, paras 11.7–11.8</w:t>
        </w:r>
      </w:hyperlink>
      <w:r>
        <w:t xml:space="preserve">)</w:t>
      </w:r>
      <w:r>
        <w:t xml:space="preserve">.</w:t>
      </w:r>
      <w:r>
        <w:t xml:space="preserve"> </w:t>
      </w:r>
      <w:r>
        <w:rPr>
          <w:b/>
          <w:bCs/>
        </w:rPr>
        <w:t xml:space="preserve">Partly recoverable:</w:t>
      </w:r>
      <w:r>
        <w:t xml:space="preserve"> </w:t>
      </w:r>
      <w:r>
        <w:t xml:space="preserve">£4,800 − £2,400 = £2,400 is recovered. The other £2,400 is a cost.</w:t>
      </w:r>
    </w:p>
    <w:bookmarkEnd w:id="42"/>
    <w:bookmarkStart w:id="43" w:name="non-business-use"/>
    <w:p>
      <w:pPr>
        <w:pStyle w:val="Heading4"/>
      </w:pPr>
      <w:r>
        <w:t xml:space="preserve">Non-business use</w:t>
      </w:r>
    </w:p>
    <w:p>
      <w:pPr>
        <w:pStyle w:val="Compact"/>
        <w:numPr>
          <w:ilvl w:val="0"/>
          <w:numId w:val="1036"/>
        </w:numPr>
      </w:pPr>
      <w:r>
        <w:t xml:space="preserve">“</w:t>
      </w:r>
      <w:r>
        <w:t xml:space="preserve">VAT you incur on purchases that are used exclusively for non-business purposes is not input tax and you cannot recover it</w:t>
      </w:r>
      <w:r>
        <w:t xml:space="preserve">”</w:t>
      </w:r>
      <w:r>
        <w:t xml:space="preserve"> </w:t>
      </w:r>
      <w:r>
        <w:t xml:space="preserve">(</w:t>
      </w:r>
      <w:hyperlink w:anchor="ref-hmrc_n706">
        <w:r>
          <w:rPr>
            <w:rStyle w:val="Hyperlink"/>
          </w:rPr>
          <w:t xml:space="preserve">HMRC, 2025h, para. 2.2</w:t>
        </w:r>
      </w:hyperlink>
      <w:r>
        <w:t xml:space="preserve">)</w:t>
      </w:r>
      <w:r>
        <w:t xml:space="preserve">.</w:t>
      </w:r>
    </w:p>
    <w:p>
      <w:pPr>
        <w:pStyle w:val="Compact"/>
        <w:numPr>
          <w:ilvl w:val="0"/>
          <w:numId w:val="1036"/>
        </w:numPr>
      </w:pPr>
      <w:r>
        <w:t xml:space="preserve">If a purchase is used for both business and non-business purposes, the VAT is first split between the two. The partial exemption rules then apply to the business share</w:t>
      </w:r>
      <w:r>
        <w:t xml:space="preserve"> </w:t>
      </w:r>
      <w:r>
        <w:t xml:space="preserve">(</w:t>
      </w:r>
      <w:hyperlink w:anchor="ref-hmrc_n706">
        <w:r>
          <w:rPr>
            <w:rStyle w:val="Hyperlink"/>
          </w:rPr>
          <w:t xml:space="preserve">HMRC, 2025h, para. 2.2</w:t>
        </w:r>
      </w:hyperlink>
      <w:r>
        <w:t xml:space="preserve">)</w:t>
      </w:r>
      <w:r>
        <w:t xml:space="preserve">. The legal rule is section 24(5) of the Value Added Tax Act 1994.</w:t>
      </w:r>
    </w:p>
    <w:p>
      <w:pPr>
        <w:pStyle w:val="Compact"/>
        <w:numPr>
          <w:ilvl w:val="0"/>
          <w:numId w:val="1036"/>
        </w:numPr>
      </w:pPr>
      <w:r>
        <w:t xml:space="preserve">Government departments, NHS bodies and local authorities have special refund schemes for some non-business VAT</w:t>
      </w:r>
      <w:r>
        <w:t xml:space="preserve"> </w:t>
      </w:r>
      <w:r>
        <w:t xml:space="preserve">(</w:t>
      </w:r>
      <w:hyperlink w:anchor="ref-hmrc_vatgpb">
        <w:r>
          <w:rPr>
            <w:rStyle w:val="Hyperlink"/>
          </w:rPr>
          <w:t xml:space="preserve">HMRC, 2026n, sec. VATGPB9340</w:t>
        </w:r>
      </w:hyperlink>
      <w:r>
        <w:t xml:space="preserve">)</w:t>
      </w:r>
      <w:r>
        <w:t xml:space="preserve">. These are explained in the next section.</w:t>
      </w:r>
    </w:p>
    <w:bookmarkEnd w:id="43"/>
    <w:bookmarkStart w:id="44" w:name="blocked-items"/>
    <w:p>
      <w:pPr>
        <w:pStyle w:val="Heading4"/>
      </w:pPr>
      <w:r>
        <w:t xml:space="preserve">Blocked items</w:t>
      </w:r>
    </w:p>
    <w:p>
      <w:pPr>
        <w:pStyle w:val="Compact"/>
        <w:numPr>
          <w:ilvl w:val="0"/>
          <w:numId w:val="1037"/>
        </w:numPr>
      </w:pPr>
      <w:r>
        <w:t xml:space="preserve">The law lets the Treasury exclude VAT on certain items from recovery (Value Added Tax Act 1994, s. 25(7)). The Value Added Tax (Input Tax) Order 1992 does this for cars (article 7) and business entertainment (article 5). HMRC calls this</w:t>
      </w:r>
      <w:r>
        <w:t xml:space="preserve"> </w:t>
      </w:r>
      <w:r>
        <w:t xml:space="preserve">“</w:t>
      </w:r>
      <w:r>
        <w:t xml:space="preserve">blocked</w:t>
      </w:r>
      <w:r>
        <w:t xml:space="preserve">”</w:t>
      </w:r>
      <w:r>
        <w:t xml:space="preserve"> </w:t>
      </w:r>
      <w:r>
        <w:t xml:space="preserve">input tax</w:t>
      </w:r>
      <w:r>
        <w:t xml:space="preserve"> </w:t>
      </w:r>
      <w:r>
        <w:t xml:space="preserve">(</w:t>
      </w:r>
      <w:hyperlink w:anchor="ref-hmrc_n706">
        <w:r>
          <w:rPr>
            <w:rStyle w:val="Hyperlink"/>
          </w:rPr>
          <w:t xml:space="preserve">HMRC, 2025h, para. 2.4</w:t>
        </w:r>
      </w:hyperlink>
      <w:r>
        <w:t xml:space="preserve">)</w:t>
      </w:r>
      <w:r>
        <w:t xml:space="preserve">.</w:t>
      </w:r>
    </w:p>
    <w:p>
      <w:pPr>
        <w:pStyle w:val="Compact"/>
        <w:numPr>
          <w:ilvl w:val="0"/>
          <w:numId w:val="1037"/>
        </w:numPr>
      </w:pPr>
      <w:r>
        <w:rPr>
          <w:b/>
          <w:bCs/>
        </w:rPr>
        <w:t xml:space="preserve">Cars:</w:t>
      </w:r>
      <w:r>
        <w:t xml:space="preserve"> </w:t>
      </w:r>
      <w:r>
        <w:t xml:space="preserve">“</w:t>
      </w:r>
      <w:r>
        <w:t xml:space="preserve">As a general rule, you cannot recover the VAT on the purchase</w:t>
      </w:r>
      <w:r>
        <w:t xml:space="preserve">”</w:t>
      </w:r>
      <w:r>
        <w:t xml:space="preserve"> </w:t>
      </w:r>
      <w:r>
        <w:t xml:space="preserve">of a car. There are exceptions. One is a car used only for business that is not available for anyone’s private use</w:t>
      </w:r>
      <w:r>
        <w:t xml:space="preserve"> </w:t>
      </w:r>
      <w:r>
        <w:t xml:space="preserve">(</w:t>
      </w:r>
      <w:hyperlink w:anchor="ref-hmrc_n70064">
        <w:r>
          <w:rPr>
            <w:rStyle w:val="Hyperlink"/>
          </w:rPr>
          <w:t xml:space="preserve">HMRC, 2024c, para. 3.1</w:t>
        </w:r>
      </w:hyperlink>
      <w:r>
        <w:t xml:space="preserve">)</w:t>
      </w:r>
      <w:r>
        <w:t xml:space="preserve">. If a business leases a car for business use, it normally cannot recover 50% of the VAT on the lease charges</w:t>
      </w:r>
      <w:r>
        <w:t xml:space="preserve"> </w:t>
      </w:r>
      <w:r>
        <w:t xml:space="preserve">(</w:t>
      </w:r>
      <w:hyperlink w:anchor="ref-hmrc_n70064">
        <w:r>
          <w:rPr>
            <w:rStyle w:val="Hyperlink"/>
          </w:rPr>
          <w:t xml:space="preserve">HMRC, 2024c, para. 4.2</w:t>
        </w:r>
      </w:hyperlink>
      <w:r>
        <w:t xml:space="preserve">)</w:t>
      </w:r>
      <w:r>
        <w:t xml:space="preserve">.</w:t>
      </w:r>
    </w:p>
    <w:p>
      <w:pPr>
        <w:pStyle w:val="Compact"/>
        <w:numPr>
          <w:ilvl w:val="0"/>
          <w:numId w:val="1037"/>
        </w:numPr>
      </w:pPr>
      <w:r>
        <w:rPr>
          <w:b/>
          <w:bCs/>
        </w:rPr>
        <w:t xml:space="preserve">Business entertainment:</w:t>
      </w:r>
      <w:r>
        <w:t xml:space="preserve"> </w:t>
      </w:r>
      <w:r>
        <w:t xml:space="preserve">“</w:t>
      </w:r>
      <w:r>
        <w:t xml:space="preserve">You cannot recover input tax incurred on the provision of business entertainment expenses</w:t>
      </w:r>
      <w:r>
        <w:t xml:space="preserve">”</w:t>
      </w:r>
      <w:r>
        <w:t xml:space="preserve"> </w:t>
      </w:r>
      <w:r>
        <w:t xml:space="preserve">(</w:t>
      </w:r>
      <w:hyperlink w:anchor="ref-hmrc_n70065">
        <w:r>
          <w:rPr>
            <w:rStyle w:val="Hyperlink"/>
          </w:rPr>
          <w:t xml:space="preserve">HMRC, 2026b, para. 1.2</w:t>
        </w:r>
      </w:hyperlink>
      <w:r>
        <w:t xml:space="preserve">)</w:t>
      </w:r>
      <w:r>
        <w:t xml:space="preserve">.</w:t>
      </w:r>
    </w:p>
    <w:p>
      <w:pPr>
        <w:pStyle w:val="Compact"/>
        <w:numPr>
          <w:ilvl w:val="1"/>
          <w:numId w:val="1038"/>
        </w:numPr>
      </w:pPr>
      <w:r>
        <w:t xml:space="preserve">Entertainment means hospitality of any kind, such as food, drink, accommodation or tickets. It is business entertainment when it is provided free to people who are not employees</w:t>
      </w:r>
      <w:r>
        <w:t xml:space="preserve"> </w:t>
      </w:r>
      <w:r>
        <w:t xml:space="preserve">(</w:t>
      </w:r>
      <w:hyperlink w:anchor="ref-hmrc_n70065">
        <w:r>
          <w:rPr>
            <w:rStyle w:val="Hyperlink"/>
          </w:rPr>
          <w:t xml:space="preserve">HMRC, 2026b, paras 2.1–2.2</w:t>
        </w:r>
      </w:hyperlink>
      <w:r>
        <w:t xml:space="preserve">)</w:t>
      </w:r>
      <w:r>
        <w:t xml:space="preserve">.</w:t>
      </w:r>
    </w:p>
    <w:p>
      <w:pPr>
        <w:pStyle w:val="Compact"/>
        <w:numPr>
          <w:ilvl w:val="1"/>
          <w:numId w:val="1038"/>
        </w:numPr>
      </w:pPr>
      <w:r>
        <w:t xml:space="preserve">There is a limited exception for overseas customers. The VAT may be recoverable if the entertainment is reasonable in scale and character, but an output tax charge may cancel it out where there is a private benefit</w:t>
      </w:r>
      <w:r>
        <w:t xml:space="preserve"> </w:t>
      </w:r>
      <w:r>
        <w:t xml:space="preserve">(</w:t>
      </w:r>
      <w:hyperlink w:anchor="ref-hmrc_n70065">
        <w:r>
          <w:rPr>
            <w:rStyle w:val="Hyperlink"/>
          </w:rPr>
          <w:t xml:space="preserve">HMRC, 2026b, para. 2.6</w:t>
        </w:r>
      </w:hyperlink>
      <w:r>
        <w:t xml:space="preserve">)</w:t>
      </w:r>
      <w:r>
        <w:t xml:space="preserve">.</w:t>
      </w:r>
    </w:p>
    <w:p>
      <w:pPr>
        <w:pStyle w:val="Compact"/>
        <w:numPr>
          <w:ilvl w:val="0"/>
          <w:numId w:val="1037"/>
        </w:numPr>
      </w:pPr>
      <w:r>
        <w:rPr>
          <w:b/>
          <w:bCs/>
        </w:rPr>
        <w:t xml:space="preserve">Example:</w:t>
      </w:r>
      <w:r>
        <w:t xml:space="preserve"> </w:t>
      </w:r>
      <w:r>
        <w:t xml:space="preserve">a company takes UK clients to dinner. The bill is £500 + £100 VAT.</w:t>
      </w:r>
      <w:r>
        <w:t xml:space="preserve"> </w:t>
      </w:r>
      <w:r>
        <w:rPr>
          <w:b/>
          <w:bCs/>
        </w:rPr>
        <w:t xml:space="preserve">Not recoverable:</w:t>
      </w:r>
      <w:r>
        <w:t xml:space="preserve"> </w:t>
      </w:r>
      <w:r>
        <w:t xml:space="preserve">the £100.</w:t>
      </w:r>
    </w:p>
    <w:p>
      <w:pPr>
        <w:pStyle w:val="Compact"/>
        <w:numPr>
          <w:ilvl w:val="0"/>
          <w:numId w:val="1037"/>
        </w:numPr>
      </w:pPr>
      <w:r>
        <w:t xml:space="preserve">Local authorities face the same blocks on cars and on some entertainment. VAT on these items is also excluded from their section 33 refunds under section 33(6) of the Value Added Tax Act 1994</w:t>
      </w:r>
      <w:r>
        <w:t xml:space="preserve"> </w:t>
      </w:r>
      <w:r>
        <w:t xml:space="preserve">(</w:t>
      </w:r>
      <w:hyperlink w:anchor="ref-hmrc_vatgpb">
        <w:r>
          <w:rPr>
            <w:rStyle w:val="Hyperlink"/>
          </w:rPr>
          <w:t xml:space="preserve">HMRC, 2026n, sec. VATGPB4420</w:t>
        </w:r>
      </w:hyperlink>
      <w:r>
        <w:t xml:space="preserve">)</w:t>
      </w:r>
      <w:r>
        <w:t xml:space="preserve">.</w:t>
      </w:r>
    </w:p>
    <w:bookmarkEnd w:id="44"/>
    <w:bookmarkStart w:id="45" w:name="no-valid-evidence"/>
    <w:p>
      <w:pPr>
        <w:pStyle w:val="Heading4"/>
      </w:pPr>
      <w:r>
        <w:t xml:space="preserve">No valid evidence</w:t>
      </w:r>
    </w:p>
    <w:p>
      <w:pPr>
        <w:pStyle w:val="Compact"/>
        <w:numPr>
          <w:ilvl w:val="0"/>
          <w:numId w:val="1039"/>
        </w:numPr>
      </w:pPr>
      <w:r>
        <w:t xml:space="preserve">To reclaim VAT, you must hold valid evidence that you received a taxable supply</w:t>
      </w:r>
      <w:r>
        <w:t xml:space="preserve"> </w:t>
      </w:r>
      <w:r>
        <w:t xml:space="preserve">(</w:t>
      </w:r>
      <w:hyperlink w:anchor="ref-hmrc_n700">
        <w:r>
          <w:rPr>
            <w:rStyle w:val="Hyperlink"/>
          </w:rPr>
          <w:t xml:space="preserve">HMRC, 2026o, para. 10.6</w:t>
        </w:r>
      </w:hyperlink>
      <w:r>
        <w:t xml:space="preserve">)</w:t>
      </w:r>
      <w:r>
        <w:t xml:space="preserve">.</w:t>
      </w:r>
    </w:p>
    <w:p>
      <w:pPr>
        <w:pStyle w:val="Compact"/>
        <w:numPr>
          <w:ilvl w:val="0"/>
          <w:numId w:val="1039"/>
        </w:numPr>
      </w:pPr>
      <w:r>
        <w:t xml:space="preserve">An invoice marked</w:t>
      </w:r>
      <w:r>
        <w:t xml:space="preserve"> </w:t>
      </w:r>
      <w:r>
        <w:t xml:space="preserve">“</w:t>
      </w:r>
      <w:r>
        <w:t xml:space="preserve">pro-forma</w:t>
      </w:r>
      <w:r>
        <w:t xml:space="preserve">”</w:t>
      </w:r>
      <w:r>
        <w:t xml:space="preserve"> </w:t>
      </w:r>
      <w:r>
        <w:t xml:space="preserve">or</w:t>
      </w:r>
      <w:r>
        <w:t xml:space="preserve"> </w:t>
      </w:r>
      <w:r>
        <w:t xml:space="preserve">“</w:t>
      </w:r>
      <w:r>
        <w:t xml:space="preserve">this is not a tax invoice</w:t>
      </w:r>
      <w:r>
        <w:t xml:space="preserve">”</w:t>
      </w:r>
      <w:r>
        <w:t xml:space="preserve"> </w:t>
      </w:r>
      <w:r>
        <w:t xml:space="preserve">cannot be used</w:t>
      </w:r>
      <w:r>
        <w:t xml:space="preserve"> </w:t>
      </w:r>
      <w:r>
        <w:t xml:space="preserve">(</w:t>
      </w:r>
      <w:hyperlink w:anchor="ref-hmrc_n700">
        <w:r>
          <w:rPr>
            <w:rStyle w:val="Hyperlink"/>
          </w:rPr>
          <w:t xml:space="preserve">HMRC, 2026o, para. 19.5.1</w:t>
        </w:r>
      </w:hyperlink>
      <w:r>
        <w:t xml:space="preserve">)</w:t>
      </w:r>
      <w:r>
        <w:t xml:space="preserve">.</w:t>
      </w:r>
    </w:p>
    <w:p>
      <w:pPr>
        <w:pStyle w:val="Compact"/>
        <w:numPr>
          <w:ilvl w:val="0"/>
          <w:numId w:val="1039"/>
        </w:numPr>
      </w:pPr>
      <w:r>
        <w:t xml:space="preserve">If you do not hold a VAT invoice, first ask the supplier for one. HMRC may accept other evidence, but only at its discretion</w:t>
      </w:r>
      <w:r>
        <w:t xml:space="preserve"> </w:t>
      </w:r>
      <w:r>
        <w:t xml:space="preserve">(</w:t>
      </w:r>
      <w:hyperlink w:anchor="ref-hmrc_n700">
        <w:r>
          <w:rPr>
            <w:rStyle w:val="Hyperlink"/>
          </w:rPr>
          <w:t xml:space="preserve">HMRC, 2026o, paras 19.5.3–19.5.4</w:t>
        </w:r>
      </w:hyperlink>
      <w:r>
        <w:t xml:space="preserve">)</w:t>
      </w:r>
      <w:r>
        <w:t xml:space="preserve">.</w:t>
      </w:r>
    </w:p>
    <w:p>
      <w:pPr>
        <w:pStyle w:val="Compact"/>
        <w:numPr>
          <w:ilvl w:val="0"/>
          <w:numId w:val="1039"/>
        </w:numPr>
      </w:pPr>
      <w:r>
        <w:t xml:space="preserve">For imports, hold the C79 certificate or the postponed import VAT statement</w:t>
      </w:r>
      <w:r>
        <w:t xml:space="preserve"> </w:t>
      </w:r>
      <w:r>
        <w:t xml:space="preserve">(</w:t>
      </w:r>
      <w:hyperlink w:anchor="ref-hmrc_pva_return">
        <w:r>
          <w:rPr>
            <w:rStyle w:val="Hyperlink"/>
          </w:rPr>
          <w:t xml:space="preserve">HMRC, 2023a</w:t>
        </w:r>
      </w:hyperlink>
      <w:r>
        <w:t xml:space="preserve">;</w:t>
      </w:r>
      <w:r>
        <w:t xml:space="preserve"> </w:t>
      </w:r>
      <w:hyperlink w:anchor="ref-hmrc_n700">
        <w:r>
          <w:rPr>
            <w:rStyle w:val="Hyperlink"/>
          </w:rPr>
          <w:t xml:space="preserve">2026o, para. 19.5.7</w:t>
        </w:r>
      </w:hyperlink>
      <w:r>
        <w:t xml:space="preserve">)</w:t>
      </w:r>
      <w:r>
        <w:t xml:space="preserve">.</w:t>
      </w:r>
    </w:p>
    <w:bookmarkEnd w:id="45"/>
    <w:bookmarkStart w:id="46" w:name="private-use"/>
    <w:p>
      <w:pPr>
        <w:pStyle w:val="Heading4"/>
      </w:pPr>
      <w:r>
        <w:t xml:space="preserve">Private use</w:t>
      </w:r>
    </w:p>
    <w:p>
      <w:pPr>
        <w:pStyle w:val="Compact"/>
        <w:numPr>
          <w:ilvl w:val="0"/>
          <w:numId w:val="1040"/>
        </w:numPr>
      </w:pPr>
      <w:r>
        <w:t xml:space="preserve">If goods or services are used partly for private purposes, only the business share is input tax (Value Added Tax Act 1994, s. 24(5)).</w:t>
      </w:r>
    </w:p>
    <w:p>
      <w:pPr>
        <w:pStyle w:val="Compact"/>
        <w:numPr>
          <w:ilvl w:val="0"/>
          <w:numId w:val="1040"/>
        </w:numPr>
      </w:pPr>
      <w:r>
        <w:t xml:space="preserve">HMRC’s example: if the VAT is £100 and only one quarter of the use is for business, the input tax is £100 ÷ 4 = £25</w:t>
      </w:r>
      <w:r>
        <w:t xml:space="preserve"> </w:t>
      </w:r>
      <w:r>
        <w:t xml:space="preserve">(</w:t>
      </w:r>
      <w:hyperlink w:anchor="ref-hmrc_n700">
        <w:r>
          <w:rPr>
            <w:rStyle w:val="Hyperlink"/>
          </w:rPr>
          <w:t xml:space="preserve">HMRC, 2026o, para. 32.3</w:t>
        </w:r>
      </w:hyperlink>
      <w:r>
        <w:t xml:space="preserve">)</w:t>
      </w:r>
      <w:r>
        <w:t xml:space="preserve">.</w:t>
      </w:r>
    </w:p>
    <w:bookmarkEnd w:id="46"/>
    <w:bookmarkStart w:id="47" w:name="foreign-vat"/>
    <w:p>
      <w:pPr>
        <w:pStyle w:val="Heading4"/>
      </w:pPr>
      <w:r>
        <w:t xml:space="preserve">Foreign VAT</w:t>
      </w:r>
    </w:p>
    <w:p>
      <w:pPr>
        <w:pStyle w:val="Compact"/>
        <w:numPr>
          <w:ilvl w:val="0"/>
          <w:numId w:val="1041"/>
        </w:numPr>
      </w:pPr>
      <w:r>
        <w:t xml:space="preserve">VAT charged by another country is not UK VAT. It cannot be input tax on a UK VAT return, and it cannot be refunded under section 41(3). Both provisions refer to VAT charged under the UK Act (Value Added Tax Act 1994, ss. 1(1), 24(1) and 41(3)).</w:t>
      </w:r>
    </w:p>
    <w:p>
      <w:pPr>
        <w:pStyle w:val="Compact"/>
        <w:numPr>
          <w:ilvl w:val="0"/>
          <w:numId w:val="1041"/>
        </w:numPr>
      </w:pPr>
      <w:r>
        <w:t xml:space="preserve">A UK business may be able to claim foreign VAT back from the other country, using that country’s own procedure</w:t>
      </w:r>
      <w:r>
        <w:t xml:space="preserve"> </w:t>
      </w:r>
      <w:r>
        <w:t xml:space="preserve">(</w:t>
      </w:r>
      <w:hyperlink w:anchor="ref-hmrc_eu_refunds">
        <w:r>
          <w:rPr>
            <w:rStyle w:val="Hyperlink"/>
          </w:rPr>
          <w:t xml:space="preserve">HMRC, 2020d</w:t>
        </w:r>
      </w:hyperlink>
      <w:r>
        <w:t xml:space="preserve">;</w:t>
      </w:r>
      <w:r>
        <w:t xml:space="preserve"> </w:t>
      </w:r>
      <w:hyperlink w:anchor="ref-hmrc_n723a">
        <w:r>
          <w:rPr>
            <w:rStyle w:val="Hyperlink"/>
          </w:rPr>
          <w:t xml:space="preserve">2026l, para. 1.1</w:t>
        </w:r>
      </w:hyperlink>
      <w:r>
        <w:t xml:space="preserve">;</w:t>
      </w:r>
      <w:r>
        <w:t xml:space="preserve"> </w:t>
      </w:r>
      <w:hyperlink w:anchor="ref-hmrc_n700">
        <w:r>
          <w:rPr>
            <w:rStyle w:val="Hyperlink"/>
          </w:rPr>
          <w:t xml:space="preserve">2026o, para. 10.7</w:t>
        </w:r>
      </w:hyperlink>
      <w:r>
        <w:t xml:space="preserve">)</w:t>
      </w:r>
      <w:r>
        <w:t xml:space="preserve">.</w:t>
      </w:r>
    </w:p>
    <w:p>
      <w:pPr>
        <w:pStyle w:val="Compact"/>
        <w:numPr>
          <w:ilvl w:val="0"/>
          <w:numId w:val="1041"/>
        </w:numPr>
      </w:pPr>
      <w:r>
        <w:t xml:space="preserve">The Department’s position on foreign VAT is explained in detail later (see Part 4).</w:t>
      </w:r>
    </w:p>
    <w:bookmarkEnd w:id="47"/>
    <w:bookmarkStart w:id="48" w:name="out-of-time"/>
    <w:p>
      <w:pPr>
        <w:pStyle w:val="Heading4"/>
      </w:pPr>
      <w:r>
        <w:t xml:space="preserve">Out of time</w:t>
      </w:r>
    </w:p>
    <w:p>
      <w:pPr>
        <w:pStyle w:val="Compact"/>
        <w:numPr>
          <w:ilvl w:val="0"/>
          <w:numId w:val="1042"/>
        </w:numPr>
      </w:pPr>
      <w:r>
        <w:rPr>
          <w:b/>
          <w:bCs/>
        </w:rPr>
        <w:t xml:space="preserve">Input tax:</w:t>
      </w:r>
      <w:r>
        <w:t xml:space="preserve"> </w:t>
      </w:r>
      <w:r>
        <w:t xml:space="preserve">4 years from the due date of the return for the first period in which you could have claimed</w:t>
      </w:r>
      <w:r>
        <w:t xml:space="preserve"> </w:t>
      </w:r>
      <w:r>
        <w:t xml:space="preserve">(</w:t>
      </w:r>
      <w:hyperlink w:anchor="ref-hmrc_n70045">
        <w:r>
          <w:rPr>
            <w:rStyle w:val="Hyperlink"/>
          </w:rPr>
          <w:t xml:space="preserve">HMRC, 2025e, para. 4.7</w:t>
        </w:r>
      </w:hyperlink>
      <w:r>
        <w:t xml:space="preserve">)</w:t>
      </w:r>
      <w:r>
        <w:t xml:space="preserve">.</w:t>
      </w:r>
    </w:p>
    <w:p>
      <w:pPr>
        <w:pStyle w:val="Compact"/>
        <w:numPr>
          <w:ilvl w:val="0"/>
          <w:numId w:val="1042"/>
        </w:numPr>
      </w:pPr>
      <w:r>
        <w:rPr>
          <w:b/>
          <w:bCs/>
        </w:rPr>
        <w:t xml:space="preserve">COS refunds:</w:t>
      </w:r>
      <w:r>
        <w:t xml:space="preserve"> </w:t>
      </w:r>
      <w:r>
        <w:t xml:space="preserve">the financial year of the tax point, up to the June VAT return</w:t>
      </w:r>
      <w:r>
        <w:t xml:space="preserve"> </w:t>
      </w:r>
      <w:r>
        <w:t xml:space="preserve">(</w:t>
      </w:r>
      <w:hyperlink w:anchor="ref-hmrc_vatgpb">
        <w:r>
          <w:rPr>
            <w:rStyle w:val="Hyperlink"/>
          </w:rPr>
          <w:t xml:space="preserve">HMRC, 2026n, sec. VATGPB9720</w:t>
        </w:r>
      </w:hyperlink>
      <w:r>
        <w:t xml:space="preserve">)</w:t>
      </w:r>
      <w:r>
        <w:t xml:space="preserve">. See Part 5, How and when to claim.</w:t>
      </w:r>
    </w:p>
    <w:bookmarkEnd w:id="48"/>
    <w:bookmarkStart w:id="49" w:name="vat-charged-in-error"/>
    <w:p>
      <w:pPr>
        <w:pStyle w:val="Heading4"/>
      </w:pPr>
      <w:r>
        <w:t xml:space="preserve">VAT charged in error</w:t>
      </w:r>
    </w:p>
    <w:p>
      <w:pPr>
        <w:pStyle w:val="Compact"/>
        <w:numPr>
          <w:ilvl w:val="0"/>
          <w:numId w:val="1043"/>
        </w:numPr>
      </w:pPr>
      <w:r>
        <w:t xml:space="preserve">You cannot reclaim VAT that was charged incorrectly</w:t>
      </w:r>
      <w:r>
        <w:t xml:space="preserve"> </w:t>
      </w:r>
      <w:r>
        <w:t xml:space="preserve">(</w:t>
      </w:r>
      <w:hyperlink w:anchor="ref-hmrc_n700">
        <w:r>
          <w:rPr>
            <w:rStyle w:val="Hyperlink"/>
          </w:rPr>
          <w:t xml:space="preserve">HMRC, 2026o, para. 10.3</w:t>
        </w:r>
      </w:hyperlink>
      <w:r>
        <w:t xml:space="preserve">)</w:t>
      </w:r>
      <w:r>
        <w:t xml:space="preserve">.</w:t>
      </w:r>
    </w:p>
    <w:p>
      <w:pPr>
        <w:pStyle w:val="Compact"/>
        <w:numPr>
          <w:ilvl w:val="0"/>
          <w:numId w:val="1043"/>
        </w:numPr>
      </w:pPr>
      <w:r>
        <w:t xml:space="preserve">If a supplier wrongly charged you VAT, HMRC treats it as a commercial matter between you and the supplier. Ask the supplier for a refund</w:t>
      </w:r>
      <w:r>
        <w:t xml:space="preserve"> </w:t>
      </w:r>
      <w:r>
        <w:t xml:space="preserve">(</w:t>
      </w:r>
      <w:hyperlink w:anchor="ref-hmrc_n70045">
        <w:r>
          <w:rPr>
            <w:rStyle w:val="Hyperlink"/>
          </w:rPr>
          <w:t xml:space="preserve">HMRC, 2025e, para. 5.2</w:t>
        </w:r>
      </w:hyperlink>
      <w:r>
        <w:t xml:space="preserve">)</w:t>
      </w:r>
      <w:r>
        <w:t xml:space="preserve">.</w:t>
      </w:r>
    </w:p>
    <w:bookmarkEnd w:id="49"/>
    <w:bookmarkEnd w:id="50"/>
    <w:bookmarkStart w:id="58" w:name="Xbef4bb9977c4b71515d4c7ae30c27ea88abc392"/>
    <w:p>
      <w:pPr>
        <w:pStyle w:val="Heading3"/>
      </w:pPr>
      <w:r>
        <w:t xml:space="preserve">Recoverable and irrecoverable VAT in government departments</w:t>
      </w:r>
    </w:p>
    <w:p>
      <w:pPr>
        <w:pStyle w:val="FirstParagraph"/>
      </w:pPr>
      <w:r>
        <w:t xml:space="preserve">This is the most important section in this part. A department’s VAT position is very different from a business’s. Part 2 explains in depth how to tell business from non-business activity, including how this works for defence and for dealings with other governments (see Part 2, Business and non-business activity).</w:t>
      </w:r>
    </w:p>
    <w:bookmarkStart w:id="51" w:name="Xcd81bee79060bbc0fabdb001d6000ec83f784c0"/>
    <w:p>
      <w:pPr>
        <w:pStyle w:val="Heading4"/>
      </w:pPr>
      <w:r>
        <w:t xml:space="preserve">Most of what a department does is non-business</w:t>
      </w:r>
    </w:p>
    <w:p>
      <w:pPr>
        <w:pStyle w:val="FirstParagraph"/>
      </w:pPr>
      <w:r>
        <w:t xml:space="preserve">HMRC’s Government departments partial exemption framework says:</w:t>
      </w:r>
    </w:p>
    <w:p>
      <w:pPr>
        <w:pStyle w:val="BlockText"/>
      </w:pPr>
      <w:r>
        <w:t xml:space="preserve">“</w:t>
      </w:r>
      <w:r>
        <w:t xml:space="preserve">The principal activities of a government department are predominantly undertaken for no consideration and are carried out under statutory regulation to deliver public services. These activities are non-business and are therefore outside the scope of VAT.</w:t>
      </w:r>
      <w:r>
        <w:t xml:space="preserve">”</w:t>
      </w:r>
      <w:r>
        <w:t xml:space="preserve"> </w:t>
      </w:r>
      <w:r>
        <w:t xml:space="preserve">(</w:t>
      </w:r>
      <w:hyperlink w:anchor="ref-hmrc_gdpef">
        <w:r>
          <w:rPr>
            <w:rStyle w:val="Hyperlink"/>
          </w:rPr>
          <w:t xml:space="preserve">HMRC, 2023c</w:t>
        </w:r>
      </w:hyperlink>
      <w:r>
        <w:t xml:space="preserve">)</w:t>
      </w:r>
    </w:p>
    <w:p>
      <w:pPr>
        <w:pStyle w:val="FirstParagraph"/>
      </w:pPr>
      <w:r>
        <w:rPr>
          <w:b/>
          <w:bCs/>
        </w:rPr>
        <w:t xml:space="preserve">Section 41A</w:t>
      </w:r>
      <w:r>
        <w:t xml:space="preserve"> </w:t>
      </w:r>
      <w:r>
        <w:t xml:space="preserve">of the Value Added Tax Act 1994 decides when a public body’s supplies are business supplies.</w:t>
      </w:r>
    </w:p>
    <w:p>
      <w:pPr>
        <w:pStyle w:val="Compact"/>
        <w:numPr>
          <w:ilvl w:val="0"/>
          <w:numId w:val="1044"/>
        </w:numPr>
      </w:pPr>
      <w:r>
        <w:t xml:space="preserve">It applies where a public authority makes supplies</w:t>
      </w:r>
      <w:r>
        <w:t xml:space="preserve"> </w:t>
      </w:r>
      <w:r>
        <w:t xml:space="preserve">“</w:t>
      </w:r>
      <w:r>
        <w:t xml:space="preserve">in the course of activities or transactions in which it is engaged as a public authority</w:t>
      </w:r>
      <w:r>
        <w:t xml:space="preserve">”</w:t>
      </w:r>
      <w:r>
        <w:t xml:space="preserve"> </w:t>
      </w:r>
      <w:r>
        <w:t xml:space="preserve">(Value Added Tax Act 1994, s. 41A(1)).</w:t>
      </w:r>
    </w:p>
    <w:p>
      <w:pPr>
        <w:pStyle w:val="Compact"/>
        <w:numPr>
          <w:ilvl w:val="0"/>
          <w:numId w:val="1044"/>
        </w:numPr>
      </w:pPr>
      <w:r>
        <w:t xml:space="preserve">Those supplies are non-business unless one of two things applies:</w:t>
      </w:r>
    </w:p>
    <w:p>
      <w:pPr>
        <w:pStyle w:val="Compact"/>
        <w:numPr>
          <w:ilvl w:val="1"/>
          <w:numId w:val="1045"/>
        </w:numPr>
      </w:pPr>
      <w:r>
        <w:t xml:space="preserve">the activity is on the list in section 41A(2), and is more than negligible in scale. The list includes, for example, transport of goods, warehousing, organising trade fairs and running staff shops or canteens (Value Added Tax Act 1994, s. 41A(2)); or</w:t>
      </w:r>
    </w:p>
    <w:p>
      <w:pPr>
        <w:pStyle w:val="Compact"/>
        <w:numPr>
          <w:ilvl w:val="1"/>
          <w:numId w:val="1045"/>
        </w:numPr>
      </w:pPr>
      <w:r>
        <w:t xml:space="preserve">not charging VAT</w:t>
      </w:r>
      <w:r>
        <w:t xml:space="preserve"> </w:t>
      </w:r>
      <w:r>
        <w:t xml:space="preserve">“</w:t>
      </w:r>
      <w:r>
        <w:t xml:space="preserve">would lead to a significant distortion of competition</w:t>
      </w:r>
      <w:r>
        <w:t xml:space="preserve">”</w:t>
      </w:r>
      <w:r>
        <w:t xml:space="preserve"> </w:t>
      </w:r>
      <w:r>
        <w:t xml:space="preserve">(Value Added Tax Act 1994, s. 41A(3)).</w:t>
      </w:r>
    </w:p>
    <w:p>
      <w:pPr>
        <w:pStyle w:val="Compact"/>
        <w:numPr>
          <w:ilvl w:val="0"/>
          <w:numId w:val="1044"/>
        </w:numPr>
      </w:pPr>
      <w:r>
        <w:t xml:space="preserve">HMRC summarises this. A public body gets non-business treatment only for activities it carries out as a public authority, that would not significantly distort competition, and that are not on the section 41A(2) list unless done on a negligible scale</w:t>
      </w:r>
      <w:r>
        <w:t xml:space="preserve"> </w:t>
      </w:r>
      <w:r>
        <w:t xml:space="preserve">(</w:t>
      </w:r>
      <w:hyperlink w:anchor="ref-hmrc_vatgpb">
        <w:r>
          <w:rPr>
            <w:rStyle w:val="Hyperlink"/>
          </w:rPr>
          <w:t xml:space="preserve">HMRC, 2026n, sec. VATGPB2200</w:t>
        </w:r>
      </w:hyperlink>
      <w:r>
        <w:t xml:space="preserve">)</w:t>
      </w:r>
      <w:r>
        <w:t xml:space="preserve">.</w:t>
      </w:r>
    </w:p>
    <w:p>
      <w:pPr>
        <w:pStyle w:val="Compact"/>
        <w:numPr>
          <w:ilvl w:val="0"/>
          <w:numId w:val="1044"/>
        </w:numPr>
      </w:pPr>
      <w:r>
        <w:t xml:space="preserve">Section 41A was added by section 198 of the Finance Act 2012, with effect from 17 July 2012. The same section repealed the old Treasury power in section 41(2) to direct that departments’ supplies be taxed.</w:t>
      </w:r>
    </w:p>
    <w:bookmarkEnd w:id="51"/>
    <w:bookmarkStart w:id="52" w:name="X297fb40717a9887918fe6121c759015636417c5"/>
    <w:p>
      <w:pPr>
        <w:pStyle w:val="Heading4"/>
      </w:pPr>
      <w:r>
        <w:t xml:space="preserve">Business activities: output tax and input tax</w:t>
      </w:r>
    </w:p>
    <w:p>
      <w:pPr>
        <w:pStyle w:val="FirstParagraph"/>
      </w:pPr>
      <w:r>
        <w:t xml:space="preserve">Some of a department’s activities are business activities. HMRC’s framework gives these examples, among others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46"/>
        </w:numPr>
      </w:pPr>
      <w:r>
        <w:rPr>
          <w:b/>
          <w:bCs/>
        </w:rPr>
        <w:t xml:space="preserve">Standard-rated supplies:</w:t>
      </w:r>
      <w:r>
        <w:t xml:space="preserve"> </w:t>
      </w:r>
      <w:r>
        <w:t xml:space="preserve">catering, car parks, sale of assets, administration fees, salary sacrifice (for example, cycle to work), publications and non-specialist staff secondments.</w:t>
      </w:r>
    </w:p>
    <w:p>
      <w:pPr>
        <w:pStyle w:val="Compact"/>
        <w:numPr>
          <w:ilvl w:val="0"/>
          <w:numId w:val="1046"/>
        </w:numPr>
      </w:pPr>
      <w:r>
        <w:rPr>
          <w:b/>
          <w:bCs/>
        </w:rPr>
        <w:t xml:space="preserve">Exempt supplies:</w:t>
      </w:r>
      <w:r>
        <w:t xml:space="preserve"> </w:t>
      </w:r>
      <w:r>
        <w:t xml:space="preserve">land and property where no option to tax has been made, education by an eligible body, and financial services such as loans.</w:t>
      </w:r>
    </w:p>
    <w:p>
      <w:pPr>
        <w:pStyle w:val="FirstParagraph"/>
      </w:pPr>
      <w:r>
        <w:rPr>
          <w:b/>
          <w:bCs/>
        </w:rPr>
        <w:t xml:space="preserve">Check first:</w:t>
      </w:r>
      <w:r>
        <w:t xml:space="preserve"> </w:t>
      </w:r>
      <w:r>
        <w:t xml:space="preserve">the framework lists</w:t>
      </w:r>
      <w:r>
        <w:t xml:space="preserve"> </w:t>
      </w:r>
      <w:r>
        <w:t xml:space="preserve">“</w:t>
      </w:r>
      <w:r>
        <w:t xml:space="preserve">publications</w:t>
      </w:r>
      <w:r>
        <w:t xml:space="preserve">”</w:t>
      </w:r>
      <w:r>
        <w:t xml:space="preserve"> </w:t>
      </w:r>
      <w:r>
        <w:t xml:space="preserve">as standard-rated, but books, magazines and newspapers are normally zero-rated</w:t>
      </w:r>
      <w:r>
        <w:t xml:space="preserve"> </w:t>
      </w:r>
      <w:r>
        <w:t xml:space="preserve">(</w:t>
      </w:r>
      <w:hyperlink w:anchor="ref-hmrc_vat_rates">
        <w:r>
          <w:rPr>
            <w:rStyle w:val="Hyperlink"/>
          </w:rPr>
          <w:t xml:space="preserve">HMRC, 2026r</w:t>
        </w:r>
      </w:hyperlink>
      <w:r>
        <w:t xml:space="preserve">)</w:t>
      </w:r>
      <w:r>
        <w:t xml:space="preserve">. Check the liability of each item (see Part 3).</w:t>
      </w:r>
    </w:p>
    <w:p>
      <w:pPr>
        <w:pStyle w:val="BodyText"/>
      </w:pPr>
      <w:r>
        <w:t xml:space="preserve">On these business activities:</w:t>
      </w:r>
    </w:p>
    <w:p>
      <w:pPr>
        <w:pStyle w:val="Compact"/>
        <w:numPr>
          <w:ilvl w:val="0"/>
          <w:numId w:val="1047"/>
        </w:numPr>
      </w:pPr>
      <w:r>
        <w:rPr>
          <w:b/>
          <w:bCs/>
        </w:rPr>
        <w:t xml:space="preserve">Output tax:</w:t>
      </w:r>
      <w:r>
        <w:t xml:space="preserve"> </w:t>
      </w:r>
      <w:r>
        <w:t xml:space="preserve">the department charges and accounts for VAT on its taxable supplies like any other business (Value Added Tax Act 1994, s. 41(1)).</w:t>
      </w:r>
    </w:p>
    <w:p>
      <w:pPr>
        <w:pStyle w:val="Compact"/>
        <w:numPr>
          <w:ilvl w:val="0"/>
          <w:numId w:val="1047"/>
        </w:numPr>
      </w:pPr>
      <w:r>
        <w:rPr>
          <w:b/>
          <w:bCs/>
        </w:rPr>
        <w:t xml:space="preserve">Input tax:</w:t>
      </w:r>
      <w:r>
        <w:t xml:space="preserve"> </w:t>
      </w:r>
      <w:r>
        <w:t xml:space="preserve">“</w:t>
      </w:r>
      <w:r>
        <w:t xml:space="preserve">any VAT cost incurred in relation to these activities will be deductible subject to the normal VAT rules</w:t>
      </w:r>
      <w:r>
        <w:t xml:space="preserve">”</w:t>
      </w:r>
      <w:r>
        <w:t xml:space="preserve"> </w:t>
      </w:r>
      <w:r>
        <w:t xml:space="preserve">(</w:t>
      </w:r>
      <w:hyperlink w:anchor="ref-hmrc_gdpef">
        <w:r>
          <w:rPr>
            <w:rStyle w:val="Hyperlink"/>
          </w:rPr>
          <w:t xml:space="preserve">HMRC, 2023c</w:t>
        </w:r>
      </w:hyperlink>
      <w:r>
        <w:t xml:space="preserve">)</w:t>
      </w:r>
      <w:r>
        <w:t xml:space="preserve">. This includes the partial exemption rules.</w:t>
      </w:r>
    </w:p>
    <w:p>
      <w:pPr>
        <w:pStyle w:val="Compact"/>
        <w:numPr>
          <w:ilvl w:val="0"/>
          <w:numId w:val="1047"/>
        </w:numPr>
      </w:pPr>
      <w:r>
        <w:rPr>
          <w:b/>
          <w:bCs/>
        </w:rPr>
        <w:t xml:space="preserve">Specified supplies:</w:t>
      </w:r>
      <w:r>
        <w:t xml:space="preserve"> </w:t>
      </w:r>
      <w:r>
        <w:t xml:space="preserve">certain exempt financial and insurance services that are supplied to people who belong outside the UK, or that are directly linked to the export of goods. These carry the right to recover VAT even though they would be exempt if supplied in the UK</w:t>
      </w:r>
      <w:r>
        <w:t xml:space="preserve"> </w:t>
      </w:r>
      <w:r>
        <w:t xml:space="preserve">(</w:t>
      </w:r>
      <w:hyperlink w:anchor="ref-hmrc_gdpef">
        <w:r>
          <w:rPr>
            <w:rStyle w:val="Hyperlink"/>
          </w:rPr>
          <w:t xml:space="preserve">HMRC, 2023c</w:t>
        </w:r>
      </w:hyperlink>
      <w:r>
        <w:t xml:space="preserve">;</w:t>
      </w:r>
      <w:r>
        <w:t xml:space="preserve"> </w:t>
      </w:r>
      <w:hyperlink w:anchor="ref-hmrc_n700">
        <w:r>
          <w:rPr>
            <w:rStyle w:val="Hyperlink"/>
          </w:rPr>
          <w:t xml:space="preserve">2026o, para. 10.2</w:t>
        </w:r>
      </w:hyperlink>
      <w:r>
        <w:t xml:space="preserve">)</w:t>
      </w:r>
      <w:r>
        <w:t xml:space="preserve">. They are listed in the Value Added Tax (Input Tax) (Specified Supplies) Order 1999.</w:t>
      </w:r>
    </w:p>
    <w:p>
      <w:pPr>
        <w:pStyle w:val="Compact"/>
        <w:numPr>
          <w:ilvl w:val="0"/>
          <w:numId w:val="1047"/>
        </w:numPr>
      </w:pPr>
      <w:r>
        <w:rPr>
          <w:b/>
          <w:bCs/>
        </w:rPr>
        <w:t xml:space="preserve">Goods are fine here.</w:t>
      </w:r>
      <w:r>
        <w:t xml:space="preserve"> </w:t>
      </w:r>
      <w:r>
        <w:t xml:space="preserve">The rule that goods are not covered by COS does not apply to business use. VAT on goods bought for a taxable business activity is ordinary input tax (Value Added Tax Act 1994, s. 24(1)).</w:t>
      </w:r>
    </w:p>
    <w:bookmarkEnd w:id="52"/>
    <w:bookmarkStart w:id="53" w:name="Xd1b5fed1d40a2b45e12a42c6209e21d56ff21e8"/>
    <w:p>
      <w:pPr>
        <w:pStyle w:val="Heading4"/>
      </w:pPr>
      <w:r>
        <w:t xml:space="preserve">Non-business activities: irrecoverable unless COS applies</w:t>
      </w:r>
    </w:p>
    <w:p>
      <w:pPr>
        <w:pStyle w:val="Compact"/>
        <w:numPr>
          <w:ilvl w:val="0"/>
          <w:numId w:val="1048"/>
        </w:numPr>
      </w:pPr>
      <w:r>
        <w:t xml:space="preserve">HMRC:</w:t>
      </w:r>
      <w:r>
        <w:t xml:space="preserve"> </w:t>
      </w:r>
      <w:r>
        <w:t xml:space="preserve">“</w:t>
      </w:r>
      <w:r>
        <w:t xml:space="preserve">Normally VAT incurred on goods and services used exclusively in undertaking non-business activities is irrecoverable</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48"/>
        </w:numPr>
      </w:pPr>
      <w:r>
        <w:t xml:space="preserve">The exception is section 41(3), which refunds VAT on non-business purchases</w:t>
      </w:r>
      <w:r>
        <w:t xml:space="preserve"> </w:t>
      </w:r>
      <w:r>
        <w:t xml:space="preserve">“</w:t>
      </w:r>
      <w:r>
        <w:t xml:space="preserve">if and to the extent that the Treasury so direct</w:t>
      </w:r>
      <w:r>
        <w:t xml:space="preserve">”</w:t>
      </w:r>
      <w:r>
        <w:t xml:space="preserve"> </w:t>
      </w:r>
      <w:r>
        <w:t xml:space="preserve">(Value Added Tax Act 1994, s. 41(3)).</w:t>
      </w:r>
    </w:p>
    <w:p>
      <w:pPr>
        <w:pStyle w:val="Compact"/>
        <w:numPr>
          <w:ilvl w:val="0"/>
          <w:numId w:val="1048"/>
        </w:numPr>
      </w:pPr>
      <w:r>
        <w:t xml:space="preserve">The Treasury’s Contracting Out Direction says what is covered:</w:t>
      </w:r>
    </w:p>
    <w:p>
      <w:pPr>
        <w:pStyle w:val="Compact"/>
        <w:numPr>
          <w:ilvl w:val="1"/>
          <w:numId w:val="1049"/>
        </w:numPr>
      </w:pPr>
      <w:r>
        <w:t xml:space="preserve">services listed in List 2 of the Direction (Headings 1 to 82, with Heading 73 left blank)</w:t>
      </w:r>
      <w:r>
        <w:t xml:space="preserve"> </w:t>
      </w:r>
      <w:r>
        <w:t xml:space="preserve">(</w:t>
      </w:r>
      <w:hyperlink w:anchor="ref-gazette_2020">
        <w:r>
          <w:rPr>
            <w:rStyle w:val="Hyperlink"/>
          </w:rPr>
          <w:t xml:space="preserve">HM Treasury, 2020b, para. 2(a)</w:t>
        </w:r>
      </w:hyperlink>
      <w:r>
        <w:t xml:space="preserve">)</w:t>
      </w:r>
      <w:r>
        <w:t xml:space="preserve">; and</w:t>
      </w:r>
    </w:p>
    <w:p>
      <w:pPr>
        <w:pStyle w:val="Compact"/>
        <w:numPr>
          <w:ilvl w:val="1"/>
          <w:numId w:val="1049"/>
        </w:numPr>
      </w:pPr>
      <w:r>
        <w:t xml:space="preserve">goods only where they are</w:t>
      </w:r>
      <w:r>
        <w:t xml:space="preserve"> </w:t>
      </w:r>
      <w:r>
        <w:t xml:space="preserve">“</w:t>
      </w:r>
      <w:r>
        <w:t xml:space="preserve">closely related to</w:t>
      </w:r>
      <w:r>
        <w:t xml:space="preserve">”</w:t>
      </w:r>
      <w:r>
        <w:t xml:space="preserve"> </w:t>
      </w:r>
      <w:r>
        <w:t xml:space="preserve">the supply of a List 2 service</w:t>
      </w:r>
      <w:r>
        <w:t xml:space="preserve"> </w:t>
      </w:r>
      <w:r>
        <w:t xml:space="preserve">(</w:t>
      </w:r>
      <w:hyperlink w:anchor="ref-gazette_2020">
        <w:r>
          <w:rPr>
            <w:rStyle w:val="Hyperlink"/>
          </w:rPr>
          <w:t xml:space="preserve">HM Treasury, 2020b, para. 2(c)</w:t>
        </w:r>
      </w:hyperlink>
      <w:r>
        <w:t xml:space="preserve">)</w:t>
      </w:r>
      <w:r>
        <w:t xml:space="preserve">. In practice, HMRC’s guidance reads this as goods supplied as an integral part of a qualifying service and included in the same contract</w:t>
      </w:r>
      <w:r>
        <w:t xml:space="preserve"> </w:t>
      </w:r>
      <w:r>
        <w:t xml:space="preserve">(</w:t>
      </w:r>
      <w:hyperlink w:anchor="ref-hmrc_vatgpb">
        <w:r>
          <w:rPr>
            <w:rStyle w:val="Hyperlink"/>
          </w:rPr>
          <w:t xml:space="preserve">HMRC, 2026n, sec. VATGPB10010</w:t>
        </w:r>
      </w:hyperlink>
      <w:r>
        <w:t xml:space="preserve">)</w:t>
      </w:r>
      <w:r>
        <w:t xml:space="preserve">. See Part 8, Heading 14.</w:t>
      </w:r>
    </w:p>
    <w:p>
      <w:pPr>
        <w:pStyle w:val="Compact"/>
        <w:numPr>
          <w:ilvl w:val="0"/>
          <w:numId w:val="1048"/>
        </w:numPr>
      </w:pPr>
      <w:r>
        <w:t xml:space="preserve">Goods bought on their own are not covered. The only exception is Heading 82, which applies to HS2 Ltd only. HMRC says the reference to goods is specific to that heading, and</w:t>
      </w:r>
      <w:r>
        <w:t xml:space="preserve"> </w:t>
      </w:r>
      <w:r>
        <w:t xml:space="preserve">“</w:t>
      </w:r>
      <w:r>
        <w:t xml:space="preserve">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 See Part 8.</w:t>
      </w:r>
    </w:p>
    <w:p>
      <w:pPr>
        <w:pStyle w:val="Compact"/>
        <w:numPr>
          <w:ilvl w:val="0"/>
          <w:numId w:val="1048"/>
        </w:numPr>
      </w:pPr>
      <w:r>
        <w:t xml:space="preserve">HM Treasury’s 2020 policy paper states it plainly:</w:t>
      </w:r>
      <w:r>
        <w:t xml:space="preserve"> </w:t>
      </w:r>
      <w:r>
        <w:t xml:space="preserve">“</w:t>
      </w:r>
      <w:r>
        <w:t xml:space="preserve">Government departments are unable to recover the VAT they have incurred on goods</w:t>
      </w:r>
      <w:r>
        <w:t xml:space="preserve">”</w:t>
      </w:r>
      <w:r>
        <w:t xml:space="preserve"> </w:t>
      </w:r>
      <w:r>
        <w:t xml:space="preserve">(</w:t>
      </w:r>
      <w:hyperlink w:anchor="ref-hmt_s41_paper_2020">
        <w:r>
          <w:rPr>
            <w:rStyle w:val="Hyperlink"/>
          </w:rPr>
          <w:t xml:space="preserve">HM Treasury, 2020a, para. 2.8</w:t>
        </w:r>
      </w:hyperlink>
      <w:r>
        <w:t xml:space="preserve">)</w:t>
      </w:r>
      <w:r>
        <w:t xml:space="preserve">.</w:t>
      </w:r>
    </w:p>
    <w:p>
      <w:pPr>
        <w:pStyle w:val="Compact"/>
        <w:numPr>
          <w:ilvl w:val="0"/>
          <w:numId w:val="1048"/>
        </w:numPr>
      </w:pPr>
      <w:r>
        <w:t xml:space="preserve">HMRC’s framework adds that, for costs used for both business and non-business work, the non-business share of VAT on</w:t>
      </w:r>
      <w:r>
        <w:t xml:space="preserve"> </w:t>
      </w:r>
      <w:r>
        <w:t xml:space="preserve">“</w:t>
      </w:r>
      <w:r>
        <w:t xml:space="preserve">goods, certain utilities, or any other service not under a COS heading</w:t>
      </w:r>
      <w:r>
        <w:t xml:space="preserve">”</w:t>
      </w:r>
      <w:r>
        <w:t xml:space="preserve"> </w:t>
      </w:r>
      <w:r>
        <w:t xml:space="preserve">is not refundable under section 41(3)</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48"/>
        </w:numPr>
      </w:pPr>
      <w:r>
        <w:t xml:space="preserve">COS refunds have their own time limit and claim rules (see Part 5, How and when to claim).</w:t>
      </w:r>
    </w:p>
    <w:bookmarkEnd w:id="53"/>
    <w:bookmarkStart w:id="54" w:name="how-the-framework-splits-the-vat"/>
    <w:p>
      <w:pPr>
        <w:pStyle w:val="Heading4"/>
      </w:pPr>
      <w:r>
        <w:t xml:space="preserve">How the framework splits the VAT</w:t>
      </w:r>
    </w:p>
    <w:p>
      <w:pPr>
        <w:pStyle w:val="FirstParagraph"/>
      </w:pPr>
      <w:r>
        <w:t xml:space="preserve">The framework sets out the order in which a department works out how much VAT it can get back</w:t>
      </w:r>
      <w:r>
        <w:t xml:space="preserve"> </w:t>
      </w:r>
      <w:r>
        <w:t xml:space="preserve">(</w:t>
      </w:r>
      <w:hyperlink w:anchor="ref-hmrc_gdpef">
        <w:r>
          <w:rPr>
            <w:rStyle w:val="Hyperlink"/>
          </w:rPr>
          <w:t xml:space="preserve">HMRC, 2023c</w:t>
        </w:r>
      </w:hyperlink>
      <w:r>
        <w:t xml:space="preserve">)</w:t>
      </w:r>
      <w:r>
        <w:t xml:space="preserve">. It is not mandatory, but following it makes it easier for HMRC to approve a method</w:t>
      </w:r>
      <w:r>
        <w:t xml:space="preserve"> </w:t>
      </w:r>
      <w:r>
        <w:t xml:space="preserve">(</w:t>
      </w:r>
      <w:hyperlink w:anchor="ref-hmrc_gdpef">
        <w:r>
          <w:rPr>
            <w:rStyle w:val="Hyperlink"/>
          </w:rPr>
          <w:t xml:space="preserve">HMRC, 2023c</w:t>
        </w:r>
      </w:hyperlink>
      <w:r>
        <w:t xml:space="preserve">)</w:t>
      </w:r>
      <w:r>
        <w:t xml:space="preserve">.</w:t>
      </w:r>
    </w:p>
    <w:p>
      <w:pPr>
        <w:pStyle w:val="BodyText"/>
      </w:pPr>
      <w:r>
        <w:rPr>
          <w:b/>
          <w:bCs/>
        </w:rPr>
        <w:t xml:space="preserve">Step 1: direct attribution.</w:t>
      </w:r>
      <w:r>
        <w:t xml:space="preserve"> </w:t>
      </w:r>
      <w:r>
        <w:t xml:space="preserve">Put each VAT-bearing cost used wholly for one purpose into one of the five groups in the table below. The table is based on HMRC’s framework</w:t>
      </w:r>
      <w:r>
        <w:t xml:space="preserve"> </w:t>
      </w:r>
      <w:r>
        <w:t xml:space="preserve">(</w:t>
      </w:r>
      <w:hyperlink w:anchor="ref-hmrc_gdpef">
        <w:r>
          <w:rPr>
            <w:rStyle w:val="Hyperlink"/>
          </w:rPr>
          <w:t xml:space="preserve">HMRC, 2023c</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788"/>
        <w:gridCol w:w="3920"/>
        <w:gridCol w:w="2317"/>
      </w:tblGrid>
      <w:tr>
        <w:trPr>
          <w:tblHeader w:val="true"/>
          <w:cantSplit w:val="true"/>
        </w:trPr>
        <w:tc>
          <w:tcPr>
            <w:tcW w:w="2788" w:type="dxa"/>
            <w:shd w:val="clear" w:color="auto" w:fill="1B3A5C"/>
          </w:tcPr>
          <w:p>
            <w:pPr>
              <w:pStyle w:val="Compact"/>
              <w:spacing w:after="40" w:before="40"/>
              <w:jc w:val="left"/>
            </w:pPr>
            <w:r>
              <w:rPr>
                <w:rFonts w:ascii="Tahoma" w:hAnsi="Tahoma"/>
                <w:b/>
                <w:color w:val="FFFFFF"/>
                <w:sz w:val="22"/>
              </w:rPr>
              <w:t xml:space="preserve">Group</w:t>
            </w:r>
          </w:p>
        </w:tc>
        <w:tc>
          <w:tcPr>
            <w:tcW w:w="3920" w:type="dxa"/>
            <w:shd w:val="clear" w:color="auto" w:fill="1B3A5C"/>
          </w:tcPr>
          <w:p>
            <w:pPr>
              <w:pStyle w:val="Compact"/>
              <w:spacing w:after="40" w:before="40"/>
              <w:jc w:val="left"/>
            </w:pPr>
            <w:r>
              <w:rPr>
                <w:rFonts w:ascii="Tahoma" w:hAnsi="Tahoma"/>
                <w:b/>
                <w:color w:val="FFFFFF"/>
                <w:sz w:val="22"/>
              </w:rPr>
              <w:t xml:space="preserve">What it covers</w:t>
            </w:r>
          </w:p>
        </w:tc>
        <w:tc>
          <w:tcPr>
            <w:tcW w:w="2317" w:type="dxa"/>
            <w:shd w:val="clear" w:color="auto" w:fill="1B3A5C"/>
          </w:tcPr>
          <w:p>
            <w:pPr>
              <w:pStyle w:val="Compact"/>
              <w:spacing w:after="40" w:before="40"/>
              <w:jc w:val="left"/>
            </w:pPr>
            <w:r>
              <w:rPr>
                <w:rFonts w:ascii="Tahoma" w:hAnsi="Tahoma"/>
                <w:b/>
                <w:color w:val="FFFFFF"/>
                <w:sz w:val="22"/>
              </w:rPr>
              <w:t xml:space="preserve">Result</w:t>
            </w:r>
          </w:p>
        </w:tc>
      </w:tr>
      <w:tr>
        <w:trPr>
          <w:cantSplit w:val="true"/>
        </w:trPr>
        <w:tc>
          <w:tcPr>
            <w:tcW w:w="2788" w:type="dxa"/>
            <w:shd w:val="clear" w:color="auto" w:fill="EAF3FA"/>
          </w:tcPr>
          <w:p>
            <w:pPr>
              <w:pStyle w:val="Compact"/>
              <w:spacing w:after="40" w:before="40"/>
              <w:jc w:val="left"/>
            </w:pPr>
            <w:r>
              <w:rPr>
                <w:rFonts w:ascii="Tahoma" w:hAnsi="Tahoma"/>
                <w:sz w:val="22"/>
              </w:rPr>
              <w:t xml:space="preserve">Taxable input tax</w:t>
            </w:r>
          </w:p>
        </w:tc>
        <w:tc>
          <w:tcPr>
            <w:tcW w:w="3920" w:type="dxa"/>
            <w:shd w:val="clear" w:color="auto" w:fill="EAF3FA"/>
          </w:tcPr>
          <w:p>
            <w:pPr>
              <w:pStyle w:val="Compact"/>
              <w:spacing w:after="40" w:before="40"/>
              <w:jc w:val="left"/>
            </w:pPr>
            <w:r>
              <w:rPr>
                <w:rFonts w:ascii="Tahoma" w:hAnsi="Tahoma"/>
                <w:sz w:val="22"/>
              </w:rPr>
              <w:t xml:space="preserve">Costs used only to make taxable supplies</w:t>
            </w:r>
          </w:p>
        </w:tc>
        <w:tc>
          <w:tcPr>
            <w:tcW w:w="2317" w:type="dxa"/>
            <w:shd w:val="clear" w:color="auto" w:fill="EAF3FA"/>
          </w:tcPr>
          <w:p>
            <w:pPr>
              <w:pStyle w:val="Compact"/>
              <w:spacing w:after="40" w:before="40"/>
              <w:jc w:val="left"/>
            </w:pPr>
            <w:r>
              <w:rPr>
                <w:rFonts w:ascii="Tahoma" w:hAnsi="Tahoma"/>
                <w:sz w:val="22"/>
              </w:rPr>
              <w:t xml:space="preserve">Recoverable (s. 26)</w:t>
            </w:r>
          </w:p>
        </w:tc>
      </w:tr>
      <w:tr>
        <w:trPr>
          <w:cantSplit w:val="true"/>
        </w:trPr>
        <w:tc>
          <w:tcPr>
            <w:tcW w:w="2788" w:type="dxa"/>
            <w:shd w:val="clear" w:color="auto" w:fill="FFFFFF"/>
          </w:tcPr>
          <w:p>
            <w:pPr>
              <w:pStyle w:val="Compact"/>
              <w:spacing w:after="40" w:before="40"/>
              <w:jc w:val="left"/>
            </w:pPr>
            <w:r>
              <w:rPr>
                <w:rFonts w:ascii="Tahoma" w:hAnsi="Tahoma"/>
                <w:sz w:val="22"/>
              </w:rPr>
              <w:t xml:space="preserve">Specified supplies</w:t>
            </w:r>
          </w:p>
        </w:tc>
        <w:tc>
          <w:tcPr>
            <w:tcW w:w="3920" w:type="dxa"/>
            <w:shd w:val="clear" w:color="auto" w:fill="FFFFFF"/>
          </w:tcPr>
          <w:p>
            <w:pPr>
              <w:pStyle w:val="Compact"/>
              <w:spacing w:after="40" w:before="40"/>
              <w:jc w:val="left"/>
            </w:pPr>
            <w:r>
              <w:rPr>
                <w:rFonts w:ascii="Tahoma" w:hAnsi="Tahoma"/>
                <w:sz w:val="22"/>
              </w:rPr>
              <w:t xml:space="preserve">Costs used only to make specified supplies</w:t>
            </w:r>
          </w:p>
        </w:tc>
        <w:tc>
          <w:tcPr>
            <w:tcW w:w="2317" w:type="dxa"/>
            <w:shd w:val="clear" w:color="auto" w:fill="FFFFFF"/>
          </w:tcPr>
          <w:p>
            <w:pPr>
              <w:pStyle w:val="Compact"/>
              <w:spacing w:after="40" w:before="40"/>
              <w:jc w:val="left"/>
            </w:pPr>
            <w:r>
              <w:rPr>
                <w:rFonts w:ascii="Tahoma" w:hAnsi="Tahoma"/>
                <w:sz w:val="22"/>
              </w:rPr>
              <w:t xml:space="preserve">Recoverable</w:t>
            </w:r>
          </w:p>
        </w:tc>
      </w:tr>
      <w:tr>
        <w:trPr>
          <w:cantSplit w:val="true"/>
        </w:trPr>
        <w:tc>
          <w:tcPr>
            <w:tcW w:w="2788" w:type="dxa"/>
            <w:shd w:val="clear" w:color="auto" w:fill="FBEAF1"/>
          </w:tcPr>
          <w:p>
            <w:pPr>
              <w:pStyle w:val="Compact"/>
              <w:spacing w:after="40" w:before="40"/>
              <w:jc w:val="left"/>
            </w:pPr>
            <w:r>
              <w:rPr>
                <w:rFonts w:ascii="Tahoma" w:hAnsi="Tahoma"/>
                <w:sz w:val="22"/>
              </w:rPr>
              <w:t xml:space="preserve">Exempt input tax</w:t>
            </w:r>
          </w:p>
        </w:tc>
        <w:tc>
          <w:tcPr>
            <w:tcW w:w="3920" w:type="dxa"/>
            <w:shd w:val="clear" w:color="auto" w:fill="FBEAF1"/>
          </w:tcPr>
          <w:p>
            <w:pPr>
              <w:pStyle w:val="Compact"/>
              <w:spacing w:after="40" w:before="40"/>
              <w:jc w:val="left"/>
            </w:pPr>
            <w:r>
              <w:rPr>
                <w:rFonts w:ascii="Tahoma" w:hAnsi="Tahoma"/>
                <w:sz w:val="22"/>
              </w:rPr>
              <w:t xml:space="preserve">Costs used only to make exempt supplies</w:t>
            </w:r>
          </w:p>
        </w:tc>
        <w:tc>
          <w:tcPr>
            <w:tcW w:w="2317" w:type="dxa"/>
            <w:shd w:val="clear" w:color="auto" w:fill="FBEAF1"/>
          </w:tcPr>
          <w:p>
            <w:pPr>
              <w:pStyle w:val="Compact"/>
              <w:spacing w:after="40" w:before="40"/>
              <w:jc w:val="left"/>
            </w:pPr>
            <w:r>
              <w:rPr>
                <w:rFonts w:ascii="Tahoma" w:hAnsi="Tahoma"/>
                <w:sz w:val="22"/>
              </w:rPr>
              <w:t xml:space="preserve">Not recoverable</w:t>
            </w:r>
          </w:p>
        </w:tc>
      </w:tr>
      <w:tr>
        <w:trPr>
          <w:cantSplit w:val="true"/>
        </w:trPr>
        <w:tc>
          <w:tcPr>
            <w:tcW w:w="2788" w:type="dxa"/>
            <w:shd w:val="clear" w:color="auto" w:fill="EAF3FA"/>
          </w:tcPr>
          <w:p>
            <w:pPr>
              <w:pStyle w:val="Compact"/>
              <w:spacing w:after="40" w:before="40"/>
              <w:jc w:val="left"/>
            </w:pPr>
            <w:r>
              <w:rPr>
                <w:rFonts w:ascii="Tahoma" w:hAnsi="Tahoma"/>
                <w:sz w:val="22"/>
              </w:rPr>
              <w:t xml:space="preserve">Non-business VAT on a COS heading</w:t>
            </w:r>
          </w:p>
        </w:tc>
        <w:tc>
          <w:tcPr>
            <w:tcW w:w="3920" w:type="dxa"/>
            <w:shd w:val="clear" w:color="auto" w:fill="EAF3FA"/>
          </w:tcPr>
          <w:p>
            <w:pPr>
              <w:pStyle w:val="Compact"/>
              <w:spacing w:after="40" w:before="40"/>
              <w:jc w:val="left"/>
            </w:pPr>
            <w:r>
              <w:rPr>
                <w:rFonts w:ascii="Tahoma" w:hAnsi="Tahoma"/>
                <w:sz w:val="22"/>
              </w:rPr>
              <w:t xml:space="preserve">Costs used only for non-business work that fall under a COS heading</w:t>
            </w:r>
          </w:p>
        </w:tc>
        <w:tc>
          <w:tcPr>
            <w:tcW w:w="2317" w:type="dxa"/>
            <w:shd w:val="clear" w:color="auto" w:fill="EAF3FA"/>
          </w:tcPr>
          <w:p>
            <w:pPr>
              <w:pStyle w:val="Compact"/>
              <w:spacing w:after="40" w:before="40"/>
              <w:jc w:val="left"/>
            </w:pPr>
            <w:r>
              <w:rPr>
                <w:rFonts w:ascii="Tahoma" w:hAnsi="Tahoma"/>
                <w:sz w:val="22"/>
              </w:rPr>
              <w:t xml:space="preserve">Refund under s. 41(3)</w:t>
            </w:r>
          </w:p>
        </w:tc>
      </w:tr>
      <w:tr>
        <w:trPr>
          <w:cantSplit w:val="true"/>
        </w:trPr>
        <w:tc>
          <w:tcPr>
            <w:tcW w:w="2788" w:type="dxa"/>
            <w:shd w:val="clear" w:color="auto" w:fill="FFFFFF"/>
          </w:tcPr>
          <w:p>
            <w:pPr>
              <w:pStyle w:val="Compact"/>
              <w:spacing w:after="40" w:before="40"/>
              <w:jc w:val="left"/>
            </w:pPr>
            <w:r>
              <w:rPr>
                <w:rFonts w:ascii="Tahoma" w:hAnsi="Tahoma"/>
                <w:sz w:val="22"/>
              </w:rPr>
              <w:t xml:space="preserve">Non-business VAT not on a COS heading</w:t>
            </w:r>
          </w:p>
        </w:tc>
        <w:tc>
          <w:tcPr>
            <w:tcW w:w="3920" w:type="dxa"/>
            <w:shd w:val="clear" w:color="auto" w:fill="FFFFFF"/>
          </w:tcPr>
          <w:p>
            <w:pPr>
              <w:pStyle w:val="Compact"/>
              <w:spacing w:after="40" w:before="40"/>
              <w:jc w:val="left"/>
            </w:pPr>
            <w:r>
              <w:rPr>
                <w:rFonts w:ascii="Tahoma" w:hAnsi="Tahoma"/>
                <w:sz w:val="22"/>
              </w:rPr>
              <w:t xml:space="preserve">All other costs used only for non-business work</w:t>
            </w:r>
          </w:p>
        </w:tc>
        <w:tc>
          <w:tcPr>
            <w:tcW w:w="2317" w:type="dxa"/>
            <w:shd w:val="clear" w:color="auto" w:fill="FFFFFF"/>
          </w:tcPr>
          <w:p>
            <w:pPr>
              <w:pStyle w:val="Compact"/>
              <w:spacing w:after="40" w:before="40"/>
              <w:jc w:val="left"/>
            </w:pPr>
            <w:r>
              <w:rPr>
                <w:rFonts w:ascii="Tahoma" w:hAnsi="Tahoma"/>
                <w:sz w:val="22"/>
              </w:rPr>
              <w:t xml:space="preserve">Not recoverable</w:t>
            </w:r>
          </w:p>
        </w:tc>
      </w:tr>
    </w:tbl>
    <w:p>
      <w:pPr>
        <w:pStyle w:val="BodyText"/>
        <w:spacing w:before="200"/>
      </w:pPr>
      <w:r>
        <w:t xml:space="preserve">HMRC warns:</w:t>
      </w:r>
      <w:r>
        <w:t xml:space="preserve"> </w:t>
      </w:r>
      <w:r>
        <w:t xml:space="preserve">“</w:t>
      </w:r>
      <w:r>
        <w:t xml:space="preserve">Care must be taken not to simply identify everything from a certain supplier as a COS. Each COS heading has its own conditions on what is refundable, and what is not.</w:t>
      </w:r>
      <w:r>
        <w:t xml:space="preserve">”</w:t>
      </w:r>
      <w:r>
        <w:t xml:space="preserve"> </w:t>
      </w:r>
      <w:r>
        <w:t xml:space="preserve">(</w:t>
      </w:r>
      <w:hyperlink w:anchor="ref-hmrc_gdpef">
        <w:r>
          <w:rPr>
            <w:rStyle w:val="Hyperlink"/>
          </w:rPr>
          <w:t xml:space="preserve">HMRC, 2023c</w:t>
        </w:r>
      </w:hyperlink>
      <w:r>
        <w:t xml:space="preserve">)</w:t>
      </w:r>
    </w:p>
    <w:p>
      <w:pPr>
        <w:pStyle w:val="BodyText"/>
      </w:pPr>
      <w:r>
        <w:rPr>
          <w:b/>
          <w:bCs/>
        </w:rPr>
        <w:t xml:space="preserve">Step 2: business and non-business split.</w:t>
      </w:r>
      <w:r>
        <w:t xml:space="preserve"> </w:t>
      </w:r>
      <w:r>
        <w:t xml:space="preserve">The VAT left over is mixed-use VAT, meaning VAT on costs used for both business and non-business work. Split it between business and non-business use under section 24(5). The method must be</w:t>
      </w:r>
      <w:r>
        <w:t xml:space="preserve"> </w:t>
      </w:r>
      <w:r>
        <w:t xml:space="preserve">“</w:t>
      </w:r>
      <w:r>
        <w:t xml:space="preserve">fair and reasonable</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BodyText"/>
      </w:pPr>
      <w:r>
        <w:rPr>
          <w:b/>
          <w:bCs/>
        </w:rPr>
        <w:t xml:space="preserve">Step 3: the non-business share.</w:t>
      </w:r>
      <w:r>
        <w:t xml:space="preserve"> </w:t>
      </w:r>
      <w:r>
        <w:t xml:space="preserve">This is refundable under section 41(3) only if the cost falls under a COS heading. Otherwise it is irrecoverable</w:t>
      </w:r>
      <w:r>
        <w:t xml:space="preserve"> </w:t>
      </w:r>
      <w:r>
        <w:t xml:space="preserve">(</w:t>
      </w:r>
      <w:hyperlink w:anchor="ref-hmrc_gdpef">
        <w:r>
          <w:rPr>
            <w:rStyle w:val="Hyperlink"/>
          </w:rPr>
          <w:t xml:space="preserve">HMRC, 2023c</w:t>
        </w:r>
      </w:hyperlink>
      <w:r>
        <w:t xml:space="preserve">)</w:t>
      </w:r>
      <w:r>
        <w:t xml:space="preserve">.</w:t>
      </w:r>
    </w:p>
    <w:p>
      <w:pPr>
        <w:pStyle w:val="BodyText"/>
      </w:pPr>
      <w:r>
        <w:rPr>
          <w:b/>
          <w:bCs/>
        </w:rPr>
        <w:t xml:space="preserve">Step 4: the business share.</w:t>
      </w:r>
      <w:r>
        <w:t xml:space="preserve"> </w:t>
      </w:r>
      <w:r>
        <w:t xml:space="preserve">Use partial exemption to split this between taxable use (recoverable) and exempt use (not recoverable)</w:t>
      </w:r>
      <w:r>
        <w:t xml:space="preserve"> </w:t>
      </w:r>
      <w:r>
        <w:t xml:space="preserve">(</w:t>
      </w:r>
      <w:hyperlink w:anchor="ref-hmrc_gdpef">
        <w:r>
          <w:rPr>
            <w:rStyle w:val="Hyperlink"/>
          </w:rPr>
          <w:t xml:space="preserve">HMRC, 2023c</w:t>
        </w:r>
      </w:hyperlink>
      <w:r>
        <w:t xml:space="preserve">)</w:t>
      </w:r>
      <w:r>
        <w:t xml:space="preserve">.</w:t>
      </w:r>
    </w:p>
    <w:p>
      <w:pPr>
        <w:pStyle w:val="BodyText"/>
      </w:pPr>
      <w:r>
        <w:rPr>
          <w:b/>
          <w:bCs/>
        </w:rPr>
        <w:t xml:space="preserve">The order matters.</w:t>
      </w:r>
      <w:r>
        <w:t xml:space="preserve"> </w:t>
      </w:r>
      <w:r>
        <w:t xml:space="preserve">HMRC says that a department using the standard method or an approved special method</w:t>
      </w:r>
      <w:r>
        <w:t xml:space="preserve"> </w:t>
      </w:r>
      <w:r>
        <w:t xml:space="preserve">“</w:t>
      </w:r>
      <w:r>
        <w:t xml:space="preserve">must carry out the business/non-business apportionment calculation before the partial exemption calculations are carried out</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BodyText"/>
      </w:pPr>
      <w:r>
        <w:t xml:space="preserve">The framework’s example method is based on income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50"/>
        </w:numPr>
      </w:pPr>
      <w:r>
        <w:rPr>
          <w:b/>
          <w:bCs/>
        </w:rPr>
        <w:t xml:space="preserve">Business share</w:t>
      </w:r>
      <w:r>
        <w:t xml:space="preserve"> </w:t>
      </w:r>
      <w:r>
        <w:t xml:space="preserve">= (taxable supplies + exempt supplies) ÷ (taxable supplies + exempt supplies + non-business income).</w:t>
      </w:r>
    </w:p>
    <w:p>
      <w:pPr>
        <w:pStyle w:val="Compact"/>
        <w:numPr>
          <w:ilvl w:val="0"/>
          <w:numId w:val="1050"/>
        </w:numPr>
      </w:pPr>
      <w:r>
        <w:rPr>
          <w:b/>
          <w:bCs/>
        </w:rPr>
        <w:t xml:space="preserve">Taxable share of the business part</w:t>
      </w:r>
      <w:r>
        <w:t xml:space="preserve"> </w:t>
      </w:r>
      <w:r>
        <w:t xml:space="preserve">= taxable supplies ÷ (taxable supplies + exempt supplies).</w:t>
      </w:r>
    </w:p>
    <w:p>
      <w:pPr>
        <w:pStyle w:val="Compact"/>
        <w:numPr>
          <w:ilvl w:val="0"/>
          <w:numId w:val="1050"/>
        </w:numPr>
      </w:pPr>
      <w:r>
        <w:t xml:space="preserve">Grants that the department passes on to other bodies can be taken out of the income figures. Otherwise they would distort the result</w:t>
      </w:r>
      <w:r>
        <w:t xml:space="preserve"> </w:t>
      </w:r>
      <w:r>
        <w:t xml:space="preserve">(</w:t>
      </w:r>
      <w:hyperlink w:anchor="ref-hmrc_gdpef">
        <w:r>
          <w:rPr>
            <w:rStyle w:val="Hyperlink"/>
          </w:rPr>
          <w:t xml:space="preserve">HMRC, 2023c</w:t>
        </w:r>
      </w:hyperlink>
      <w:r>
        <w:t xml:space="preserve">)</w:t>
      </w:r>
      <w:r>
        <w:t xml:space="preserve">.</w:t>
      </w:r>
    </w:p>
    <w:p>
      <w:pPr>
        <w:pStyle w:val="FirstParagraph"/>
      </w:pPr>
      <w:r>
        <w:t xml:space="preserve">Other points from the framework</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51"/>
        </w:numPr>
      </w:pPr>
      <w:r>
        <w:t xml:space="preserve">The partial exemption standard method is the default. A department does not need HMRC approval to use it.</w:t>
      </w:r>
    </w:p>
    <w:p>
      <w:pPr>
        <w:pStyle w:val="Compact"/>
        <w:numPr>
          <w:ilvl w:val="0"/>
          <w:numId w:val="1051"/>
        </w:numPr>
      </w:pPr>
      <w:r>
        <w:t xml:space="preserve">A special method, or a</w:t>
      </w:r>
      <w:r>
        <w:t xml:space="preserve"> </w:t>
      </w:r>
      <w:r>
        <w:t xml:space="preserve">“</w:t>
      </w:r>
      <w:r>
        <w:t xml:space="preserve">combined method</w:t>
      </w:r>
      <w:r>
        <w:t xml:space="preserve">”</w:t>
      </w:r>
      <w:r>
        <w:t xml:space="preserve"> </w:t>
      </w:r>
      <w:r>
        <w:t xml:space="preserve">that covers both the business and non-business split and partial exemption, needs HMRC’s written approval. The department must also make a statutory declaration that the method is fair and reasonable.</w:t>
      </w:r>
    </w:p>
    <w:p>
      <w:pPr>
        <w:pStyle w:val="Compact"/>
        <w:numPr>
          <w:ilvl w:val="0"/>
          <w:numId w:val="1051"/>
        </w:numPr>
      </w:pPr>
      <w:r>
        <w:t xml:space="preserve">The de minimis rules do not apply if a department uses a combined method.</w:t>
      </w:r>
    </w:p>
    <w:p>
      <w:pPr>
        <w:pStyle w:val="Compact"/>
        <w:numPr>
          <w:ilvl w:val="0"/>
          <w:numId w:val="1051"/>
        </w:numPr>
      </w:pPr>
      <w:r>
        <w:t xml:space="preserve">The de minimis limits apply to the department’s VAT registration as a whole, not to separate divisions.</w:t>
      </w:r>
    </w:p>
    <w:p>
      <w:pPr>
        <w:pStyle w:val="Compact"/>
        <w:numPr>
          <w:ilvl w:val="0"/>
          <w:numId w:val="1051"/>
        </w:numPr>
      </w:pPr>
      <w:r>
        <w:t xml:space="preserve">A cost under a COS heading can still be mixed-use. HMRC says it is</w:t>
      </w:r>
      <w:r>
        <w:t xml:space="preserve"> </w:t>
      </w:r>
      <w:r>
        <w:t xml:space="preserve">“</w:t>
      </w:r>
      <w:r>
        <w:t xml:space="preserve">important to not assume that a cost which falls under a COS heading is wholly attributable to non-business activities</w:t>
      </w:r>
      <w:r>
        <w:t xml:space="preserve">”</w:t>
      </w:r>
      <w:r>
        <w:t xml:space="preserve">.</w:t>
      </w:r>
    </w:p>
    <w:bookmarkEnd w:id="54"/>
    <w:bookmarkStart w:id="55" w:name="X7873131dbc5e87685c8e0d370697f7d30db8a99"/>
    <w:p>
      <w:pPr>
        <w:pStyle w:val="Heading4"/>
      </w:pPr>
      <w:r>
        <w:t xml:space="preserve">Services from overseas: the reverse charge</w:t>
      </w:r>
    </w:p>
    <w:p>
      <w:pPr>
        <w:pStyle w:val="Compact"/>
        <w:numPr>
          <w:ilvl w:val="0"/>
          <w:numId w:val="1052"/>
        </w:numPr>
      </w:pPr>
      <w:r>
        <w:t xml:space="preserve">A department with both business and non-business activities is treated as a business customer when it buys services from overseas suppliers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52"/>
        </w:numPr>
      </w:pPr>
      <w:r>
        <w:t xml:space="preserve">For services that would be taxable if supplied in the UK, it must account for VAT under the reverse charge</w:t>
      </w:r>
      <w:r>
        <w:t xml:space="preserve"> </w:t>
      </w:r>
      <w:r>
        <w:t xml:space="preserve">“</w:t>
      </w:r>
      <w:r>
        <w:t xml:space="preserve">even if they relate solely to its non-business activities</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52"/>
        </w:numPr>
      </w:pPr>
      <w:r>
        <w:t xml:space="preserve">Where the service relates to non-business activities, the share relating to a COS service is dealt with under section 41(3). The rest is a cost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52"/>
        </w:numPr>
      </w:pPr>
      <w:r>
        <w:t xml:space="preserve">The reverse charge is explained in more detail later (see Part 4).</w:t>
      </w:r>
    </w:p>
    <w:bookmarkEnd w:id="55"/>
    <w:bookmarkStart w:id="56" w:name="how-other-public-bodies-compare"/>
    <w:p>
      <w:pPr>
        <w:pStyle w:val="Heading4"/>
      </w:pPr>
      <w:r>
        <w:t xml:space="preserve">How other public bodies compare</w:t>
      </w:r>
    </w:p>
    <w:p>
      <w:pPr>
        <w:pStyle w:val="FirstParagraph"/>
      </w:pPr>
      <w:r>
        <w:t xml:space="preserve">Different public bodies have different refund rules. The table below summarises them. The sources are given in the bullets after it.</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216"/>
        <w:gridCol w:w="2027"/>
        <w:gridCol w:w="3782"/>
      </w:tblGrid>
      <w:tr>
        <w:trPr>
          <w:tblHeader w:val="true"/>
          <w:cantSplit w:val="true"/>
        </w:trPr>
        <w:tc>
          <w:tcPr>
            <w:tcW w:w="3216" w:type="dxa"/>
            <w:shd w:val="clear" w:color="auto" w:fill="1B3A5C"/>
          </w:tcPr>
          <w:p>
            <w:pPr>
              <w:pStyle w:val="Compact"/>
              <w:spacing w:after="40" w:before="40"/>
              <w:jc w:val="left"/>
            </w:pPr>
            <w:r>
              <w:rPr>
                <w:rFonts w:ascii="Tahoma" w:hAnsi="Tahoma"/>
                <w:b/>
                <w:color w:val="FFFFFF"/>
                <w:sz w:val="22"/>
              </w:rPr>
              <w:t xml:space="preserve">Type of body</w:t>
            </w:r>
          </w:p>
        </w:tc>
        <w:tc>
          <w:tcPr>
            <w:tcW w:w="2027" w:type="dxa"/>
            <w:shd w:val="clear" w:color="auto" w:fill="1B3A5C"/>
          </w:tcPr>
          <w:p>
            <w:pPr>
              <w:pStyle w:val="Compact"/>
              <w:spacing w:after="40" w:before="40"/>
              <w:jc w:val="left"/>
            </w:pPr>
            <w:r>
              <w:rPr>
                <w:rFonts w:ascii="Tahoma" w:hAnsi="Tahoma"/>
                <w:b/>
                <w:color w:val="FFFFFF"/>
                <w:sz w:val="22"/>
              </w:rPr>
              <w:t xml:space="preserve">Refund route</w:t>
            </w:r>
          </w:p>
        </w:tc>
        <w:tc>
          <w:tcPr>
            <w:tcW w:w="3782" w:type="dxa"/>
            <w:shd w:val="clear" w:color="auto" w:fill="1B3A5C"/>
          </w:tcPr>
          <w:p>
            <w:pPr>
              <w:pStyle w:val="Compact"/>
              <w:spacing w:after="40" w:before="40"/>
              <w:jc w:val="left"/>
            </w:pPr>
            <w:r>
              <w:rPr>
                <w:rFonts w:ascii="Tahoma" w:hAnsi="Tahoma"/>
                <w:b/>
                <w:color w:val="FFFFFF"/>
                <w:sz w:val="22"/>
              </w:rPr>
              <w:t xml:space="preserve">Non-business VAT it can get back</w:t>
            </w:r>
          </w:p>
        </w:tc>
      </w:tr>
      <w:tr>
        <w:trPr>
          <w:cantSplit w:val="true"/>
        </w:trPr>
        <w:tc>
          <w:tcPr>
            <w:tcW w:w="3216" w:type="dxa"/>
            <w:shd w:val="clear" w:color="auto" w:fill="EAF3FA"/>
          </w:tcPr>
          <w:p>
            <w:pPr>
              <w:pStyle w:val="Compact"/>
              <w:spacing w:after="40" w:before="40"/>
              <w:jc w:val="left"/>
            </w:pPr>
            <w:r>
              <w:rPr>
                <w:rFonts w:ascii="Tahoma" w:hAnsi="Tahoma"/>
                <w:sz w:val="22"/>
              </w:rPr>
              <w:t xml:space="preserve">Central government department (like the Department)</w:t>
            </w:r>
          </w:p>
        </w:tc>
        <w:tc>
          <w:tcPr>
            <w:tcW w:w="2027" w:type="dxa"/>
            <w:shd w:val="clear" w:color="auto" w:fill="EAF3FA"/>
          </w:tcPr>
          <w:p>
            <w:pPr>
              <w:pStyle w:val="Compact"/>
              <w:spacing w:after="40" w:before="40"/>
              <w:jc w:val="left"/>
            </w:pPr>
            <w:r>
              <w:rPr>
                <w:rFonts w:ascii="Tahoma" w:hAnsi="Tahoma"/>
                <w:sz w:val="22"/>
              </w:rPr>
              <w:t xml:space="preserve">Section 41(3) (COS)</w:t>
            </w:r>
          </w:p>
        </w:tc>
        <w:tc>
          <w:tcPr>
            <w:tcW w:w="3782" w:type="dxa"/>
            <w:shd w:val="clear" w:color="auto" w:fill="EAF3FA"/>
          </w:tcPr>
          <w:p>
            <w:pPr>
              <w:pStyle w:val="Compact"/>
              <w:spacing w:after="40" w:before="40"/>
              <w:jc w:val="left"/>
            </w:pPr>
            <w:r>
              <w:rPr>
                <w:rFonts w:ascii="Tahoma" w:hAnsi="Tahoma"/>
                <w:sz w:val="22"/>
              </w:rPr>
              <w:t xml:space="preserve">Only VAT on COS services, plus goods integral to them</w:t>
            </w:r>
          </w:p>
        </w:tc>
      </w:tr>
      <w:tr>
        <w:trPr>
          <w:cantSplit w:val="true"/>
        </w:trPr>
        <w:tc>
          <w:tcPr>
            <w:tcW w:w="3216" w:type="dxa"/>
            <w:shd w:val="clear" w:color="auto" w:fill="FFFFFF"/>
          </w:tcPr>
          <w:p>
            <w:pPr>
              <w:pStyle w:val="Compact"/>
              <w:spacing w:after="40" w:before="40"/>
              <w:jc w:val="left"/>
            </w:pPr>
            <w:r>
              <w:rPr>
                <w:rFonts w:ascii="Tahoma" w:hAnsi="Tahoma"/>
                <w:sz w:val="22"/>
              </w:rPr>
              <w:t xml:space="preserve">NHS bodies</w:t>
            </w:r>
          </w:p>
        </w:tc>
        <w:tc>
          <w:tcPr>
            <w:tcW w:w="2027" w:type="dxa"/>
            <w:shd w:val="clear" w:color="auto" w:fill="FFFFFF"/>
          </w:tcPr>
          <w:p>
            <w:pPr>
              <w:pStyle w:val="Compact"/>
              <w:spacing w:after="40" w:before="40"/>
              <w:jc w:val="left"/>
            </w:pPr>
            <w:r>
              <w:rPr>
                <w:rFonts w:ascii="Tahoma" w:hAnsi="Tahoma"/>
                <w:sz w:val="22"/>
              </w:rPr>
              <w:t xml:space="preserve">Section 41(3) (COS)</w:t>
            </w:r>
          </w:p>
        </w:tc>
        <w:tc>
          <w:tcPr>
            <w:tcW w:w="3782" w:type="dxa"/>
            <w:shd w:val="clear" w:color="auto" w:fill="FFFFFF"/>
          </w:tcPr>
          <w:p>
            <w:pPr>
              <w:pStyle w:val="Compact"/>
              <w:spacing w:after="40" w:before="40"/>
              <w:jc w:val="left"/>
            </w:pPr>
            <w:r>
              <w:rPr>
                <w:rFonts w:ascii="Tahoma" w:hAnsi="Tahoma"/>
                <w:sz w:val="22"/>
              </w:rPr>
              <w:t xml:space="preserve">The same as a department</w:t>
            </w:r>
          </w:p>
        </w:tc>
      </w:tr>
      <w:tr>
        <w:trPr>
          <w:cantSplit w:val="true"/>
        </w:trPr>
        <w:tc>
          <w:tcPr>
            <w:tcW w:w="3216" w:type="dxa"/>
            <w:shd w:val="clear" w:color="auto" w:fill="FBEAF1"/>
          </w:tcPr>
          <w:p>
            <w:pPr>
              <w:pStyle w:val="Compact"/>
              <w:spacing w:after="40" w:before="40"/>
              <w:jc w:val="left"/>
            </w:pPr>
            <w:r>
              <w:rPr>
                <w:rFonts w:ascii="Tahoma" w:hAnsi="Tahoma"/>
                <w:sz w:val="22"/>
              </w:rPr>
              <w:t xml:space="preserve">Named non-departmental public bodies</w:t>
            </w:r>
          </w:p>
        </w:tc>
        <w:tc>
          <w:tcPr>
            <w:tcW w:w="2027" w:type="dxa"/>
            <w:shd w:val="clear" w:color="auto" w:fill="FBEAF1"/>
          </w:tcPr>
          <w:p>
            <w:pPr>
              <w:pStyle w:val="Compact"/>
              <w:spacing w:after="40" w:before="40"/>
              <w:jc w:val="left"/>
            </w:pPr>
            <w:r>
              <w:rPr>
                <w:rFonts w:ascii="Tahoma" w:hAnsi="Tahoma"/>
                <w:sz w:val="22"/>
              </w:rPr>
              <w:t xml:space="preserve">Section 33E</w:t>
            </w:r>
          </w:p>
        </w:tc>
        <w:tc>
          <w:tcPr>
            <w:tcW w:w="3782" w:type="dxa"/>
            <w:shd w:val="clear" w:color="auto" w:fill="FBEAF1"/>
          </w:tcPr>
          <w:p>
            <w:pPr>
              <w:pStyle w:val="Compact"/>
              <w:spacing w:after="40" w:before="40"/>
              <w:jc w:val="left"/>
            </w:pPr>
            <w:r>
              <w:rPr>
                <w:rFonts w:ascii="Tahoma" w:hAnsi="Tahoma"/>
                <w:sz w:val="22"/>
              </w:rPr>
              <w:t xml:space="preserve">Only VAT on COS services, once named by Treasury order</w:t>
            </w:r>
          </w:p>
        </w:tc>
      </w:tr>
      <w:tr>
        <w:trPr>
          <w:cantSplit w:val="true"/>
        </w:trPr>
        <w:tc>
          <w:tcPr>
            <w:tcW w:w="3216" w:type="dxa"/>
            <w:shd w:val="clear" w:color="auto" w:fill="EAF3FA"/>
          </w:tcPr>
          <w:p>
            <w:pPr>
              <w:pStyle w:val="Compact"/>
              <w:spacing w:after="40" w:before="40"/>
              <w:jc w:val="left"/>
            </w:pPr>
            <w:r>
              <w:rPr>
                <w:rFonts w:ascii="Tahoma" w:hAnsi="Tahoma"/>
                <w:sz w:val="22"/>
              </w:rPr>
              <w:t xml:space="preserve">Local authorities and other section 33 bodies</w:t>
            </w:r>
          </w:p>
        </w:tc>
        <w:tc>
          <w:tcPr>
            <w:tcW w:w="2027" w:type="dxa"/>
            <w:shd w:val="clear" w:color="auto" w:fill="EAF3FA"/>
          </w:tcPr>
          <w:p>
            <w:pPr>
              <w:pStyle w:val="Compact"/>
              <w:spacing w:after="40" w:before="40"/>
              <w:jc w:val="left"/>
            </w:pPr>
            <w:r>
              <w:rPr>
                <w:rFonts w:ascii="Tahoma" w:hAnsi="Tahoma"/>
                <w:sz w:val="22"/>
              </w:rPr>
              <w:t xml:space="preserve">Section 33</w:t>
            </w:r>
          </w:p>
        </w:tc>
        <w:tc>
          <w:tcPr>
            <w:tcW w:w="3782" w:type="dxa"/>
            <w:shd w:val="clear" w:color="auto" w:fill="EAF3FA"/>
          </w:tcPr>
          <w:p>
            <w:pPr>
              <w:pStyle w:val="Compact"/>
              <w:spacing w:after="40" w:before="40"/>
              <w:jc w:val="left"/>
            </w:pPr>
            <w:r>
              <w:rPr>
                <w:rFonts w:ascii="Tahoma" w:hAnsi="Tahoma"/>
                <w:sz w:val="22"/>
              </w:rPr>
              <w:t xml:space="preserve">Most non-business VAT (not blocked items), plus insignificant exempt VAT</w:t>
            </w:r>
          </w:p>
        </w:tc>
      </w:tr>
      <w:tr>
        <w:trPr>
          <w:cantSplit w:val="true"/>
        </w:trPr>
        <w:tc>
          <w:tcPr>
            <w:tcW w:w="3216" w:type="dxa"/>
            <w:shd w:val="clear" w:color="auto" w:fill="FFFFFF"/>
          </w:tcPr>
          <w:p>
            <w:pPr>
              <w:pStyle w:val="Compact"/>
              <w:spacing w:after="40" w:before="40"/>
              <w:jc w:val="left"/>
            </w:pPr>
            <w:r>
              <w:rPr>
                <w:rFonts w:ascii="Tahoma" w:hAnsi="Tahoma"/>
                <w:sz w:val="22"/>
              </w:rPr>
              <w:t xml:space="preserve">Northern Ireland departments</w:t>
            </w:r>
          </w:p>
        </w:tc>
        <w:tc>
          <w:tcPr>
            <w:tcW w:w="2027" w:type="dxa"/>
            <w:shd w:val="clear" w:color="auto" w:fill="FFFFFF"/>
          </w:tcPr>
          <w:p>
            <w:pPr>
              <w:pStyle w:val="Compact"/>
              <w:spacing w:after="40" w:before="40"/>
              <w:jc w:val="left"/>
            </w:pPr>
            <w:r>
              <w:rPr>
                <w:rFonts w:ascii="Tahoma" w:hAnsi="Tahoma"/>
                <w:sz w:val="22"/>
              </w:rPr>
              <w:t xml:space="preserve">Section 99</w:t>
            </w:r>
          </w:p>
        </w:tc>
        <w:tc>
          <w:tcPr>
            <w:tcW w:w="3782" w:type="dxa"/>
            <w:shd w:val="clear" w:color="auto" w:fill="FFFFFF"/>
          </w:tcPr>
          <w:p>
            <w:pPr>
              <w:pStyle w:val="Compact"/>
              <w:spacing w:after="40" w:before="40"/>
              <w:jc w:val="left"/>
            </w:pPr>
            <w:r>
              <w:rPr>
                <w:rFonts w:ascii="Tahoma" w:hAnsi="Tahoma"/>
                <w:sz w:val="22"/>
              </w:rPr>
              <w:t xml:space="preserve">VAT on goods and services, less the agreed business share</w:t>
            </w:r>
          </w:p>
        </w:tc>
      </w:tr>
      <w:tr>
        <w:trPr>
          <w:cantSplit w:val="true"/>
        </w:trPr>
        <w:tc>
          <w:tcPr>
            <w:tcW w:w="3216" w:type="dxa"/>
            <w:shd w:val="clear" w:color="auto" w:fill="FBEAF1"/>
          </w:tcPr>
          <w:p>
            <w:pPr>
              <w:pStyle w:val="Compact"/>
              <w:spacing w:after="40" w:before="40"/>
              <w:jc w:val="left"/>
            </w:pPr>
            <w:r>
              <w:rPr>
                <w:rFonts w:ascii="Tahoma" w:hAnsi="Tahoma"/>
                <w:sz w:val="22"/>
              </w:rPr>
              <w:t xml:space="preserve">Ordinary VAT-registered business</w:t>
            </w:r>
          </w:p>
        </w:tc>
        <w:tc>
          <w:tcPr>
            <w:tcW w:w="2027" w:type="dxa"/>
            <w:shd w:val="clear" w:color="auto" w:fill="FBEAF1"/>
          </w:tcPr>
          <w:p>
            <w:pPr>
              <w:pStyle w:val="Compact"/>
              <w:spacing w:after="40" w:before="40"/>
              <w:jc w:val="left"/>
            </w:pPr>
            <w:r>
              <w:rPr>
                <w:rFonts w:ascii="Tahoma" w:hAnsi="Tahoma"/>
                <w:sz w:val="22"/>
              </w:rPr>
              <w:t xml:space="preserve">None</w:t>
            </w:r>
          </w:p>
        </w:tc>
        <w:tc>
          <w:tcPr>
            <w:tcW w:w="3782" w:type="dxa"/>
            <w:shd w:val="clear" w:color="auto" w:fill="FBEAF1"/>
          </w:tcPr>
          <w:p>
            <w:pPr>
              <w:pStyle w:val="Compact"/>
              <w:spacing w:after="40" w:before="40"/>
              <w:jc w:val="left"/>
            </w:pPr>
            <w:r>
              <w:rPr>
                <w:rFonts w:ascii="Tahoma" w:hAnsi="Tahoma"/>
                <w:sz w:val="22"/>
              </w:rPr>
              <w:t xml:space="preserve">None</w:t>
            </w:r>
          </w:p>
        </w:tc>
      </w:tr>
    </w:tbl>
    <w:p>
      <w:pPr>
        <w:pStyle w:val="Compact"/>
        <w:numPr>
          <w:ilvl w:val="0"/>
          <w:numId w:val="1053"/>
        </w:numPr>
        <w:spacing w:before="200"/>
      </w:pPr>
      <w:r>
        <w:rPr>
          <w:b/>
          <w:bCs/>
        </w:rPr>
        <w:t xml:space="preserve">NHS bodies.</w:t>
      </w:r>
      <w:r>
        <w:t xml:space="preserve"> </w:t>
      </w:r>
      <w:r>
        <w:t xml:space="preserve">NHS trusts and other health bodies count as government departments for section 41 (Value Added Tax Act 1994, s. 41(6)–(7)). HMRC’s NHS framework says</w:t>
      </w:r>
      <w:r>
        <w:t xml:space="preserve"> </w:t>
      </w:r>
      <w:r>
        <w:t xml:space="preserve">“</w:t>
      </w:r>
      <w:r>
        <w:t xml:space="preserve">non-business use of non-COS VAT will be irrecoverable</w:t>
      </w:r>
      <w:r>
        <w:t xml:space="preserve">”</w:t>
      </w:r>
      <w:r>
        <w:t xml:space="preserve"> </w:t>
      </w:r>
      <w:r>
        <w:t xml:space="preserve">(</w:t>
      </w:r>
      <w:hyperlink w:anchor="ref-hmrc_nhspef">
        <w:r>
          <w:rPr>
            <w:rStyle w:val="Hyperlink"/>
          </w:rPr>
          <w:t xml:space="preserve">HMRC, 2022c</w:t>
        </w:r>
      </w:hyperlink>
      <w:r>
        <w:t xml:space="preserve">)</w:t>
      </w:r>
      <w:r>
        <w:t xml:space="preserve">.</w:t>
      </w:r>
    </w:p>
    <w:p>
      <w:pPr>
        <w:pStyle w:val="Compact"/>
        <w:numPr>
          <w:ilvl w:val="0"/>
          <w:numId w:val="1053"/>
        </w:numPr>
      </w:pPr>
      <w:r>
        <w:rPr>
          <w:b/>
          <w:bCs/>
        </w:rPr>
        <w:t xml:space="preserve">Section 33E bodies.</w:t>
      </w:r>
      <w:r>
        <w:t xml:space="preserve"> </w:t>
      </w:r>
      <w:r>
        <w:t xml:space="preserve">These are named non-departmental public bodies and similar bodies (Value Added Tax Act 1994, s. 33E). HMRC says refunds are</w:t>
      </w:r>
      <w:r>
        <w:t xml:space="preserve"> </w:t>
      </w:r>
      <w:r>
        <w:t xml:space="preserve">“</w:t>
      </w:r>
      <w:r>
        <w:t xml:space="preserve">confined to the purchase of services listed in the current Treasury’s Contracted Out Services Direction</w:t>
      </w:r>
      <w:r>
        <w:t xml:space="preserve">”</w:t>
      </w:r>
      <w:r>
        <w:t xml:space="preserve"> </w:t>
      </w:r>
      <w:r>
        <w:t xml:space="preserve">(</w:t>
      </w:r>
      <w:hyperlink w:anchor="ref-hmrc_vatgpb">
        <w:r>
          <w:rPr>
            <w:rStyle w:val="Hyperlink"/>
          </w:rPr>
          <w:t xml:space="preserve">HMRC, 2026n, sec. VATGPB9650</w:t>
        </w:r>
      </w:hyperlink>
      <w:r>
        <w:t xml:space="preserve">)</w:t>
      </w:r>
      <w:r>
        <w:t xml:space="preserve">. A body must be named by Treasury order before it can claim</w:t>
      </w:r>
      <w:r>
        <w:t xml:space="preserve"> </w:t>
      </w:r>
      <w:r>
        <w:t xml:space="preserve">(</w:t>
      </w:r>
      <w:hyperlink w:anchor="ref-hmrc_vatgpb">
        <w:r>
          <w:rPr>
            <w:rStyle w:val="Hyperlink"/>
          </w:rPr>
          <w:t xml:space="preserve">HMRC, 2026n, sec. VATGPB9650</w:t>
        </w:r>
      </w:hyperlink>
      <w:r>
        <w:t xml:space="preserve">)</w:t>
      </w:r>
      <w:r>
        <w:t xml:space="preserve">.</w:t>
      </w:r>
    </w:p>
    <w:p>
      <w:pPr>
        <w:pStyle w:val="Compact"/>
        <w:numPr>
          <w:ilvl w:val="0"/>
          <w:numId w:val="1053"/>
        </w:numPr>
      </w:pPr>
      <w:r>
        <w:rPr>
          <w:b/>
          <w:bCs/>
        </w:rPr>
        <w:t xml:space="preserve">Local authorities (section 33).</w:t>
      </w:r>
    </w:p>
    <w:p>
      <w:pPr>
        <w:pStyle w:val="Compact"/>
        <w:numPr>
          <w:ilvl w:val="1"/>
          <w:numId w:val="1054"/>
        </w:numPr>
      </w:pPr>
      <w:r>
        <w:t xml:space="preserve">Section 33 refunds VAT on supplies to the body, and on its imports, that are not for a business (Value Added Tax Act 1994, s. 33(1)). Goods are included.</w:t>
      </w:r>
    </w:p>
    <w:p>
      <w:pPr>
        <w:pStyle w:val="Compact"/>
        <w:numPr>
          <w:ilvl w:val="1"/>
          <w:numId w:val="1054"/>
        </w:numPr>
      </w:pPr>
      <w:r>
        <w:t xml:space="preserve">The scheme exists because of a pledge that VAT would, so far as possible, not become a burden on what is now council tax</w:t>
      </w:r>
      <w:r>
        <w:t xml:space="preserve"> </w:t>
      </w:r>
      <w:r>
        <w:t xml:space="preserve">(</w:t>
      </w:r>
      <w:hyperlink w:anchor="ref-hmrc_vatgpb">
        <w:r>
          <w:rPr>
            <w:rStyle w:val="Hyperlink"/>
          </w:rPr>
          <w:t xml:space="preserve">HMRC, 2026n, sec. VATGPB4110</w:t>
        </w:r>
      </w:hyperlink>
      <w:r>
        <w:t xml:space="preserve">)</w:t>
      </w:r>
      <w:r>
        <w:t xml:space="preserve">.</w:t>
      </w:r>
    </w:p>
    <w:p>
      <w:pPr>
        <w:pStyle w:val="Compact"/>
        <w:numPr>
          <w:ilvl w:val="1"/>
          <w:numId w:val="1054"/>
        </w:numPr>
      </w:pPr>
      <w:r>
        <w:t xml:space="preserve">These bodies can also recover VAT on exempt activities if it is</w:t>
      </w:r>
      <w:r>
        <w:t xml:space="preserve"> </w:t>
      </w:r>
      <w:r>
        <w:t xml:space="preserve">“</w:t>
      </w:r>
      <w:r>
        <w:t xml:space="preserve">insignificant</w:t>
      </w:r>
      <w:r>
        <w:t xml:space="preserve">”</w:t>
      </w:r>
      <w:r>
        <w:t xml:space="preserve"> </w:t>
      </w:r>
      <w:r>
        <w:t xml:space="preserve">(Value Added Tax Act 1994, s. 33(2)). HMRC treats it as insignificant if it is no more than £7,500 a year, or less than 5% of all VAT incurred, whichever is greater</w:t>
      </w:r>
      <w:r>
        <w:t xml:space="preserve"> </w:t>
      </w:r>
      <w:r>
        <w:t xml:space="preserve">(</w:t>
      </w:r>
      <w:hyperlink w:anchor="ref-hmrc_vatgpb">
        <w:r>
          <w:rPr>
            <w:rStyle w:val="Hyperlink"/>
          </w:rPr>
          <w:t xml:space="preserve">HMRC, 2026n, sec. VATGPB4510</w:t>
        </w:r>
      </w:hyperlink>
      <w:r>
        <w:t xml:space="preserve">)</w:t>
      </w:r>
      <w:r>
        <w:t xml:space="preserve">.</w:t>
      </w:r>
    </w:p>
    <w:p>
      <w:pPr>
        <w:pStyle w:val="Compact"/>
        <w:numPr>
          <w:ilvl w:val="1"/>
          <w:numId w:val="1054"/>
        </w:numPr>
      </w:pPr>
      <w:r>
        <w:t xml:space="preserve">Blocked items, such as most cars, stay blocked under section 33(6)</w:t>
      </w:r>
      <w:r>
        <w:t xml:space="preserve"> </w:t>
      </w:r>
      <w:r>
        <w:t xml:space="preserve">(</w:t>
      </w:r>
      <w:hyperlink w:anchor="ref-hmrc_vatgpb">
        <w:r>
          <w:rPr>
            <w:rStyle w:val="Hyperlink"/>
          </w:rPr>
          <w:t xml:space="preserve">HMRC, 2026n, sec. VATGPB4420</w:t>
        </w:r>
      </w:hyperlink>
      <w:r>
        <w:t xml:space="preserve">)</w:t>
      </w:r>
      <w:r>
        <w:t xml:space="preserve">.</w:t>
      </w:r>
    </w:p>
    <w:p>
      <w:pPr>
        <w:pStyle w:val="Compact"/>
        <w:numPr>
          <w:ilvl w:val="0"/>
          <w:numId w:val="1053"/>
        </w:numPr>
      </w:pPr>
      <w:r>
        <w:rPr>
          <w:b/>
          <w:bCs/>
        </w:rPr>
        <w:t xml:space="preserve">Northern Ireland departments (section 99).</w:t>
      </w:r>
    </w:p>
    <w:p>
      <w:pPr>
        <w:pStyle w:val="Compact"/>
        <w:numPr>
          <w:ilvl w:val="1"/>
          <w:numId w:val="1055"/>
        </w:numPr>
      </w:pPr>
      <w:r>
        <w:t xml:space="preserve">HMRC refunds VAT on goods and services supplied to the Government of Northern Ireland, after deducting the share agreed as relating to business activities (Value Added Tax Act 1994, s. 99).</w:t>
      </w:r>
    </w:p>
    <w:p>
      <w:pPr>
        <w:pStyle w:val="Compact"/>
        <w:numPr>
          <w:ilvl w:val="1"/>
          <w:numId w:val="1055"/>
        </w:numPr>
      </w:pPr>
      <w:r>
        <w:t xml:space="preserve">This scheme is not limited by the Contracting Out Direction</w:t>
      </w:r>
      <w:r>
        <w:t xml:space="preserve"> </w:t>
      </w:r>
      <w:r>
        <w:t xml:space="preserve">(</w:t>
      </w:r>
      <w:hyperlink w:anchor="ref-hmrc_vatgpb">
        <w:r>
          <w:rPr>
            <w:rStyle w:val="Hyperlink"/>
          </w:rPr>
          <w:t xml:space="preserve">HMRC, 2026n, sec. VATGPB9350</w:t>
        </w:r>
      </w:hyperlink>
      <w:r>
        <w:t xml:space="preserve">)</w:t>
      </w:r>
      <w:r>
        <w:t xml:space="preserve">.</w:t>
      </w:r>
    </w:p>
    <w:p>
      <w:pPr>
        <w:pStyle w:val="Compact"/>
        <w:numPr>
          <w:ilvl w:val="1"/>
          <w:numId w:val="1055"/>
        </w:numPr>
      </w:pPr>
      <w:r>
        <w:t xml:space="preserve">The government departments framework does not cover Northern Ireland departments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53"/>
        </w:numPr>
      </w:pPr>
      <w:r>
        <w:rPr>
          <w:b/>
          <w:bCs/>
        </w:rPr>
        <w:t xml:space="preserve">Ordinary businesses.</w:t>
      </w:r>
      <w:r>
        <w:t xml:space="preserve"> </w:t>
      </w:r>
      <w:r>
        <w:t xml:space="preserve">VAT on goods and services not obtained for the business is not input tax and cannot be reclaimed</w:t>
      </w:r>
      <w:r>
        <w:t xml:space="preserve"> </w:t>
      </w:r>
      <w:r>
        <w:t xml:space="preserve">(</w:t>
      </w:r>
      <w:hyperlink w:anchor="ref-hmrc_n700">
        <w:r>
          <w:rPr>
            <w:rStyle w:val="Hyperlink"/>
          </w:rPr>
          <w:t xml:space="preserve">HMRC, 2026o, para. 4.6.3</w:t>
        </w:r>
      </w:hyperlink>
      <w:r>
        <w:t xml:space="preserve">)</w:t>
      </w:r>
      <w:r>
        <w:t xml:space="preserve">.</w:t>
      </w:r>
    </w:p>
    <w:p>
      <w:pPr>
        <w:pStyle w:val="FirstParagraph"/>
      </w:pPr>
      <w:r>
        <w:t xml:space="preserve">HM Treasury notes that local authorities and similar bodies can recover VAT on their non-business activities, and that Northern Ireland has</w:t>
      </w:r>
      <w:r>
        <w:t xml:space="preserve"> </w:t>
      </w:r>
      <w:r>
        <w:t xml:space="preserve">“</w:t>
      </w:r>
      <w:r>
        <w:t xml:space="preserve">a broadly similar scheme</w:t>
      </w:r>
      <w:r>
        <w:t xml:space="preserve">”</w:t>
      </w:r>
      <w:r>
        <w:t xml:space="preserve"> </w:t>
      </w:r>
      <w:r>
        <w:t xml:space="preserve">(</w:t>
      </w:r>
      <w:hyperlink w:anchor="ref-hmt_s41_paper_2020">
        <w:r>
          <w:rPr>
            <w:rStyle w:val="Hyperlink"/>
          </w:rPr>
          <w:t xml:space="preserve">HM Treasury, 2020a, paras 1.18–1.19</w:t>
        </w:r>
      </w:hyperlink>
      <w:r>
        <w:t xml:space="preserve">)</w:t>
      </w:r>
      <w:r>
        <w:t xml:space="preserve">.</w:t>
      </w:r>
    </w:p>
    <w:bookmarkEnd w:id="56"/>
    <w:bookmarkStart w:id="57" w:name="X385a7e58c976c574ad0768a328137d3ddd08ea8"/>
    <w:p>
      <w:pPr>
        <w:pStyle w:val="Heading4"/>
      </w:pPr>
      <w:r>
        <w:t xml:space="preserve">Decision path: can the Department get this VAT back?</w:t>
      </w:r>
    </w:p>
    <w:p>
      <w:pPr>
        <w:pStyle w:val="FirstParagraph"/>
      </w:pPr>
      <w:r>
        <w:t xml:space="preserve">Work through these steps in order for each purchase.</w:t>
      </w:r>
    </w:p>
    <w:p>
      <w:pPr>
        <w:pStyle w:val="Compact"/>
        <w:numPr>
          <w:ilvl w:val="0"/>
          <w:numId w:val="1056"/>
        </w:numPr>
      </w:pPr>
      <w:r>
        <w:rPr>
          <w:b/>
          <w:bCs/>
        </w:rPr>
        <w:t xml:space="preserve">Is it UK VAT?</w:t>
      </w:r>
    </w:p>
    <w:p>
      <w:pPr>
        <w:pStyle w:val="Compact"/>
        <w:numPr>
          <w:ilvl w:val="1"/>
          <w:numId w:val="1057"/>
        </w:numPr>
      </w:pPr>
      <w:r>
        <w:t xml:space="preserve">No (it is foreign VAT): it cannot go on the UK VAT return and cannot be refunded under COS (see Part 4).</w:t>
      </w:r>
    </w:p>
    <w:p>
      <w:pPr>
        <w:pStyle w:val="Compact"/>
        <w:numPr>
          <w:ilvl w:val="1"/>
          <w:numId w:val="1057"/>
        </w:numPr>
      </w:pPr>
      <w:r>
        <w:t xml:space="preserve">Yes: go to step 2.</w:t>
      </w:r>
    </w:p>
    <w:p>
      <w:pPr>
        <w:pStyle w:val="Compact"/>
        <w:numPr>
          <w:ilvl w:val="0"/>
          <w:numId w:val="1056"/>
        </w:numPr>
      </w:pPr>
      <w:r>
        <w:rPr>
          <w:b/>
          <w:bCs/>
        </w:rPr>
        <w:t xml:space="preserve">What will the purchase be used for?</w:t>
      </w:r>
    </w:p>
    <w:p>
      <w:pPr>
        <w:pStyle w:val="Compact"/>
        <w:numPr>
          <w:ilvl w:val="1"/>
          <w:numId w:val="1058"/>
        </w:numPr>
      </w:pPr>
      <w:r>
        <w:t xml:space="preserve">Only business activities: go to step 3a.</w:t>
      </w:r>
    </w:p>
    <w:p>
      <w:pPr>
        <w:pStyle w:val="Compact"/>
        <w:numPr>
          <w:ilvl w:val="1"/>
          <w:numId w:val="1058"/>
        </w:numPr>
      </w:pPr>
      <w:r>
        <w:t xml:space="preserve">Only non-business activities: go to step 3b.</w:t>
      </w:r>
    </w:p>
    <w:p>
      <w:pPr>
        <w:pStyle w:val="Compact"/>
        <w:numPr>
          <w:ilvl w:val="1"/>
          <w:numId w:val="1058"/>
        </w:numPr>
      </w:pPr>
      <w:r>
        <w:t xml:space="preserve">Both: go to step 4.</w:t>
      </w:r>
    </w:p>
    <w:p>
      <w:pPr>
        <w:pStyle w:val="Compact"/>
        <w:numPr>
          <w:ilvl w:val="0"/>
          <w:numId w:val="1056"/>
        </w:numPr>
      </w:pPr>
      <w:r>
        <w:rPr>
          <w:b/>
          <w:bCs/>
        </w:rPr>
        <w:t xml:space="preserve">Apply the rule for that use.</w:t>
      </w:r>
    </w:p>
    <w:p>
      <w:pPr>
        <w:pStyle w:val="Compact"/>
        <w:numPr>
          <w:ilvl w:val="1"/>
          <w:numId w:val="1059"/>
        </w:numPr>
      </w:pPr>
      <w:r>
        <w:rPr>
          <w:b/>
          <w:bCs/>
        </w:rPr>
        <w:t xml:space="preserve">3a. Business use.</w:t>
      </w:r>
    </w:p>
    <w:p>
      <w:pPr>
        <w:pStyle w:val="Compact"/>
        <w:numPr>
          <w:ilvl w:val="2"/>
          <w:numId w:val="1060"/>
        </w:numPr>
      </w:pPr>
      <w:r>
        <w:t xml:space="preserve">Used for taxable supplies (or for foreign or specified supplies that carry the right to recover): input tax, so claim it in box 4. Check first that it is not a blocked item, such as a car or business entertainment.</w:t>
      </w:r>
    </w:p>
    <w:p>
      <w:pPr>
        <w:pStyle w:val="Compact"/>
        <w:numPr>
          <w:ilvl w:val="2"/>
          <w:numId w:val="1060"/>
        </w:numPr>
      </w:pPr>
      <w:r>
        <w:t xml:space="preserve">Used for exempt supplies: exempt input tax, so not recoverable unless the whole registration is within the de minimis limits and is not on a combined method.</w:t>
      </w:r>
    </w:p>
    <w:p>
      <w:pPr>
        <w:pStyle w:val="Compact"/>
        <w:numPr>
          <w:ilvl w:val="2"/>
          <w:numId w:val="1060"/>
        </w:numPr>
      </w:pPr>
      <w:r>
        <w:t xml:space="preserve">Used for both taxable and exempt supplies: split it using the partial exemption method.</w:t>
      </w:r>
    </w:p>
    <w:p>
      <w:pPr>
        <w:pStyle w:val="Compact"/>
        <w:numPr>
          <w:ilvl w:val="1"/>
          <w:numId w:val="1059"/>
        </w:numPr>
      </w:pPr>
      <w:r>
        <w:rPr>
          <w:b/>
          <w:bCs/>
        </w:rPr>
        <w:t xml:space="preserve">3b. Non-business use.</w:t>
      </w:r>
      <w:r>
        <w:t xml:space="preserve"> </w:t>
      </w:r>
      <w:r>
        <w:t xml:space="preserve">Does a COS heading cover it?</w:t>
      </w:r>
    </w:p>
    <w:p>
      <w:pPr>
        <w:pStyle w:val="Compact"/>
        <w:numPr>
          <w:ilvl w:val="2"/>
          <w:numId w:val="1061"/>
        </w:numPr>
      </w:pPr>
      <w:r>
        <w:t xml:space="preserve">Yes, it is a service in List 2, or goods that are an integral part of a qualifying service: claim a refund under section 41(3), within the financial year of the tax point or by the June VAT return after the year end (see Part 5, How and when to claim).</w:t>
      </w:r>
    </w:p>
    <w:p>
      <w:pPr>
        <w:pStyle w:val="Compact"/>
        <w:numPr>
          <w:ilvl w:val="2"/>
          <w:numId w:val="1061"/>
        </w:numPr>
      </w:pPr>
      <w:r>
        <w:t xml:space="preserve">No, including any goods bought on their own: it is an irrecoverable cost to the budget.</w:t>
      </w:r>
    </w:p>
    <w:p>
      <w:pPr>
        <w:pStyle w:val="Compact"/>
        <w:numPr>
          <w:ilvl w:val="0"/>
          <w:numId w:val="1056"/>
        </w:numPr>
      </w:pPr>
      <w:r>
        <w:rPr>
          <w:b/>
          <w:bCs/>
        </w:rPr>
        <w:t xml:space="preserve">Mixed use.</w:t>
      </w:r>
      <w:r>
        <w:t xml:space="preserve"> </w:t>
      </w:r>
      <w:r>
        <w:t xml:space="preserve">Split the VAT between business and non-business use first. Then apply step 3a to the business share and step 3b to the non-business share.</w:t>
      </w:r>
    </w:p>
    <w:p>
      <w:pPr>
        <w:pStyle w:val="Compact"/>
        <w:numPr>
          <w:ilvl w:val="0"/>
          <w:numId w:val="1056"/>
        </w:numPr>
      </w:pPr>
      <w:r>
        <w:rPr>
          <w:b/>
          <w:bCs/>
        </w:rPr>
        <w:t xml:space="preserve">Check the evidence and timing.</w:t>
      </w:r>
      <w:r>
        <w:t xml:space="preserve"> </w:t>
      </w:r>
      <w:r>
        <w:t xml:space="preserve">Make sure you hold a valid VAT invoice or import evidence, and that you claim in the right period.</w:t>
      </w:r>
    </w:p>
    <w:bookmarkEnd w:id="57"/>
    <w:bookmarkEnd w:id="58"/>
    <w:bookmarkStart w:id="68" w:name="worked-examples"/>
    <w:p>
      <w:pPr>
        <w:pStyle w:val="Heading3"/>
      </w:pPr>
      <w:r>
        <w:t xml:space="preserve">Worked examples</w:t>
      </w:r>
    </w:p>
    <w:p>
      <w:pPr>
        <w:pStyle w:val="FirstParagraph"/>
      </w:pPr>
      <w:r>
        <w:t xml:space="preserve">These examples apply the rules above. The figures are made up. VAT is at 20%.</w:t>
      </w:r>
    </w:p>
    <w:bookmarkStart w:id="59" w:name="X5a2f47f7e3c8512c6c7978feb0e07ce2cfe3c44"/>
    <w:p>
      <w:pPr>
        <w:pStyle w:val="Heading4"/>
      </w:pPr>
      <w:r>
        <w:t xml:space="preserve">Example 1: cleaning an office used only for policy work (COS service)</w:t>
      </w:r>
    </w:p>
    <w:p>
      <w:pPr>
        <w:pStyle w:val="Compact"/>
        <w:numPr>
          <w:ilvl w:val="0"/>
          <w:numId w:val="1062"/>
        </w:numPr>
      </w:pPr>
      <w:r>
        <w:rPr>
          <w:b/>
          <w:bCs/>
        </w:rPr>
        <w:t xml:space="preserve">Situation:</w:t>
      </w:r>
      <w:r>
        <w:t xml:space="preserve"> </w:t>
      </w:r>
      <w:r>
        <w:t xml:space="preserve">the Department hires a cleaning company for a regional office used only for non-business policy work. The quarterly invoice is £12,000 + VAT.</w:t>
      </w:r>
    </w:p>
    <w:p>
      <w:pPr>
        <w:pStyle w:val="Compact"/>
        <w:numPr>
          <w:ilvl w:val="0"/>
          <w:numId w:val="1062"/>
        </w:numPr>
      </w:pPr>
      <w:r>
        <w:rPr>
          <w:b/>
          <w:bCs/>
        </w:rPr>
        <w:t xml:space="preserve">VAT:</w:t>
      </w:r>
      <w:r>
        <w:t xml:space="preserve"> </w:t>
      </w:r>
      <w:r>
        <w:t xml:space="preserve">£12,000 × 20% = £2,400.</w:t>
      </w:r>
    </w:p>
    <w:p>
      <w:pPr>
        <w:pStyle w:val="Compact"/>
        <w:numPr>
          <w:ilvl w:val="0"/>
          <w:numId w:val="1062"/>
        </w:numPr>
      </w:pPr>
      <w:r>
        <w:rPr>
          <w:b/>
          <w:bCs/>
        </w:rPr>
        <w:t xml:space="preserve">Rule:</w:t>
      </w:r>
      <w:r>
        <w:t xml:space="preserve"> </w:t>
      </w:r>
      <w:r>
        <w:t xml:space="preserve">this is non-business use, so the VAT is not input tax. Cleaning of buildings falls under COS Heading 35</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062"/>
        </w:numPr>
      </w:pPr>
      <w:r>
        <w:rPr>
          <w:b/>
          <w:bCs/>
        </w:rPr>
        <w:t xml:space="preserve">Claimable:</w:t>
      </w:r>
      <w:r>
        <w:t xml:space="preserve"> </w:t>
      </w:r>
      <w:r>
        <w:t xml:space="preserve">£2,400, as a COS refund under section 41(3). Claim it within the financial year of the tax point, or by the June VAT return after the year end at the latest</w:t>
      </w:r>
      <w:r>
        <w:t xml:space="preserve"> </w:t>
      </w:r>
      <w:r>
        <w:t xml:space="preserve">(</w:t>
      </w:r>
      <w:hyperlink w:anchor="ref-hmrc_vatgpb">
        <w:r>
          <w:rPr>
            <w:rStyle w:val="Hyperlink"/>
          </w:rPr>
          <w:t xml:space="preserve">HMRC, 2026n, sec. VATGPB9720</w:t>
        </w:r>
      </w:hyperlink>
      <w:r>
        <w:t xml:space="preserve">)</w:t>
      </w:r>
      <w:r>
        <w:t xml:space="preserve">. See Part 5, How and when to claim.</w:t>
      </w:r>
    </w:p>
    <w:p>
      <w:pPr>
        <w:pStyle w:val="Compact"/>
        <w:numPr>
          <w:ilvl w:val="0"/>
          <w:numId w:val="1062"/>
        </w:numPr>
      </w:pPr>
      <w:r>
        <w:rPr>
          <w:b/>
          <w:bCs/>
        </w:rPr>
        <w:t xml:space="preserve">Net cost to the budget:</w:t>
      </w:r>
      <w:r>
        <w:t xml:space="preserve"> </w:t>
      </w:r>
      <w:r>
        <w:t xml:space="preserve">£12,000.</w:t>
      </w:r>
    </w:p>
    <w:p>
      <w:pPr>
        <w:pStyle w:val="Compact"/>
        <w:numPr>
          <w:ilvl w:val="0"/>
          <w:numId w:val="1062"/>
        </w:numPr>
      </w:pPr>
      <w:r>
        <w:rPr>
          <w:b/>
          <w:bCs/>
        </w:rPr>
        <w:t xml:space="preserve">Check first:</w:t>
      </w:r>
      <w:r>
        <w:t xml:space="preserve"> </w:t>
      </w:r>
      <w:r>
        <w:t xml:space="preserve">if the office were also used for business activities, the VAT would be mixed-use and would need to be split</w:t>
      </w:r>
      <w:r>
        <w:t xml:space="preserve"> </w:t>
      </w:r>
      <w:r>
        <w:t xml:space="preserve">(</w:t>
      </w:r>
      <w:hyperlink w:anchor="ref-hmrc_gdpef">
        <w:r>
          <w:rPr>
            <w:rStyle w:val="Hyperlink"/>
          </w:rPr>
          <w:t xml:space="preserve">HMRC, 2023c</w:t>
        </w:r>
      </w:hyperlink>
      <w:r>
        <w:t xml:space="preserve">)</w:t>
      </w:r>
      <w:r>
        <w:t xml:space="preserve">.</w:t>
      </w:r>
    </w:p>
    <w:bookmarkEnd w:id="59"/>
    <w:bookmarkStart w:id="60" w:name="example-2-laptops-for-policy-staff-goods"/>
    <w:p>
      <w:pPr>
        <w:pStyle w:val="Heading4"/>
      </w:pPr>
      <w:r>
        <w:t xml:space="preserve">Example 2: laptops for policy staff (goods)</w:t>
      </w:r>
    </w:p>
    <w:p>
      <w:pPr>
        <w:pStyle w:val="Compact"/>
        <w:numPr>
          <w:ilvl w:val="0"/>
          <w:numId w:val="1063"/>
        </w:numPr>
      </w:pPr>
      <w:r>
        <w:rPr>
          <w:b/>
          <w:bCs/>
        </w:rPr>
        <w:t xml:space="preserve">Situation:</w:t>
      </w:r>
      <w:r>
        <w:t xml:space="preserve"> </w:t>
      </w:r>
      <w:r>
        <w:t xml:space="preserve">the Department buys 50 laptops at £900 each for policy staff. They will be used only for non-business work.</w:t>
      </w:r>
    </w:p>
    <w:p>
      <w:pPr>
        <w:pStyle w:val="Compact"/>
        <w:numPr>
          <w:ilvl w:val="0"/>
          <w:numId w:val="1063"/>
        </w:numPr>
      </w:pPr>
      <w:r>
        <w:rPr>
          <w:b/>
          <w:bCs/>
        </w:rPr>
        <w:t xml:space="preserve">Cost:</w:t>
      </w:r>
      <w:r>
        <w:t xml:space="preserve"> </w:t>
      </w:r>
      <w:r>
        <w:t xml:space="preserve">50 × £900 = £45,000. VAT: £45,000 × 20% = £9,000. Total: £54,000.</w:t>
      </w:r>
    </w:p>
    <w:p>
      <w:pPr>
        <w:pStyle w:val="Compact"/>
        <w:numPr>
          <w:ilvl w:val="0"/>
          <w:numId w:val="1063"/>
        </w:numPr>
      </w:pPr>
      <w:r>
        <w:rPr>
          <w:b/>
          <w:bCs/>
        </w:rPr>
        <w:t xml:space="preserve">Rule:</w:t>
      </w:r>
      <w:r>
        <w:t xml:space="preserve"> </w:t>
      </w:r>
      <w:r>
        <w:t xml:space="preserve">laptops are goods bought on their own. COS covers services. Heading 14 (computer services) specifically excludes</w:t>
      </w:r>
      <w:r>
        <w:t xml:space="preserve"> </w:t>
      </w:r>
      <w:r>
        <w:t xml:space="preserve">“</w:t>
      </w:r>
      <w:r>
        <w:t xml:space="preserve">the hire, installation or purchase of hardware alone</w:t>
      </w:r>
      <w:r>
        <w:t xml:space="preserve">”</w:t>
      </w:r>
      <w:r>
        <w:t xml:space="preserve"> </w:t>
      </w:r>
      <w:r>
        <w:t xml:space="preserve">(</w:t>
      </w:r>
      <w:hyperlink w:anchor="ref-hmrc_vatgpb">
        <w:r>
          <w:rPr>
            <w:rStyle w:val="Hyperlink"/>
          </w:rPr>
          <w:t xml:space="preserve">HMRC, 2026n, sec. VATGPB10010</w:t>
        </w:r>
      </w:hyperlink>
      <w:r>
        <w:t xml:space="preserve">)</w:t>
      </w:r>
      <w:r>
        <w:t xml:space="preserve">. HM Treasury’s 2020 policy paper confirms that departments cannot recover VAT on goods</w:t>
      </w:r>
      <w:r>
        <w:t xml:space="preserve"> </w:t>
      </w:r>
      <w:r>
        <w:t xml:space="preserve">(</w:t>
      </w:r>
      <w:hyperlink w:anchor="ref-hmt_s41_paper_2020">
        <w:r>
          <w:rPr>
            <w:rStyle w:val="Hyperlink"/>
          </w:rPr>
          <w:t xml:space="preserve">HM Treasury, 2020a, para. 2.8</w:t>
        </w:r>
      </w:hyperlink>
      <w:r>
        <w:t xml:space="preserve">)</w:t>
      </w:r>
      <w:r>
        <w:t xml:space="preserve">.</w:t>
      </w:r>
    </w:p>
    <w:p>
      <w:pPr>
        <w:pStyle w:val="Compact"/>
        <w:numPr>
          <w:ilvl w:val="0"/>
          <w:numId w:val="1063"/>
        </w:numPr>
      </w:pPr>
      <w:r>
        <w:rPr>
          <w:b/>
          <w:bCs/>
        </w:rPr>
        <w:t xml:space="preserve">Not recoverable:</w:t>
      </w:r>
      <w:r>
        <w:t xml:space="preserve"> </w:t>
      </w:r>
      <w:r>
        <w:t xml:space="preserve">£9,000.</w:t>
      </w:r>
    </w:p>
    <w:p>
      <w:pPr>
        <w:pStyle w:val="Compact"/>
        <w:numPr>
          <w:ilvl w:val="0"/>
          <w:numId w:val="1063"/>
        </w:numPr>
      </w:pPr>
      <w:r>
        <w:rPr>
          <w:b/>
          <w:bCs/>
        </w:rPr>
        <w:t xml:space="preserve">Net cost to the budget:</w:t>
      </w:r>
      <w:r>
        <w:t xml:space="preserve"> </w:t>
      </w:r>
      <w:r>
        <w:t xml:space="preserve">£54,000.</w:t>
      </w:r>
    </w:p>
    <w:p>
      <w:pPr>
        <w:pStyle w:val="Compact"/>
        <w:numPr>
          <w:ilvl w:val="0"/>
          <w:numId w:val="1063"/>
        </w:numPr>
      </w:pPr>
      <w:r>
        <w:rPr>
          <w:b/>
          <w:bCs/>
        </w:rPr>
        <w:t xml:space="preserve">Check first:</w:t>
      </w:r>
      <w:r>
        <w:t xml:space="preserve"> </w:t>
      </w:r>
      <w:r>
        <w:t xml:space="preserve">if the laptops were supplied as part of a qualifying Heading 14 IT system contract, the VAT may be refundable. HMRC allows a refund where goods are</w:t>
      </w:r>
      <w:r>
        <w:t xml:space="preserve"> </w:t>
      </w:r>
      <w:r>
        <w:t xml:space="preserve">“</w:t>
      </w:r>
      <w:r>
        <w:t xml:space="preserve">an integral part of a supply of qualifying services, are included in the contract for the qualifying services, and are ancillary to the qualifying services supplied</w:t>
      </w:r>
      <w:r>
        <w:t xml:space="preserve">”</w:t>
      </w:r>
      <w:r>
        <w:t xml:space="preserve"> </w:t>
      </w:r>
      <w:r>
        <w:t xml:space="preserve">(</w:t>
      </w:r>
      <w:hyperlink w:anchor="ref-hmrc_vatgpb">
        <w:r>
          <w:rPr>
            <w:rStyle w:val="Hyperlink"/>
          </w:rPr>
          <w:t xml:space="preserve">HMRC, 2026n, sec. VATGPB10010</w:t>
        </w:r>
      </w:hyperlink>
      <w:r>
        <w:t xml:space="preserve">)</w:t>
      </w:r>
      <w:r>
        <w:t xml:space="preserve">. See Part 8, Heading 14.</w:t>
      </w:r>
    </w:p>
    <w:bookmarkEnd w:id="60"/>
    <w:bookmarkStart w:id="61" w:name="Xf238635be11dd7ce99e2edb184664dfbf3ff5ef"/>
    <w:p>
      <w:pPr>
        <w:pStyle w:val="Heading4"/>
      </w:pPr>
      <w:r>
        <w:t xml:space="preserve">Example 3: goods bought for a business activity</w:t>
      </w:r>
    </w:p>
    <w:p>
      <w:pPr>
        <w:pStyle w:val="Compact"/>
        <w:numPr>
          <w:ilvl w:val="0"/>
          <w:numId w:val="1064"/>
        </w:numPr>
      </w:pPr>
      <w:r>
        <w:rPr>
          <w:b/>
          <w:bCs/>
        </w:rPr>
        <w:t xml:space="preserve">Situation:</w:t>
      </w:r>
      <w:r>
        <w:t xml:space="preserve"> </w:t>
      </w:r>
      <w:r>
        <w:t xml:space="preserve">the Department sells surplus equipment to UK buyers. This is a taxable business activity (see output tax example 2). For these sales it buys:</w:t>
      </w:r>
    </w:p>
    <w:p>
      <w:pPr>
        <w:pStyle w:val="Compact"/>
        <w:numPr>
          <w:ilvl w:val="1"/>
          <w:numId w:val="1065"/>
        </w:numPr>
      </w:pPr>
      <w:r>
        <w:t xml:space="preserve">pallets, crates and wrapping for £1,500 + VAT of £300 (£1,500 × 20%); and</w:t>
      </w:r>
    </w:p>
    <w:p>
      <w:pPr>
        <w:pStyle w:val="Compact"/>
        <w:numPr>
          <w:ilvl w:val="1"/>
          <w:numId w:val="1065"/>
        </w:numPr>
      </w:pPr>
      <w:r>
        <w:t xml:space="preserve">auction house selling services for £2,000 + VAT of £400 (£2,000 × 20%).</w:t>
      </w:r>
    </w:p>
    <w:p>
      <w:pPr>
        <w:pStyle w:val="Compact"/>
        <w:numPr>
          <w:ilvl w:val="0"/>
          <w:numId w:val="1064"/>
        </w:numPr>
      </w:pPr>
      <w:r>
        <w:rPr>
          <w:b/>
          <w:bCs/>
        </w:rPr>
        <w:t xml:space="preserve">Rule:</w:t>
      </w:r>
      <w:r>
        <w:t xml:space="preserve"> </w:t>
      </w:r>
      <w:r>
        <w:t xml:space="preserve">these costs are used only to make standard-rated sales. The VAT is taxable input tax, recoverable under section 26</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64"/>
        </w:numPr>
      </w:pPr>
      <w:r>
        <w:rPr>
          <w:b/>
          <w:bCs/>
        </w:rPr>
        <w:t xml:space="preserve">Recoverable:</w:t>
      </w:r>
      <w:r>
        <w:t xml:space="preserve"> </w:t>
      </w:r>
      <w:r>
        <w:t xml:space="preserve">£300 + £400 = £700, as input tax in box 4.</w:t>
      </w:r>
    </w:p>
    <w:p>
      <w:pPr>
        <w:pStyle w:val="Compact"/>
        <w:numPr>
          <w:ilvl w:val="0"/>
          <w:numId w:val="1064"/>
        </w:numPr>
      </w:pPr>
      <w:r>
        <w:rPr>
          <w:b/>
          <w:bCs/>
        </w:rPr>
        <w:t xml:space="preserve">Lesson:</w:t>
      </w:r>
      <w:r>
        <w:t xml:space="preserve"> </w:t>
      </w:r>
      <w:r>
        <w:t xml:space="preserve">VAT on goods</w:t>
      </w:r>
      <w:r>
        <w:t xml:space="preserve"> </w:t>
      </w:r>
      <w:r>
        <w:rPr>
          <w:b/>
          <w:bCs/>
        </w:rPr>
        <w:t xml:space="preserve">is</w:t>
      </w:r>
      <w:r>
        <w:t xml:space="preserve"> </w:t>
      </w:r>
      <w:r>
        <w:t xml:space="preserve">recoverable when the goods are used for a taxable business activity. The bar on goods applies only to COS refunds.</w:t>
      </w:r>
    </w:p>
    <w:bookmarkEnd w:id="61"/>
    <w:bookmarkStart w:id="62" w:name="X4d00662788ac56e5dfdb1565e5392d7337f016e"/>
    <w:p>
      <w:pPr>
        <w:pStyle w:val="Heading4"/>
      </w:pPr>
      <w:r>
        <w:t xml:space="preserve">Example 4: a mixed-use IT contract, split between uses</w:t>
      </w:r>
    </w:p>
    <w:p>
      <w:pPr>
        <w:pStyle w:val="Compact"/>
        <w:numPr>
          <w:ilvl w:val="0"/>
          <w:numId w:val="1066"/>
        </w:numPr>
      </w:pPr>
      <w:r>
        <w:rPr>
          <w:b/>
          <w:bCs/>
        </w:rPr>
        <w:t xml:space="preserve">Situation:</w:t>
      </w:r>
      <w:r>
        <w:t xml:space="preserve"> </w:t>
      </w:r>
      <w:r>
        <w:t xml:space="preserve">the Department has a managed IT service built to its own specification. It falls under COS Heading 14</w:t>
      </w:r>
      <w:r>
        <w:t xml:space="preserve"> </w:t>
      </w:r>
      <w:r>
        <w:t xml:space="preserve">(</w:t>
      </w:r>
      <w:hyperlink w:anchor="ref-hmrc_vatgpb">
        <w:r>
          <w:rPr>
            <w:rStyle w:val="Hyperlink"/>
          </w:rPr>
          <w:t xml:space="preserve">HMRC, 2026n, sec. VATGPB10010</w:t>
        </w:r>
      </w:hyperlink>
      <w:r>
        <w:t xml:space="preserve">)</w:t>
      </w:r>
      <w:r>
        <w:t xml:space="preserve">. The IT service supports all of the Department’s activities, so it cannot be directly attributed to one use (Step 1). One quarter’s charge is £600,000 + VAT.</w:t>
      </w:r>
    </w:p>
    <w:p>
      <w:pPr>
        <w:pStyle w:val="Compact"/>
        <w:numPr>
          <w:ilvl w:val="0"/>
          <w:numId w:val="1066"/>
        </w:numPr>
      </w:pPr>
      <w:r>
        <w:rPr>
          <w:b/>
          <w:bCs/>
        </w:rPr>
        <w:t xml:space="preserve">VAT:</w:t>
      </w:r>
      <w:r>
        <w:t xml:space="preserve"> </w:t>
      </w:r>
      <w:r>
        <w:t xml:space="preserve">£600,000 × 20% = £120,000.</w:t>
      </w:r>
    </w:p>
    <w:p>
      <w:pPr>
        <w:pStyle w:val="Compact"/>
        <w:numPr>
          <w:ilvl w:val="0"/>
          <w:numId w:val="1066"/>
        </w:numPr>
      </w:pPr>
      <w:r>
        <w:rPr>
          <w:b/>
          <w:bCs/>
        </w:rPr>
        <w:t xml:space="preserve">The Department’s yearly figures</w:t>
      </w:r>
      <w:r>
        <w:t xml:space="preserve"> </w:t>
      </w:r>
      <w:r>
        <w:t xml:space="preserve">(made up):</w:t>
      </w:r>
    </w:p>
    <w:p>
      <w:pPr>
        <w:pStyle w:val="Compact"/>
        <w:numPr>
          <w:ilvl w:val="1"/>
          <w:numId w:val="1067"/>
        </w:numPr>
      </w:pPr>
      <w:r>
        <w:t xml:space="preserve">taxable supplies: £1,500,000;</w:t>
      </w:r>
    </w:p>
    <w:p>
      <w:pPr>
        <w:pStyle w:val="Compact"/>
        <w:numPr>
          <w:ilvl w:val="1"/>
          <w:numId w:val="1067"/>
        </w:numPr>
      </w:pPr>
      <w:r>
        <w:t xml:space="preserve">exempt supplies (for example, rent from surplus office space where there is no option to tax): £500,000;</w:t>
      </w:r>
    </w:p>
    <w:p>
      <w:pPr>
        <w:pStyle w:val="Compact"/>
        <w:numPr>
          <w:ilvl w:val="1"/>
          <w:numId w:val="1067"/>
        </w:numPr>
      </w:pPr>
      <w:r>
        <w:t xml:space="preserve">non-business income, meaning the funding used for its own non-business work after taking out grants it passes on: £18,000,000.</w:t>
      </w:r>
    </w:p>
    <w:p>
      <w:pPr>
        <w:pStyle w:val="Compact"/>
        <w:numPr>
          <w:ilvl w:val="0"/>
          <w:numId w:val="1066"/>
        </w:numPr>
      </w:pPr>
      <w:r>
        <w:rPr>
          <w:b/>
          <w:bCs/>
        </w:rPr>
        <w:t xml:space="preserve">Step 2: business and non-business split.</w:t>
      </w:r>
      <w:r>
        <w:t xml:space="preserve"> </w:t>
      </w:r>
      <w:r>
        <w:t xml:space="preserve">(£1,500,000 + £500,000) ÷ (£1,500,000 + £500,000 + £18,000,000) = £2,000,000 ÷ £20,000,000 = 10%.</w:t>
      </w:r>
    </w:p>
    <w:p>
      <w:pPr>
        <w:pStyle w:val="Compact"/>
        <w:numPr>
          <w:ilvl w:val="1"/>
          <w:numId w:val="1068"/>
        </w:numPr>
      </w:pPr>
      <w:r>
        <w:t xml:space="preserve">Business VAT: £120,000 × 10% = £12,000.</w:t>
      </w:r>
    </w:p>
    <w:p>
      <w:pPr>
        <w:pStyle w:val="Compact"/>
        <w:numPr>
          <w:ilvl w:val="1"/>
          <w:numId w:val="1068"/>
        </w:numPr>
      </w:pPr>
      <w:r>
        <w:t xml:space="preserve">Non-business VAT: £120,000 − £12,000 = £108,000.</w:t>
      </w:r>
    </w:p>
    <w:p>
      <w:pPr>
        <w:pStyle w:val="Compact"/>
        <w:numPr>
          <w:ilvl w:val="0"/>
          <w:numId w:val="1066"/>
        </w:numPr>
      </w:pPr>
      <w:r>
        <w:rPr>
          <w:b/>
          <w:bCs/>
        </w:rPr>
        <w:t xml:space="preserve">Step 3: non-business share.</w:t>
      </w:r>
      <w:r>
        <w:t xml:space="preserve"> </w:t>
      </w:r>
      <w:r>
        <w:t xml:space="preserve">Heading 14 covers the service, so the £108,000 is refundable under section 41(3).</w:t>
      </w:r>
    </w:p>
    <w:p>
      <w:pPr>
        <w:pStyle w:val="Compact"/>
        <w:numPr>
          <w:ilvl w:val="0"/>
          <w:numId w:val="1066"/>
        </w:numPr>
      </w:pPr>
      <w:r>
        <w:rPr>
          <w:b/>
          <w:bCs/>
        </w:rPr>
        <w:t xml:space="preserve">Step 4: partial exemption on the business share.</w:t>
      </w:r>
      <w:r>
        <w:t xml:space="preserve"> </w:t>
      </w:r>
      <w:r>
        <w:t xml:space="preserve">Taxable share: £1,500,000 ÷ £2,000,000 = 75%.</w:t>
      </w:r>
    </w:p>
    <w:p>
      <w:pPr>
        <w:pStyle w:val="Compact"/>
        <w:numPr>
          <w:ilvl w:val="1"/>
          <w:numId w:val="1069"/>
        </w:numPr>
      </w:pPr>
      <w:r>
        <w:t xml:space="preserve">Input tax: £12,000 × 75% = £9,000.</w:t>
      </w:r>
    </w:p>
    <w:p>
      <w:pPr>
        <w:pStyle w:val="Compact"/>
        <w:numPr>
          <w:ilvl w:val="1"/>
          <w:numId w:val="1069"/>
        </w:numPr>
      </w:pPr>
      <w:r>
        <w:t xml:space="preserve">Exempt input tax: £12,000 − £9,000 = £3,000.</w:t>
      </w:r>
    </w:p>
    <w:p>
      <w:pPr>
        <w:pStyle w:val="Compact"/>
        <w:numPr>
          <w:ilvl w:val="0"/>
          <w:numId w:val="1066"/>
        </w:numPr>
      </w:pPr>
      <w:r>
        <w:rPr>
          <w:b/>
          <w:bCs/>
        </w:rPr>
        <w:t xml:space="preserve">Claimable:</w:t>
      </w:r>
      <w:r>
        <w:t xml:space="preserve"> </w:t>
      </w:r>
      <w:r>
        <w:t xml:space="preserve">£108,000 (COS refund).</w:t>
      </w:r>
      <w:r>
        <w:t xml:space="preserve"> </w:t>
      </w:r>
      <w:r>
        <w:rPr>
          <w:b/>
          <w:bCs/>
        </w:rPr>
        <w:t xml:space="preserve">Recoverable:</w:t>
      </w:r>
      <w:r>
        <w:t xml:space="preserve"> </w:t>
      </w:r>
      <w:r>
        <w:t xml:space="preserve">£9,000 (input tax). Total back: £117,000.</w:t>
      </w:r>
    </w:p>
    <w:p>
      <w:pPr>
        <w:pStyle w:val="Compact"/>
        <w:numPr>
          <w:ilvl w:val="0"/>
          <w:numId w:val="1066"/>
        </w:numPr>
      </w:pPr>
      <w:r>
        <w:rPr>
          <w:b/>
          <w:bCs/>
        </w:rPr>
        <w:t xml:space="preserve">Not recoverable:</w:t>
      </w:r>
      <w:r>
        <w:t xml:space="preserve"> </w:t>
      </w:r>
      <w:r>
        <w:t xml:space="preserve">£3,000. This is exempt input tax, unless the Department’s whole registration is within the de minimis limits and it is not using a combined method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066"/>
        </w:numPr>
      </w:pPr>
      <w:r>
        <w:rPr>
          <w:b/>
          <w:bCs/>
        </w:rPr>
        <w:t xml:space="preserve">Contrast:</w:t>
      </w:r>
      <w:r>
        <w:t xml:space="preserve"> </w:t>
      </w:r>
      <w:r>
        <w:t xml:space="preserve">if the same £120,000 of VAT were on off-the-shelf software licences bought on their own, which Heading 14 excludes</w:t>
      </w:r>
      <w:r>
        <w:t xml:space="preserve"> </w:t>
      </w:r>
      <w:r>
        <w:t xml:space="preserve">(</w:t>
      </w:r>
      <w:hyperlink w:anchor="ref-hmrc_vatgpb">
        <w:r>
          <w:rPr>
            <w:rStyle w:val="Hyperlink"/>
          </w:rPr>
          <w:t xml:space="preserve">HMRC, 2026n, sec. VATGPB10010</w:t>
        </w:r>
      </w:hyperlink>
      <w:r>
        <w:t xml:space="preserve">)</w:t>
      </w:r>
      <w:r>
        <w:t xml:space="preserve">, the £108,000 non-business share would be irrecoverable. The Department would get back only £9,000.</w:t>
      </w:r>
    </w:p>
    <w:p>
      <w:pPr>
        <w:pStyle w:val="Compact"/>
        <w:numPr>
          <w:ilvl w:val="0"/>
          <w:numId w:val="1066"/>
        </w:numPr>
      </w:pPr>
      <w:r>
        <w:rPr>
          <w:b/>
          <w:bCs/>
        </w:rPr>
        <w:t xml:space="preserve">Method:</w:t>
      </w:r>
      <w:r>
        <w:t xml:space="preserve"> </w:t>
      </w:r>
      <w:r>
        <w:t xml:space="preserve">this follows the income-based approach in HMRC’s framework. A department’s own method may differ, and any special or combined method needs HMRC approval</w:t>
      </w:r>
      <w:r>
        <w:t xml:space="preserve"> </w:t>
      </w:r>
      <w:r>
        <w:t xml:space="preserve">(</w:t>
      </w:r>
      <w:hyperlink w:anchor="ref-hmrc_gdpef">
        <w:r>
          <w:rPr>
            <w:rStyle w:val="Hyperlink"/>
          </w:rPr>
          <w:t xml:space="preserve">HMRC, 2023c</w:t>
        </w:r>
      </w:hyperlink>
      <w:r>
        <w:t xml:space="preserve">)</w:t>
      </w:r>
      <w:r>
        <w:t xml:space="preserve">.</w:t>
      </w:r>
    </w:p>
    <w:bookmarkEnd w:id="62"/>
    <w:bookmarkStart w:id="63" w:name="X5d447f5d49bfe6e5153aacdd6ae6f65e60ab4d5"/>
    <w:p>
      <w:pPr>
        <w:pStyle w:val="Heading4"/>
      </w:pPr>
      <w:r>
        <w:t xml:space="preserve">Example 5: a local authority buys the same 50 laptops</w:t>
      </w:r>
    </w:p>
    <w:p>
      <w:pPr>
        <w:pStyle w:val="Compact"/>
        <w:numPr>
          <w:ilvl w:val="0"/>
          <w:numId w:val="1070"/>
        </w:numPr>
      </w:pPr>
      <w:r>
        <w:rPr>
          <w:b/>
          <w:bCs/>
        </w:rPr>
        <w:t xml:space="preserve">Situation:</w:t>
      </w:r>
      <w:r>
        <w:t xml:space="preserve"> </w:t>
      </w:r>
      <w:r>
        <w:t xml:space="preserve">a local authority buys 50 laptops at £900 each (£45,000 + £9,000 VAT) for its non-business work.</w:t>
      </w:r>
    </w:p>
    <w:p>
      <w:pPr>
        <w:pStyle w:val="Compact"/>
        <w:numPr>
          <w:ilvl w:val="0"/>
          <w:numId w:val="1070"/>
        </w:numPr>
      </w:pPr>
      <w:r>
        <w:rPr>
          <w:b/>
          <w:bCs/>
        </w:rPr>
        <w:t xml:space="preserve">Rule:</w:t>
      </w:r>
      <w:r>
        <w:t xml:space="preserve"> </w:t>
      </w:r>
      <w:r>
        <w:t xml:space="preserve">section 33 refunds VAT on goods and services bought for non-business purposes. It is not limited to a list of services (Value Added Tax Act 1994, s. 33(1)). HMRC confirms that section 33 bodies can recover VAT incurred on their non-business activities</w:t>
      </w:r>
      <w:r>
        <w:t xml:space="preserve"> </w:t>
      </w:r>
      <w:r>
        <w:t xml:space="preserve">(</w:t>
      </w:r>
      <w:hyperlink w:anchor="ref-hmrc_vatgpb">
        <w:r>
          <w:rPr>
            <w:rStyle w:val="Hyperlink"/>
          </w:rPr>
          <w:t xml:space="preserve">HMRC, 2026n, sec. VATGPB4405</w:t>
        </w:r>
      </w:hyperlink>
      <w:r>
        <w:t xml:space="preserve">)</w:t>
      </w:r>
      <w:r>
        <w:t xml:space="preserve">.</w:t>
      </w:r>
    </w:p>
    <w:p>
      <w:pPr>
        <w:pStyle w:val="Compact"/>
        <w:numPr>
          <w:ilvl w:val="0"/>
          <w:numId w:val="1070"/>
        </w:numPr>
      </w:pPr>
      <w:r>
        <w:rPr>
          <w:b/>
          <w:bCs/>
        </w:rPr>
        <w:t xml:space="preserve">Recoverable:</w:t>
      </w:r>
      <w:r>
        <w:t xml:space="preserve"> </w:t>
      </w:r>
      <w:r>
        <w:t xml:space="preserve">£9,000.</w:t>
      </w:r>
    </w:p>
    <w:p>
      <w:pPr>
        <w:pStyle w:val="Compact"/>
        <w:numPr>
          <w:ilvl w:val="0"/>
          <w:numId w:val="1070"/>
        </w:numPr>
      </w:pPr>
      <w:r>
        <w:rPr>
          <w:b/>
          <w:bCs/>
        </w:rPr>
        <w:t xml:space="preserve">Net cost:</w:t>
      </w:r>
      <w:r>
        <w:t xml:space="preserve"> </w:t>
      </w:r>
      <w:r>
        <w:t xml:space="preserve">£45,000.</w:t>
      </w:r>
    </w:p>
    <w:bookmarkEnd w:id="63"/>
    <w:bookmarkStart w:id="64" w:name="X60d7e804b73d32aff69540baa5b71c18b8fd053"/>
    <w:p>
      <w:pPr>
        <w:pStyle w:val="Heading4"/>
      </w:pPr>
      <w:r>
        <w:t xml:space="preserve">Example 6: a private company buys the same 50 laptops</w:t>
      </w:r>
    </w:p>
    <w:p>
      <w:pPr>
        <w:pStyle w:val="Compact"/>
        <w:numPr>
          <w:ilvl w:val="0"/>
          <w:numId w:val="1071"/>
        </w:numPr>
      </w:pPr>
      <w:r>
        <w:rPr>
          <w:b/>
          <w:bCs/>
        </w:rPr>
        <w:t xml:space="preserve">Situation:</w:t>
      </w:r>
      <w:r>
        <w:t xml:space="preserve"> </w:t>
      </w:r>
      <w:r>
        <w:t xml:space="preserve">a VAT-registered consultancy that makes only standard-rated sales buys 50 laptops at £900 each (£45,000 + £9,000 VAT).</w:t>
      </w:r>
    </w:p>
    <w:p>
      <w:pPr>
        <w:pStyle w:val="Compact"/>
        <w:numPr>
          <w:ilvl w:val="0"/>
          <w:numId w:val="1071"/>
        </w:numPr>
      </w:pPr>
      <w:r>
        <w:rPr>
          <w:b/>
          <w:bCs/>
        </w:rPr>
        <w:t xml:space="preserve">Rule:</w:t>
      </w:r>
      <w:r>
        <w:t xml:space="preserve"> </w:t>
      </w:r>
      <w:r>
        <w:t xml:space="preserve">the laptops are used for its taxable business, so the VAT is input tax</w:t>
      </w:r>
      <w:r>
        <w:t xml:space="preserve"> </w:t>
      </w:r>
      <w:r>
        <w:t xml:space="preserve">(</w:t>
      </w:r>
      <w:hyperlink w:anchor="ref-hmrc_n700">
        <w:r>
          <w:rPr>
            <w:rStyle w:val="Hyperlink"/>
          </w:rPr>
          <w:t xml:space="preserve">HMRC, 2026o, para. 10.2</w:t>
        </w:r>
      </w:hyperlink>
      <w:r>
        <w:t xml:space="preserve">)</w:t>
      </w:r>
      <w:r>
        <w:t xml:space="preserve">.</w:t>
      </w:r>
    </w:p>
    <w:p>
      <w:pPr>
        <w:pStyle w:val="Compact"/>
        <w:numPr>
          <w:ilvl w:val="0"/>
          <w:numId w:val="1071"/>
        </w:numPr>
      </w:pPr>
      <w:r>
        <w:rPr>
          <w:b/>
          <w:bCs/>
        </w:rPr>
        <w:t xml:space="preserve">Recoverable:</w:t>
      </w:r>
      <w:r>
        <w:t xml:space="preserve"> </w:t>
      </w:r>
      <w:r>
        <w:t xml:space="preserve">£9,000, in box 4.</w:t>
      </w:r>
    </w:p>
    <w:p>
      <w:pPr>
        <w:pStyle w:val="Compact"/>
        <w:numPr>
          <w:ilvl w:val="0"/>
          <w:numId w:val="1071"/>
        </w:numPr>
      </w:pPr>
      <w:r>
        <w:rPr>
          <w:b/>
          <w:bCs/>
        </w:rPr>
        <w:t xml:space="preserve">Net cost:</w:t>
      </w:r>
      <w:r>
        <w:t xml:space="preserve"> </w:t>
      </w:r>
      <w:r>
        <w:t xml:space="preserve">£45,000.</w:t>
      </w:r>
    </w:p>
    <w:p>
      <w:pPr>
        <w:pStyle w:val="Compact"/>
        <w:numPr>
          <w:ilvl w:val="0"/>
          <w:numId w:val="1071"/>
        </w:numPr>
      </w:pPr>
      <w:r>
        <w:rPr>
          <w:b/>
          <w:bCs/>
        </w:rPr>
        <w:t xml:space="preserve">Variation:</w:t>
      </w:r>
      <w:r>
        <w:t xml:space="preserve"> </w:t>
      </w:r>
      <w:r>
        <w:t xml:space="preserve">if the company were partly exempt, with a recovery rate of 40% under its partial exemption method:</w:t>
      </w:r>
    </w:p>
    <w:p>
      <w:pPr>
        <w:pStyle w:val="Compact"/>
        <w:numPr>
          <w:ilvl w:val="1"/>
          <w:numId w:val="1072"/>
        </w:numPr>
      </w:pPr>
      <w:r>
        <w:rPr>
          <w:b/>
          <w:bCs/>
        </w:rPr>
        <w:t xml:space="preserve">Partly recoverable:</w:t>
      </w:r>
      <w:r>
        <w:t xml:space="preserve"> </w:t>
      </w:r>
      <w:r>
        <w:t xml:space="preserve">£9,000 × 40% = £3,600.</w:t>
      </w:r>
    </w:p>
    <w:p>
      <w:pPr>
        <w:pStyle w:val="Compact"/>
        <w:numPr>
          <w:ilvl w:val="1"/>
          <w:numId w:val="1072"/>
        </w:numPr>
      </w:pPr>
      <w:r>
        <w:rPr>
          <w:b/>
          <w:bCs/>
        </w:rPr>
        <w:t xml:space="preserve">Not recoverable:</w:t>
      </w:r>
      <w:r>
        <w:t xml:space="preserve"> </w:t>
      </w:r>
      <w:r>
        <w:t xml:space="preserve">£9,000 − £3,600 = £5,400, unless it is within the de minimis limits</w:t>
      </w:r>
      <w:r>
        <w:t xml:space="preserve"> </w:t>
      </w:r>
      <w:r>
        <w:t xml:space="preserve">(</w:t>
      </w:r>
      <w:hyperlink w:anchor="ref-hmrc_n706">
        <w:r>
          <w:rPr>
            <w:rStyle w:val="Hyperlink"/>
          </w:rPr>
          <w:t xml:space="preserve">HMRC, 2025h, para. 11.2</w:t>
        </w:r>
      </w:hyperlink>
      <w:r>
        <w:t xml:space="preserve">)</w:t>
      </w:r>
      <w:r>
        <w:t xml:space="preserve">.</w:t>
      </w:r>
    </w:p>
    <w:bookmarkEnd w:id="64"/>
    <w:bookmarkStart w:id="65" w:name="Xf7887d750a7834d7721dfb200c4f752bbaabbcd"/>
    <w:p>
      <w:pPr>
        <w:pStyle w:val="Heading4"/>
      </w:pPr>
      <w:r>
        <w:t xml:space="preserve">Example 7: business entertainment and a company car</w:t>
      </w:r>
    </w:p>
    <w:p>
      <w:pPr>
        <w:pStyle w:val="Compact"/>
        <w:numPr>
          <w:ilvl w:val="0"/>
          <w:numId w:val="1073"/>
        </w:numPr>
      </w:pPr>
      <w:r>
        <w:rPr>
          <w:b/>
          <w:bCs/>
        </w:rPr>
        <w:t xml:space="preserve">Situation:</w:t>
      </w:r>
      <w:r>
        <w:t xml:space="preserve"> </w:t>
      </w:r>
      <w:r>
        <w:t xml:space="preserve">a VAT-registered company buys two things:</w:t>
      </w:r>
    </w:p>
    <w:p>
      <w:pPr>
        <w:pStyle w:val="Compact"/>
        <w:numPr>
          <w:ilvl w:val="1"/>
          <w:numId w:val="1074"/>
        </w:numPr>
      </w:pPr>
      <w:r>
        <w:t xml:space="preserve">a dinner for UK clients costing £1,000 + VAT of £200 (£1,000 × 20%); and</w:t>
      </w:r>
    </w:p>
    <w:p>
      <w:pPr>
        <w:pStyle w:val="Compact"/>
        <w:numPr>
          <w:ilvl w:val="1"/>
          <w:numId w:val="1074"/>
        </w:numPr>
      </w:pPr>
      <w:r>
        <w:t xml:space="preserve">a car for a sales manager, which will also be available for private use, costing £25,000 + VAT of £5,000 (£25,000 × 20%).</w:t>
      </w:r>
    </w:p>
    <w:p>
      <w:pPr>
        <w:pStyle w:val="Compact"/>
        <w:numPr>
          <w:ilvl w:val="0"/>
          <w:numId w:val="1073"/>
        </w:numPr>
      </w:pPr>
      <w:r>
        <w:rPr>
          <w:b/>
          <w:bCs/>
        </w:rPr>
        <w:t xml:space="preserve">Rule:</w:t>
      </w:r>
      <w:r>
        <w:t xml:space="preserve"> </w:t>
      </w:r>
      <w:r>
        <w:t xml:space="preserve">both are blocked items</w:t>
      </w:r>
      <w:r>
        <w:t xml:space="preserve"> </w:t>
      </w:r>
      <w:r>
        <w:t xml:space="preserve">(</w:t>
      </w:r>
      <w:hyperlink w:anchor="ref-hmrc_n70064">
        <w:r>
          <w:rPr>
            <w:rStyle w:val="Hyperlink"/>
          </w:rPr>
          <w:t xml:space="preserve">HMRC, 2024c, para. 3.1</w:t>
        </w:r>
      </w:hyperlink>
      <w:r>
        <w:t xml:space="preserve">;</w:t>
      </w:r>
      <w:r>
        <w:t xml:space="preserve"> </w:t>
      </w:r>
      <w:hyperlink w:anchor="ref-hmrc_n70065">
        <w:r>
          <w:rPr>
            <w:rStyle w:val="Hyperlink"/>
          </w:rPr>
          <w:t xml:space="preserve">2026b, para. 1.2</w:t>
        </w:r>
      </w:hyperlink>
      <w:r>
        <w:t xml:space="preserve">)</w:t>
      </w:r>
      <w:r>
        <w:t xml:space="preserve">.</w:t>
      </w:r>
    </w:p>
    <w:p>
      <w:pPr>
        <w:pStyle w:val="Compact"/>
        <w:numPr>
          <w:ilvl w:val="0"/>
          <w:numId w:val="1073"/>
        </w:numPr>
      </w:pPr>
      <w:r>
        <w:rPr>
          <w:b/>
          <w:bCs/>
        </w:rPr>
        <w:t xml:space="preserve">Not recoverable:</w:t>
      </w:r>
      <w:r>
        <w:t xml:space="preserve"> </w:t>
      </w:r>
      <w:r>
        <w:t xml:space="preserve">£200 + £5,000 = £5,200. None of it goes in box 4</w:t>
      </w:r>
      <w:r>
        <w:t xml:space="preserve"> </w:t>
      </w:r>
      <w:r>
        <w:t xml:space="preserve">(</w:t>
      </w:r>
      <w:hyperlink w:anchor="ref-hmrc_n70012">
        <w:r>
          <w:rPr>
            <w:rStyle w:val="Hyperlink"/>
          </w:rPr>
          <w:t xml:space="preserve">HMRC, 2025f, para. 3.5</w:t>
        </w:r>
      </w:hyperlink>
      <w:r>
        <w:t xml:space="preserve">)</w:t>
      </w:r>
      <w:r>
        <w:t xml:space="preserve">.</w:t>
      </w:r>
    </w:p>
    <w:bookmarkEnd w:id="65"/>
    <w:bookmarkStart w:id="66" w:name="X255367a1ddc5424af3c3cefea89cae7e77070ee"/>
    <w:p>
      <w:pPr>
        <w:pStyle w:val="Heading4"/>
      </w:pPr>
      <w:r>
        <w:t xml:space="preserve">Example 8: delegate passes for a conference in Germany</w:t>
      </w:r>
    </w:p>
    <w:p>
      <w:pPr>
        <w:pStyle w:val="Compact"/>
        <w:numPr>
          <w:ilvl w:val="0"/>
          <w:numId w:val="1075"/>
        </w:numPr>
      </w:pPr>
      <w:r>
        <w:rPr>
          <w:b/>
          <w:bCs/>
        </w:rPr>
        <w:t xml:space="preserve">Situation:</w:t>
      </w:r>
      <w:r>
        <w:t xml:space="preserve"> </w:t>
      </w:r>
      <w:r>
        <w:t xml:space="preserve">the Department buys three delegate passes for a two-day conference in Berlin, for policy staff. The German organiser’s invoice includes German VAT.</w:t>
      </w:r>
    </w:p>
    <w:p>
      <w:pPr>
        <w:pStyle w:val="Compact"/>
        <w:numPr>
          <w:ilvl w:val="0"/>
          <w:numId w:val="1075"/>
        </w:numPr>
      </w:pPr>
      <w:r>
        <w:rPr>
          <w:b/>
          <w:bCs/>
        </w:rPr>
        <w:t xml:space="preserve">Rule:</w:t>
      </w:r>
      <w:r>
        <w:t xml:space="preserve"> </w:t>
      </w:r>
      <w:r>
        <w:t xml:space="preserve">the Department counts as a business customer because it has some business activities</w:t>
      </w:r>
      <w:r>
        <w:t xml:space="preserve"> </w:t>
      </w:r>
      <w:r>
        <w:t xml:space="preserve">(</w:t>
      </w:r>
      <w:hyperlink w:anchor="ref-hmrc_gdpef">
        <w:r>
          <w:rPr>
            <w:rStyle w:val="Hyperlink"/>
          </w:rPr>
          <w:t xml:space="preserve">HMRC, 2023c</w:t>
        </w:r>
      </w:hyperlink>
      <w:r>
        <w:t xml:space="preserve">)</w:t>
      </w:r>
      <w:r>
        <w:t xml:space="preserve">. For business customers, admission to a conference is taxed where the event takes place, so no UK VAT is due and the reverse charge does not apply</w:t>
      </w:r>
      <w:r>
        <w:t xml:space="preserve"> </w:t>
      </w:r>
      <w:r>
        <w:t xml:space="preserve">(</w:t>
      </w:r>
      <w:hyperlink w:anchor="ref-hmrc_n741a">
        <w:r>
          <w:rPr>
            <w:rStyle w:val="Hyperlink"/>
          </w:rPr>
          <w:t xml:space="preserve">HMRC, 2022d, paras 9.1–9.3</w:t>
        </w:r>
      </w:hyperlink>
      <w:r>
        <w:t xml:space="preserve">)</w:t>
      </w:r>
      <w:r>
        <w:t xml:space="preserve">. The VAT on the invoice is German VAT. Foreign VAT cannot go on the UK return and cannot be refunded under section 41(3) (Value Added Tax Act 1994, ss. 24(1) and 41(3)).</w:t>
      </w:r>
    </w:p>
    <w:p>
      <w:pPr>
        <w:pStyle w:val="Compact"/>
        <w:numPr>
          <w:ilvl w:val="0"/>
          <w:numId w:val="1075"/>
        </w:numPr>
      </w:pPr>
      <w:r>
        <w:rPr>
          <w:b/>
          <w:bCs/>
        </w:rPr>
        <w:t xml:space="preserve">Not recoverable</w:t>
      </w:r>
      <w:r>
        <w:t xml:space="preserve"> </w:t>
      </w:r>
      <w:r>
        <w:t xml:space="preserve">through the UK VAT return or COS. Whether any other route exists is covered later (see Part 4).</w:t>
      </w:r>
    </w:p>
    <w:bookmarkEnd w:id="66"/>
    <w:bookmarkStart w:id="67" w:name="X8a0776cbf234e32aad1532c428cc3eff4afc12e"/>
    <w:p>
      <w:pPr>
        <w:pStyle w:val="Heading4"/>
      </w:pPr>
      <w:r>
        <w:t xml:space="preserve">Summary: who gets the VAT back on 50 laptops?</w:t>
      </w:r>
    </w:p>
    <w:p>
      <w:pPr>
        <w:pStyle w:val="FirstParagraph"/>
      </w:pPr>
      <w:r>
        <w:t xml:space="preserve">The table below compares the result of the same purchase (50 laptops: £45,000 + £9,000 VAT) for different buyers. Each buyer uses the laptops for its main activities.</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053"/>
        <w:gridCol w:w="2571"/>
        <w:gridCol w:w="1700"/>
        <w:gridCol w:w="1700"/>
      </w:tblGrid>
      <w:tr>
        <w:trPr>
          <w:tblHeader w:val="true"/>
          <w:cantSplit w:val="true"/>
        </w:trPr>
        <w:tc>
          <w:tcPr>
            <w:tcW w:w="3053" w:type="dxa"/>
            <w:shd w:val="clear" w:color="auto" w:fill="1B3A5C"/>
          </w:tcPr>
          <w:p>
            <w:pPr>
              <w:pStyle w:val="Compact"/>
              <w:spacing w:after="40" w:before="40"/>
              <w:jc w:val="left"/>
            </w:pPr>
            <w:r>
              <w:rPr>
                <w:rFonts w:ascii="Tahoma" w:hAnsi="Tahoma"/>
                <w:b/>
                <w:color w:val="FFFFFF"/>
                <w:sz w:val="22"/>
              </w:rPr>
              <w:t xml:space="preserve">Buyer</w:t>
            </w:r>
          </w:p>
        </w:tc>
        <w:tc>
          <w:tcPr>
            <w:tcW w:w="2571" w:type="dxa"/>
            <w:shd w:val="clear" w:color="auto" w:fill="1B3A5C"/>
          </w:tcPr>
          <w:p>
            <w:pPr>
              <w:pStyle w:val="Compact"/>
              <w:spacing w:after="40" w:before="40"/>
              <w:jc w:val="left"/>
            </w:pPr>
            <w:r>
              <w:rPr>
                <w:rFonts w:ascii="Tahoma" w:hAnsi="Tahoma"/>
                <w:b/>
                <w:color w:val="FFFFFF"/>
                <w:sz w:val="22"/>
              </w:rPr>
              <w:t xml:space="preserve">How VAT is recovered</w:t>
            </w:r>
          </w:p>
        </w:tc>
        <w:tc>
          <w:tcPr>
            <w:tcW w:w="1700" w:type="dxa"/>
            <w:shd w:val="clear" w:color="auto" w:fill="1B3A5C"/>
          </w:tcPr>
          <w:p>
            <w:pPr>
              <w:pStyle w:val="Compact"/>
              <w:spacing w:after="40" w:before="40"/>
              <w:jc w:val="left"/>
            </w:pPr>
            <w:r>
              <w:rPr>
                <w:rFonts w:ascii="Tahoma" w:hAnsi="Tahoma"/>
                <w:b/>
                <w:color w:val="FFFFFF"/>
                <w:sz w:val="22"/>
              </w:rPr>
              <w:t xml:space="preserve">VAT back</w:t>
            </w:r>
          </w:p>
        </w:tc>
        <w:tc>
          <w:tcPr>
            <w:tcW w:w="1700" w:type="dxa"/>
            <w:shd w:val="clear" w:color="auto" w:fill="1B3A5C"/>
          </w:tcPr>
          <w:p>
            <w:pPr>
              <w:pStyle w:val="Compact"/>
              <w:spacing w:after="40" w:before="40"/>
              <w:jc w:val="left"/>
            </w:pPr>
            <w:r>
              <w:rPr>
                <w:rFonts w:ascii="Tahoma" w:hAnsi="Tahoma"/>
                <w:b/>
                <w:color w:val="FFFFFF"/>
                <w:sz w:val="22"/>
              </w:rPr>
              <w:t xml:space="preserve">Net cost</w:t>
            </w:r>
          </w:p>
        </w:tc>
      </w:tr>
      <w:tr>
        <w:trPr>
          <w:cantSplit w:val="true"/>
        </w:trPr>
        <w:tc>
          <w:tcPr>
            <w:tcW w:w="3053" w:type="dxa"/>
            <w:shd w:val="clear" w:color="auto" w:fill="EAF3FA"/>
          </w:tcPr>
          <w:p>
            <w:pPr>
              <w:pStyle w:val="Compact"/>
              <w:spacing w:after="40" w:before="40"/>
              <w:jc w:val="left"/>
            </w:pPr>
            <w:r>
              <w:rPr>
                <w:rFonts w:ascii="Tahoma" w:hAnsi="Tahoma"/>
                <w:sz w:val="22"/>
              </w:rPr>
              <w:t xml:space="preserve">The Department (non-business use)</w:t>
            </w:r>
          </w:p>
        </w:tc>
        <w:tc>
          <w:tcPr>
            <w:tcW w:w="2571" w:type="dxa"/>
            <w:shd w:val="clear" w:color="auto" w:fill="EAF3FA"/>
          </w:tcPr>
          <w:p>
            <w:pPr>
              <w:pStyle w:val="Compact"/>
              <w:spacing w:after="40" w:before="40"/>
              <w:jc w:val="left"/>
            </w:pPr>
            <w:r>
              <w:rPr>
                <w:rFonts w:ascii="Tahoma" w:hAnsi="Tahoma"/>
                <w:sz w:val="22"/>
              </w:rPr>
              <w:t xml:space="preserve">Not at all: goods are not in COS</w:t>
            </w:r>
          </w:p>
        </w:tc>
        <w:tc>
          <w:tcPr>
            <w:tcW w:w="1700" w:type="dxa"/>
            <w:shd w:val="clear" w:color="auto" w:fill="EAF3FA"/>
          </w:tcPr>
          <w:p>
            <w:pPr>
              <w:pStyle w:val="Compact"/>
              <w:spacing w:after="40" w:before="40"/>
              <w:jc w:val="left"/>
            </w:pPr>
            <w:r>
              <w:rPr>
                <w:rFonts w:ascii="Tahoma" w:hAnsi="Tahoma"/>
                <w:sz w:val="22"/>
              </w:rPr>
              <w:t xml:space="preserve">£0</w:t>
            </w:r>
          </w:p>
        </w:tc>
        <w:tc>
          <w:tcPr>
            <w:tcW w:w="1700" w:type="dxa"/>
            <w:shd w:val="clear" w:color="auto" w:fill="EAF3FA"/>
          </w:tcPr>
          <w:p>
            <w:pPr>
              <w:pStyle w:val="Compact"/>
              <w:spacing w:after="40" w:before="40"/>
              <w:jc w:val="left"/>
            </w:pPr>
            <w:r>
              <w:rPr>
                <w:rFonts w:ascii="Tahoma" w:hAnsi="Tahoma"/>
                <w:sz w:val="22"/>
              </w:rPr>
              <w:t xml:space="preserve">£54,000</w:t>
            </w:r>
          </w:p>
        </w:tc>
      </w:tr>
      <w:tr>
        <w:trPr>
          <w:cantSplit w:val="true"/>
        </w:trPr>
        <w:tc>
          <w:tcPr>
            <w:tcW w:w="3053" w:type="dxa"/>
            <w:shd w:val="clear" w:color="auto" w:fill="FFFFFF"/>
          </w:tcPr>
          <w:p>
            <w:pPr>
              <w:pStyle w:val="Compact"/>
              <w:spacing w:after="40" w:before="40"/>
              <w:jc w:val="left"/>
            </w:pPr>
            <w:r>
              <w:rPr>
                <w:rFonts w:ascii="Tahoma" w:hAnsi="Tahoma"/>
                <w:sz w:val="22"/>
              </w:rPr>
              <w:t xml:space="preserve">NHS trust (non-business use)</w:t>
            </w:r>
          </w:p>
        </w:tc>
        <w:tc>
          <w:tcPr>
            <w:tcW w:w="2571" w:type="dxa"/>
            <w:shd w:val="clear" w:color="auto" w:fill="FFFFFF"/>
          </w:tcPr>
          <w:p>
            <w:pPr>
              <w:pStyle w:val="Compact"/>
              <w:spacing w:after="40" w:before="40"/>
              <w:jc w:val="left"/>
            </w:pPr>
            <w:r>
              <w:rPr>
                <w:rFonts w:ascii="Tahoma" w:hAnsi="Tahoma"/>
                <w:sz w:val="22"/>
              </w:rPr>
              <w:t xml:space="preserve">Not at all: goods are not in COS</w:t>
            </w:r>
          </w:p>
        </w:tc>
        <w:tc>
          <w:tcPr>
            <w:tcW w:w="1700" w:type="dxa"/>
            <w:shd w:val="clear" w:color="auto" w:fill="FFFFFF"/>
          </w:tcPr>
          <w:p>
            <w:pPr>
              <w:pStyle w:val="Compact"/>
              <w:spacing w:after="40" w:before="40"/>
              <w:jc w:val="left"/>
            </w:pPr>
            <w:r>
              <w:rPr>
                <w:rFonts w:ascii="Tahoma" w:hAnsi="Tahoma"/>
                <w:sz w:val="22"/>
              </w:rPr>
              <w:t xml:space="preserve">£0</w:t>
            </w:r>
          </w:p>
        </w:tc>
        <w:tc>
          <w:tcPr>
            <w:tcW w:w="1700" w:type="dxa"/>
            <w:shd w:val="clear" w:color="auto" w:fill="FFFFFF"/>
          </w:tcPr>
          <w:p>
            <w:pPr>
              <w:pStyle w:val="Compact"/>
              <w:spacing w:after="40" w:before="40"/>
              <w:jc w:val="left"/>
            </w:pPr>
            <w:r>
              <w:rPr>
                <w:rFonts w:ascii="Tahoma" w:hAnsi="Tahoma"/>
                <w:sz w:val="22"/>
              </w:rPr>
              <w:t xml:space="preserve">£54,000</w:t>
            </w:r>
          </w:p>
        </w:tc>
      </w:tr>
      <w:tr>
        <w:trPr>
          <w:cantSplit w:val="true"/>
        </w:trPr>
        <w:tc>
          <w:tcPr>
            <w:tcW w:w="3053" w:type="dxa"/>
            <w:shd w:val="clear" w:color="auto" w:fill="FBEAF1"/>
          </w:tcPr>
          <w:p>
            <w:pPr>
              <w:pStyle w:val="Compact"/>
              <w:spacing w:after="40" w:before="40"/>
              <w:jc w:val="left"/>
            </w:pPr>
            <w:r>
              <w:rPr>
                <w:rFonts w:ascii="Tahoma" w:hAnsi="Tahoma"/>
                <w:sz w:val="22"/>
              </w:rPr>
              <w:t xml:space="preserve">Local authority (non-business use)</w:t>
            </w:r>
          </w:p>
        </w:tc>
        <w:tc>
          <w:tcPr>
            <w:tcW w:w="2571" w:type="dxa"/>
            <w:shd w:val="clear" w:color="auto" w:fill="FBEAF1"/>
          </w:tcPr>
          <w:p>
            <w:pPr>
              <w:pStyle w:val="Compact"/>
              <w:spacing w:after="40" w:before="40"/>
              <w:jc w:val="left"/>
            </w:pPr>
            <w:r>
              <w:rPr>
                <w:rFonts w:ascii="Tahoma" w:hAnsi="Tahoma"/>
                <w:sz w:val="22"/>
              </w:rPr>
              <w:t xml:space="preserve">Section 33 refund</w:t>
            </w:r>
          </w:p>
        </w:tc>
        <w:tc>
          <w:tcPr>
            <w:tcW w:w="1700" w:type="dxa"/>
            <w:shd w:val="clear" w:color="auto" w:fill="FBEAF1"/>
          </w:tcPr>
          <w:p>
            <w:pPr>
              <w:pStyle w:val="Compact"/>
              <w:spacing w:after="40" w:before="40"/>
              <w:jc w:val="left"/>
            </w:pPr>
            <w:r>
              <w:rPr>
                <w:rFonts w:ascii="Tahoma" w:hAnsi="Tahoma"/>
                <w:sz w:val="22"/>
              </w:rPr>
              <w:t xml:space="preserve">£9,000</w:t>
            </w:r>
          </w:p>
        </w:tc>
        <w:tc>
          <w:tcPr>
            <w:tcW w:w="1700" w:type="dxa"/>
            <w:shd w:val="clear" w:color="auto" w:fill="FBEAF1"/>
          </w:tcPr>
          <w:p>
            <w:pPr>
              <w:pStyle w:val="Compact"/>
              <w:spacing w:after="40" w:before="40"/>
              <w:jc w:val="left"/>
            </w:pPr>
            <w:r>
              <w:rPr>
                <w:rFonts w:ascii="Tahoma" w:hAnsi="Tahoma"/>
                <w:sz w:val="22"/>
              </w:rPr>
              <w:t xml:space="preserve">£45,000</w:t>
            </w:r>
          </w:p>
        </w:tc>
      </w:tr>
      <w:tr>
        <w:trPr>
          <w:cantSplit w:val="true"/>
        </w:trPr>
        <w:tc>
          <w:tcPr>
            <w:tcW w:w="3053" w:type="dxa"/>
            <w:shd w:val="clear" w:color="auto" w:fill="EAF3FA"/>
          </w:tcPr>
          <w:p>
            <w:pPr>
              <w:pStyle w:val="Compact"/>
              <w:spacing w:after="40" w:before="40"/>
              <w:jc w:val="left"/>
            </w:pPr>
            <w:r>
              <w:rPr>
                <w:rFonts w:ascii="Tahoma" w:hAnsi="Tahoma"/>
                <w:sz w:val="22"/>
              </w:rPr>
              <w:t xml:space="preserve">Northern Ireland department (non-business use)</w:t>
            </w:r>
          </w:p>
        </w:tc>
        <w:tc>
          <w:tcPr>
            <w:tcW w:w="2571" w:type="dxa"/>
            <w:shd w:val="clear" w:color="auto" w:fill="EAF3FA"/>
          </w:tcPr>
          <w:p>
            <w:pPr>
              <w:pStyle w:val="Compact"/>
              <w:spacing w:after="40" w:before="40"/>
              <w:jc w:val="left"/>
            </w:pPr>
            <w:r>
              <w:rPr>
                <w:rFonts w:ascii="Tahoma" w:hAnsi="Tahoma"/>
                <w:sz w:val="22"/>
              </w:rPr>
              <w:t xml:space="preserve">Section 99 refund</w:t>
            </w:r>
          </w:p>
        </w:tc>
        <w:tc>
          <w:tcPr>
            <w:tcW w:w="1700" w:type="dxa"/>
            <w:shd w:val="clear" w:color="auto" w:fill="EAF3FA"/>
          </w:tcPr>
          <w:p>
            <w:pPr>
              <w:pStyle w:val="Compact"/>
              <w:spacing w:after="40" w:before="40"/>
              <w:jc w:val="left"/>
            </w:pPr>
            <w:r>
              <w:rPr>
                <w:rFonts w:ascii="Tahoma" w:hAnsi="Tahoma"/>
                <w:sz w:val="22"/>
              </w:rPr>
              <w:t xml:space="preserve">£9,000</w:t>
            </w:r>
          </w:p>
        </w:tc>
        <w:tc>
          <w:tcPr>
            <w:tcW w:w="1700" w:type="dxa"/>
            <w:shd w:val="clear" w:color="auto" w:fill="EAF3FA"/>
          </w:tcPr>
          <w:p>
            <w:pPr>
              <w:pStyle w:val="Compact"/>
              <w:spacing w:after="40" w:before="40"/>
              <w:jc w:val="left"/>
            </w:pPr>
            <w:r>
              <w:rPr>
                <w:rFonts w:ascii="Tahoma" w:hAnsi="Tahoma"/>
                <w:sz w:val="22"/>
              </w:rPr>
              <w:t xml:space="preserve">£45,000</w:t>
            </w:r>
          </w:p>
        </w:tc>
      </w:tr>
      <w:tr>
        <w:trPr>
          <w:cantSplit w:val="true"/>
        </w:trPr>
        <w:tc>
          <w:tcPr>
            <w:tcW w:w="3053" w:type="dxa"/>
            <w:shd w:val="clear" w:color="auto" w:fill="FFFFFF"/>
          </w:tcPr>
          <w:p>
            <w:pPr>
              <w:pStyle w:val="Compact"/>
              <w:spacing w:after="40" w:before="40"/>
              <w:jc w:val="left"/>
            </w:pPr>
            <w:r>
              <w:rPr>
                <w:rFonts w:ascii="Tahoma" w:hAnsi="Tahoma"/>
                <w:sz w:val="22"/>
              </w:rPr>
              <w:t xml:space="preserve">Fully taxable company</w:t>
            </w:r>
          </w:p>
        </w:tc>
        <w:tc>
          <w:tcPr>
            <w:tcW w:w="2571" w:type="dxa"/>
            <w:shd w:val="clear" w:color="auto" w:fill="FFFFFF"/>
          </w:tcPr>
          <w:p>
            <w:pPr>
              <w:pStyle w:val="Compact"/>
              <w:spacing w:after="40" w:before="40"/>
              <w:jc w:val="left"/>
            </w:pPr>
            <w:r>
              <w:rPr>
                <w:rFonts w:ascii="Tahoma" w:hAnsi="Tahoma"/>
                <w:sz w:val="22"/>
              </w:rPr>
              <w:t xml:space="preserve">Input tax</w:t>
            </w:r>
          </w:p>
        </w:tc>
        <w:tc>
          <w:tcPr>
            <w:tcW w:w="1700" w:type="dxa"/>
            <w:shd w:val="clear" w:color="auto" w:fill="FFFFFF"/>
          </w:tcPr>
          <w:p>
            <w:pPr>
              <w:pStyle w:val="Compact"/>
              <w:spacing w:after="40" w:before="40"/>
              <w:jc w:val="left"/>
            </w:pPr>
            <w:r>
              <w:rPr>
                <w:rFonts w:ascii="Tahoma" w:hAnsi="Tahoma"/>
                <w:sz w:val="22"/>
              </w:rPr>
              <w:t xml:space="preserve">£9,000</w:t>
            </w:r>
          </w:p>
        </w:tc>
        <w:tc>
          <w:tcPr>
            <w:tcW w:w="1700" w:type="dxa"/>
            <w:shd w:val="clear" w:color="auto" w:fill="FFFFFF"/>
          </w:tcPr>
          <w:p>
            <w:pPr>
              <w:pStyle w:val="Compact"/>
              <w:spacing w:after="40" w:before="40"/>
              <w:jc w:val="left"/>
            </w:pPr>
            <w:r>
              <w:rPr>
                <w:rFonts w:ascii="Tahoma" w:hAnsi="Tahoma"/>
                <w:sz w:val="22"/>
              </w:rPr>
              <w:t xml:space="preserve">£45,000</w:t>
            </w:r>
          </w:p>
        </w:tc>
      </w:tr>
      <w:tr>
        <w:trPr>
          <w:cantSplit w:val="true"/>
        </w:trPr>
        <w:tc>
          <w:tcPr>
            <w:tcW w:w="3053" w:type="dxa"/>
            <w:shd w:val="clear" w:color="auto" w:fill="FBEAF1"/>
          </w:tcPr>
          <w:p>
            <w:pPr>
              <w:pStyle w:val="Compact"/>
              <w:spacing w:after="40" w:before="40"/>
              <w:jc w:val="left"/>
            </w:pPr>
            <w:r>
              <w:rPr>
                <w:rFonts w:ascii="Tahoma" w:hAnsi="Tahoma"/>
                <w:sz w:val="22"/>
              </w:rPr>
              <w:t xml:space="preserve">Partly exempt company (40% recovery)</w:t>
            </w:r>
          </w:p>
        </w:tc>
        <w:tc>
          <w:tcPr>
            <w:tcW w:w="2571" w:type="dxa"/>
            <w:shd w:val="clear" w:color="auto" w:fill="FBEAF1"/>
          </w:tcPr>
          <w:p>
            <w:pPr>
              <w:pStyle w:val="Compact"/>
              <w:spacing w:after="40" w:before="40"/>
              <w:jc w:val="left"/>
            </w:pPr>
            <w:r>
              <w:rPr>
                <w:rFonts w:ascii="Tahoma" w:hAnsi="Tahoma"/>
                <w:sz w:val="22"/>
              </w:rPr>
              <w:t xml:space="preserve">Input tax, partly</w:t>
            </w:r>
          </w:p>
        </w:tc>
        <w:tc>
          <w:tcPr>
            <w:tcW w:w="1700" w:type="dxa"/>
            <w:shd w:val="clear" w:color="auto" w:fill="FBEAF1"/>
          </w:tcPr>
          <w:p>
            <w:pPr>
              <w:pStyle w:val="Compact"/>
              <w:spacing w:after="40" w:before="40"/>
              <w:jc w:val="left"/>
            </w:pPr>
            <w:r>
              <w:rPr>
                <w:rFonts w:ascii="Tahoma" w:hAnsi="Tahoma"/>
                <w:sz w:val="22"/>
              </w:rPr>
              <w:t xml:space="preserve">£3,600</w:t>
            </w:r>
          </w:p>
        </w:tc>
        <w:tc>
          <w:tcPr>
            <w:tcW w:w="1700" w:type="dxa"/>
            <w:shd w:val="clear" w:color="auto" w:fill="FBEAF1"/>
          </w:tcPr>
          <w:p>
            <w:pPr>
              <w:pStyle w:val="Compact"/>
              <w:spacing w:after="40" w:before="40"/>
              <w:jc w:val="left"/>
            </w:pPr>
            <w:r>
              <w:rPr>
                <w:rFonts w:ascii="Tahoma" w:hAnsi="Tahoma"/>
                <w:sz w:val="22"/>
              </w:rPr>
              <w:t xml:space="preserve">£50,400</w:t>
            </w:r>
          </w:p>
        </w:tc>
      </w:tr>
    </w:tbl>
    <w:p>
      <w:pPr>
        <w:pStyle w:val="BodyText"/>
        <w:spacing w:before="200"/>
      </w:pPr>
      <w:r>
        <w:t xml:space="preserve">The sources for each row are in the examples and in</w:t>
      </w:r>
      <w:r>
        <w:t xml:space="preserve"> </w:t>
      </w:r>
      <w:r>
        <w:t xml:space="preserve">“</w:t>
      </w:r>
      <w:r>
        <w:t xml:space="preserve">How other public bodies compare</w:t>
      </w:r>
      <w:r>
        <w:t xml:space="preserve">”</w:t>
      </w:r>
      <w:r>
        <w:t xml:space="preserve"> </w:t>
      </w:r>
      <w:r>
        <w:t xml:space="preserve">above.</w:t>
      </w:r>
    </w:p>
    <w:bookmarkEnd w:id="67"/>
    <w:bookmarkEnd w:id="68"/>
    <w:bookmarkStart w:id="69" w:name="key-points-to-remember"/>
    <w:p>
      <w:pPr>
        <w:pStyle w:val="Heading3"/>
      </w:pPr>
      <w:r>
        <w:t xml:space="preserve">Key points to remember</w:t>
      </w:r>
    </w:p>
    <w:p>
      <w:pPr>
        <w:pStyle w:val="Compact"/>
        <w:numPr>
          <w:ilvl w:val="0"/>
          <w:numId w:val="1076"/>
        </w:numPr>
      </w:pPr>
      <w:r>
        <w:rPr>
          <w:b/>
          <w:bCs/>
        </w:rPr>
        <w:t xml:space="preserve">Output tax</w:t>
      </w:r>
      <w:r>
        <w:t xml:space="preserve"> </w:t>
      </w:r>
      <w:r>
        <w:t xml:space="preserve">is the VAT you charge on your taxable sales.</w:t>
      </w:r>
      <w:r>
        <w:t xml:space="preserve"> </w:t>
      </w:r>
      <w:r>
        <w:rPr>
          <w:b/>
          <w:bCs/>
        </w:rPr>
        <w:t xml:space="preserve">Input tax</w:t>
      </w:r>
      <w:r>
        <w:t xml:space="preserve"> </w:t>
      </w:r>
      <w:r>
        <w:t xml:space="preserve">is the VAT on your business purchases that you can set against it. You pay HMRC the difference, or reclaim it.</w:t>
      </w:r>
    </w:p>
    <w:p>
      <w:pPr>
        <w:pStyle w:val="Compact"/>
        <w:numPr>
          <w:ilvl w:val="0"/>
          <w:numId w:val="1076"/>
        </w:numPr>
      </w:pPr>
      <w:r>
        <w:t xml:space="preserve">Input tax needs a buyer who is a taxable person (registered or required to be), valid evidence (a VAT invoice or import evidence) and use in making taxable supplies. Claim it in the period of the tax point. The outer limit for a late claim is four years.</w:t>
      </w:r>
    </w:p>
    <w:p>
      <w:pPr>
        <w:pStyle w:val="Compact"/>
        <w:numPr>
          <w:ilvl w:val="0"/>
          <w:numId w:val="1076"/>
        </w:numPr>
      </w:pPr>
      <w:r>
        <w:t xml:space="preserve">VAT is</w:t>
      </w:r>
      <w:r>
        <w:t xml:space="preserve"> </w:t>
      </w:r>
      <w:r>
        <w:rPr>
          <w:b/>
          <w:bCs/>
        </w:rPr>
        <w:t xml:space="preserve">irrecoverable</w:t>
      </w:r>
      <w:r>
        <w:t xml:space="preserve"> </w:t>
      </w:r>
      <w:r>
        <w:t xml:space="preserve">if the purchase is used for exempt supplies (beyond de minimis), used for non-business activities, blocked (most cars and business entertainment), used privately, unsupported by evidence, charged in error or claimed out of time. Foreign VAT cannot be recovered through the UK return or COS.</w:t>
      </w:r>
    </w:p>
    <w:p>
      <w:pPr>
        <w:pStyle w:val="Compact"/>
        <w:numPr>
          <w:ilvl w:val="0"/>
          <w:numId w:val="1076"/>
        </w:numPr>
      </w:pPr>
      <w:r>
        <w:t xml:space="preserve">Most of the Department’s work is</w:t>
      </w:r>
      <w:r>
        <w:t xml:space="preserve"> </w:t>
      </w:r>
      <w:r>
        <w:rPr>
          <w:b/>
          <w:bCs/>
        </w:rPr>
        <w:t xml:space="preserve">non-business</w:t>
      </w:r>
      <w:r>
        <w:t xml:space="preserve">. VAT on non-business purchases is a cost to the budget unless a COS heading covers it.</w:t>
      </w:r>
    </w:p>
    <w:p>
      <w:pPr>
        <w:pStyle w:val="Compact"/>
        <w:numPr>
          <w:ilvl w:val="0"/>
          <w:numId w:val="1076"/>
        </w:numPr>
      </w:pPr>
      <w:r>
        <w:t xml:space="preserve">COS covers</w:t>
      </w:r>
      <w:r>
        <w:t xml:space="preserve"> </w:t>
      </w:r>
      <w:r>
        <w:rPr>
          <w:b/>
          <w:bCs/>
        </w:rPr>
        <w:t xml:space="preserve">services</w:t>
      </w:r>
      <w:r>
        <w:t xml:space="preserve"> </w:t>
      </w:r>
      <w:r>
        <w:t xml:space="preserve">in the Treasury Direction, and goods only as an integral part of a qualifying service.</w:t>
      </w:r>
      <w:r>
        <w:t xml:space="preserve"> </w:t>
      </w:r>
      <w:r>
        <w:rPr>
          <w:b/>
          <w:bCs/>
        </w:rPr>
        <w:t xml:space="preserve">Goods bought on their own, such as laptops, furniture or equipment for policy work, are not recoverable.</w:t>
      </w:r>
    </w:p>
    <w:p>
      <w:pPr>
        <w:pStyle w:val="Compact"/>
        <w:numPr>
          <w:ilvl w:val="0"/>
          <w:numId w:val="1076"/>
        </w:numPr>
      </w:pPr>
      <w:r>
        <w:t xml:space="preserve">When the Department carries on a</w:t>
      </w:r>
      <w:r>
        <w:t xml:space="preserve"> </w:t>
      </w:r>
      <w:r>
        <w:rPr>
          <w:b/>
          <w:bCs/>
        </w:rPr>
        <w:t xml:space="preserve">business</w:t>
      </w:r>
      <w:r>
        <w:t xml:space="preserve"> </w:t>
      </w:r>
      <w:r>
        <w:t xml:space="preserve">activity, such as selling surplus assets, it charges output tax and recovers input tax under the normal rules. This includes input tax on goods.</w:t>
      </w:r>
    </w:p>
    <w:p>
      <w:pPr>
        <w:pStyle w:val="Compact"/>
        <w:numPr>
          <w:ilvl w:val="0"/>
          <w:numId w:val="1076"/>
        </w:numPr>
      </w:pPr>
      <w:r>
        <w:t xml:space="preserve">For mixed-use costs, split business and non-business use</w:t>
      </w:r>
      <w:r>
        <w:t xml:space="preserve"> </w:t>
      </w:r>
      <w:r>
        <w:rPr>
          <w:b/>
          <w:bCs/>
        </w:rPr>
        <w:t xml:space="preserve">first</w:t>
      </w:r>
      <w:r>
        <w:t xml:space="preserve">. Then refund the non-business share only if it is a COS service, and apply partial exemption to the business share.</w:t>
      </w:r>
    </w:p>
    <w:p>
      <w:pPr>
        <w:pStyle w:val="Compact"/>
        <w:numPr>
          <w:ilvl w:val="0"/>
          <w:numId w:val="1076"/>
        </w:numPr>
      </w:pPr>
      <w:r>
        <w:t xml:space="preserve">Local authorities (section 33) and Northern Ireland departments (section 99) can recover non-business VAT much more widely than the Department. Do not copy their treatment.</w:t>
      </w:r>
    </w:p>
    <w:bookmarkEnd w:id="69"/>
    <w:bookmarkEnd w:id="70"/>
    <w:bookmarkStart w:id="111" w:name="Xc5f0c51c80ffe3402aeddfb6e9886b354ff6fe8"/>
    <w:p>
      <w:pPr>
        <w:pStyle w:val="Heading2"/>
      </w:pPr>
      <w:r>
        <w:t xml:space="preserve">Part 2: Business and non-business activity</w:t>
      </w:r>
    </w:p>
    <w:p>
      <w:pPr>
        <w:pStyle w:val="FirstParagraph"/>
      </w:pPr>
      <w:r>
        <w:t xml:space="preserve">This Part explains when something a government department does is a</w:t>
      </w:r>
      <w:r>
        <w:t xml:space="preserve"> </w:t>
      </w:r>
      <w:r>
        <w:t xml:space="preserve">“</w:t>
      </w:r>
      <w:r>
        <w:t xml:space="preserve">business</w:t>
      </w:r>
      <w:r>
        <w:t xml:space="preserve">”</w:t>
      </w:r>
      <w:r>
        <w:t xml:space="preserve"> </w:t>
      </w:r>
      <w:r>
        <w:t xml:space="preserve">activity for VAT, and when it is not. It also answers a question readers often ask:</w:t>
      </w:r>
      <w:r>
        <w:t xml:space="preserve"> </w:t>
      </w:r>
      <w:r>
        <w:t xml:space="preserve">“</w:t>
      </w:r>
      <w:r>
        <w:t xml:space="preserve">Surely everything a defence department does to protect people counts as business, including working with other governments or selling things to them?</w:t>
      </w:r>
      <w:r>
        <w:t xml:space="preserve">”</w:t>
      </w:r>
    </w:p>
    <w:p>
      <w:pPr>
        <w:pStyle w:val="BodyText"/>
      </w:pPr>
      <w:r>
        <w:rPr>
          <w:b/>
          <w:bCs/>
        </w:rPr>
        <w:t xml:space="preserve">The short answer is no.</w:t>
      </w:r>
    </w:p>
    <w:p>
      <w:pPr>
        <w:pStyle w:val="Compact"/>
        <w:numPr>
          <w:ilvl w:val="0"/>
          <w:numId w:val="1077"/>
        </w:numPr>
      </w:pPr>
      <w:r>
        <w:rPr>
          <w:b/>
          <w:bCs/>
        </w:rPr>
        <w:t xml:space="preserve">Non-business:</w:t>
      </w:r>
      <w:r>
        <w:t xml:space="preserve"> </w:t>
      </w:r>
      <w:r>
        <w:t xml:space="preserve">defending the country. Nobody pays the department to be defended, so there is no supply for consideration. It is also a function of the state, with no market</w:t>
      </w:r>
      <w:r>
        <w:t xml:space="preserve"> </w:t>
      </w:r>
      <w:r>
        <w:t xml:space="preserve">(</w:t>
      </w:r>
      <w:hyperlink w:anchor="ref-hmrc_vatbus">
        <w:r>
          <w:rPr>
            <w:rStyle w:val="Hyperlink"/>
          </w:rPr>
          <w:t xml:space="preserve">HMRC, 2024f, sec. VBNB30200</w:t>
        </w:r>
      </w:hyperlink>
      <w:r>
        <w:t xml:space="preserve">;</w:t>
      </w:r>
      <w:r>
        <w:t xml:space="preserve"> </w:t>
      </w:r>
      <w:hyperlink w:anchor="ref-hmrc_vatgpb">
        <w:r>
          <w:rPr>
            <w:rStyle w:val="Hyperlink"/>
          </w:rPr>
          <w:t xml:space="preserve">HMRC, 2026n</w:t>
        </w:r>
      </w:hyperlink>
      <w:r>
        <w:t xml:space="preserve">, secs. VATGPB2200 and VATGPB2310)</w:t>
      </w:r>
      <w:r>
        <w:t xml:space="preserve">. No HMRC page names defence specifically, so this is the guide’s application of HMRC’s general tests.</w:t>
      </w:r>
    </w:p>
    <w:p>
      <w:pPr>
        <w:pStyle w:val="Compact"/>
        <w:numPr>
          <w:ilvl w:val="0"/>
          <w:numId w:val="1077"/>
        </w:numPr>
      </w:pPr>
      <w:r>
        <w:rPr>
          <w:b/>
          <w:bCs/>
        </w:rPr>
        <w:t xml:space="preserve">Non-business:</w:t>
      </w:r>
      <w:r>
        <w:t xml:space="preserve"> </w:t>
      </w:r>
      <w:r>
        <w:t xml:space="preserve">working with other governments free of charge, for example joint exercises or gifts of equipment</w:t>
      </w:r>
      <w:r>
        <w:t xml:space="preserve"> </w:t>
      </w:r>
      <w:r>
        <w:t xml:space="preserve">(</w:t>
      </w:r>
      <w:hyperlink w:anchor="ref-hmrc_vatgpb">
        <w:r>
          <w:rPr>
            <w:rStyle w:val="Hyperlink"/>
          </w:rPr>
          <w:t xml:space="preserve">HMRC, 2026n, sec. VATGPB3100</w:t>
        </w:r>
      </w:hyperlink>
      <w:r>
        <w:t xml:space="preserve">)</w:t>
      </w:r>
      <w:r>
        <w:t xml:space="preserve">.</w:t>
      </w:r>
    </w:p>
    <w:p>
      <w:pPr>
        <w:pStyle w:val="Compact"/>
        <w:numPr>
          <w:ilvl w:val="0"/>
          <w:numId w:val="1077"/>
        </w:numPr>
      </w:pPr>
      <w:r>
        <w:rPr>
          <w:b/>
          <w:bCs/>
        </w:rPr>
        <w:t xml:space="preserve">Business:</w:t>
      </w:r>
      <w:r>
        <w:t xml:space="preserve"> </w:t>
      </w:r>
      <w:r>
        <w:t xml:space="preserve">selling goods or services to another government for payment, normally even if the price only covers costs</w:t>
      </w:r>
      <w:r>
        <w:t xml:space="preserve"> </w:t>
      </w:r>
      <w:r>
        <w:t xml:space="preserve">(</w:t>
      </w:r>
      <w:hyperlink w:anchor="ref-hmrc_gdpef">
        <w:r>
          <w:rPr>
            <w:rStyle w:val="Hyperlink"/>
          </w:rPr>
          <w:t xml:space="preserve">HMRC, 2023c</w:t>
        </w:r>
      </w:hyperlink>
      <w:r>
        <w:t xml:space="preserve">;</w:t>
      </w:r>
      <w:r>
        <w:t xml:space="preserve"> </w:t>
      </w:r>
      <w:hyperlink w:anchor="ref-hmrc_vatbus">
        <w:r>
          <w:rPr>
            <w:rStyle w:val="Hyperlink"/>
          </w:rPr>
          <w:t xml:space="preserve">2024f, sec. VBNB30200</w:t>
        </w:r>
      </w:hyperlink>
      <w:r>
        <w:t xml:space="preserve">)</w:t>
      </w:r>
      <w:r>
        <w:t xml:space="preserve">.</w:t>
      </w:r>
    </w:p>
    <w:p>
      <w:pPr>
        <w:pStyle w:val="FirstParagraph"/>
      </w:pPr>
      <w:r>
        <w:t xml:space="preserve">The reasons are set out in the section headed Defence: does protecting people count as business?, below.</w:t>
      </w:r>
    </w:p>
    <w:bookmarkStart w:id="71" w:name="why-this-matters"/>
    <w:p>
      <w:pPr>
        <w:pStyle w:val="Heading3"/>
      </w:pPr>
      <w:r>
        <w:t xml:space="preserve">Why this matters</w:t>
      </w:r>
    </w:p>
    <w:p>
      <w:pPr>
        <w:pStyle w:val="FirstParagraph"/>
      </w:pPr>
      <w:r>
        <w:t xml:space="preserve">For a public body, business or non-business is the first VAT question to ask about any activity</w:t>
      </w:r>
      <w:r>
        <w:t xml:space="preserve"> </w:t>
      </w:r>
      <w:r>
        <w:t xml:space="preserve">(</w:t>
      </w:r>
      <w:hyperlink w:anchor="ref-hmrc_vatgpb">
        <w:r>
          <w:rPr>
            <w:rStyle w:val="Hyperlink"/>
          </w:rPr>
          <w:t xml:space="preserve">HMRC, 2026n, sec. VATGPB3100</w:t>
        </w:r>
      </w:hyperlink>
      <w:r>
        <w:t xml:space="preserve">)</w:t>
      </w:r>
      <w:r>
        <w:t xml:space="preserve">. It comes before the VAT rate, the liability or any COS heading. A non-business activity is outside the scope of VAT altogether</w:t>
      </w:r>
      <w:r>
        <w:t xml:space="preserve"> </w:t>
      </w:r>
      <w:r>
        <w:t xml:space="preserve">(</w:t>
      </w:r>
      <w:hyperlink w:anchor="ref-hmrc_n700">
        <w:r>
          <w:rPr>
            <w:rStyle w:val="Hyperlink"/>
          </w:rPr>
          <w:t xml:space="preserve">HMRC, 2026o, para. 3.2</w:t>
        </w:r>
      </w:hyperlink>
      <w:r>
        <w:t xml:space="preserve">)</w:t>
      </w:r>
      <w:r>
        <w:t xml:space="preserve">. Three things turn on the answer:</w:t>
      </w:r>
    </w:p>
    <w:p>
      <w:pPr>
        <w:pStyle w:val="Compact"/>
        <w:numPr>
          <w:ilvl w:val="0"/>
          <w:numId w:val="1078"/>
        </w:numPr>
      </w:pPr>
      <w:r>
        <w:rPr>
          <w:b/>
          <w:bCs/>
        </w:rPr>
        <w:t xml:space="preserve">Output tax.</w:t>
      </w:r>
      <w:r>
        <w:t xml:space="preserve"> </w:t>
      </w:r>
      <w:r>
        <w:t xml:space="preserve">VAT is charged only on supplies made</w:t>
      </w:r>
      <w:r>
        <w:t xml:space="preserve"> </w:t>
      </w:r>
      <w:r>
        <w:t xml:space="preserve">“</w:t>
      </w:r>
      <w:r>
        <w:t xml:space="preserve">in the course or furtherance of any business</w:t>
      </w:r>
      <w:r>
        <w:t xml:space="preserve">”</w:t>
      </w:r>
      <w:r>
        <w:t xml:space="preserve"> </w:t>
      </w:r>
      <w:r>
        <w:t xml:space="preserve">(Value Added Tax Act 1994, s. 4(1)). A non-business activity has no output tax.</w:t>
      </w:r>
    </w:p>
    <w:p>
      <w:pPr>
        <w:pStyle w:val="Compact"/>
        <w:numPr>
          <w:ilvl w:val="0"/>
          <w:numId w:val="1078"/>
        </w:numPr>
      </w:pPr>
      <w:r>
        <w:rPr>
          <w:b/>
          <w:bCs/>
        </w:rPr>
        <w:t xml:space="preserve">Input tax recovery.</w:t>
      </w:r>
      <w:r>
        <w:t xml:space="preserve"> </w:t>
      </w:r>
      <w:r>
        <w:t xml:space="preserve">VAT on a cost is input tax only if the cost is used for a business (Value Added Tax Act 1994, s. 24(1)). VAT on non-business costs is not input tax and cannot be reclaimed</w:t>
      </w:r>
      <w:r>
        <w:t xml:space="preserve"> </w:t>
      </w:r>
      <w:r>
        <w:t xml:space="preserve">(</w:t>
      </w:r>
      <w:hyperlink w:anchor="ref-hmrc_n700">
        <w:r>
          <w:rPr>
            <w:rStyle w:val="Hyperlink"/>
          </w:rPr>
          <w:t xml:space="preserve">HMRC, 2026o, para. 4.6.3</w:t>
        </w:r>
      </w:hyperlink>
      <w:r>
        <w:t xml:space="preserve">)</w:t>
      </w:r>
      <w:r>
        <w:t xml:space="preserve">.</w:t>
      </w:r>
    </w:p>
    <w:p>
      <w:pPr>
        <w:pStyle w:val="Compact"/>
        <w:numPr>
          <w:ilvl w:val="0"/>
          <w:numId w:val="1078"/>
        </w:numPr>
      </w:pPr>
      <w:r>
        <w:rPr>
          <w:b/>
          <w:bCs/>
        </w:rPr>
        <w:t xml:space="preserve">COS refunds.</w:t>
      </w:r>
      <w:r>
        <w:t xml:space="preserve"> </w:t>
      </w:r>
      <w:r>
        <w:t xml:space="preserve">A COS refund is only available where the purchase is not for a business purpose (Value Added Tax Act 1994, s. 41(3))</w:t>
      </w:r>
      <w:r>
        <w:t xml:space="preserve"> </w:t>
      </w:r>
      <w:r>
        <w:t xml:space="preserve">(</w:t>
      </w:r>
      <w:hyperlink w:anchor="ref-gazette_2020">
        <w:r>
          <w:rPr>
            <w:rStyle w:val="Hyperlink"/>
          </w:rPr>
          <w:t xml:space="preserve">HM Treasury, 2020b</w:t>
        </w:r>
      </w:hyperlink>
      <w:r>
        <w:t xml:space="preserve">)</w:t>
      </w:r>
      <w:r>
        <w:t xml:space="preserve">. So each part of a cost goes down one route only. The business share is input tax. The non-business share is a COS refund, if a heading applies</w:t>
      </w:r>
      <w:r>
        <w:t xml:space="preserve"> </w:t>
      </w:r>
      <w:r>
        <w:t xml:space="preserve">(</w:t>
      </w:r>
      <w:hyperlink w:anchor="ref-hmrc_gdpef">
        <w:r>
          <w:rPr>
            <w:rStyle w:val="Hyperlink"/>
          </w:rPr>
          <w:t xml:space="preserve">HMRC, 2023c</w:t>
        </w:r>
      </w:hyperlink>
      <w:r>
        <w:t xml:space="preserve">)</w:t>
      </w:r>
      <w:r>
        <w:t xml:space="preserve">.</w:t>
      </w:r>
    </w:p>
    <w:bookmarkEnd w:id="71"/>
    <w:bookmarkStart w:id="78" w:name="what-business-means-for-vat"/>
    <w:p>
      <w:pPr>
        <w:pStyle w:val="Heading3"/>
      </w:pPr>
      <w:r>
        <w:t xml:space="preserve">What</w:t>
      </w:r>
      <w:r>
        <w:t xml:space="preserve"> </w:t>
      </w:r>
      <w:r>
        <w:t xml:space="preserve">“</w:t>
      </w:r>
      <w:r>
        <w:t xml:space="preserve">business</w:t>
      </w:r>
      <w:r>
        <w:t xml:space="preserve">”</w:t>
      </w:r>
      <w:r>
        <w:t xml:space="preserve"> </w:t>
      </w:r>
      <w:r>
        <w:t xml:space="preserve">means for VAT</w:t>
      </w:r>
    </w:p>
    <w:bookmarkStart w:id="72" w:name="the-words-in-the-act"/>
    <w:p>
      <w:pPr>
        <w:pStyle w:val="Heading4"/>
      </w:pPr>
      <w:r>
        <w:t xml:space="preserve">The words in the Act</w:t>
      </w:r>
    </w:p>
    <w:p>
      <w:pPr>
        <w:pStyle w:val="FirstParagraph"/>
      </w:pPr>
      <w:r>
        <w:t xml:space="preserve">The Value Added Tax Act 1994 does not fully define</w:t>
      </w:r>
      <w:r>
        <w:t xml:space="preserve"> </w:t>
      </w:r>
      <w:r>
        <w:t xml:space="preserve">“</w:t>
      </w:r>
      <w:r>
        <w:t xml:space="preserve">business</w:t>
      </w:r>
      <w:r>
        <w:t xml:space="preserve">”</w:t>
      </w:r>
      <w:r>
        <w:t xml:space="preserve"> </w:t>
      </w:r>
      <w:r>
        <w:t xml:space="preserve">(</w:t>
      </w:r>
      <w:hyperlink w:anchor="ref-hmrc_vatbus">
        <w:r>
          <w:rPr>
            <w:rStyle w:val="Hyperlink"/>
          </w:rPr>
          <w:t xml:space="preserve">HMRC, 2024f, sec. VBNB15000</w:t>
        </w:r>
      </w:hyperlink>
      <w:r>
        <w:t xml:space="preserve">)</w:t>
      </w:r>
      <w:r>
        <w:t xml:space="preserve">. It gives three building blocks:</w:t>
      </w:r>
    </w:p>
    <w:p>
      <w:pPr>
        <w:pStyle w:val="Compact"/>
        <w:numPr>
          <w:ilvl w:val="0"/>
          <w:numId w:val="1079"/>
        </w:numPr>
      </w:pPr>
      <w:r>
        <w:rPr>
          <w:b/>
          <w:bCs/>
        </w:rPr>
        <w:t xml:space="preserve">Section 4(1)</w:t>
      </w:r>
      <w:r>
        <w:t xml:space="preserve"> </w:t>
      </w:r>
      <w:r>
        <w:t xml:space="preserve">charges VAT on a taxable supply made by a taxable person</w:t>
      </w:r>
      <w:r>
        <w:t xml:space="preserve"> </w:t>
      </w:r>
      <w:r>
        <w:t xml:space="preserve">“</w:t>
      </w:r>
      <w:r>
        <w:t xml:space="preserve">in the course or furtherance of any business carried on by him</w:t>
      </w:r>
      <w:r>
        <w:t xml:space="preserve">”</w:t>
      </w:r>
      <w:r>
        <w:t xml:space="preserve"> </w:t>
      </w:r>
      <w:r>
        <w:t xml:space="preserve">(Value Added Tax Act 1994, s. 4(1)).</w:t>
      </w:r>
    </w:p>
    <w:p>
      <w:pPr>
        <w:pStyle w:val="Compact"/>
        <w:numPr>
          <w:ilvl w:val="0"/>
          <w:numId w:val="1079"/>
        </w:numPr>
      </w:pPr>
      <w:r>
        <w:rPr>
          <w:b/>
          <w:bCs/>
        </w:rPr>
        <w:t xml:space="preserve">Section 5(2)(a)</w:t>
      </w:r>
      <w:r>
        <w:t xml:space="preserve"> </w:t>
      </w:r>
      <w:r>
        <w:t xml:space="preserve">says a</w:t>
      </w:r>
      <w:r>
        <w:t xml:space="preserve"> </w:t>
      </w:r>
      <w:r>
        <w:t xml:space="preserve">“</w:t>
      </w:r>
      <w:r>
        <w:t xml:space="preserve">supply</w:t>
      </w:r>
      <w:r>
        <w:t xml:space="preserve">”</w:t>
      </w:r>
      <w:r>
        <w:t xml:space="preserve"> </w:t>
      </w:r>
      <w:r>
        <w:t xml:space="preserve">includes all forms of supply,</w:t>
      </w:r>
      <w:r>
        <w:t xml:space="preserve"> </w:t>
      </w:r>
      <w:r>
        <w:t xml:space="preserve">“</w:t>
      </w:r>
      <w:r>
        <w:t xml:space="preserve">but not anything done otherwise than for a consideration</w:t>
      </w:r>
      <w:r>
        <w:t xml:space="preserve">”</w:t>
      </w:r>
      <w:r>
        <w:t xml:space="preserve"> </w:t>
      </w:r>
      <w:r>
        <w:t xml:space="preserve">(Value Added Tax Act 1994, s. 5(2)(a)). Consideration means payment, usually in money but sometimes in goods or services</w:t>
      </w:r>
      <w:r>
        <w:t xml:space="preserve"> </w:t>
      </w:r>
      <w:r>
        <w:t xml:space="preserve">(</w:t>
      </w:r>
      <w:hyperlink w:anchor="ref-hmrc_vatsc">
        <w:r>
          <w:rPr>
            <w:rStyle w:val="Hyperlink"/>
          </w:rPr>
          <w:t xml:space="preserve">HMRC, 2025l, sec. VATSC05100</w:t>
        </w:r>
      </w:hyperlink>
      <w:r>
        <w:t xml:space="preserve">)</w:t>
      </w:r>
      <w:r>
        <w:t xml:space="preserve">.</w:t>
      </w:r>
    </w:p>
    <w:p>
      <w:pPr>
        <w:pStyle w:val="Compact"/>
        <w:numPr>
          <w:ilvl w:val="0"/>
          <w:numId w:val="1079"/>
        </w:numPr>
      </w:pPr>
      <w:r>
        <w:rPr>
          <w:b/>
          <w:bCs/>
        </w:rPr>
        <w:t xml:space="preserve">Section 94</w:t>
      </w:r>
      <w:r>
        <w:t xml:space="preserve"> </w:t>
      </w:r>
      <w:r>
        <w:t xml:space="preserve">says</w:t>
      </w:r>
      <w:r>
        <w:t xml:space="preserve"> </w:t>
      </w:r>
      <w:r>
        <w:t xml:space="preserve">“</w:t>
      </w:r>
      <w:r>
        <w:t xml:space="preserve">business</w:t>
      </w:r>
      <w:r>
        <w:t xml:space="preserve">”</w:t>
      </w:r>
      <w:r>
        <w:t xml:space="preserve"> </w:t>
      </w:r>
      <w:r>
        <w:t xml:space="preserve">includes</w:t>
      </w:r>
      <w:r>
        <w:t xml:space="preserve"> </w:t>
      </w:r>
      <w:r>
        <w:t xml:space="preserve">“</w:t>
      </w:r>
      <w:r>
        <w:t xml:space="preserve">any trade, profession or vocation</w:t>
      </w:r>
      <w:r>
        <w:t xml:space="preserve">”</w:t>
      </w:r>
      <w:r>
        <w:t xml:space="preserve">. It deems two things to be business: a club providing facilities to members for a subscription, and admitting people to premises for a charge. It also treats the disposal of a business’s assets as made in the course of that business (Value Added Tax Act 1994, s. 94(1), (2) and (6)).</w:t>
      </w:r>
    </w:p>
    <w:p>
      <w:pPr>
        <w:pStyle w:val="FirstParagraph"/>
      </w:pPr>
      <w:r>
        <w:t xml:space="preserve">HMRC says section 94</w:t>
      </w:r>
      <w:r>
        <w:t xml:space="preserve"> </w:t>
      </w:r>
      <w:r>
        <w:t xml:space="preserve">“</w:t>
      </w:r>
      <w:r>
        <w:t xml:space="preserve">is not intended to be an exhaustive description</w:t>
      </w:r>
      <w:r>
        <w:t xml:space="preserve">”</w:t>
      </w:r>
      <w:r>
        <w:t xml:space="preserve"> </w:t>
      </w:r>
      <w:r>
        <w:t xml:space="preserve">and is</w:t>
      </w:r>
      <w:r>
        <w:t xml:space="preserve"> </w:t>
      </w:r>
      <w:r>
        <w:t xml:space="preserve">“</w:t>
      </w:r>
      <w:r>
        <w:t xml:space="preserve">of limited assistance</w:t>
      </w:r>
      <w:r>
        <w:t xml:space="preserve">”</w:t>
      </w:r>
      <w:r>
        <w:t xml:space="preserve"> </w:t>
      </w:r>
      <w:r>
        <w:t xml:space="preserve">in a complex case, so HMRC uses a separate business test</w:t>
      </w:r>
      <w:r>
        <w:t xml:space="preserve"> </w:t>
      </w:r>
      <w:r>
        <w:t xml:space="preserve">(</w:t>
      </w:r>
      <w:hyperlink w:anchor="ref-hmrc_vatbus">
        <w:r>
          <w:rPr>
            <w:rStyle w:val="Hyperlink"/>
          </w:rPr>
          <w:t xml:space="preserve">HMRC, 2024f, sec. VBNB20600</w:t>
        </w:r>
      </w:hyperlink>
      <w:r>
        <w:t xml:space="preserve">)</w:t>
      </w:r>
      <w:r>
        <w:t xml:space="preserve">. Neither the everyday meaning of</w:t>
      </w:r>
      <w:r>
        <w:t xml:space="preserve"> </w:t>
      </w:r>
      <w:r>
        <w:t xml:space="preserve">“</w:t>
      </w:r>
      <w:r>
        <w:t xml:space="preserve">business</w:t>
      </w:r>
      <w:r>
        <w:t xml:space="preserve">”</w:t>
      </w:r>
      <w:r>
        <w:t xml:space="preserve"> </w:t>
      </w:r>
      <w:r>
        <w:t xml:space="preserve">nor its direct tax meaning decides the VAT answer</w:t>
      </w:r>
      <w:r>
        <w:t xml:space="preserve"> </w:t>
      </w:r>
      <w:r>
        <w:t xml:space="preserve">(</w:t>
      </w:r>
      <w:hyperlink w:anchor="ref-hmrc_vatbus">
        <w:r>
          <w:rPr>
            <w:rStyle w:val="Hyperlink"/>
          </w:rPr>
          <w:t xml:space="preserve">HMRC, 2024f</w:t>
        </w:r>
      </w:hyperlink>
      <w:r>
        <w:t xml:space="preserve">, secs. VBNB20100 and VBNB15000)</w:t>
      </w:r>
      <w:r>
        <w:t xml:space="preserve">.</w:t>
      </w:r>
    </w:p>
    <w:bookmarkEnd w:id="72"/>
    <w:bookmarkStart w:id="73" w:name="where-economic-activity-comes-from"/>
    <w:p>
      <w:pPr>
        <w:pStyle w:val="Heading4"/>
      </w:pPr>
      <w:r>
        <w:t xml:space="preserve">Where</w:t>
      </w:r>
      <w:r>
        <w:t xml:space="preserve"> </w:t>
      </w:r>
      <w:r>
        <w:t xml:space="preserve">“</w:t>
      </w:r>
      <w:r>
        <w:t xml:space="preserve">economic activity</w:t>
      </w:r>
      <w:r>
        <w:t xml:space="preserve">”</w:t>
      </w:r>
      <w:r>
        <w:t xml:space="preserve"> </w:t>
      </w:r>
      <w:r>
        <w:t xml:space="preserve">comes from</w:t>
      </w:r>
    </w:p>
    <w:p>
      <w:pPr>
        <w:pStyle w:val="FirstParagraph"/>
      </w:pPr>
      <w:r>
        <w:t xml:space="preserve">UK VAT law was built on EU VAT law, which uses the term</w:t>
      </w:r>
      <w:r>
        <w:t xml:space="preserve"> </w:t>
      </w:r>
      <w:r>
        <w:t xml:space="preserve">“</w:t>
      </w:r>
      <w:r>
        <w:t xml:space="preserve">economic activity</w:t>
      </w:r>
      <w:r>
        <w:t xml:space="preserve">”</w:t>
      </w:r>
      <w:r>
        <w:t xml:space="preserve"> </w:t>
      </w:r>
      <w:r>
        <w:t xml:space="preserve">rather than</w:t>
      </w:r>
      <w:r>
        <w:t xml:space="preserve"> </w:t>
      </w:r>
      <w:r>
        <w:t xml:space="preserve">“</w:t>
      </w:r>
      <w:r>
        <w:t xml:space="preserve">business</w:t>
      </w:r>
      <w:r>
        <w:t xml:space="preserve">”</w:t>
      </w:r>
      <w:r>
        <w:t xml:space="preserve"> </w:t>
      </w:r>
      <w:r>
        <w:t xml:space="preserve">(</w:t>
      </w:r>
      <w:r>
        <w:rPr>
          <w:i/>
          <w:iCs/>
        </w:rPr>
        <w:t xml:space="preserve">Wakefield College v Revenue and Customs Commissioners</w:t>
      </w:r>
      <w:r>
        <w:t xml:space="preserve"> </w:t>
      </w:r>
      <w:r>
        <w:t xml:space="preserve">[2018] EWCA Civ 952, para. 1). Under the EU VAT Directive, a</w:t>
      </w:r>
      <w:r>
        <w:t xml:space="preserve"> </w:t>
      </w:r>
      <w:r>
        <w:t xml:space="preserve">“</w:t>
      </w:r>
      <w:r>
        <w:t xml:space="preserve">taxable person</w:t>
      </w:r>
      <w:r>
        <w:t xml:space="preserve">”</w:t>
      </w:r>
      <w:r>
        <w:t xml:space="preserve"> </w:t>
      </w:r>
      <w:r>
        <w:t xml:space="preserve">is anyone who</w:t>
      </w:r>
      <w:r>
        <w:t xml:space="preserve"> </w:t>
      </w:r>
      <w:r>
        <w:t xml:space="preserve">“</w:t>
      </w:r>
      <w:r>
        <w:t xml:space="preserve">independently, carries out in any place any economic activity, whatever the purpose or results of that activity</w:t>
      </w:r>
      <w:r>
        <w:t xml:space="preserve">”</w:t>
      </w:r>
      <w:r>
        <w:t xml:space="preserve"> </w:t>
      </w:r>
      <w:r>
        <w:t xml:space="preserve">(Council Directive 2006/112/EC, art. 9(1)).</w:t>
      </w:r>
    </w:p>
    <w:p>
      <w:pPr>
        <w:pStyle w:val="BodyText"/>
      </w:pPr>
      <w:r>
        <w:t xml:space="preserve">In</w:t>
      </w:r>
      <w:r>
        <w:t xml:space="preserve"> </w:t>
      </w:r>
      <w:r>
        <w:rPr>
          <w:i/>
          <w:iCs/>
        </w:rPr>
        <w:t xml:space="preserve">Wakefield College</w:t>
      </w:r>
      <w:r>
        <w:t xml:space="preserve">, the Court of Appeal used that EU test to decide a UK question. It held that teaching students who paid subsidised fees was an economic activity,</w:t>
      </w:r>
      <w:r>
        <w:t xml:space="preserve"> </w:t>
      </w:r>
      <w:r>
        <w:t xml:space="preserve">“</w:t>
      </w:r>
      <w:r>
        <w:t xml:space="preserve">and was therefore a</w:t>
      </w:r>
      <w:r>
        <w:t xml:space="preserve"> </w:t>
      </w:r>
      <w:r>
        <w:t xml:space="preserve">‘</w:t>
      </w:r>
      <w:r>
        <w:t xml:space="preserve">business</w:t>
      </w:r>
      <w:r>
        <w:t xml:space="preserve">’</w:t>
      </w:r>
      <w:r>
        <w:t xml:space="preserve">”</w:t>
      </w:r>
      <w:r>
        <w:t xml:space="preserve"> </w:t>
      </w:r>
      <w:r>
        <w:t xml:space="preserve">for a zero-rating relief in the 1994 Act (paras. 1 and 87). HMRC’s current business test comes from this case</w:t>
      </w:r>
      <w:r>
        <w:t xml:space="preserve"> </w:t>
      </w:r>
      <w:r>
        <w:t xml:space="preserve">(</w:t>
      </w:r>
      <w:hyperlink w:anchor="ref-hmrc_vatbus">
        <w:r>
          <w:rPr>
            <w:rStyle w:val="Hyperlink"/>
          </w:rPr>
          <w:t xml:space="preserve">HMRC, 2024f, sec. VBNB30200</w:t>
        </w:r>
      </w:hyperlink>
      <w:r>
        <w:t xml:space="preserve">)</w:t>
      </w:r>
      <w:r>
        <w:t xml:space="preserve">.</w:t>
      </w:r>
    </w:p>
    <w:p>
      <w:pPr>
        <w:pStyle w:val="BodyText"/>
      </w:pPr>
      <w:r>
        <w:t xml:space="preserve">HMRC draws out the main features of the test</w:t>
      </w:r>
      <w:r>
        <w:t xml:space="preserve"> </w:t>
      </w:r>
      <w:r>
        <w:t xml:space="preserve">(</w:t>
      </w:r>
      <w:hyperlink w:anchor="ref-hmrc_vatbus">
        <w:r>
          <w:rPr>
            <w:rStyle w:val="Hyperlink"/>
          </w:rPr>
          <w:t xml:space="preserve">HMRC, 2024f</w:t>
        </w:r>
      </w:hyperlink>
      <w:r>
        <w:t xml:space="preserve">, secs. VBNB20250 and VBNB20400)</w:t>
      </w:r>
      <w:r>
        <w:t xml:space="preserve">:</w:t>
      </w:r>
    </w:p>
    <w:p>
      <w:pPr>
        <w:pStyle w:val="Compact"/>
        <w:numPr>
          <w:ilvl w:val="0"/>
          <w:numId w:val="1080"/>
        </w:numPr>
      </w:pPr>
      <w:r>
        <w:t xml:space="preserve">it is</w:t>
      </w:r>
      <w:r>
        <w:t xml:space="preserve"> </w:t>
      </w:r>
      <w:r>
        <w:rPr>
          <w:b/>
          <w:bCs/>
        </w:rPr>
        <w:t xml:space="preserve">objective</w:t>
      </w:r>
      <w:r>
        <w:t xml:space="preserve">: look at the activity itself, not the intentions or overall aims of the person carrying it on;</w:t>
      </w:r>
    </w:p>
    <w:p>
      <w:pPr>
        <w:pStyle w:val="Compact"/>
        <w:numPr>
          <w:ilvl w:val="0"/>
          <w:numId w:val="1080"/>
        </w:numPr>
      </w:pPr>
      <w:r>
        <w:t xml:space="preserve">it is applied to</w:t>
      </w:r>
      <w:r>
        <w:t xml:space="preserve"> </w:t>
      </w:r>
      <w:r>
        <w:rPr>
          <w:b/>
          <w:bCs/>
        </w:rPr>
        <w:t xml:space="preserve">each activity separately</w:t>
      </w:r>
      <w:r>
        <w:t xml:space="preserve">, so a charity or a public body can carry on some business activities; and</w:t>
      </w:r>
    </w:p>
    <w:p>
      <w:pPr>
        <w:pStyle w:val="Compact"/>
        <w:numPr>
          <w:ilvl w:val="0"/>
          <w:numId w:val="1080"/>
        </w:numPr>
      </w:pPr>
      <w:r>
        <w:t xml:space="preserve">an intention to generate income</w:t>
      </w:r>
      <w:r>
        <w:t xml:space="preserve"> </w:t>
      </w:r>
      <w:r>
        <w:t xml:space="preserve">“</w:t>
      </w:r>
      <w:r>
        <w:t xml:space="preserve">is not the same as the intention to generate a profit</w:t>
      </w:r>
      <w:r>
        <w:t xml:space="preserve">”</w:t>
      </w:r>
      <w:r>
        <w:t xml:space="preserve">. A supply can be business</w:t>
      </w:r>
      <w:r>
        <w:t xml:space="preserve"> </w:t>
      </w:r>
      <w:r>
        <w:t xml:space="preserve">“</w:t>
      </w:r>
      <w:r>
        <w:t xml:space="preserve">if it is intended that the income will be lower than the cost</w:t>
      </w:r>
      <w:r>
        <w:t xml:space="preserve">”</w:t>
      </w:r>
      <w:r>
        <w:t xml:space="preserve">.</w:t>
      </w:r>
    </w:p>
    <w:bookmarkEnd w:id="73"/>
    <w:bookmarkStart w:id="74" w:name="hmrcs-two-stage-business-test"/>
    <w:p>
      <w:pPr>
        <w:pStyle w:val="Heading4"/>
      </w:pPr>
      <w:r>
        <w:t xml:space="preserve">HMRC’s two-stage business test</w:t>
      </w:r>
    </w:p>
    <w:p>
      <w:pPr>
        <w:pStyle w:val="FirstParagraph"/>
      </w:pPr>
      <w:r>
        <w:t xml:space="preserve">Ask two questions, in order</w:t>
      </w:r>
      <w:r>
        <w:t xml:space="preserve"> </w:t>
      </w:r>
      <w:r>
        <w:t xml:space="preserve">(</w:t>
      </w:r>
      <w:hyperlink w:anchor="ref-hmrc_vatbus">
        <w:r>
          <w:rPr>
            <w:rStyle w:val="Hyperlink"/>
          </w:rPr>
          <w:t xml:space="preserve">HMRC, 2024f, sec. VBNB30200</w:t>
        </w:r>
      </w:hyperlink>
      <w:r>
        <w:t xml:space="preserve">)</w:t>
      </w:r>
      <w:r>
        <w:t xml:space="preserve">.</w:t>
      </w:r>
    </w:p>
    <w:p>
      <w:pPr>
        <w:pStyle w:val="Compact"/>
        <w:numPr>
          <w:ilvl w:val="0"/>
          <w:numId w:val="1081"/>
        </w:numPr>
      </w:pPr>
      <w:r>
        <w:rPr>
          <w:b/>
          <w:bCs/>
        </w:rPr>
        <w:t xml:space="preserve">Is there a supply of goods or services for consideration?</w:t>
      </w:r>
    </w:p>
    <w:p>
      <w:pPr>
        <w:pStyle w:val="Compact"/>
        <w:numPr>
          <w:ilvl w:val="1"/>
          <w:numId w:val="1082"/>
        </w:numPr>
      </w:pPr>
      <w:r>
        <w:t xml:space="preserve">This needs a legal relationship between the supplier and the recipient. If there is no supply for consideration, the activity is not business, and you can stop</w:t>
      </w:r>
      <w:r>
        <w:t xml:space="preserve"> </w:t>
      </w:r>
      <w:r>
        <w:t xml:space="preserve">(</w:t>
      </w:r>
      <w:hyperlink w:anchor="ref-hmrc_vatbus">
        <w:r>
          <w:rPr>
            <w:rStyle w:val="Hyperlink"/>
          </w:rPr>
          <w:t xml:space="preserve">HMRC, 2024f, sec. VBNB30200</w:t>
        </w:r>
      </w:hyperlink>
      <w:r>
        <w:t xml:space="preserve">)</w:t>
      </w:r>
      <w:r>
        <w:t xml:space="preserve">.</w:t>
      </w:r>
    </w:p>
    <w:p>
      <w:pPr>
        <w:pStyle w:val="Compact"/>
        <w:numPr>
          <w:ilvl w:val="1"/>
          <w:numId w:val="1082"/>
        </w:numPr>
      </w:pPr>
      <w:r>
        <w:t xml:space="preserve">A supply for consideration is</w:t>
      </w:r>
      <w:r>
        <w:t xml:space="preserve"> </w:t>
      </w:r>
      <w:r>
        <w:t xml:space="preserve">“</w:t>
      </w:r>
      <w:r>
        <w:t xml:space="preserve">a necessary but not sufficient condition</w:t>
      </w:r>
      <w:r>
        <w:t xml:space="preserve">”</w:t>
      </w:r>
      <w:r>
        <w:t xml:space="preserve"> </w:t>
      </w:r>
      <w:r>
        <w:t xml:space="preserve">for an economic activity (</w:t>
      </w:r>
      <w:r>
        <w:rPr>
          <w:i/>
          <w:iCs/>
        </w:rPr>
        <w:t xml:space="preserve">Wakefield College</w:t>
      </w:r>
      <w:r>
        <w:t xml:space="preserve">, para. 52).</w:t>
      </w:r>
    </w:p>
    <w:p>
      <w:pPr>
        <w:pStyle w:val="Compact"/>
        <w:numPr>
          <w:ilvl w:val="0"/>
          <w:numId w:val="1081"/>
        </w:numPr>
      </w:pPr>
      <w:r>
        <w:rPr>
          <w:b/>
          <w:bCs/>
        </w:rPr>
        <w:t xml:space="preserve">Is the supply made for the purpose of obtaining income?</w:t>
      </w:r>
    </w:p>
    <w:p>
      <w:pPr>
        <w:pStyle w:val="Compact"/>
        <w:numPr>
          <w:ilvl w:val="1"/>
          <w:numId w:val="1083"/>
        </w:numPr>
      </w:pPr>
      <w:r>
        <w:t xml:space="preserve">This is</w:t>
      </w:r>
      <w:r>
        <w:t xml:space="preserve"> </w:t>
      </w:r>
      <w:r>
        <w:t xml:space="preserve">“</w:t>
      </w:r>
      <w:r>
        <w:t xml:space="preserve">an entirely objective enquiry</w:t>
      </w:r>
      <w:r>
        <w:t xml:space="preserve">”</w:t>
      </w:r>
      <w:r>
        <w:t xml:space="preserve">. It does not look at subjective factors, such as whether the supplier is aiming to make a profit (</w:t>
      </w:r>
      <w:r>
        <w:rPr>
          <w:i/>
          <w:iCs/>
        </w:rPr>
        <w:t xml:space="preserve">Wakefield College</w:t>
      </w:r>
      <w:r>
        <w:t xml:space="preserve">, para. 55).</w:t>
      </w:r>
    </w:p>
    <w:p>
      <w:pPr>
        <w:pStyle w:val="Compact"/>
        <w:numPr>
          <w:ilvl w:val="1"/>
          <w:numId w:val="1083"/>
        </w:numPr>
      </w:pPr>
      <w:r>
        <w:t xml:space="preserve">A supply can be made to obtain income</w:t>
      </w:r>
      <w:r>
        <w:t xml:space="preserve"> </w:t>
      </w:r>
      <w:r>
        <w:t xml:space="preserve">“</w:t>
      </w:r>
      <w:r>
        <w:t xml:space="preserve">even if the charge made was below cost</w:t>
      </w:r>
      <w:r>
        <w:t xml:space="preserve">”</w:t>
      </w:r>
      <w:r>
        <w:t xml:space="preserve"> </w:t>
      </w:r>
      <w:r>
        <w:t xml:space="preserve">(</w:t>
      </w:r>
      <w:hyperlink w:anchor="ref-hmrc_vatbus">
        <w:r>
          <w:rPr>
            <w:rStyle w:val="Hyperlink"/>
          </w:rPr>
          <w:t xml:space="preserve">HMRC, 2024f, sec. VBNB30200</w:t>
        </w:r>
      </w:hyperlink>
      <w:r>
        <w:t xml:space="preserve">)</w:t>
      </w:r>
      <w:r>
        <w:t xml:space="preserve">.</w:t>
      </w:r>
    </w:p>
    <w:p>
      <w:pPr>
        <w:pStyle w:val="FirstParagraph"/>
      </w:pPr>
      <w:r>
        <w:rPr>
          <w:b/>
          <w:bCs/>
        </w:rPr>
        <w:t xml:space="preserve">Some activities are still not business.</w:t>
      </w:r>
      <w:r>
        <w:t xml:space="preserve"> </w:t>
      </w:r>
      <w:r>
        <w:t xml:space="preserve">HMRC says that even supplies for consideration with an income purpose can be non-business</w:t>
      </w:r>
      <w:r>
        <w:t xml:space="preserve"> </w:t>
      </w:r>
      <w:r>
        <w:t xml:space="preserve">(</w:t>
      </w:r>
      <w:hyperlink w:anchor="ref-hmrc_vatbus">
        <w:r>
          <w:rPr>
            <w:rStyle w:val="Hyperlink"/>
          </w:rPr>
          <w:t xml:space="preserve">HMRC, 2024f, sec. VBNB30200</w:t>
        </w:r>
      </w:hyperlink>
      <w:r>
        <w:t xml:space="preserve">)</w:t>
      </w:r>
      <w:r>
        <w:t xml:space="preserve">:</w:t>
      </w:r>
    </w:p>
    <w:p>
      <w:pPr>
        <w:pStyle w:val="Compact"/>
        <w:numPr>
          <w:ilvl w:val="0"/>
          <w:numId w:val="1084"/>
        </w:numPr>
      </w:pPr>
      <w:r>
        <w:t xml:space="preserve">where the body does not take part in a market, for example where supplies are</w:t>
      </w:r>
      <w:r>
        <w:t xml:space="preserve"> </w:t>
      </w:r>
      <w:r>
        <w:t xml:space="preserve">“</w:t>
      </w:r>
      <w:r>
        <w:t xml:space="preserve">provided as part of a regulatory or Governmental activity, fulfilling the functions of the state</w:t>
      </w:r>
      <w:r>
        <w:t xml:space="preserve">”</w:t>
      </w:r>
      <w:r>
        <w:t xml:space="preserve">. HMRC’s example is the state issuing licences to operate mobile phone services; or</w:t>
      </w:r>
    </w:p>
    <w:p>
      <w:pPr>
        <w:pStyle w:val="Compact"/>
        <w:numPr>
          <w:ilvl w:val="0"/>
          <w:numId w:val="1084"/>
        </w:numPr>
      </w:pPr>
      <w:r>
        <w:t xml:space="preserve">where</w:t>
      </w:r>
      <w:r>
        <w:t xml:space="preserve"> </w:t>
      </w:r>
      <w:r>
        <w:t xml:space="preserve">“</w:t>
      </w:r>
      <w:r>
        <w:t xml:space="preserve">there is no potential commercial competition</w:t>
      </w:r>
      <w:r>
        <w:t xml:space="preserve">”</w:t>
      </w:r>
      <w:r>
        <w:t xml:space="preserve"> </w:t>
      </w:r>
      <w:r>
        <w:t xml:space="preserve">for the goods or services.</w:t>
      </w:r>
    </w:p>
    <w:p>
      <w:pPr>
        <w:pStyle w:val="FirstParagraph"/>
      </w:pPr>
      <w:r>
        <w:t xml:space="preserve">These two points matter a great deal for defence (see the section headed Defence: does protecting people count as business?, below).</w:t>
      </w:r>
    </w:p>
    <w:p>
      <w:pPr>
        <w:pStyle w:val="BodyText"/>
      </w:pPr>
      <w:r>
        <w:rPr>
          <w:b/>
          <w:bCs/>
        </w:rPr>
        <w:t xml:space="preserve">Factors HMRC weighs at stage 2</w:t>
      </w:r>
      <w:r>
        <w:t xml:space="preserve"> </w:t>
      </w:r>
      <w:r>
        <w:t xml:space="preserve">include whether a purpose of the charge is to create income (or it is only nominal), any intention to make a profit, whether the payment is</w:t>
      </w:r>
      <w:r>
        <w:t xml:space="preserve"> </w:t>
      </w:r>
      <w:r>
        <w:t xml:space="preserve">“</w:t>
      </w:r>
      <w:r>
        <w:t xml:space="preserve">so low as to be a concession</w:t>
      </w:r>
      <w:r>
        <w:t xml:space="preserve">”</w:t>
      </w:r>
      <w:r>
        <w:t xml:space="preserve">, whether the activity is run on sound business principles, and its scale. They are not a checklist</w:t>
      </w:r>
      <w:r>
        <w:t xml:space="preserve"> </w:t>
      </w:r>
      <w:r>
        <w:t xml:space="preserve">(</w:t>
      </w:r>
      <w:hyperlink w:anchor="ref-hmrc_vatbus">
        <w:r>
          <w:rPr>
            <w:rStyle w:val="Hyperlink"/>
          </w:rPr>
          <w:t xml:space="preserve">HMRC, 2024f, sec. VBNB30300</w:t>
        </w:r>
      </w:hyperlink>
      <w:r>
        <w:t xml:space="preserve">)</w:t>
      </w:r>
      <w:r>
        <w:t xml:space="preserve">.</w:t>
      </w:r>
    </w:p>
    <w:p>
      <w:pPr>
        <w:pStyle w:val="BodyText"/>
      </w:pPr>
      <w:r>
        <w:rPr>
          <w:b/>
          <w:bCs/>
        </w:rPr>
        <w:t xml:space="preserve">How it worked in</w:t>
      </w:r>
      <w:r>
        <w:rPr>
          <w:b/>
          <w:bCs/>
        </w:rPr>
        <w:t xml:space="preserve"> </w:t>
      </w:r>
      <w:r>
        <w:rPr>
          <w:b/>
          <w:bCs/>
          <w:i/>
          <w:iCs/>
        </w:rPr>
        <w:t xml:space="preserve">Wakefield College</w:t>
      </w:r>
      <w:r>
        <w:rPr>
          <w:b/>
          <w:bCs/>
        </w:rPr>
        <w:t xml:space="preserve">.</w:t>
      </w:r>
      <w:r>
        <w:t xml:space="preserve"> </w:t>
      </w:r>
      <w:r>
        <w:t xml:space="preserve">Some students paid a subsidised fee covering</w:t>
      </w:r>
      <w:r>
        <w:t xml:space="preserve"> </w:t>
      </w:r>
      <w:r>
        <w:t xml:space="preserve">“</w:t>
      </w:r>
      <w:r>
        <w:t xml:space="preserve">some 25-30%</w:t>
      </w:r>
      <w:r>
        <w:t xml:space="preserve">”</w:t>
      </w:r>
      <w:r>
        <w:t xml:space="preserve"> </w:t>
      </w:r>
      <w:r>
        <w:t xml:space="preserve">of the cost of their courses (para. 82). The court still held that teaching them was an economic activity. The fees were significant, they were set by reference to course costs rather than students’ means, and there was a market in further education (paras. 78 to 85).</w:t>
      </w:r>
    </w:p>
    <w:bookmarkEnd w:id="74"/>
    <w:bookmarkStart w:id="75" w:name="consideration-and-the-direct-link"/>
    <w:p>
      <w:pPr>
        <w:pStyle w:val="Heading4"/>
      </w:pPr>
      <w:r>
        <w:t xml:space="preserve">Consideration and the</w:t>
      </w:r>
      <w:r>
        <w:t xml:space="preserve"> </w:t>
      </w:r>
      <w:r>
        <w:t xml:space="preserve">“</w:t>
      </w:r>
      <w:r>
        <w:t xml:space="preserve">direct link</w:t>
      </w:r>
      <w:r>
        <w:t xml:space="preserve">”</w:t>
      </w:r>
    </w:p>
    <w:p>
      <w:pPr>
        <w:pStyle w:val="FirstParagraph"/>
      </w:pPr>
      <w:r>
        <w:rPr>
          <w:b/>
          <w:bCs/>
        </w:rPr>
        <w:t xml:space="preserve">Consideration</w:t>
      </w:r>
      <w:r>
        <w:t xml:space="preserve"> </w:t>
      </w:r>
      <w:r>
        <w:t xml:space="preserve">is everything received in return for a supply, usually money</w:t>
      </w:r>
      <w:r>
        <w:t xml:space="preserve"> </w:t>
      </w:r>
      <w:r>
        <w:t xml:space="preserve">(</w:t>
      </w:r>
      <w:hyperlink w:anchor="ref-hmrc_vatsc">
        <w:r>
          <w:rPr>
            <w:rStyle w:val="Hyperlink"/>
          </w:rPr>
          <w:t xml:space="preserve">HMRC, 2025l, sec. VATSC05100</w:t>
        </w:r>
      </w:hyperlink>
      <w:r>
        <w:t xml:space="preserve">)</w:t>
      </w:r>
      <w:r>
        <w:t xml:space="preserve">.</w:t>
      </w:r>
      <w:r>
        <w:t xml:space="preserve"> </w:t>
      </w:r>
      <w:r>
        <w:t xml:space="preserve">“</w:t>
      </w:r>
      <w:r>
        <w:t xml:space="preserve">In return for</w:t>
      </w:r>
      <w:r>
        <w:t xml:space="preserve">”</w:t>
      </w:r>
      <w:r>
        <w:t xml:space="preserve"> </w:t>
      </w:r>
      <w:r>
        <w:t xml:space="preserve">means there must be a</w:t>
      </w:r>
      <w:r>
        <w:t xml:space="preserve"> </w:t>
      </w:r>
      <w:r>
        <w:rPr>
          <w:b/>
          <w:bCs/>
        </w:rPr>
        <w:t xml:space="preserve">direct link</w:t>
      </w:r>
      <w:r>
        <w:t xml:space="preserve"> </w:t>
      </w:r>
      <w:r>
        <w:t xml:space="preserve">between the supply and the payment</w:t>
      </w:r>
      <w:r>
        <w:t xml:space="preserve"> </w:t>
      </w:r>
      <w:r>
        <w:t xml:space="preserve">(</w:t>
      </w:r>
      <w:hyperlink w:anchor="ref-hmrc_vatsc">
        <w:r>
          <w:rPr>
            <w:rStyle w:val="Hyperlink"/>
          </w:rPr>
          <w:t xml:space="preserve">HMRC, 2025l, sec. VATSC05100</w:t>
        </w:r>
      </w:hyperlink>
      <w:r>
        <w:t xml:space="preserve">)</w:t>
      </w:r>
      <w:r>
        <w:t xml:space="preserve">. The Court of Appeal described this as</w:t>
      </w:r>
      <w:r>
        <w:t xml:space="preserve"> </w:t>
      </w:r>
      <w:r>
        <w:t xml:space="preserve">“</w:t>
      </w:r>
      <w:r>
        <w:t xml:space="preserve">reciprocal performance</w:t>
      </w:r>
      <w:r>
        <w:t xml:space="preserve">”</w:t>
      </w:r>
      <w:r>
        <w:t xml:space="preserve">. The payment does not have to equal the value of what is supplied (</w:t>
      </w:r>
      <w:r>
        <w:rPr>
          <w:i/>
          <w:iCs/>
        </w:rPr>
        <w:t xml:space="preserve">Wakefield College</w:t>
      </w:r>
      <w:r>
        <w:t xml:space="preserve">, para. 52).</w:t>
      </w:r>
    </w:p>
    <w:p>
      <w:pPr>
        <w:pStyle w:val="BodyText"/>
      </w:pPr>
      <w:r>
        <w:t xml:space="preserve">Two well-known cases show what happens without a direct link:</w:t>
      </w:r>
    </w:p>
    <w:p>
      <w:pPr>
        <w:pStyle w:val="Compact"/>
        <w:numPr>
          <w:ilvl w:val="0"/>
          <w:numId w:val="1085"/>
        </w:numPr>
      </w:pPr>
      <w:r>
        <w:rPr>
          <w:b/>
          <w:bCs/>
          <w:i/>
          <w:iCs/>
        </w:rPr>
        <w:t xml:space="preserve">Tolsma.</w:t>
      </w:r>
      <w:r>
        <w:t xml:space="preserve"> </w:t>
      </w:r>
      <w:r>
        <w:t xml:space="preserve">A man played a barrel organ in the street and invited passers-by to give money. There was no agreement with them, and he played whether they paid or not. There was no supply for consideration</w:t>
      </w:r>
      <w:r>
        <w:t xml:space="preserve"> </w:t>
      </w:r>
      <w:r>
        <w:t xml:space="preserve">(</w:t>
      </w:r>
      <w:hyperlink w:anchor="ref-hmrc_vatsc">
        <w:r>
          <w:rPr>
            <w:rStyle w:val="Hyperlink"/>
          </w:rPr>
          <w:t xml:space="preserve">HMRC, 2025l, sec. VATSC06110</w:t>
        </w:r>
      </w:hyperlink>
      <w:r>
        <w:t xml:space="preserve">)</w:t>
      </w:r>
      <w:r>
        <w:t xml:space="preserve">.</w:t>
      </w:r>
    </w:p>
    <w:p>
      <w:pPr>
        <w:pStyle w:val="Compact"/>
        <w:numPr>
          <w:ilvl w:val="0"/>
          <w:numId w:val="1085"/>
        </w:numPr>
      </w:pPr>
      <w:r>
        <w:rPr>
          <w:b/>
          <w:bCs/>
          <w:i/>
          <w:iCs/>
        </w:rPr>
        <w:t xml:space="preserve">Apple and Pear Development Council.</w:t>
      </w:r>
      <w:r>
        <w:t xml:space="preserve"> </w:t>
      </w:r>
      <w:r>
        <w:t xml:space="preserve">Growers had to pay a compulsory levy to a statutory body that promoted the whole industry. The benefit went to the industry as a whole, and each grower had to pay whether or not it benefited. There was no direct link</w:t>
      </w:r>
      <w:r>
        <w:t xml:space="preserve"> </w:t>
      </w:r>
      <w:r>
        <w:t xml:space="preserve">(</w:t>
      </w:r>
      <w:hyperlink w:anchor="ref-hmrc_vatsc">
        <w:r>
          <w:rPr>
            <w:rStyle w:val="Hyperlink"/>
          </w:rPr>
          <w:t xml:space="preserve">HMRC, 2025l, sec. VATSC05100</w:t>
        </w:r>
      </w:hyperlink>
      <w:r>
        <w:t xml:space="preserve">)</w:t>
      </w:r>
      <w:r>
        <w:t xml:space="preserve">.</w:t>
      </w:r>
    </w:p>
    <w:p>
      <w:pPr>
        <w:pStyle w:val="FirstParagraph"/>
      </w:pPr>
      <w:r>
        <w:rPr>
          <w:b/>
          <w:bCs/>
        </w:rPr>
        <w:t xml:space="preserve">Grants, donations and public funding:</w:t>
      </w:r>
    </w:p>
    <w:p>
      <w:pPr>
        <w:pStyle w:val="Compact"/>
        <w:numPr>
          <w:ilvl w:val="0"/>
          <w:numId w:val="1086"/>
        </w:numPr>
      </w:pPr>
      <w:r>
        <w:rPr>
          <w:b/>
          <w:bCs/>
        </w:rPr>
        <w:t xml:space="preserve">Non-business:</w:t>
      </w:r>
      <w:r>
        <w:t xml:space="preserve"> </w:t>
      </w:r>
      <w:r>
        <w:t xml:space="preserve">a grant or donation</w:t>
      </w:r>
      <w:r>
        <w:t xml:space="preserve"> </w:t>
      </w:r>
      <w:r>
        <w:t xml:space="preserve">“</w:t>
      </w:r>
      <w:r>
        <w:t xml:space="preserve">freely given</w:t>
      </w:r>
      <w:r>
        <w:t xml:space="preserve">”</w:t>
      </w:r>
      <w:r>
        <w:t xml:space="preserve">, where the donor receives nothing in return, is not consideration</w:t>
      </w:r>
      <w:r>
        <w:t xml:space="preserve"> </w:t>
      </w:r>
      <w:r>
        <w:t xml:space="preserve">(</w:t>
      </w:r>
      <w:hyperlink w:anchor="ref-hmrc_vatbus">
        <w:r>
          <w:rPr>
            <w:rStyle w:val="Hyperlink"/>
          </w:rPr>
          <w:t xml:space="preserve">HMRC, 2024f, sec. VBNB20900</w:t>
        </w:r>
      </w:hyperlink>
      <w:r>
        <w:t xml:space="preserve">)</w:t>
      </w:r>
      <w:r>
        <w:t xml:space="preserve">.</w:t>
      </w:r>
    </w:p>
    <w:p>
      <w:pPr>
        <w:pStyle w:val="Compact"/>
        <w:numPr>
          <w:ilvl w:val="0"/>
          <w:numId w:val="1086"/>
        </w:numPr>
      </w:pPr>
      <w:r>
        <w:rPr>
          <w:b/>
          <w:bCs/>
        </w:rPr>
        <w:t xml:space="preserve">Check first:</w:t>
      </w:r>
      <w:r>
        <w:t xml:space="preserve"> </w:t>
      </w:r>
      <w:r>
        <w:t xml:space="preserve">a grant can be consideration, that is, payment for a supply, if the funder receives the benefit. HMRC’s example is research funding where the results belong to the funder</w:t>
      </w:r>
      <w:r>
        <w:t xml:space="preserve"> </w:t>
      </w:r>
      <w:r>
        <w:t xml:space="preserve">(</w:t>
      </w:r>
      <w:hyperlink w:anchor="ref-hmrc_vatbus">
        <w:r>
          <w:rPr>
            <w:rStyle w:val="Hyperlink"/>
          </w:rPr>
          <w:t xml:space="preserve">HMRC, 2024f, sec. VBNB20900</w:t>
        </w:r>
      </w:hyperlink>
      <w:r>
        <w:t xml:space="preserve">)</w:t>
      </w:r>
      <w:r>
        <w:t xml:space="preserve">.</w:t>
      </w:r>
    </w:p>
    <w:p>
      <w:pPr>
        <w:pStyle w:val="Compact"/>
        <w:numPr>
          <w:ilvl w:val="0"/>
          <w:numId w:val="1086"/>
        </w:numPr>
      </w:pPr>
      <w:r>
        <w:rPr>
          <w:b/>
          <w:bCs/>
        </w:rPr>
        <w:t xml:space="preserve">Labels do not count.</w:t>
      </w:r>
      <w:r>
        <w:t xml:space="preserve"> </w:t>
      </w:r>
      <w:r>
        <w:t xml:space="preserve">Look at what actually happens, not what the payment is called</w:t>
      </w:r>
      <w:r>
        <w:t xml:space="preserve"> </w:t>
      </w:r>
      <w:r>
        <w:t xml:space="preserve">(</w:t>
      </w:r>
      <w:hyperlink w:anchor="ref-hmrc_vatsc">
        <w:r>
          <w:rPr>
            <w:rStyle w:val="Hyperlink"/>
          </w:rPr>
          <w:t xml:space="preserve">HMRC, 2025l, sec. VATSC06311</w:t>
        </w:r>
      </w:hyperlink>
      <w:r>
        <w:t xml:space="preserve">)</w:t>
      </w:r>
      <w:r>
        <w:t xml:space="preserve">.</w:t>
      </w:r>
    </w:p>
    <w:p>
      <w:pPr>
        <w:pStyle w:val="Compact"/>
        <w:numPr>
          <w:ilvl w:val="0"/>
          <w:numId w:val="1086"/>
        </w:numPr>
      </w:pPr>
      <w:r>
        <w:rPr>
          <w:b/>
          <w:bCs/>
        </w:rPr>
        <w:t xml:space="preserve">Public funding:</w:t>
      </w:r>
      <w:r>
        <w:t xml:space="preserve"> </w:t>
      </w:r>
      <w:r>
        <w:t xml:space="preserve">grant-in-aid that a public body receives from its parent central government department is</w:t>
      </w:r>
      <w:r>
        <w:t xml:space="preserve"> </w:t>
      </w:r>
      <w:r>
        <w:t xml:space="preserve">“</w:t>
      </w:r>
      <w:r>
        <w:t xml:space="preserve">always outside the scope of VAT</w:t>
      </w:r>
      <w:r>
        <w:t xml:space="preserve">”</w:t>
      </w:r>
      <w:r>
        <w:t xml:space="preserve"> </w:t>
      </w:r>
      <w:r>
        <w:t xml:space="preserve">(</w:t>
      </w:r>
      <w:hyperlink w:anchor="ref-hmrc_vatsc">
        <w:r>
          <w:rPr>
            <w:rStyle w:val="Hyperlink"/>
          </w:rPr>
          <w:t xml:space="preserve">HMRC, 2025l, sec. VATSC06311</w:t>
        </w:r>
      </w:hyperlink>
      <w:r>
        <w:t xml:space="preserve">)</w:t>
      </w:r>
      <w:r>
        <w:t xml:space="preserve">. An activity funded wholly by a statutory charge is non-business</w:t>
      </w:r>
      <w:r>
        <w:t xml:space="preserve"> </w:t>
      </w:r>
      <w:r>
        <w:t xml:space="preserve">(</w:t>
      </w:r>
      <w:hyperlink w:anchor="ref-hmrc_vatgpb">
        <w:r>
          <w:rPr>
            <w:rStyle w:val="Hyperlink"/>
          </w:rPr>
          <w:t xml:space="preserve">HMRC, 2026n, sec. VATGPB3500</w:t>
        </w:r>
      </w:hyperlink>
      <w:r>
        <w:t xml:space="preserve">)</w:t>
      </w:r>
      <w:r>
        <w:t xml:space="preserve">.</w:t>
      </w:r>
    </w:p>
    <w:bookmarkEnd w:id="75"/>
    <w:bookmarkStart w:id="76" w:name="X3ae1cc7b250da33a79cc2a7584815831b3d3411"/>
    <w:p>
      <w:pPr>
        <w:pStyle w:val="Heading4"/>
      </w:pPr>
      <w:r>
        <w:t xml:space="preserve">Charging below cost, or only to recover costs</w:t>
      </w:r>
    </w:p>
    <w:p>
      <w:pPr>
        <w:pStyle w:val="FirstParagraph"/>
      </w:pPr>
      <w:r>
        <w:t xml:space="preserve">This is a common trap.</w:t>
      </w:r>
    </w:p>
    <w:p>
      <w:pPr>
        <w:pStyle w:val="Compact"/>
        <w:numPr>
          <w:ilvl w:val="0"/>
          <w:numId w:val="1087"/>
        </w:numPr>
      </w:pPr>
      <w:r>
        <w:rPr>
          <w:b/>
          <w:bCs/>
        </w:rPr>
        <w:t xml:space="preserve">Business:</w:t>
      </w:r>
      <w:r>
        <w:t xml:space="preserve"> </w:t>
      </w:r>
      <w:r>
        <w:t xml:space="preserve">charging only enough to cover costs, or even less, can still be business. Consideration</w:t>
      </w:r>
      <w:r>
        <w:t xml:space="preserve"> </w:t>
      </w:r>
      <w:r>
        <w:t xml:space="preserve">“</w:t>
      </w:r>
      <w:r>
        <w:t xml:space="preserve">should not be confused with profit</w:t>
      </w:r>
      <w:r>
        <w:t xml:space="preserve">”</w:t>
      </w:r>
      <w:r>
        <w:t xml:space="preserve"> </w:t>
      </w:r>
      <w:r>
        <w:t xml:space="preserve">(</w:t>
      </w:r>
      <w:hyperlink w:anchor="ref-hmrc_vatsc">
        <w:r>
          <w:rPr>
            <w:rStyle w:val="Hyperlink"/>
          </w:rPr>
          <w:t xml:space="preserve">HMRC, 2025l, sec. VATSC05100</w:t>
        </w:r>
      </w:hyperlink>
      <w:r>
        <w:t xml:space="preserve">)</w:t>
      </w:r>
      <w:r>
        <w:t xml:space="preserve">. Education</w:t>
      </w:r>
      <w:r>
        <w:t xml:space="preserve"> </w:t>
      </w:r>
      <w:r>
        <w:t xml:space="preserve">“</w:t>
      </w:r>
      <w:r>
        <w:t xml:space="preserve">is still a business activity even if the charge is not enough to meet the full cost of providing it</w:t>
      </w:r>
      <w:r>
        <w:t xml:space="preserve">”</w:t>
      </w:r>
      <w:r>
        <w:t xml:space="preserve"> </w:t>
      </w:r>
      <w:r>
        <w:t xml:space="preserve">(</w:t>
      </w:r>
      <w:hyperlink w:anchor="ref-hmrc_n70130">
        <w:r>
          <w:rPr>
            <w:rStyle w:val="Hyperlink"/>
          </w:rPr>
          <w:t xml:space="preserve">HMRC, 2025d, para. 2.5</w:t>
        </w:r>
      </w:hyperlink>
      <w:r>
        <w:t xml:space="preserve">)</w:t>
      </w:r>
      <w:r>
        <w:t xml:space="preserve">.</w:t>
      </w:r>
    </w:p>
    <w:p>
      <w:pPr>
        <w:pStyle w:val="Compact"/>
        <w:numPr>
          <w:ilvl w:val="0"/>
          <w:numId w:val="1087"/>
        </w:numPr>
      </w:pPr>
      <w:r>
        <w:rPr>
          <w:b/>
          <w:bCs/>
        </w:rPr>
        <w:t xml:space="preserve">Check first:</w:t>
      </w:r>
      <w:r>
        <w:t xml:space="preserve"> </w:t>
      </w:r>
      <w:r>
        <w:t xml:space="preserve">a charge that is much lower than the value supplied may show the activity is not carried on to obtain income</w:t>
      </w:r>
      <w:r>
        <w:t xml:space="preserve"> </w:t>
      </w:r>
      <w:r>
        <w:t xml:space="preserve">(</w:t>
      </w:r>
      <w:hyperlink w:anchor="ref-hmrc_vatbus">
        <w:r>
          <w:rPr>
            <w:rStyle w:val="Hyperlink"/>
          </w:rPr>
          <w:t xml:space="preserve">HMRC, 2024f, sec. VBNB30300</w:t>
        </w:r>
      </w:hyperlink>
      <w:r>
        <w:t xml:space="preserve">)</w:t>
      </w:r>
      <w:r>
        <w:t xml:space="preserve">. This is a judgement on the facts.</w:t>
      </w:r>
    </w:p>
    <w:p>
      <w:pPr>
        <w:pStyle w:val="Compact"/>
        <w:numPr>
          <w:ilvl w:val="0"/>
          <w:numId w:val="1087"/>
        </w:numPr>
      </w:pPr>
      <w:r>
        <w:rPr>
          <w:b/>
          <w:bCs/>
        </w:rPr>
        <w:t xml:space="preserve">Non-business:</w:t>
      </w:r>
      <w:r>
        <w:t xml:space="preserve"> </w:t>
      </w:r>
      <w:r>
        <w:t xml:space="preserve">if nothing is charged, there is normally no supply (Value Added Tax Act 1994, s. 5(2)(a)). The exception is Schedule 4, which can treat a free transfer of business goods, or private use of them, as a supply. It does not apply to goods on which no input tax credit was claimed (Value Added Tax Act 1994, Sch. 4, para. 5(1), (4) and (5)). See Part 6, Providing items to overseas governments. HMRC’s examples of non-business activities include</w:t>
      </w:r>
      <w:r>
        <w:t xml:space="preserve"> </w:t>
      </w:r>
      <w:r>
        <w:t xml:space="preserve">“</w:t>
      </w:r>
      <w:r>
        <w:t xml:space="preserve">providing free services or information</w:t>
      </w:r>
      <w:r>
        <w:t xml:space="preserve">”</w:t>
      </w:r>
      <w:r>
        <w:t xml:space="preserve"> </w:t>
      </w:r>
      <w:r>
        <w:t xml:space="preserve">(</w:t>
      </w:r>
      <w:hyperlink w:anchor="ref-hmrc_n700">
        <w:r>
          <w:rPr>
            <w:rStyle w:val="Hyperlink"/>
          </w:rPr>
          <w:t xml:space="preserve">HMRC, 2026o, para. 4.6.4</w:t>
        </w:r>
      </w:hyperlink>
      <w:r>
        <w:t xml:space="preserve">)</w:t>
      </w:r>
      <w:r>
        <w:t xml:space="preserve">.</w:t>
      </w:r>
    </w:p>
    <w:bookmarkEnd w:id="76"/>
    <w:bookmarkStart w:id="77" w:name="everyday-examples"/>
    <w:p>
      <w:pPr>
        <w:pStyle w:val="Heading4"/>
      </w:pPr>
      <w:r>
        <w:t xml:space="preserve">Everyday examples</w:t>
      </w:r>
    </w:p>
    <w:p>
      <w:pPr>
        <w:pStyle w:val="FirstParagraph"/>
      </w:pPr>
      <w:r>
        <w:t xml:space="preserve">The table applies the test to everyday situations. It is based on HMRC’s guidance</w:t>
      </w:r>
      <w:r>
        <w:t xml:space="preserve"> </w:t>
      </w:r>
      <w:r>
        <w:t xml:space="preserve">(</w:t>
      </w:r>
      <w:hyperlink w:anchor="ref-hmrc_vatbus">
        <w:r>
          <w:rPr>
            <w:rStyle w:val="Hyperlink"/>
          </w:rPr>
          <w:t xml:space="preserve">HMRC, 2024f</w:t>
        </w:r>
      </w:hyperlink>
      <w:r>
        <w:t xml:space="preserve">, secs. VBNB20100, VBNB20250, VBNB20600, VBNB20900 and VBNB22120;</w:t>
      </w:r>
      <w:r>
        <w:t xml:space="preserve"> </w:t>
      </w:r>
      <w:hyperlink w:anchor="ref-hmrc_vatsc">
        <w:r>
          <w:rPr>
            <w:rStyle w:val="Hyperlink"/>
          </w:rPr>
          <w:t xml:space="preserve">HMRC, 2025l</w:t>
        </w:r>
      </w:hyperlink>
      <w:r>
        <w:t xml:space="preserve">, secs. VATSC03610 and VATSC06110;</w:t>
      </w:r>
      <w:r>
        <w:t xml:space="preserve"> </w:t>
      </w:r>
      <w:hyperlink w:anchor="ref-hmrc_n70130">
        <w:r>
          <w:rPr>
            <w:rStyle w:val="Hyperlink"/>
          </w:rPr>
          <w:t xml:space="preserve">HMRC, 2025d, para. 2.5</w:t>
        </w:r>
      </w:hyperlink>
      <w:r>
        <w:t xml:space="preserve">;</w:t>
      </w:r>
      <w:r>
        <w:t xml:space="preserve"> </w:t>
      </w:r>
      <w:hyperlink w:anchor="ref-hmrc_n700">
        <w:r>
          <w:rPr>
            <w:rStyle w:val="Hyperlink"/>
          </w:rPr>
          <w:t xml:space="preserve">2026o, para. 4.6.4</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421"/>
        <w:gridCol w:w="2180"/>
        <w:gridCol w:w="3424"/>
      </w:tblGrid>
      <w:tr>
        <w:trPr>
          <w:tblHeader w:val="true"/>
          <w:cantSplit w:val="true"/>
        </w:trPr>
        <w:tc>
          <w:tcPr>
            <w:tcW w:w="3421" w:type="dxa"/>
            <w:shd w:val="clear" w:color="auto" w:fill="1B3A5C"/>
          </w:tcPr>
          <w:p>
            <w:pPr>
              <w:pStyle w:val="Compact"/>
              <w:spacing w:after="40" w:before="40"/>
              <w:jc w:val="left"/>
            </w:pPr>
            <w:r>
              <w:rPr>
                <w:rFonts w:ascii="Tahoma" w:hAnsi="Tahoma"/>
                <w:b/>
                <w:color w:val="FFFFFF"/>
                <w:sz w:val="22"/>
              </w:rPr>
              <w:t xml:space="preserve">Activity</w:t>
            </w:r>
          </w:p>
        </w:tc>
        <w:tc>
          <w:tcPr>
            <w:tcW w:w="2180" w:type="dxa"/>
            <w:shd w:val="clear" w:color="auto" w:fill="1B3A5C"/>
          </w:tcPr>
          <w:p>
            <w:pPr>
              <w:pStyle w:val="Compact"/>
              <w:spacing w:after="40" w:before="40"/>
              <w:jc w:val="left"/>
            </w:pPr>
            <w:r>
              <w:rPr>
                <w:rFonts w:ascii="Tahoma" w:hAnsi="Tahoma"/>
                <w:b/>
                <w:color w:val="FFFFFF"/>
                <w:sz w:val="22"/>
              </w:rPr>
              <w:t xml:space="preserve">Business or non-business?</w:t>
            </w:r>
          </w:p>
        </w:tc>
        <w:tc>
          <w:tcPr>
            <w:tcW w:w="3424" w:type="dxa"/>
            <w:shd w:val="clear" w:color="auto" w:fill="1B3A5C"/>
          </w:tcPr>
          <w:p>
            <w:pPr>
              <w:pStyle w:val="Compact"/>
              <w:spacing w:after="40" w:before="40"/>
              <w:jc w:val="left"/>
            </w:pPr>
            <w:r>
              <w:rPr>
                <w:rFonts w:ascii="Tahoma" w:hAnsi="Tahoma"/>
                <w:b/>
                <w:color w:val="FFFFFF"/>
                <w:sz w:val="22"/>
              </w:rPr>
              <w:t xml:space="preserve">Why</w:t>
            </w:r>
          </w:p>
        </w:tc>
      </w:tr>
      <w:tr>
        <w:trPr>
          <w:cantSplit w:val="true"/>
        </w:trPr>
        <w:tc>
          <w:tcPr>
            <w:tcW w:w="3421" w:type="dxa"/>
            <w:shd w:val="clear" w:color="auto" w:fill="EAF3FA"/>
          </w:tcPr>
          <w:p>
            <w:pPr>
              <w:pStyle w:val="Compact"/>
              <w:spacing w:after="40" w:before="40"/>
              <w:jc w:val="left"/>
            </w:pPr>
            <w:r>
              <w:rPr>
                <w:rFonts w:ascii="Tahoma" w:hAnsi="Tahoma"/>
                <w:sz w:val="22"/>
              </w:rPr>
              <w:t xml:space="preserve">A shop sells groceries</w:t>
            </w:r>
          </w:p>
        </w:tc>
        <w:tc>
          <w:tcPr>
            <w:tcW w:w="2180" w:type="dxa"/>
            <w:shd w:val="clear" w:color="auto" w:fill="EAF3FA"/>
          </w:tcPr>
          <w:p>
            <w:pPr>
              <w:pStyle w:val="Compact"/>
              <w:spacing w:after="40" w:before="40"/>
              <w:jc w:val="left"/>
            </w:pPr>
            <w:r>
              <w:rPr>
                <w:rFonts w:ascii="Tahoma" w:hAnsi="Tahoma"/>
                <w:sz w:val="22"/>
              </w:rPr>
              <w:t xml:space="preserve">Business</w:t>
            </w:r>
          </w:p>
        </w:tc>
        <w:tc>
          <w:tcPr>
            <w:tcW w:w="3424" w:type="dxa"/>
            <w:shd w:val="clear" w:color="auto" w:fill="EAF3FA"/>
          </w:tcPr>
          <w:p>
            <w:pPr>
              <w:pStyle w:val="Compact"/>
              <w:spacing w:after="40" w:before="40"/>
              <w:jc w:val="left"/>
            </w:pPr>
            <w:r>
              <w:rPr>
                <w:rFonts w:ascii="Tahoma" w:hAnsi="Tahoma"/>
                <w:sz w:val="22"/>
              </w:rPr>
              <w:t xml:space="preserve">Goods supplied for payment, to earn income</w:t>
            </w:r>
          </w:p>
        </w:tc>
      </w:tr>
      <w:tr>
        <w:trPr>
          <w:cantSplit w:val="true"/>
        </w:trPr>
        <w:tc>
          <w:tcPr>
            <w:tcW w:w="3421" w:type="dxa"/>
            <w:shd w:val="clear" w:color="auto" w:fill="FFFFFF"/>
          </w:tcPr>
          <w:p>
            <w:pPr>
              <w:pStyle w:val="Compact"/>
              <w:spacing w:after="40" w:before="40"/>
              <w:jc w:val="left"/>
            </w:pPr>
            <w:r>
              <w:rPr>
                <w:rFonts w:ascii="Tahoma" w:hAnsi="Tahoma"/>
                <w:sz w:val="22"/>
              </w:rPr>
              <w:t xml:space="preserve">A street musician collects money in a hat</w:t>
            </w:r>
          </w:p>
        </w:tc>
        <w:tc>
          <w:tcPr>
            <w:tcW w:w="2180" w:type="dxa"/>
            <w:shd w:val="clear" w:color="auto" w:fill="FFFFFF"/>
          </w:tcPr>
          <w:p>
            <w:pPr>
              <w:pStyle w:val="Compact"/>
              <w:spacing w:after="40" w:before="40"/>
              <w:jc w:val="left"/>
            </w:pPr>
            <w:r>
              <w:rPr>
                <w:rFonts w:ascii="Tahoma" w:hAnsi="Tahoma"/>
                <w:sz w:val="22"/>
              </w:rPr>
              <w:t xml:space="preserve">Non-business</w:t>
            </w:r>
          </w:p>
        </w:tc>
        <w:tc>
          <w:tcPr>
            <w:tcW w:w="3424" w:type="dxa"/>
            <w:shd w:val="clear" w:color="auto" w:fill="FFFFFF"/>
          </w:tcPr>
          <w:p>
            <w:pPr>
              <w:pStyle w:val="Compact"/>
              <w:spacing w:after="40" w:before="40"/>
              <w:jc w:val="left"/>
            </w:pPr>
            <w:r>
              <w:rPr>
                <w:rFonts w:ascii="Tahoma" w:hAnsi="Tahoma"/>
                <w:sz w:val="22"/>
              </w:rPr>
              <w:t xml:space="preserve">No agreement and no direct link (</w:t>
            </w:r>
            <w:r>
              <w:rPr>
                <w:rFonts w:ascii="Tahoma" w:hAnsi="Tahoma"/>
                <w:i/>
                <w:iCs/>
                <w:sz w:val="22"/>
              </w:rPr>
              <w:t xml:space="preserve">Tolsma</w:t>
            </w:r>
            <w:r>
              <w:rPr>
                <w:rFonts w:ascii="Tahoma" w:hAnsi="Tahoma"/>
                <w:sz w:val="22"/>
              </w:rPr>
              <w:t xml:space="preserve">)</w:t>
            </w:r>
          </w:p>
        </w:tc>
      </w:tr>
      <w:tr>
        <w:trPr>
          <w:cantSplit w:val="true"/>
        </w:trPr>
        <w:tc>
          <w:tcPr>
            <w:tcW w:w="3421" w:type="dxa"/>
            <w:shd w:val="clear" w:color="auto" w:fill="FBEAF1"/>
          </w:tcPr>
          <w:p>
            <w:pPr>
              <w:pStyle w:val="Compact"/>
              <w:spacing w:after="40" w:before="40"/>
              <w:jc w:val="left"/>
            </w:pPr>
            <w:r>
              <w:rPr>
                <w:rFonts w:ascii="Tahoma" w:hAnsi="Tahoma"/>
                <w:sz w:val="22"/>
              </w:rPr>
              <w:t xml:space="preserve">A charity gives free advice</w:t>
            </w:r>
          </w:p>
        </w:tc>
        <w:tc>
          <w:tcPr>
            <w:tcW w:w="2180" w:type="dxa"/>
            <w:shd w:val="clear" w:color="auto" w:fill="FBEAF1"/>
          </w:tcPr>
          <w:p>
            <w:pPr>
              <w:pStyle w:val="Compact"/>
              <w:spacing w:after="40" w:before="40"/>
              <w:jc w:val="left"/>
            </w:pPr>
            <w:r>
              <w:rPr>
                <w:rFonts w:ascii="Tahoma" w:hAnsi="Tahoma"/>
                <w:sz w:val="22"/>
              </w:rPr>
              <w:t xml:space="preserve">Non-business</w:t>
            </w:r>
          </w:p>
        </w:tc>
        <w:tc>
          <w:tcPr>
            <w:tcW w:w="3424" w:type="dxa"/>
            <w:shd w:val="clear" w:color="auto" w:fill="FBEAF1"/>
          </w:tcPr>
          <w:p>
            <w:pPr>
              <w:pStyle w:val="Compact"/>
              <w:spacing w:after="40" w:before="40"/>
              <w:jc w:val="left"/>
            </w:pPr>
            <w:r>
              <w:rPr>
                <w:rFonts w:ascii="Tahoma" w:hAnsi="Tahoma"/>
                <w:sz w:val="22"/>
              </w:rPr>
              <w:t xml:space="preserve">Nothing is charged</w:t>
            </w:r>
          </w:p>
        </w:tc>
      </w:tr>
      <w:tr>
        <w:trPr>
          <w:cantSplit w:val="true"/>
        </w:trPr>
        <w:tc>
          <w:tcPr>
            <w:tcW w:w="3421" w:type="dxa"/>
            <w:shd w:val="clear" w:color="auto" w:fill="EAF3FA"/>
          </w:tcPr>
          <w:p>
            <w:pPr>
              <w:pStyle w:val="Compact"/>
              <w:spacing w:after="40" w:before="40"/>
              <w:jc w:val="left"/>
            </w:pPr>
            <w:r>
              <w:rPr>
                <w:rFonts w:ascii="Tahoma" w:hAnsi="Tahoma"/>
                <w:sz w:val="22"/>
              </w:rPr>
              <w:t xml:space="preserve">A college charges a fixed fee below cost</w:t>
            </w:r>
          </w:p>
        </w:tc>
        <w:tc>
          <w:tcPr>
            <w:tcW w:w="2180" w:type="dxa"/>
            <w:shd w:val="clear" w:color="auto" w:fill="EAF3FA"/>
          </w:tcPr>
          <w:p>
            <w:pPr>
              <w:pStyle w:val="Compact"/>
              <w:spacing w:after="40" w:before="40"/>
              <w:jc w:val="left"/>
            </w:pPr>
            <w:r>
              <w:rPr>
                <w:rFonts w:ascii="Tahoma" w:hAnsi="Tahoma"/>
                <w:sz w:val="22"/>
              </w:rPr>
              <w:t xml:space="preserve">Business</w:t>
            </w:r>
          </w:p>
        </w:tc>
        <w:tc>
          <w:tcPr>
            <w:tcW w:w="3424" w:type="dxa"/>
            <w:shd w:val="clear" w:color="auto" w:fill="EAF3FA"/>
          </w:tcPr>
          <w:p>
            <w:pPr>
              <w:pStyle w:val="Compact"/>
              <w:spacing w:after="40" w:before="40"/>
              <w:jc w:val="left"/>
            </w:pPr>
            <w:r>
              <w:rPr>
                <w:rFonts w:ascii="Tahoma" w:hAnsi="Tahoma"/>
                <w:sz w:val="22"/>
              </w:rPr>
              <w:t xml:space="preserve">Payment for the course; below cost does not matter</w:t>
            </w:r>
          </w:p>
        </w:tc>
      </w:tr>
      <w:tr>
        <w:trPr>
          <w:cantSplit w:val="true"/>
        </w:trPr>
        <w:tc>
          <w:tcPr>
            <w:tcW w:w="3421" w:type="dxa"/>
            <w:shd w:val="clear" w:color="auto" w:fill="FFFFFF"/>
          </w:tcPr>
          <w:p>
            <w:pPr>
              <w:pStyle w:val="Compact"/>
              <w:spacing w:after="40" w:before="40"/>
              <w:jc w:val="left"/>
            </w:pPr>
            <w:r>
              <w:rPr>
                <w:rFonts w:ascii="Tahoma" w:hAnsi="Tahoma"/>
                <w:sz w:val="22"/>
              </w:rPr>
              <w:t xml:space="preserve">A museum with free entry and a donations box</w:t>
            </w:r>
          </w:p>
        </w:tc>
        <w:tc>
          <w:tcPr>
            <w:tcW w:w="2180" w:type="dxa"/>
            <w:shd w:val="clear" w:color="auto" w:fill="FFFFFF"/>
          </w:tcPr>
          <w:p>
            <w:pPr>
              <w:pStyle w:val="Compact"/>
              <w:spacing w:after="40" w:before="40"/>
              <w:jc w:val="left"/>
            </w:pPr>
            <w:r>
              <w:rPr>
                <w:rFonts w:ascii="Tahoma" w:hAnsi="Tahoma"/>
                <w:sz w:val="22"/>
              </w:rPr>
              <w:t xml:space="preserve">Non-business</w:t>
            </w:r>
          </w:p>
        </w:tc>
        <w:tc>
          <w:tcPr>
            <w:tcW w:w="3424" w:type="dxa"/>
            <w:shd w:val="clear" w:color="auto" w:fill="FFFFFF"/>
          </w:tcPr>
          <w:p>
            <w:pPr>
              <w:pStyle w:val="Compact"/>
              <w:spacing w:after="40" w:before="40"/>
              <w:jc w:val="left"/>
            </w:pPr>
            <w:r>
              <w:rPr>
                <w:rFonts w:ascii="Tahoma" w:hAnsi="Tahoma"/>
                <w:sz w:val="22"/>
              </w:rPr>
              <w:t xml:space="preserve">Donations are freely given</w:t>
            </w:r>
          </w:p>
        </w:tc>
      </w:tr>
      <w:tr>
        <w:trPr>
          <w:cantSplit w:val="true"/>
        </w:trPr>
        <w:tc>
          <w:tcPr>
            <w:tcW w:w="3421" w:type="dxa"/>
            <w:shd w:val="clear" w:color="auto" w:fill="FBEAF1"/>
          </w:tcPr>
          <w:p>
            <w:pPr>
              <w:pStyle w:val="Compact"/>
              <w:spacing w:after="40" w:before="40"/>
              <w:jc w:val="left"/>
            </w:pPr>
            <w:r>
              <w:rPr>
                <w:rFonts w:ascii="Tahoma" w:hAnsi="Tahoma"/>
                <w:sz w:val="22"/>
              </w:rPr>
              <w:t xml:space="preserve">A museum with a fixed admission charge</w:t>
            </w:r>
          </w:p>
        </w:tc>
        <w:tc>
          <w:tcPr>
            <w:tcW w:w="2180" w:type="dxa"/>
            <w:shd w:val="clear" w:color="auto" w:fill="FBEAF1"/>
          </w:tcPr>
          <w:p>
            <w:pPr>
              <w:pStyle w:val="Compact"/>
              <w:spacing w:after="40" w:before="40"/>
              <w:jc w:val="left"/>
            </w:pPr>
            <w:r>
              <w:rPr>
                <w:rFonts w:ascii="Tahoma" w:hAnsi="Tahoma"/>
                <w:sz w:val="22"/>
              </w:rPr>
              <w:t xml:space="preserve">Business, usually</w:t>
            </w:r>
          </w:p>
        </w:tc>
        <w:tc>
          <w:tcPr>
            <w:tcW w:w="3424" w:type="dxa"/>
            <w:shd w:val="clear" w:color="auto" w:fill="FBEAF1"/>
          </w:tcPr>
          <w:p>
            <w:pPr>
              <w:pStyle w:val="Compact"/>
              <w:spacing w:after="40" w:before="40"/>
              <w:jc w:val="left"/>
            </w:pPr>
            <w:r>
              <w:rPr>
                <w:rFonts w:ascii="Tahoma" w:hAnsi="Tahoma"/>
                <w:sz w:val="22"/>
              </w:rPr>
              <w:t xml:space="preserve">Admission for a charge is deemed business, subject to the business test</w:t>
            </w:r>
          </w:p>
        </w:tc>
      </w:tr>
      <w:tr>
        <w:trPr>
          <w:cantSplit w:val="true"/>
        </w:trPr>
        <w:tc>
          <w:tcPr>
            <w:tcW w:w="3421" w:type="dxa"/>
            <w:shd w:val="clear" w:color="auto" w:fill="EAF3FA"/>
          </w:tcPr>
          <w:p>
            <w:pPr>
              <w:pStyle w:val="Compact"/>
              <w:spacing w:after="40" w:before="40"/>
              <w:jc w:val="left"/>
            </w:pPr>
            <w:r>
              <w:rPr>
                <w:rFonts w:ascii="Tahoma" w:hAnsi="Tahoma"/>
                <w:sz w:val="22"/>
              </w:rPr>
              <w:t xml:space="preserve">A sports club charges members a subscription</w:t>
            </w:r>
          </w:p>
        </w:tc>
        <w:tc>
          <w:tcPr>
            <w:tcW w:w="2180" w:type="dxa"/>
            <w:shd w:val="clear" w:color="auto" w:fill="EAF3FA"/>
          </w:tcPr>
          <w:p>
            <w:pPr>
              <w:pStyle w:val="Compact"/>
              <w:spacing w:after="40" w:before="40"/>
              <w:jc w:val="left"/>
            </w:pPr>
            <w:r>
              <w:rPr>
                <w:rFonts w:ascii="Tahoma" w:hAnsi="Tahoma"/>
                <w:sz w:val="22"/>
              </w:rPr>
              <w:t xml:space="preserve">Business, usually</w:t>
            </w:r>
          </w:p>
        </w:tc>
        <w:tc>
          <w:tcPr>
            <w:tcW w:w="3424" w:type="dxa"/>
            <w:shd w:val="clear" w:color="auto" w:fill="EAF3FA"/>
          </w:tcPr>
          <w:p>
            <w:pPr>
              <w:pStyle w:val="Compact"/>
              <w:spacing w:after="40" w:before="40"/>
              <w:jc w:val="left"/>
            </w:pPr>
            <w:r>
              <w:rPr>
                <w:rFonts w:ascii="Tahoma" w:hAnsi="Tahoma"/>
                <w:sz w:val="22"/>
              </w:rPr>
              <w:t xml:space="preserve">Deemed business by s. 94(2)(a), subject to the business test</w:t>
            </w:r>
          </w:p>
        </w:tc>
      </w:tr>
      <w:tr>
        <w:trPr>
          <w:cantSplit w:val="true"/>
        </w:trPr>
        <w:tc>
          <w:tcPr>
            <w:tcW w:w="3421" w:type="dxa"/>
            <w:shd w:val="clear" w:color="auto" w:fill="FFFFFF"/>
          </w:tcPr>
          <w:p>
            <w:pPr>
              <w:pStyle w:val="Compact"/>
              <w:spacing w:after="40" w:before="40"/>
              <w:jc w:val="left"/>
            </w:pPr>
            <w:r>
              <w:rPr>
                <w:rFonts w:ascii="Tahoma" w:hAnsi="Tahoma"/>
                <w:sz w:val="22"/>
              </w:rPr>
              <w:t xml:space="preserve">A person sells their own private car</w:t>
            </w:r>
          </w:p>
        </w:tc>
        <w:tc>
          <w:tcPr>
            <w:tcW w:w="2180" w:type="dxa"/>
            <w:shd w:val="clear" w:color="auto" w:fill="FFFFFF"/>
          </w:tcPr>
          <w:p>
            <w:pPr>
              <w:pStyle w:val="Compact"/>
              <w:spacing w:after="40" w:before="40"/>
              <w:jc w:val="left"/>
            </w:pPr>
            <w:r>
              <w:rPr>
                <w:rFonts w:ascii="Tahoma" w:hAnsi="Tahoma"/>
                <w:sz w:val="22"/>
              </w:rPr>
              <w:t xml:space="preserve">Non-business</w:t>
            </w:r>
          </w:p>
        </w:tc>
        <w:tc>
          <w:tcPr>
            <w:tcW w:w="3424" w:type="dxa"/>
            <w:shd w:val="clear" w:color="auto" w:fill="FFFFFF"/>
          </w:tcPr>
          <w:p>
            <w:pPr>
              <w:pStyle w:val="Compact"/>
              <w:spacing w:after="40" w:before="40"/>
              <w:jc w:val="left"/>
            </w:pPr>
            <w:r>
              <w:rPr>
                <w:rFonts w:ascii="Tahoma" w:hAnsi="Tahoma"/>
                <w:sz w:val="22"/>
              </w:rPr>
              <w:t xml:space="preserve">Disposal of a private asset</w:t>
            </w:r>
          </w:p>
        </w:tc>
      </w:tr>
      <w:tr>
        <w:trPr>
          <w:cantSplit w:val="true"/>
        </w:trPr>
        <w:tc>
          <w:tcPr>
            <w:tcW w:w="3421" w:type="dxa"/>
            <w:shd w:val="clear" w:color="auto" w:fill="FBEAF1"/>
          </w:tcPr>
          <w:p>
            <w:pPr>
              <w:pStyle w:val="Compact"/>
              <w:spacing w:after="40" w:before="40"/>
              <w:jc w:val="left"/>
            </w:pPr>
            <w:r>
              <w:rPr>
                <w:rFonts w:ascii="Tahoma" w:hAnsi="Tahoma"/>
                <w:sz w:val="22"/>
              </w:rPr>
              <w:t xml:space="preserve">A car park company issues parking penalty notices</w:t>
            </w:r>
          </w:p>
        </w:tc>
        <w:tc>
          <w:tcPr>
            <w:tcW w:w="2180" w:type="dxa"/>
            <w:shd w:val="clear" w:color="auto" w:fill="FBEAF1"/>
          </w:tcPr>
          <w:p>
            <w:pPr>
              <w:pStyle w:val="Compact"/>
              <w:spacing w:after="40" w:before="40"/>
              <w:jc w:val="left"/>
            </w:pPr>
            <w:r>
              <w:rPr>
                <w:rFonts w:ascii="Tahoma" w:hAnsi="Tahoma"/>
                <w:sz w:val="22"/>
              </w:rPr>
              <w:t xml:space="preserve">Non-business (the penalties)</w:t>
            </w:r>
          </w:p>
        </w:tc>
        <w:tc>
          <w:tcPr>
            <w:tcW w:w="3424" w:type="dxa"/>
            <w:shd w:val="clear" w:color="auto" w:fill="FBEAF1"/>
          </w:tcPr>
          <w:p>
            <w:pPr>
              <w:pStyle w:val="Compact"/>
              <w:spacing w:after="40" w:before="40"/>
              <w:jc w:val="left"/>
            </w:pPr>
            <w:r>
              <w:rPr>
                <w:rFonts w:ascii="Tahoma" w:hAnsi="Tahoma"/>
                <w:sz w:val="22"/>
              </w:rPr>
              <w:t xml:space="preserve">A penalty is not payment for a supply</w:t>
            </w:r>
          </w:p>
        </w:tc>
      </w:tr>
      <w:tr>
        <w:trPr>
          <w:cantSplit w:val="true"/>
        </w:trPr>
        <w:tc>
          <w:tcPr>
            <w:tcW w:w="3421" w:type="dxa"/>
            <w:shd w:val="clear" w:color="auto" w:fill="EAF3FA"/>
          </w:tcPr>
          <w:p>
            <w:pPr>
              <w:pStyle w:val="Compact"/>
              <w:spacing w:after="40" w:before="40"/>
              <w:jc w:val="left"/>
            </w:pPr>
            <w:r>
              <w:rPr>
                <w:rFonts w:ascii="Tahoma" w:hAnsi="Tahoma"/>
                <w:sz w:val="22"/>
              </w:rPr>
              <w:t xml:space="preserve">A funder gives a grant and gets nothing back</w:t>
            </w:r>
          </w:p>
        </w:tc>
        <w:tc>
          <w:tcPr>
            <w:tcW w:w="2180" w:type="dxa"/>
            <w:shd w:val="clear" w:color="auto" w:fill="EAF3FA"/>
          </w:tcPr>
          <w:p>
            <w:pPr>
              <w:pStyle w:val="Compact"/>
              <w:spacing w:after="40" w:before="40"/>
              <w:jc w:val="left"/>
            </w:pPr>
            <w:r>
              <w:rPr>
                <w:rFonts w:ascii="Tahoma" w:hAnsi="Tahoma"/>
                <w:sz w:val="22"/>
              </w:rPr>
              <w:t xml:space="preserve">Non-business</w:t>
            </w:r>
          </w:p>
        </w:tc>
        <w:tc>
          <w:tcPr>
            <w:tcW w:w="3424" w:type="dxa"/>
            <w:shd w:val="clear" w:color="auto" w:fill="EAF3FA"/>
          </w:tcPr>
          <w:p>
            <w:pPr>
              <w:pStyle w:val="Compact"/>
              <w:spacing w:after="40" w:before="40"/>
              <w:jc w:val="left"/>
            </w:pPr>
            <w:r>
              <w:rPr>
                <w:rFonts w:ascii="Tahoma" w:hAnsi="Tahoma"/>
                <w:sz w:val="22"/>
              </w:rPr>
              <w:t xml:space="preserve">Freely given, so no supply</w:t>
            </w:r>
          </w:p>
        </w:tc>
      </w:tr>
      <w:tr>
        <w:trPr>
          <w:cantSplit w:val="true"/>
        </w:trPr>
        <w:tc>
          <w:tcPr>
            <w:tcW w:w="3421" w:type="dxa"/>
            <w:shd w:val="clear" w:color="auto" w:fill="FFFFFF"/>
          </w:tcPr>
          <w:p>
            <w:pPr>
              <w:pStyle w:val="Compact"/>
              <w:spacing w:after="40" w:before="40"/>
              <w:jc w:val="left"/>
            </w:pPr>
            <w:r>
              <w:rPr>
                <w:rFonts w:ascii="Tahoma" w:hAnsi="Tahoma"/>
                <w:sz w:val="22"/>
              </w:rPr>
              <w:t xml:space="preserve">A funder pays for research and owns the results</w:t>
            </w:r>
          </w:p>
        </w:tc>
        <w:tc>
          <w:tcPr>
            <w:tcW w:w="2180" w:type="dxa"/>
            <w:shd w:val="clear" w:color="auto" w:fill="FFFFFF"/>
          </w:tcPr>
          <w:p>
            <w:pPr>
              <w:pStyle w:val="Compact"/>
              <w:spacing w:after="40" w:before="40"/>
              <w:jc w:val="left"/>
            </w:pPr>
            <w:r>
              <w:rPr>
                <w:rFonts w:ascii="Tahoma" w:hAnsi="Tahoma"/>
                <w:sz w:val="22"/>
              </w:rPr>
              <w:t xml:space="preserve">Business, usually</w:t>
            </w:r>
          </w:p>
        </w:tc>
        <w:tc>
          <w:tcPr>
            <w:tcW w:w="3424" w:type="dxa"/>
            <w:shd w:val="clear" w:color="auto" w:fill="FFFFFF"/>
          </w:tcPr>
          <w:p>
            <w:pPr>
              <w:pStyle w:val="Compact"/>
              <w:spacing w:after="40" w:before="40"/>
              <w:jc w:val="left"/>
            </w:pPr>
            <w:r>
              <w:rPr>
                <w:rFonts w:ascii="Tahoma" w:hAnsi="Tahoma"/>
                <w:sz w:val="22"/>
              </w:rPr>
              <w:t xml:space="preserve">The grant is consideration for the research</w:t>
            </w:r>
          </w:p>
        </w:tc>
      </w:tr>
      <w:tr>
        <w:trPr>
          <w:cantSplit w:val="true"/>
        </w:trPr>
        <w:tc>
          <w:tcPr>
            <w:tcW w:w="3421" w:type="dxa"/>
            <w:shd w:val="clear" w:color="auto" w:fill="FBEAF1"/>
          </w:tcPr>
          <w:p>
            <w:pPr>
              <w:pStyle w:val="Compact"/>
              <w:spacing w:after="40" w:before="40"/>
              <w:jc w:val="left"/>
            </w:pPr>
            <w:r>
              <w:rPr>
                <w:rFonts w:ascii="Tahoma" w:hAnsi="Tahoma"/>
                <w:sz w:val="22"/>
              </w:rPr>
              <w:t xml:space="preserve">A department charges a fee for a regulatory certificate</w:t>
            </w:r>
          </w:p>
        </w:tc>
        <w:tc>
          <w:tcPr>
            <w:tcW w:w="2180" w:type="dxa"/>
            <w:shd w:val="clear" w:color="auto" w:fill="FBEAF1"/>
          </w:tcPr>
          <w:p>
            <w:pPr>
              <w:pStyle w:val="Compact"/>
              <w:spacing w:after="40" w:before="40"/>
              <w:jc w:val="left"/>
            </w:pPr>
            <w:r>
              <w:rPr>
                <w:rFonts w:ascii="Tahoma" w:hAnsi="Tahoma"/>
                <w:sz w:val="22"/>
              </w:rPr>
              <w:t xml:space="preserve">Non-business, usually</w:t>
            </w:r>
          </w:p>
        </w:tc>
        <w:tc>
          <w:tcPr>
            <w:tcW w:w="3424" w:type="dxa"/>
            <w:shd w:val="clear" w:color="auto" w:fill="FBEAF1"/>
          </w:tcPr>
          <w:p>
            <w:pPr>
              <w:pStyle w:val="Compact"/>
              <w:spacing w:after="40" w:before="40"/>
              <w:jc w:val="left"/>
            </w:pPr>
            <w:r>
              <w:rPr>
                <w:rFonts w:ascii="Tahoma" w:hAnsi="Tahoma"/>
                <w:sz w:val="22"/>
              </w:rPr>
              <w:t xml:space="preserve">HMRC treats it as a transaction by a public authority</w:t>
            </w:r>
          </w:p>
        </w:tc>
      </w:tr>
    </w:tbl>
    <w:bookmarkEnd w:id="77"/>
    <w:bookmarkEnd w:id="78"/>
    <w:bookmarkStart w:id="85" w:name="Xb0faa1f54608a0b7b6af47e7c19c054193ce7e3"/>
    <w:p>
      <w:pPr>
        <w:pStyle w:val="Heading3"/>
      </w:pPr>
      <w:r>
        <w:t xml:space="preserve">Public bodies: section 41A and the</w:t>
      </w:r>
      <w:r>
        <w:t xml:space="preserve"> </w:t>
      </w:r>
      <w:r>
        <w:t xml:space="preserve">“</w:t>
      </w:r>
      <w:r>
        <w:t xml:space="preserve">public authority</w:t>
      </w:r>
      <w:r>
        <w:t xml:space="preserve">”</w:t>
      </w:r>
      <w:r>
        <w:t xml:space="preserve"> </w:t>
      </w:r>
      <w:r>
        <w:t xml:space="preserve">rule</w:t>
      </w:r>
    </w:p>
    <w:p>
      <w:pPr>
        <w:pStyle w:val="FirstParagraph"/>
      </w:pPr>
      <w:r>
        <w:t xml:space="preserve">Public bodies have one extra layer. Even when an activity passes the normal business test, section 41A of the Value Added Tax Act 1994 can take it outside the scope of VAT</w:t>
      </w:r>
      <w:r>
        <w:t xml:space="preserve"> </w:t>
      </w:r>
      <w:r>
        <w:t xml:space="preserve">(</w:t>
      </w:r>
      <w:hyperlink w:anchor="ref-hmrc_vatgpb">
        <w:r>
          <w:rPr>
            <w:rStyle w:val="Hyperlink"/>
          </w:rPr>
          <w:t xml:space="preserve">HMRC, 2026n, sec. VATGPB3100</w:t>
        </w:r>
      </w:hyperlink>
      <w:r>
        <w:t xml:space="preserve">)</w:t>
      </w:r>
      <w:r>
        <w:t xml:space="preserve">.</w:t>
      </w:r>
    </w:p>
    <w:bookmarkStart w:id="79" w:name="what-section-41a-says-in-plain-terms"/>
    <w:p>
      <w:pPr>
        <w:pStyle w:val="Heading4"/>
      </w:pPr>
      <w:r>
        <w:t xml:space="preserve">What section 41A says, in plain terms</w:t>
      </w:r>
    </w:p>
    <w:p>
      <w:pPr>
        <w:pStyle w:val="FirstParagraph"/>
      </w:pPr>
      <w:r>
        <w:t xml:space="preserve">Section 41A was inserted with effect from 17 July 2012 (Finance Act 2012, s. 198(3)). It was originally derived from article 13(1) of the EU VAT Directive</w:t>
      </w:r>
      <w:r>
        <w:t xml:space="preserve"> </w:t>
      </w:r>
      <w:r>
        <w:t xml:space="preserve">(</w:t>
      </w:r>
      <w:hyperlink w:anchor="ref-hmrc_vatgpb">
        <w:r>
          <w:rPr>
            <w:rStyle w:val="Hyperlink"/>
          </w:rPr>
          <w:t xml:space="preserve">HMRC, 2026n, sec. VATGPB2200</w:t>
        </w:r>
      </w:hyperlink>
      <w:r>
        <w:t xml:space="preserve">)</w:t>
      </w:r>
      <w:r>
        <w:t xml:space="preserve">.</w:t>
      </w:r>
    </w:p>
    <w:p>
      <w:pPr>
        <w:pStyle w:val="Compact"/>
        <w:numPr>
          <w:ilvl w:val="0"/>
          <w:numId w:val="1088"/>
        </w:numPr>
      </w:pPr>
      <w:r>
        <w:rPr>
          <w:b/>
          <w:bCs/>
        </w:rPr>
        <w:t xml:space="preserve">Subsection (1)</w:t>
      </w:r>
      <w:r>
        <w:t xml:space="preserve"> </w:t>
      </w:r>
      <w:r>
        <w:t xml:space="preserve">applies where a</w:t>
      </w:r>
      <w:r>
        <w:t xml:space="preserve"> </w:t>
      </w:r>
      <w:r>
        <w:t xml:space="preserve">“</w:t>
      </w:r>
      <w:r>
        <w:t xml:space="preserve">public authority</w:t>
      </w:r>
      <w:r>
        <w:t xml:space="preserve">”</w:t>
      </w:r>
      <w:r>
        <w:t xml:space="preserve"> </w:t>
      </w:r>
      <w:r>
        <w:t xml:space="preserve">supplies goods or services</w:t>
      </w:r>
      <w:r>
        <w:t xml:space="preserve"> </w:t>
      </w:r>
      <w:r>
        <w:t xml:space="preserve">“</w:t>
      </w:r>
      <w:r>
        <w:t xml:space="preserve">in the course of activities or transactions in which it is engaged as a public authority</w:t>
      </w:r>
      <w:r>
        <w:t xml:space="preserve">”</w:t>
      </w:r>
      <w:r>
        <w:t xml:space="preserve"> </w:t>
      </w:r>
      <w:r>
        <w:t xml:space="preserve">(Value Added Tax Act 1994, s. 41A(1)).</w:t>
      </w:r>
    </w:p>
    <w:p>
      <w:pPr>
        <w:pStyle w:val="Compact"/>
        <w:numPr>
          <w:ilvl w:val="0"/>
          <w:numId w:val="1088"/>
        </w:numPr>
      </w:pPr>
      <w:r>
        <w:rPr>
          <w:b/>
          <w:bCs/>
        </w:rPr>
        <w:t xml:space="preserve">Subsection (2)</w:t>
      </w:r>
      <w:r>
        <w:t xml:space="preserve"> </w:t>
      </w:r>
      <w:r>
        <w:t xml:space="preserve">treats the supply as business if it is in respect of one of 13 listed activities, unless the scale is negligible (Value Added Tax Act 1994, s. 41A(2)).</w:t>
      </w:r>
    </w:p>
    <w:p>
      <w:pPr>
        <w:pStyle w:val="Compact"/>
        <w:numPr>
          <w:ilvl w:val="0"/>
          <w:numId w:val="1088"/>
        </w:numPr>
      </w:pPr>
      <w:r>
        <w:rPr>
          <w:b/>
          <w:bCs/>
        </w:rPr>
        <w:t xml:space="preserve">Subsection (3)</w:t>
      </w:r>
      <w:r>
        <w:t xml:space="preserve"> </w:t>
      </w:r>
      <w:r>
        <w:t xml:space="preserve">treats any other such supply as business</w:t>
      </w:r>
      <w:r>
        <w:t xml:space="preserve"> </w:t>
      </w:r>
      <w:r>
        <w:t xml:space="preserve">“</w:t>
      </w:r>
      <w:r>
        <w:t xml:space="preserve">if (and only if) not charging VAT on the supply would lead to a significant distortion of competition</w:t>
      </w:r>
      <w:r>
        <w:t xml:space="preserve">”</w:t>
      </w:r>
      <w:r>
        <w:t xml:space="preserve"> </w:t>
      </w:r>
      <w:r>
        <w:t xml:space="preserve">(Value Added Tax Act 1994, s. 41A(3)).</w:t>
      </w:r>
    </w:p>
    <w:p>
      <w:pPr>
        <w:pStyle w:val="Compact"/>
        <w:numPr>
          <w:ilvl w:val="0"/>
          <w:numId w:val="1088"/>
        </w:numPr>
      </w:pPr>
      <w:r>
        <w:rPr>
          <w:b/>
          <w:bCs/>
        </w:rPr>
        <w:t xml:space="preserve">Otherwise, the supply is non-business</w:t>
      </w:r>
      <w:r>
        <w:t xml:space="preserve"> </w:t>
      </w:r>
      <w:r>
        <w:t xml:space="preserve">(</w:t>
      </w:r>
      <w:hyperlink w:anchor="ref-hmrc_vatgpb">
        <w:r>
          <w:rPr>
            <w:rStyle w:val="Hyperlink"/>
          </w:rPr>
          <w:t xml:space="preserve">HMRC, 2026n</w:t>
        </w:r>
      </w:hyperlink>
      <w:r>
        <w:t xml:space="preserve">, secs. VATGPB2100 and VATGPB2200)</w:t>
      </w:r>
      <w:r>
        <w:t xml:space="preserve">.</w:t>
      </w:r>
    </w:p>
    <w:p>
      <w:pPr>
        <w:pStyle w:val="FirstParagraph"/>
      </w:pPr>
      <w:r>
        <w:rPr>
          <w:b/>
          <w:bCs/>
        </w:rPr>
        <w:t xml:space="preserve">Who counts as a public body?</w:t>
      </w:r>
      <w:r>
        <w:t xml:space="preserve"> </w:t>
      </w:r>
      <w:r>
        <w:t xml:space="preserve">Only bodies that are part of the UK’s public administration, such as a government department, a local authority or a non-departmental public body. Being publicly funded or regulated is not enough</w:t>
      </w:r>
      <w:r>
        <w:t xml:space="preserve"> </w:t>
      </w:r>
      <w:r>
        <w:t xml:space="preserve">(</w:t>
      </w:r>
      <w:hyperlink w:anchor="ref-hmrc_vatgpb">
        <w:r>
          <w:rPr>
            <w:rStyle w:val="Hyperlink"/>
          </w:rPr>
          <w:t xml:space="preserve">HMRC, 2026n, sec. VATGPB2320</w:t>
        </w:r>
      </w:hyperlink>
      <w:r>
        <w:t xml:space="preserve">)</w:t>
      </w:r>
      <w:r>
        <w:t xml:space="preserve">.</w:t>
      </w:r>
    </w:p>
    <w:p>
      <w:pPr>
        <w:pStyle w:val="BodyText"/>
      </w:pPr>
      <w:r>
        <w:rPr>
          <w:b/>
          <w:bCs/>
        </w:rPr>
        <w:t xml:space="preserve">The order of questions.</w:t>
      </w:r>
      <w:r>
        <w:t xml:space="preserve"> </w:t>
      </w:r>
      <w:r>
        <w:t xml:space="preserve">Section 41A only matters for an activity that would otherwise be within the scope of VAT. If the activity is already non-business under the normal test,</w:t>
      </w:r>
      <w:r>
        <w:t xml:space="preserve"> </w:t>
      </w:r>
      <w:r>
        <w:t xml:space="preserve">“</w:t>
      </w:r>
      <w:r>
        <w:t xml:space="preserve">there is no need to consider S41A</w:t>
      </w:r>
      <w:r>
        <w:t xml:space="preserve">”</w:t>
      </w:r>
      <w:r>
        <w:t xml:space="preserve"> </w:t>
      </w:r>
      <w:r>
        <w:t xml:space="preserve">(</w:t>
      </w:r>
      <w:hyperlink w:anchor="ref-hmrc_vatgpb">
        <w:r>
          <w:rPr>
            <w:rStyle w:val="Hyperlink"/>
          </w:rPr>
          <w:t xml:space="preserve">HMRC, 2026n, sec. VATGPB3210</w:t>
        </w:r>
      </w:hyperlink>
      <w:r>
        <w:t xml:space="preserve">)</w:t>
      </w:r>
      <w:r>
        <w:t xml:space="preserve">.</w:t>
      </w:r>
    </w:p>
    <w:bookmarkEnd w:id="79"/>
    <w:bookmarkStart w:id="80" w:name="what-engaged-as-a-public-authority-means"/>
    <w:p>
      <w:pPr>
        <w:pStyle w:val="Heading4"/>
      </w:pPr>
      <w:r>
        <w:t xml:space="preserve">What</w:t>
      </w:r>
      <w:r>
        <w:t xml:space="preserve"> </w:t>
      </w:r>
      <w:r>
        <w:t xml:space="preserve">“</w:t>
      </w:r>
      <w:r>
        <w:t xml:space="preserve">engaged as a public authority</w:t>
      </w:r>
      <w:r>
        <w:t xml:space="preserve">”</w:t>
      </w:r>
      <w:r>
        <w:t xml:space="preserve"> </w:t>
      </w:r>
      <w:r>
        <w:t xml:space="preserve">means</w:t>
      </w:r>
    </w:p>
    <w:p>
      <w:pPr>
        <w:pStyle w:val="FirstParagraph"/>
      </w:pPr>
      <w:r>
        <w:t xml:space="preserve">A public body is</w:t>
      </w:r>
      <w:r>
        <w:t xml:space="preserve"> </w:t>
      </w:r>
      <w:r>
        <w:t xml:space="preserve">“</w:t>
      </w:r>
      <w:r>
        <w:t xml:space="preserve">engaged as a public authority</w:t>
      </w:r>
      <w:r>
        <w:t xml:space="preserve">”</w:t>
      </w:r>
      <w:r>
        <w:t xml:space="preserve"> </w:t>
      </w:r>
      <w:r>
        <w:t xml:space="preserve">only when it acts under a</w:t>
      </w:r>
      <w:r>
        <w:t xml:space="preserve"> </w:t>
      </w:r>
      <w:r>
        <w:rPr>
          <w:b/>
          <w:bCs/>
        </w:rPr>
        <w:t xml:space="preserve">special legal regime</w:t>
      </w:r>
      <w:r>
        <w:t xml:space="preserve">: rules of law that apply to it and not to private operators</w:t>
      </w:r>
      <w:r>
        <w:t xml:space="preserve"> </w:t>
      </w:r>
      <w:r>
        <w:t xml:space="preserve">(</w:t>
      </w:r>
      <w:hyperlink w:anchor="ref-hmrc_vatgpb">
        <w:r>
          <w:rPr>
            <w:rStyle w:val="Hyperlink"/>
          </w:rPr>
          <w:t xml:space="preserve">HMRC, 2026n</w:t>
        </w:r>
      </w:hyperlink>
      <w:r>
        <w:t xml:space="preserve">, secs. VATGPB2310 and VATGPB3220)</w:t>
      </w:r>
      <w:r>
        <w:t xml:space="preserve">.</w:t>
      </w:r>
    </w:p>
    <w:p>
      <w:pPr>
        <w:pStyle w:val="BodyText"/>
      </w:pPr>
      <w:r>
        <w:t xml:space="preserve">HMRC calls</w:t>
      </w:r>
      <w:r>
        <w:t xml:space="preserve"> </w:t>
      </w:r>
      <w:r>
        <w:rPr>
          <w:i/>
          <w:iCs/>
        </w:rPr>
        <w:t xml:space="preserve">Northumbria Healthcare NHS Foundation Trust v Commissioners for His Majesty’s Revenue and Customs</w:t>
      </w:r>
      <w:r>
        <w:t xml:space="preserve"> </w:t>
      </w:r>
      <w:r>
        <w:t xml:space="preserve">[2025] UKSC 37</w:t>
      </w:r>
      <w:r>
        <w:t xml:space="preserve"> </w:t>
      </w:r>
      <w:r>
        <w:t xml:space="preserve">“</w:t>
      </w:r>
      <w:r>
        <w:t xml:space="preserve">the authoritative case</w:t>
      </w:r>
      <w:r>
        <w:t xml:space="preserve">”</w:t>
      </w:r>
      <w:r>
        <w:t xml:space="preserve"> </w:t>
      </w:r>
      <w:r>
        <w:t xml:space="preserve">on this</w:t>
      </w:r>
      <w:r>
        <w:t xml:space="preserve"> </w:t>
      </w:r>
      <w:r>
        <w:t xml:space="preserve">(</w:t>
      </w:r>
      <w:hyperlink w:anchor="ref-hmrc_vatgpb">
        <w:r>
          <w:rPr>
            <w:rStyle w:val="Hyperlink"/>
          </w:rPr>
          <w:t xml:space="preserve">HMRC, 2026n, sec. VATGPB3210</w:t>
        </w:r>
      </w:hyperlink>
      <w:r>
        <w:t xml:space="preserve">)</w:t>
      </w:r>
      <w:r>
        <w:t xml:space="preserve">.</w:t>
      </w:r>
    </w:p>
    <w:p>
      <w:pPr>
        <w:pStyle w:val="Compact"/>
        <w:numPr>
          <w:ilvl w:val="0"/>
          <w:numId w:val="1089"/>
        </w:numPr>
      </w:pPr>
      <w:r>
        <w:t xml:space="preserve">An NHS trust argued that its hospital car parking was outside the scope of VAT because it had to follow NHS and Department of Health guidance on parking (paras. 1, 4 and 5).</w:t>
      </w:r>
    </w:p>
    <w:p>
      <w:pPr>
        <w:pStyle w:val="Compact"/>
        <w:numPr>
          <w:ilvl w:val="0"/>
          <w:numId w:val="1089"/>
        </w:numPr>
      </w:pPr>
      <w:r>
        <w:t xml:space="preserve">The Supreme Court allowed HMRC’s appeal (paras. 90 and 134). A general duty to follow guidance did not create a special legal regime (paras. 79 to 89).</w:t>
      </w:r>
    </w:p>
    <w:p>
      <w:pPr>
        <w:pStyle w:val="Compact"/>
        <w:numPr>
          <w:ilvl w:val="0"/>
          <w:numId w:val="1089"/>
        </w:numPr>
      </w:pPr>
      <w:r>
        <w:t xml:space="preserve">It added that</w:t>
      </w:r>
      <w:r>
        <w:t xml:space="preserve"> </w:t>
      </w:r>
      <w:r>
        <w:t xml:space="preserve">“</w:t>
      </w:r>
      <w:r>
        <w:t xml:space="preserve">the mere existence of a general statutory power enabling the activity to be performed is not enough</w:t>
      </w:r>
      <w:r>
        <w:t xml:space="preserve">”</w:t>
      </w:r>
      <w:r>
        <w:t xml:space="preserve"> </w:t>
      </w:r>
      <w:r>
        <w:t xml:space="preserve">(para. 86).</w:t>
      </w:r>
    </w:p>
    <w:p>
      <w:pPr>
        <w:pStyle w:val="FirstParagraph"/>
      </w:pPr>
      <w:r>
        <w:t xml:space="preserve">HMRC summarises the test from that case</w:t>
      </w:r>
      <w:r>
        <w:t xml:space="preserve"> </w:t>
      </w:r>
      <w:r>
        <w:t xml:space="preserve">(</w:t>
      </w:r>
      <w:hyperlink w:anchor="ref-hmrc_vatgpb">
        <w:r>
          <w:rPr>
            <w:rStyle w:val="Hyperlink"/>
          </w:rPr>
          <w:t xml:space="preserve">HMRC, 2026n, sec. VATGPB3220</w:t>
        </w:r>
      </w:hyperlink>
      <w:r>
        <w:t xml:space="preserve">)</w:t>
      </w:r>
      <w:r>
        <w:t xml:space="preserve">:</w:t>
      </w:r>
    </w:p>
    <w:p>
      <w:pPr>
        <w:pStyle w:val="Compact"/>
        <w:numPr>
          <w:ilvl w:val="0"/>
          <w:numId w:val="1090"/>
        </w:numPr>
      </w:pPr>
      <w:r>
        <w:t xml:space="preserve">There must be</w:t>
      </w:r>
      <w:r>
        <w:t xml:space="preserve"> </w:t>
      </w:r>
      <w:r>
        <w:rPr>
          <w:b/>
          <w:bCs/>
        </w:rPr>
        <w:t xml:space="preserve">a legal obligation in national law</w:t>
      </w:r>
      <w:r>
        <w:t xml:space="preserve"> </w:t>
      </w:r>
      <w:r>
        <w:t xml:space="preserve">that governs or materially affects how the activity is carried out, so it is constrained differently from how a private operator would carry it on.</w:t>
      </w:r>
    </w:p>
    <w:p>
      <w:pPr>
        <w:pStyle w:val="Compact"/>
        <w:numPr>
          <w:ilvl w:val="0"/>
          <w:numId w:val="1090"/>
        </w:numPr>
      </w:pPr>
      <w:r>
        <w:t xml:space="preserve">That law must have</w:t>
      </w:r>
      <w:r>
        <w:t xml:space="preserve"> </w:t>
      </w:r>
      <w:r>
        <w:rPr>
          <w:b/>
          <w:bCs/>
        </w:rPr>
        <w:t xml:space="preserve">legal certainty</w:t>
      </w:r>
      <w:r>
        <w:t xml:space="preserve">. Acts and statutory instruments can do this. Guidance usually cannot.</w:t>
      </w:r>
    </w:p>
    <w:p>
      <w:pPr>
        <w:pStyle w:val="Compact"/>
        <w:numPr>
          <w:ilvl w:val="0"/>
          <w:numId w:val="1090"/>
        </w:numPr>
      </w:pPr>
      <w:r>
        <w:t xml:space="preserve">It is</w:t>
      </w:r>
      <w:r>
        <w:t xml:space="preserve"> </w:t>
      </w:r>
      <w:r>
        <w:t xml:space="preserve">“</w:t>
      </w:r>
      <w:r>
        <w:t xml:space="preserve">not sufficient</w:t>
      </w:r>
      <w:r>
        <w:t xml:space="preserve">”</w:t>
      </w:r>
      <w:r>
        <w:t xml:space="preserve"> </w:t>
      </w:r>
      <w:r>
        <w:t xml:space="preserve">that the body works within a wider framework of legal duties.</w:t>
      </w:r>
    </w:p>
    <w:p>
      <w:pPr>
        <w:pStyle w:val="Compact"/>
        <w:numPr>
          <w:ilvl w:val="0"/>
          <w:numId w:val="1090"/>
        </w:numPr>
      </w:pPr>
      <w:r>
        <w:t xml:space="preserve">The public body must identify the exact legislation it relies on.</w:t>
      </w:r>
    </w:p>
    <w:p>
      <w:pPr>
        <w:pStyle w:val="FirstParagraph"/>
      </w:pPr>
      <w:r>
        <w:t xml:space="preserve">The Supreme Court gave examples of what the rule is for: fees for applying for</w:t>
      </w:r>
      <w:r>
        <w:t xml:space="preserve"> </w:t>
      </w:r>
      <w:r>
        <w:t xml:space="preserve">“</w:t>
      </w:r>
      <w:r>
        <w:t xml:space="preserve">a passport, a driving licence, or court fees</w:t>
      </w:r>
      <w:r>
        <w:t xml:space="preserve">”</w:t>
      </w:r>
      <w:r>
        <w:t xml:space="preserve">. Quoting the Court of Justice of the European Union, it said the rule covers activities</w:t>
      </w:r>
      <w:r>
        <w:t xml:space="preserve"> </w:t>
      </w:r>
      <w:r>
        <w:t xml:space="preserve">“</w:t>
      </w:r>
      <w:r>
        <w:t xml:space="preserve">closely linked to the exercise of rights and powers of public authority</w:t>
      </w:r>
      <w:r>
        <w:t xml:space="preserve">”</w:t>
      </w:r>
      <w:r>
        <w:t xml:space="preserve"> </w:t>
      </w:r>
      <w:r>
        <w:t xml:space="preserve">that are</w:t>
      </w:r>
      <w:r>
        <w:t xml:space="preserve"> </w:t>
      </w:r>
      <w:r>
        <w:t xml:space="preserve">“</w:t>
      </w:r>
      <w:r>
        <w:t xml:space="preserve">generally engaged in exclusively, or almost exclusively, by the public sector</w:t>
      </w:r>
      <w:r>
        <w:t xml:space="preserve">”</w:t>
      </w:r>
      <w:r>
        <w:t xml:space="preserve"> </w:t>
      </w:r>
      <w:r>
        <w:t xml:space="preserve">(</w:t>
      </w:r>
      <w:r>
        <w:rPr>
          <w:i/>
          <w:iCs/>
        </w:rPr>
        <w:t xml:space="preserve">Northumbria Healthcare</w:t>
      </w:r>
      <w:r>
        <w:t xml:space="preserve">, para. 51).</w:t>
      </w:r>
    </w:p>
    <w:p>
      <w:pPr>
        <w:pStyle w:val="BodyText"/>
      </w:pPr>
      <w:r>
        <w:rPr>
          <w:b/>
          <w:bCs/>
        </w:rPr>
        <w:t xml:space="preserve">A charge can still be non-business.</w:t>
      </w:r>
      <w:r>
        <w:t xml:space="preserve"> </w:t>
      </w:r>
      <w:r>
        <w:t xml:space="preserve">HMRC’s example is welfare services that the law requires a body to provide, while allowing a charge towards the cost</w:t>
      </w:r>
      <w:r>
        <w:t xml:space="preserve"> </w:t>
      </w:r>
      <w:r>
        <w:t xml:space="preserve">(</w:t>
      </w:r>
      <w:hyperlink w:anchor="ref-hmrc_vatgpb">
        <w:r>
          <w:rPr>
            <w:rStyle w:val="Hyperlink"/>
          </w:rPr>
          <w:t xml:space="preserve">HMRC, 2026n, sec. VATGPB3310</w:t>
        </w:r>
      </w:hyperlink>
      <w:r>
        <w:t xml:space="preserve">)</w:t>
      </w:r>
      <w:r>
        <w:t xml:space="preserve">.</w:t>
      </w:r>
    </w:p>
    <w:bookmarkEnd w:id="80"/>
    <w:bookmarkStart w:id="81" w:name="X585f655d513b4f945946c2313062b03a170fe81"/>
    <w:p>
      <w:pPr>
        <w:pStyle w:val="Heading4"/>
      </w:pPr>
      <w:r>
        <w:t xml:space="preserve">The significant distortion of competition test</w:t>
      </w:r>
    </w:p>
    <w:p>
      <w:pPr>
        <w:pStyle w:val="FirstParagraph"/>
      </w:pPr>
      <w:r>
        <w:t xml:space="preserve">VAT is charged on public bodies’ economic activities mainly so that they do not gain a competitive advantage over private businesses that must charge VAT (</w:t>
      </w:r>
      <w:r>
        <w:rPr>
          <w:i/>
          <w:iCs/>
        </w:rPr>
        <w:t xml:space="preserve">Northumbria Healthcare</w:t>
      </w:r>
      <w:r>
        <w:t xml:space="preserve">, para. 7). This test only arises if the activity passes the normal business test and is carried on under a special legal regime</w:t>
      </w:r>
      <w:r>
        <w:t xml:space="preserve"> </w:t>
      </w:r>
      <w:r>
        <w:t xml:space="preserve">(</w:t>
      </w:r>
      <w:hyperlink w:anchor="ref-hmrc_vatgpb">
        <w:r>
          <w:rPr>
            <w:rStyle w:val="Hyperlink"/>
          </w:rPr>
          <w:t xml:space="preserve">HMRC, 2026n, sec. VATGPB3310</w:t>
        </w:r>
      </w:hyperlink>
      <w:r>
        <w:t xml:space="preserve">)</w:t>
      </w:r>
      <w:r>
        <w:t xml:space="preserve">. HMRC’s principles from</w:t>
      </w:r>
      <w:r>
        <w:t xml:space="preserve"> </w:t>
      </w:r>
      <w:r>
        <w:rPr>
          <w:i/>
          <w:iCs/>
        </w:rPr>
        <w:t xml:space="preserve">Northumbria Healthcare</w:t>
      </w:r>
      <w:r>
        <w:t xml:space="preserve"> </w:t>
      </w:r>
      <w:r>
        <w:t xml:space="preserve">are</w:t>
      </w:r>
      <w:r>
        <w:t xml:space="preserve"> </w:t>
      </w:r>
      <w:r>
        <w:t xml:space="preserve">(</w:t>
      </w:r>
      <w:hyperlink w:anchor="ref-hmrc_vatgpb">
        <w:r>
          <w:rPr>
            <w:rStyle w:val="Hyperlink"/>
          </w:rPr>
          <w:t xml:space="preserve">HMRC, 2026n</w:t>
        </w:r>
      </w:hyperlink>
      <w:r>
        <w:t xml:space="preserve">, secs. VATGPB3320 and VATGPB3330)</w:t>
      </w:r>
      <w:r>
        <w:t xml:space="preserve">:</w:t>
      </w:r>
    </w:p>
    <w:p>
      <w:pPr>
        <w:pStyle w:val="Compact"/>
        <w:numPr>
          <w:ilvl w:val="0"/>
          <w:numId w:val="1091"/>
        </w:numPr>
      </w:pPr>
      <w:r>
        <w:rPr>
          <w:b/>
          <w:bCs/>
        </w:rPr>
        <w:t xml:space="preserve">National, not local.</w:t>
      </w:r>
      <w:r>
        <w:t xml:space="preserve"> </w:t>
      </w:r>
      <w:r>
        <w:t xml:space="preserve">Look at the activity across the UK, not at one local market.</w:t>
      </w:r>
    </w:p>
    <w:p>
      <w:pPr>
        <w:pStyle w:val="Compact"/>
        <w:numPr>
          <w:ilvl w:val="0"/>
          <w:numId w:val="1091"/>
        </w:numPr>
      </w:pPr>
      <w:r>
        <w:rPr>
          <w:b/>
          <w:bCs/>
        </w:rPr>
        <w:t xml:space="preserve">Actual and potential competition.</w:t>
      </w:r>
      <w:r>
        <w:t xml:space="preserve"> </w:t>
      </w:r>
      <w:r>
        <w:t xml:space="preserve">Count real possible competitors, but not</w:t>
      </w:r>
      <w:r>
        <w:t xml:space="preserve"> </w:t>
      </w:r>
      <w:r>
        <w:t xml:space="preserve">“</w:t>
      </w:r>
      <w:r>
        <w:t xml:space="preserve">purely theoretical</w:t>
      </w:r>
      <w:r>
        <w:t xml:space="preserve">”</w:t>
      </w:r>
      <w:r>
        <w:t xml:space="preserve"> </w:t>
      </w:r>
      <w:r>
        <w:t xml:space="preserve">ones.</w:t>
      </w:r>
    </w:p>
    <w:p>
      <w:pPr>
        <w:pStyle w:val="Compact"/>
        <w:numPr>
          <w:ilvl w:val="0"/>
          <w:numId w:val="1091"/>
        </w:numPr>
      </w:pPr>
      <w:r>
        <w:rPr>
          <w:b/>
          <w:bCs/>
        </w:rPr>
        <w:t xml:space="preserve">“</w:t>
      </w:r>
      <w:r>
        <w:rPr>
          <w:b/>
          <w:bCs/>
        </w:rPr>
        <w:t xml:space="preserve">Significant</w:t>
      </w:r>
      <w:r>
        <w:rPr>
          <w:b/>
          <w:bCs/>
        </w:rPr>
        <w:t xml:space="preserve">”</w:t>
      </w:r>
      <w:r>
        <w:rPr>
          <w:b/>
          <w:bCs/>
        </w:rPr>
        <w:t xml:space="preserve"> </w:t>
      </w:r>
      <w:r>
        <w:rPr>
          <w:b/>
          <w:bCs/>
        </w:rPr>
        <w:t xml:space="preserve">means</w:t>
      </w:r>
      <w:r>
        <w:rPr>
          <w:b/>
          <w:bCs/>
        </w:rPr>
        <w:t xml:space="preserve"> </w:t>
      </w:r>
      <w:r>
        <w:rPr>
          <w:b/>
          <w:bCs/>
        </w:rPr>
        <w:t xml:space="preserve">“</w:t>
      </w:r>
      <w:r>
        <w:rPr>
          <w:b/>
          <w:bCs/>
        </w:rPr>
        <w:t xml:space="preserve">more than negligible</w:t>
      </w:r>
      <w:r>
        <w:rPr>
          <w:b/>
          <w:bCs/>
        </w:rPr>
        <w:t xml:space="preserve">”</w:t>
      </w:r>
      <w:r>
        <w:rPr>
          <w:b/>
          <w:bCs/>
        </w:rPr>
        <w:t xml:space="preserve">.</w:t>
      </w:r>
    </w:p>
    <w:p>
      <w:pPr>
        <w:pStyle w:val="Compact"/>
        <w:numPr>
          <w:ilvl w:val="0"/>
          <w:numId w:val="1091"/>
        </w:numPr>
      </w:pPr>
      <w:r>
        <w:rPr>
          <w:b/>
          <w:bCs/>
        </w:rPr>
        <w:t xml:space="preserve">Burden of proof.</w:t>
      </w:r>
      <w:r>
        <w:t xml:space="preserve"> </w:t>
      </w:r>
      <w:r>
        <w:t xml:space="preserve">HMRC must show the distortion, but it can rely on common sense, for example that consumers prefer the cheaper of two like-for-like services.</w:t>
      </w:r>
    </w:p>
    <w:bookmarkEnd w:id="81"/>
    <w:bookmarkStart w:id="82" w:name="X5af12fa36fa273a4ccb4e337cad4bf0f711409e"/>
    <w:p>
      <w:pPr>
        <w:pStyle w:val="Heading4"/>
      </w:pPr>
      <w:r>
        <w:t xml:space="preserve">The activities that are always business unless negligible</w:t>
      </w:r>
    </w:p>
    <w:p>
      <w:pPr>
        <w:pStyle w:val="FirstParagraph"/>
      </w:pPr>
      <w:r>
        <w:t xml:space="preserve">Section 41A(2) lists 13 activities. Seven of them, in the Act’s words, are (Value Added Tax Act 1994, s. 41A(2)):</w:t>
      </w:r>
    </w:p>
    <w:p>
      <w:pPr>
        <w:pStyle w:val="Compact"/>
        <w:numPr>
          <w:ilvl w:val="0"/>
          <w:numId w:val="1092"/>
        </w:numPr>
      </w:pPr>
      <w:r>
        <w:t xml:space="preserve">“</w:t>
      </w:r>
      <w:r>
        <w:t xml:space="preserve">(c) transport of goods</w:t>
      </w:r>
      <w:r>
        <w:t xml:space="preserve">”</w:t>
      </w:r>
    </w:p>
    <w:p>
      <w:pPr>
        <w:pStyle w:val="Compact"/>
        <w:numPr>
          <w:ilvl w:val="0"/>
          <w:numId w:val="1092"/>
        </w:numPr>
      </w:pPr>
      <w:r>
        <w:t xml:space="preserve">“</w:t>
      </w:r>
      <w:r>
        <w:t xml:space="preserve">(e) passenger transport</w:t>
      </w:r>
      <w:r>
        <w:t xml:space="preserve">”</w:t>
      </w:r>
    </w:p>
    <w:p>
      <w:pPr>
        <w:pStyle w:val="Compact"/>
        <w:numPr>
          <w:ilvl w:val="0"/>
          <w:numId w:val="1092"/>
        </w:numPr>
      </w:pPr>
      <w:r>
        <w:t xml:space="preserve">“</w:t>
      </w:r>
      <w:r>
        <w:t xml:space="preserve">(f) supply of new goods manufactured for sale</w:t>
      </w:r>
      <w:r>
        <w:t xml:space="preserve">”</w:t>
      </w:r>
    </w:p>
    <w:p>
      <w:pPr>
        <w:pStyle w:val="Compact"/>
        <w:numPr>
          <w:ilvl w:val="0"/>
          <w:numId w:val="1092"/>
        </w:numPr>
      </w:pPr>
      <w:r>
        <w:t xml:space="preserve">“</w:t>
      </w:r>
      <w:r>
        <w:t xml:space="preserve">(h) organisation of trade fairs or exhibitions</w:t>
      </w:r>
      <w:r>
        <w:t xml:space="preserve">”</w:t>
      </w:r>
    </w:p>
    <w:p>
      <w:pPr>
        <w:pStyle w:val="Compact"/>
        <w:numPr>
          <w:ilvl w:val="0"/>
          <w:numId w:val="1092"/>
        </w:numPr>
      </w:pPr>
      <w:r>
        <w:t xml:space="preserve">“</w:t>
      </w:r>
      <w:r>
        <w:t xml:space="preserve">(i) warehousing</w:t>
      </w:r>
      <w:r>
        <w:t xml:space="preserve">”</w:t>
      </w:r>
    </w:p>
    <w:p>
      <w:pPr>
        <w:pStyle w:val="Compact"/>
        <w:numPr>
          <w:ilvl w:val="0"/>
          <w:numId w:val="1092"/>
        </w:numPr>
      </w:pPr>
      <w:r>
        <w:t xml:space="preserve">“</w:t>
      </w:r>
      <w:r>
        <w:t xml:space="preserve">(k) activities of travel agents</w:t>
      </w:r>
      <w:r>
        <w:t xml:space="preserve">”</w:t>
      </w:r>
    </w:p>
    <w:p>
      <w:pPr>
        <w:pStyle w:val="Compact"/>
        <w:numPr>
          <w:ilvl w:val="0"/>
          <w:numId w:val="1092"/>
        </w:numPr>
      </w:pPr>
      <w:r>
        <w:t xml:space="preserve">“</w:t>
      </w:r>
      <w:r>
        <w:t xml:space="preserve">(l) running of staff shops, cooperatives, industrial canteens, or similar institutions</w:t>
      </w:r>
      <w:r>
        <w:t xml:space="preserve">”</w:t>
      </w:r>
    </w:p>
    <w:p>
      <w:pPr>
        <w:pStyle w:val="FirstParagraph"/>
      </w:pPr>
      <w:r>
        <w:t xml:space="preserve">The others are telecommunications, water and energy supply, port or airport services, certain regulatory transactions in agricultural products, commercial publicity, and commercial radio and television (Value Added Tax Act 1994, s. 41A(2)).</w:t>
      </w:r>
    </w:p>
    <w:p>
      <w:pPr>
        <w:pStyle w:val="BodyText"/>
      </w:pPr>
      <w:r>
        <w:t xml:space="preserve">HMRC says the list has</w:t>
      </w:r>
      <w:r>
        <w:t xml:space="preserve"> </w:t>
      </w:r>
      <w:r>
        <w:t xml:space="preserve">“</w:t>
      </w:r>
      <w:r>
        <w:t xml:space="preserve">little practical effect</w:t>
      </w:r>
      <w:r>
        <w:t xml:space="preserve">”</w:t>
      </w:r>
      <w:r>
        <w:t xml:space="preserve"> </w:t>
      </w:r>
      <w:r>
        <w:t xml:space="preserve">because most public bodies no longer carry on these activities</w:t>
      </w:r>
      <w:r>
        <w:t xml:space="preserve"> </w:t>
      </w:r>
      <w:r>
        <w:t xml:space="preserve">(</w:t>
      </w:r>
      <w:hyperlink w:anchor="ref-hmrc_vatgpb">
        <w:r>
          <w:rPr>
            <w:rStyle w:val="Hyperlink"/>
          </w:rPr>
          <w:t xml:space="preserve">HMRC, 2026n, sec. VATGPB3400</w:t>
        </w:r>
      </w:hyperlink>
      <w:r>
        <w:t xml:space="preserve">)</w:t>
      </w:r>
      <w:r>
        <w:t xml:space="preserve">.</w:t>
      </w:r>
      <w:r>
        <w:t xml:space="preserve"> </w:t>
      </w:r>
      <w:r>
        <w:rPr>
          <w:b/>
          <w:bCs/>
        </w:rPr>
        <w:t xml:space="preserve">Watch the label:</w:t>
      </w:r>
      <w:r>
        <w:t xml:space="preserve"> </w:t>
      </w:r>
      <w:r>
        <w:t xml:space="preserve">that HMRC page is headed</w:t>
      </w:r>
      <w:r>
        <w:t xml:space="preserve"> </w:t>
      </w:r>
      <w:r>
        <w:t xml:space="preserve">“</w:t>
      </w:r>
      <w:r>
        <w:t xml:space="preserve">Section 41A (3)</w:t>
      </w:r>
      <w:r>
        <w:t xml:space="preserve">”</w:t>
      </w:r>
      <w:r>
        <w:t xml:space="preserve">, but the list is in section 41A(2) of the Act (Value Added Tax Act 1994, s. 41A(2)).</w:t>
      </w:r>
    </w:p>
    <w:bookmarkEnd w:id="82"/>
    <w:bookmarkStart w:id="83" w:name="hmrcs-flowchart-step-by-step"/>
    <w:p>
      <w:pPr>
        <w:pStyle w:val="Heading4"/>
      </w:pPr>
      <w:r>
        <w:t xml:space="preserve">HMRC’s flowchart, step by step</w:t>
      </w:r>
    </w:p>
    <w:p>
      <w:pPr>
        <w:pStyle w:val="FirstParagraph"/>
      </w:pPr>
      <w:r>
        <w:t xml:space="preserve">HMRC’s flowchart has eight steps</w:t>
      </w:r>
      <w:r>
        <w:t xml:space="preserve"> </w:t>
      </w:r>
      <w:r>
        <w:t xml:space="preserve">(</w:t>
      </w:r>
      <w:hyperlink w:anchor="ref-hmrc_vatgpb">
        <w:r>
          <w:rPr>
            <w:rStyle w:val="Hyperlink"/>
          </w:rPr>
          <w:t xml:space="preserve">HMRC, 2026n, sec. VATGPB3600</w:t>
        </w:r>
      </w:hyperlink>
      <w:r>
        <w:t xml:space="preserve">)</w:t>
      </w:r>
      <w:r>
        <w:t xml:space="preserve">:</w:t>
      </w:r>
    </w:p>
    <w:p>
      <w:pPr>
        <w:pStyle w:val="Compact"/>
        <w:numPr>
          <w:ilvl w:val="0"/>
          <w:numId w:val="1093"/>
        </w:numPr>
      </w:pPr>
      <w:r>
        <w:t xml:space="preserve">Is the supply from one government department to another? If no, go to step 3.</w:t>
      </w:r>
    </w:p>
    <w:p>
      <w:pPr>
        <w:pStyle w:val="Compact"/>
        <w:numPr>
          <w:ilvl w:val="0"/>
          <w:numId w:val="1093"/>
        </w:numPr>
      </w:pPr>
      <w:r>
        <w:t xml:space="preserve">If yes, is it in List 2 of the Treasury taxing direction? If yes, it is business. If no, go to step 3.</w:t>
      </w:r>
    </w:p>
    <w:p>
      <w:pPr>
        <w:pStyle w:val="Compact"/>
        <w:numPr>
          <w:ilvl w:val="0"/>
          <w:numId w:val="1093"/>
        </w:numPr>
      </w:pPr>
      <w:r>
        <w:t xml:space="preserve">Apply the normal business test. If the supply is non-business, stop.</w:t>
      </w:r>
    </w:p>
    <w:p>
      <w:pPr>
        <w:pStyle w:val="Compact"/>
        <w:numPr>
          <w:ilvl w:val="0"/>
          <w:numId w:val="1093"/>
        </w:numPr>
      </w:pPr>
      <w:r>
        <w:t xml:space="preserve">Is the supplier a body governed by public law? If no, it is business.</w:t>
      </w:r>
    </w:p>
    <w:p>
      <w:pPr>
        <w:pStyle w:val="Compact"/>
        <w:numPr>
          <w:ilvl w:val="0"/>
          <w:numId w:val="1093"/>
        </w:numPr>
      </w:pPr>
      <w:r>
        <w:t xml:space="preserve">Is the activity engaged in as a public authority? If no, it is business.</w:t>
      </w:r>
    </w:p>
    <w:p>
      <w:pPr>
        <w:pStyle w:val="Compact"/>
        <w:numPr>
          <w:ilvl w:val="0"/>
          <w:numId w:val="1093"/>
        </w:numPr>
      </w:pPr>
      <w:r>
        <w:t xml:space="preserve">Would non-business treatment significantly distort competition? If yes, it is business.</w:t>
      </w:r>
    </w:p>
    <w:p>
      <w:pPr>
        <w:pStyle w:val="Compact"/>
        <w:numPr>
          <w:ilvl w:val="0"/>
          <w:numId w:val="1093"/>
        </w:numPr>
      </w:pPr>
      <w:r>
        <w:t xml:space="preserve">Is the activity in the section 41A(2) list? If no, it is non-business.</w:t>
      </w:r>
    </w:p>
    <w:p>
      <w:pPr>
        <w:pStyle w:val="Compact"/>
        <w:numPr>
          <w:ilvl w:val="0"/>
          <w:numId w:val="1093"/>
        </w:numPr>
      </w:pPr>
      <w:r>
        <w:t xml:space="preserve">If it is on the list, is the scale negligible? If yes, it is non-business. If no, it is business.</w:t>
      </w:r>
    </w:p>
    <w:p>
      <w:pPr>
        <w:pStyle w:val="FirstParagraph"/>
      </w:pPr>
      <w:r>
        <w:t xml:space="preserve">Steps 1 and 2 are explained under Supplies between government departments, below.</w:t>
      </w:r>
    </w:p>
    <w:bookmarkEnd w:id="83"/>
    <w:bookmarkStart w:id="84" w:name="what-non-business-does-not-mean"/>
    <w:p>
      <w:pPr>
        <w:pStyle w:val="Heading4"/>
      </w:pPr>
      <w:r>
        <w:t xml:space="preserve">What</w:t>
      </w:r>
      <w:r>
        <w:t xml:space="preserve"> </w:t>
      </w:r>
      <w:r>
        <w:t xml:space="preserve">“</w:t>
      </w:r>
      <w:r>
        <w:t xml:space="preserve">non-business</w:t>
      </w:r>
      <w:r>
        <w:t xml:space="preserve">”</w:t>
      </w:r>
      <w:r>
        <w:t xml:space="preserve"> </w:t>
      </w:r>
      <w:r>
        <w:t xml:space="preserve">does NOT mean</w:t>
      </w:r>
    </w:p>
    <w:p>
      <w:pPr>
        <w:pStyle w:val="Compact"/>
        <w:numPr>
          <w:ilvl w:val="0"/>
          <w:numId w:val="1094"/>
        </w:numPr>
      </w:pPr>
      <w:r>
        <w:rPr>
          <w:b/>
          <w:bCs/>
        </w:rPr>
        <w:t xml:space="preserve">It does not mean exempt.</w:t>
      </w:r>
      <w:r>
        <w:t xml:space="preserve"> </w:t>
      </w:r>
      <w:r>
        <w:t xml:space="preserve">An exempt supply is within the scope of VAT, with no VAT charged. A non-business activity is outside the scope altogether</w:t>
      </w:r>
      <w:r>
        <w:t xml:space="preserve"> </w:t>
      </w:r>
      <w:r>
        <w:t xml:space="preserve">(</w:t>
      </w:r>
      <w:hyperlink w:anchor="ref-hmrc_n700">
        <w:r>
          <w:rPr>
            <w:rStyle w:val="Hyperlink"/>
          </w:rPr>
          <w:t xml:space="preserve">HMRC, 2026o</w:t>
        </w:r>
      </w:hyperlink>
      <w:r>
        <w:t xml:space="preserve">, paras. 3.2 and 3.6)</w:t>
      </w:r>
      <w:r>
        <w:t xml:space="preserve">. They go into different calculations: partial exemption for exempt supplies, and the business/non-business split for non-business activities</w:t>
      </w:r>
      <w:r>
        <w:t xml:space="preserve"> </w:t>
      </w:r>
      <w:r>
        <w:t xml:space="preserve">(</w:t>
      </w:r>
      <w:hyperlink w:anchor="ref-hmrc_gdpef">
        <w:r>
          <w:rPr>
            <w:rStyle w:val="Hyperlink"/>
          </w:rPr>
          <w:t xml:space="preserve">HMRC, 2023c</w:t>
        </w:r>
      </w:hyperlink>
      <w:r>
        <w:t xml:space="preserve">)</w:t>
      </w:r>
      <w:r>
        <w:t xml:space="preserve">. See Part 3, Outside the scope of VAT.</w:t>
      </w:r>
    </w:p>
    <w:p>
      <w:pPr>
        <w:pStyle w:val="Compact"/>
        <w:numPr>
          <w:ilvl w:val="0"/>
          <w:numId w:val="1094"/>
        </w:numPr>
      </w:pPr>
      <w:r>
        <w:rPr>
          <w:b/>
          <w:bCs/>
        </w:rPr>
        <w:t xml:space="preserve">It does not make costs recoverable.</w:t>
      </w:r>
      <w:r>
        <w:t xml:space="preserve"> </w:t>
      </w:r>
      <w:r>
        <w:t xml:space="preserve">Non-business VAT is not input tax</w:t>
      </w:r>
      <w:r>
        <w:t xml:space="preserve"> </w:t>
      </w:r>
      <w:r>
        <w:t xml:space="preserve">(</w:t>
      </w:r>
      <w:hyperlink w:anchor="ref-hmrc_n700">
        <w:r>
          <w:rPr>
            <w:rStyle w:val="Hyperlink"/>
          </w:rPr>
          <w:t xml:space="preserve">HMRC, 2026o, para. 4.6.3</w:t>
        </w:r>
      </w:hyperlink>
      <w:r>
        <w:t xml:space="preserve">)</w:t>
      </w:r>
      <w:r>
        <w:t xml:space="preserve">. The only way back is COS, for services within a heading</w:t>
      </w:r>
      <w:r>
        <w:t xml:space="preserve"> </w:t>
      </w:r>
      <w:r>
        <w:t xml:space="preserve">(</w:t>
      </w:r>
      <w:hyperlink w:anchor="ref-hmrc_gdpef">
        <w:r>
          <w:rPr>
            <w:rStyle w:val="Hyperlink"/>
          </w:rPr>
          <w:t xml:space="preserve">HMRC, 2023c</w:t>
        </w:r>
      </w:hyperlink>
      <w:r>
        <w:t xml:space="preserve">)</w:t>
      </w:r>
      <w:r>
        <w:t xml:space="preserve">. See Part 1, Non-business activities: irrecoverable unless COS applies.</w:t>
      </w:r>
    </w:p>
    <w:p>
      <w:pPr>
        <w:pStyle w:val="Compact"/>
        <w:numPr>
          <w:ilvl w:val="0"/>
          <w:numId w:val="1094"/>
        </w:numPr>
      </w:pPr>
      <w:r>
        <w:rPr>
          <w:b/>
          <w:bCs/>
        </w:rPr>
        <w:t xml:space="preserve">It does not stop suppliers charging VAT.</w:t>
      </w:r>
      <w:r>
        <w:t xml:space="preserve"> </w:t>
      </w:r>
      <w:r>
        <w:t xml:space="preserve">Supplies to government departments follow the normal rules</w:t>
      </w:r>
      <w:r>
        <w:t xml:space="preserve"> </w:t>
      </w:r>
      <w:r>
        <w:t xml:space="preserve">(</w:t>
      </w:r>
      <w:hyperlink w:anchor="ref-hmrc_vatgpb">
        <w:r>
          <w:rPr>
            <w:rStyle w:val="Hyperlink"/>
          </w:rPr>
          <w:t xml:space="preserve">HMRC, 2026n, sec. VATGPB9500</w:t>
        </w:r>
      </w:hyperlink>
      <w:r>
        <w:t xml:space="preserve">)</w:t>
      </w:r>
      <w:r>
        <w:t xml:space="preserve">. Even where a public body’s own activity is outside the scope under the public authority rule, that does</w:t>
      </w:r>
      <w:r>
        <w:t xml:space="preserve"> </w:t>
      </w:r>
      <w:r>
        <w:t xml:space="preserve">“</w:t>
      </w:r>
      <w:r>
        <w:t xml:space="preserve">not affect the liability of supplies made to that body</w:t>
      </w:r>
      <w:r>
        <w:t xml:space="preserve">”</w:t>
      </w:r>
      <w:r>
        <w:t xml:space="preserve"> </w:t>
      </w:r>
      <w:r>
        <w:t xml:space="preserve">(</w:t>
      </w:r>
      <w:hyperlink w:anchor="ref-hmrc_vatgpb">
        <w:r>
          <w:rPr>
            <w:rStyle w:val="Hyperlink"/>
          </w:rPr>
          <w:t xml:space="preserve">HMRC, 2026n, sec. VATGPB2320</w:t>
        </w:r>
      </w:hyperlink>
      <w:r>
        <w:t xml:space="preserve">)</w:t>
      </w:r>
      <w:r>
        <w:t xml:space="preserve">.</w:t>
      </w:r>
    </w:p>
    <w:p>
      <w:pPr>
        <w:pStyle w:val="Compact"/>
        <w:numPr>
          <w:ilvl w:val="0"/>
          <w:numId w:val="1094"/>
        </w:numPr>
      </w:pPr>
      <w:r>
        <w:rPr>
          <w:b/>
          <w:bCs/>
        </w:rPr>
        <w:t xml:space="preserve">It does not switch off the reverse charge</w:t>
      </w:r>
      <w:r>
        <w:t xml:space="preserve"> </w:t>
      </w:r>
      <w:r>
        <w:t xml:space="preserve">on services bought from abroad. A department with both business and non-business activities must apply it</w:t>
      </w:r>
      <w:r>
        <w:t xml:space="preserve"> </w:t>
      </w:r>
      <w:r>
        <w:t xml:space="preserve">“</w:t>
      </w:r>
      <w:r>
        <w:t xml:space="preserve">even if they relate solely to its non-business activities</w:t>
      </w:r>
      <w:r>
        <w:t xml:space="preserve">”</w:t>
      </w:r>
      <w:r>
        <w:t xml:space="preserve"> </w:t>
      </w:r>
      <w:r>
        <w:t xml:space="preserve">(</w:t>
      </w:r>
      <w:hyperlink w:anchor="ref-hmrc_gdpef">
        <w:r>
          <w:rPr>
            <w:rStyle w:val="Hyperlink"/>
          </w:rPr>
          <w:t xml:space="preserve">HMRC, 2023c</w:t>
        </w:r>
      </w:hyperlink>
      <w:r>
        <w:t xml:space="preserve">)</w:t>
      </w:r>
      <w:r>
        <w:t xml:space="preserve">. See Part 4, The reverse charge and the Department.</w:t>
      </w:r>
    </w:p>
    <w:bookmarkEnd w:id="84"/>
    <w:bookmarkEnd w:id="85"/>
    <w:bookmarkStart w:id="91" w:name="X75a84645a7eb1317db88eeea66af9d120a2fba8"/>
    <w:p>
      <w:pPr>
        <w:pStyle w:val="Heading3"/>
      </w:pPr>
      <w:r>
        <w:t xml:space="preserve">How this applies to central government departments</w:t>
      </w:r>
    </w:p>
    <w:bookmarkStart w:id="86" w:name="X07fe5ead6553eebb0ca9fef7fe6aa078f8e133f"/>
    <w:p>
      <w:pPr>
        <w:pStyle w:val="Heading4"/>
      </w:pPr>
      <w:r>
        <w:t xml:space="preserve">The starting point: most of a department’s work is non-business</w:t>
      </w:r>
    </w:p>
    <w:p>
      <w:pPr>
        <w:pStyle w:val="FirstParagraph"/>
      </w:pPr>
      <w:r>
        <w:t xml:space="preserve">HMRC’s framework says a department’s principal activities are mostly carried out for no consideration, under statute, to deliver public services, so they are non-business</w:t>
      </w:r>
      <w:r>
        <w:t xml:space="preserve"> </w:t>
      </w:r>
      <w:r>
        <w:t xml:space="preserve">(</w:t>
      </w:r>
      <w:hyperlink w:anchor="ref-hmrc_gdpef">
        <w:r>
          <w:rPr>
            <w:rStyle w:val="Hyperlink"/>
          </w:rPr>
          <w:t xml:space="preserve">HMRC, 2023c</w:t>
        </w:r>
      </w:hyperlink>
      <w:r>
        <w:t xml:space="preserve">)</w:t>
      </w:r>
      <w:r>
        <w:t xml:space="preserve">. See Part 1, Most of what a department does is non-business. HMRC also says:</w:t>
      </w:r>
    </w:p>
    <w:p>
      <w:pPr>
        <w:pStyle w:val="Compact"/>
        <w:numPr>
          <w:ilvl w:val="0"/>
          <w:numId w:val="1095"/>
        </w:numPr>
      </w:pPr>
      <w:r>
        <w:t xml:space="preserve">many public body activities are outside the scope because they are funded from taxation or are regulatory and involve no supplies</w:t>
      </w:r>
      <w:r>
        <w:t xml:space="preserve"> </w:t>
      </w:r>
      <w:r>
        <w:t xml:space="preserve">(</w:t>
      </w:r>
      <w:hyperlink w:anchor="ref-hmrc_vatgpb">
        <w:r>
          <w:rPr>
            <w:rStyle w:val="Hyperlink"/>
          </w:rPr>
          <w:t xml:space="preserve">HMRC, 2026n, sec. VATGPB2310</w:t>
        </w:r>
      </w:hyperlink>
      <w:r>
        <w:t xml:space="preserve">)</w:t>
      </w:r>
      <w:r>
        <w:t xml:space="preserve">; and</w:t>
      </w:r>
    </w:p>
    <w:p>
      <w:pPr>
        <w:pStyle w:val="Compact"/>
        <w:numPr>
          <w:ilvl w:val="0"/>
          <w:numId w:val="1095"/>
        </w:numPr>
      </w:pPr>
      <w:r>
        <w:t xml:space="preserve">a single public body will</w:t>
      </w:r>
      <w:r>
        <w:t xml:space="preserve"> </w:t>
      </w:r>
      <w:r>
        <w:t xml:space="preserve">“</w:t>
      </w:r>
      <w:r>
        <w:t xml:space="preserve">invariably</w:t>
      </w:r>
      <w:r>
        <w:t xml:space="preserve">”</w:t>
      </w:r>
      <w:r>
        <w:t xml:space="preserve"> </w:t>
      </w:r>
      <w:r>
        <w:t xml:space="preserve">have some non-business activities, some within section 41A and some subject to the normal rules</w:t>
      </w:r>
      <w:r>
        <w:t xml:space="preserve"> </w:t>
      </w:r>
      <w:r>
        <w:t xml:space="preserve">(</w:t>
      </w:r>
      <w:hyperlink w:anchor="ref-hmrc_vatgpb">
        <w:r>
          <w:rPr>
            <w:rStyle w:val="Hyperlink"/>
          </w:rPr>
          <w:t xml:space="preserve">HMRC, 2026n, sec. VATGPB3100</w:t>
        </w:r>
      </w:hyperlink>
      <w:r>
        <w:t xml:space="preserve">)</w:t>
      </w:r>
      <w:r>
        <w:t xml:space="preserve">.</w:t>
      </w:r>
    </w:p>
    <w:p>
      <w:pPr>
        <w:pStyle w:val="FirstParagraph"/>
      </w:pPr>
      <w:r>
        <w:rPr>
          <w:b/>
          <w:bCs/>
        </w:rPr>
        <w:t xml:space="preserve">Being VAT-registered does not make everything business.</w:t>
      </w:r>
      <w:r>
        <w:t xml:space="preserve"> </w:t>
      </w:r>
      <w:r>
        <w:t xml:space="preserve">Government departments must register for VAT whatever the value of their taxable supplies. This lets them claim COS refunds</w:t>
      </w:r>
      <w:r>
        <w:t xml:space="preserve"> </w:t>
      </w:r>
      <w:r>
        <w:t xml:space="preserve">(</w:t>
      </w:r>
      <w:hyperlink w:anchor="ref-hmrc_gdpef">
        <w:r>
          <w:rPr>
            <w:rStyle w:val="Hyperlink"/>
          </w:rPr>
          <w:t xml:space="preserve">HMRC, 2023c</w:t>
        </w:r>
      </w:hyperlink>
      <w:r>
        <w:t xml:space="preserve">)</w:t>
      </w:r>
      <w:r>
        <w:t xml:space="preserve">.</w:t>
      </w:r>
    </w:p>
    <w:bookmarkEnd w:id="86"/>
    <w:bookmarkStart w:id="87" w:name="X43d6e52f23f1d0d8116d1f39a8ee8eb8187bb26"/>
    <w:p>
      <w:pPr>
        <w:pStyle w:val="Heading4"/>
      </w:pPr>
      <w:r>
        <w:t xml:space="preserve">Typical business and non-business activities</w:t>
      </w:r>
    </w:p>
    <w:p>
      <w:pPr>
        <w:pStyle w:val="FirstParagraph"/>
      </w:pPr>
      <w:r>
        <w:t xml:space="preserve">The business examples in the table come from HMRC’s framework</w:t>
      </w:r>
      <w:r>
        <w:t xml:space="preserve"> </w:t>
      </w:r>
      <w:r>
        <w:t xml:space="preserve">(</w:t>
      </w:r>
      <w:hyperlink w:anchor="ref-hmrc_gdpef">
        <w:r>
          <w:rPr>
            <w:rStyle w:val="Hyperlink"/>
          </w:rPr>
          <w:t xml:space="preserve">HMRC, 2023c</w:t>
        </w:r>
      </w:hyperlink>
      <w:r>
        <w:t xml:space="preserve">)</w:t>
      </w:r>
      <w:r>
        <w:t xml:space="preserve">. The non-business examples follow from the general test and HMRC’s guidance</w:t>
      </w:r>
      <w:r>
        <w:t xml:space="preserve"> </w:t>
      </w:r>
      <w:r>
        <w:t xml:space="preserve">(</w:t>
      </w:r>
      <w:hyperlink w:anchor="ref-hmrc_vatgpb">
        <w:r>
          <w:rPr>
            <w:rStyle w:val="Hyperlink"/>
          </w:rPr>
          <w:t xml:space="preserve">HMRC, 2026n</w:t>
        </w:r>
      </w:hyperlink>
      <w:r>
        <w:t xml:space="preserve">, secs. VATGPB2310 and VATGPB3100;</w:t>
      </w:r>
      <w:r>
        <w:t xml:space="preserve"> </w:t>
      </w:r>
      <w:hyperlink w:anchor="ref-hmrc_vatsc">
        <w:r>
          <w:rPr>
            <w:rStyle w:val="Hyperlink"/>
          </w:rPr>
          <w:t xml:space="preserve">HMRC, 2025l</w:t>
        </w:r>
      </w:hyperlink>
      <w:r>
        <w:t xml:space="preserve">, secs. VATSC03610 and VATSC06311;</w:t>
      </w:r>
      <w:r>
        <w:t xml:space="preserve"> </w:t>
      </w:r>
      <w:hyperlink w:anchor="ref-hmrc_n70130">
        <w:r>
          <w:rPr>
            <w:rStyle w:val="Hyperlink"/>
          </w:rPr>
          <w:t xml:space="preserve">HMRC, 2025d, para. 2.3</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742"/>
        <w:gridCol w:w="2108"/>
        <w:gridCol w:w="3174"/>
      </w:tblGrid>
      <w:tr>
        <w:trPr>
          <w:tblHeader w:val="true"/>
          <w:cantSplit w:val="true"/>
        </w:trPr>
        <w:tc>
          <w:tcPr>
            <w:tcW w:w="3742" w:type="dxa"/>
            <w:shd w:val="clear" w:color="auto" w:fill="1B3A5C"/>
          </w:tcPr>
          <w:p>
            <w:pPr>
              <w:pStyle w:val="Compact"/>
              <w:spacing w:after="40" w:before="40"/>
              <w:jc w:val="left"/>
            </w:pPr>
            <w:r>
              <w:rPr>
                <w:rFonts w:ascii="Tahoma" w:hAnsi="Tahoma"/>
                <w:b/>
                <w:color w:val="FFFFFF"/>
                <w:sz w:val="22"/>
              </w:rPr>
              <w:t xml:space="preserve">Activity</w:t>
            </w:r>
          </w:p>
        </w:tc>
        <w:tc>
          <w:tcPr>
            <w:tcW w:w="2108" w:type="dxa"/>
            <w:shd w:val="clear" w:color="auto" w:fill="1B3A5C"/>
          </w:tcPr>
          <w:p>
            <w:pPr>
              <w:pStyle w:val="Compact"/>
              <w:spacing w:after="40" w:before="40"/>
              <w:jc w:val="left"/>
            </w:pPr>
            <w:r>
              <w:rPr>
                <w:rFonts w:ascii="Tahoma" w:hAnsi="Tahoma"/>
                <w:b/>
                <w:color w:val="FFFFFF"/>
                <w:sz w:val="22"/>
              </w:rPr>
              <w:t xml:space="preserve">Usual treatment</w:t>
            </w:r>
          </w:p>
        </w:tc>
        <w:tc>
          <w:tcPr>
            <w:tcW w:w="3174" w:type="dxa"/>
            <w:shd w:val="clear" w:color="auto" w:fill="1B3A5C"/>
          </w:tcPr>
          <w:p>
            <w:pPr>
              <w:pStyle w:val="Compact"/>
              <w:spacing w:after="40" w:before="40"/>
              <w:jc w:val="left"/>
            </w:pPr>
            <w:r>
              <w:rPr>
                <w:rFonts w:ascii="Tahoma" w:hAnsi="Tahoma"/>
                <w:b/>
                <w:color w:val="FFFFFF"/>
                <w:sz w:val="22"/>
              </w:rPr>
              <w:t xml:space="preserve">Liability or reason</w:t>
            </w:r>
          </w:p>
        </w:tc>
      </w:tr>
      <w:tr>
        <w:trPr>
          <w:cantSplit w:val="true"/>
        </w:trPr>
        <w:tc>
          <w:tcPr>
            <w:tcW w:w="3742" w:type="dxa"/>
            <w:shd w:val="clear" w:color="auto" w:fill="EAF3FA"/>
          </w:tcPr>
          <w:p>
            <w:pPr>
              <w:pStyle w:val="Compact"/>
              <w:spacing w:after="40" w:before="40"/>
              <w:jc w:val="left"/>
            </w:pPr>
            <w:r>
              <w:rPr>
                <w:rFonts w:ascii="Tahoma" w:hAnsi="Tahoma"/>
                <w:sz w:val="22"/>
              </w:rPr>
              <w:t xml:space="preserve">Policy work, regulation, running public programmes</w:t>
            </w:r>
          </w:p>
        </w:tc>
        <w:tc>
          <w:tcPr>
            <w:tcW w:w="2108" w:type="dxa"/>
            <w:shd w:val="clear" w:color="auto" w:fill="EAF3FA"/>
          </w:tcPr>
          <w:p>
            <w:pPr>
              <w:pStyle w:val="Compact"/>
              <w:spacing w:after="40" w:before="40"/>
              <w:jc w:val="left"/>
            </w:pPr>
            <w:r>
              <w:rPr>
                <w:rFonts w:ascii="Tahoma" w:hAnsi="Tahoma"/>
                <w:sz w:val="22"/>
              </w:rPr>
              <w:t xml:space="preserve">Non-business</w:t>
            </w:r>
          </w:p>
        </w:tc>
        <w:tc>
          <w:tcPr>
            <w:tcW w:w="3174" w:type="dxa"/>
            <w:shd w:val="clear" w:color="auto" w:fill="EAF3FA"/>
          </w:tcPr>
          <w:p>
            <w:pPr>
              <w:pStyle w:val="Compact"/>
              <w:spacing w:after="40" w:before="40"/>
              <w:jc w:val="left"/>
            </w:pPr>
            <w:r>
              <w:rPr>
                <w:rFonts w:ascii="Tahoma" w:hAnsi="Tahoma"/>
                <w:sz w:val="22"/>
              </w:rPr>
              <w:t xml:space="preserve">No supply for consideration</w:t>
            </w:r>
          </w:p>
        </w:tc>
      </w:tr>
      <w:tr>
        <w:trPr>
          <w:cantSplit w:val="true"/>
        </w:trPr>
        <w:tc>
          <w:tcPr>
            <w:tcW w:w="3742" w:type="dxa"/>
            <w:shd w:val="clear" w:color="auto" w:fill="FFFFFF"/>
          </w:tcPr>
          <w:p>
            <w:pPr>
              <w:pStyle w:val="Compact"/>
              <w:spacing w:after="40" w:before="40"/>
              <w:jc w:val="left"/>
            </w:pPr>
            <w:r>
              <w:rPr>
                <w:rFonts w:ascii="Tahoma" w:hAnsi="Tahoma"/>
                <w:sz w:val="22"/>
              </w:rPr>
              <w:t xml:space="preserve">Paying grants to other bodies</w:t>
            </w:r>
          </w:p>
        </w:tc>
        <w:tc>
          <w:tcPr>
            <w:tcW w:w="2108" w:type="dxa"/>
            <w:shd w:val="clear" w:color="auto" w:fill="FFFFFF"/>
          </w:tcPr>
          <w:p>
            <w:pPr>
              <w:pStyle w:val="Compact"/>
              <w:spacing w:after="40" w:before="40"/>
              <w:jc w:val="left"/>
            </w:pPr>
            <w:r>
              <w:rPr>
                <w:rFonts w:ascii="Tahoma" w:hAnsi="Tahoma"/>
                <w:sz w:val="22"/>
              </w:rPr>
              <w:t xml:space="preserve">Non-business</w:t>
            </w:r>
          </w:p>
        </w:tc>
        <w:tc>
          <w:tcPr>
            <w:tcW w:w="3174" w:type="dxa"/>
            <w:shd w:val="clear" w:color="auto" w:fill="FFFFFF"/>
          </w:tcPr>
          <w:p>
            <w:pPr>
              <w:pStyle w:val="Compact"/>
              <w:spacing w:after="40" w:before="40"/>
              <w:jc w:val="left"/>
            </w:pPr>
            <w:r>
              <w:rPr>
                <w:rFonts w:ascii="Tahoma" w:hAnsi="Tahoma"/>
                <w:sz w:val="22"/>
              </w:rPr>
              <w:t xml:space="preserve">Freely given funding is not a supply</w:t>
            </w:r>
          </w:p>
        </w:tc>
      </w:tr>
      <w:tr>
        <w:trPr>
          <w:cantSplit w:val="true"/>
        </w:trPr>
        <w:tc>
          <w:tcPr>
            <w:tcW w:w="3742" w:type="dxa"/>
            <w:shd w:val="clear" w:color="auto" w:fill="FBEAF1"/>
          </w:tcPr>
          <w:p>
            <w:pPr>
              <w:pStyle w:val="Compact"/>
              <w:spacing w:after="40" w:before="40"/>
              <w:jc w:val="left"/>
            </w:pPr>
            <w:r>
              <w:rPr>
                <w:rFonts w:ascii="Tahoma" w:hAnsi="Tahoma"/>
                <w:sz w:val="22"/>
              </w:rPr>
              <w:t xml:space="preserve">Training the department’s own staff</w:t>
            </w:r>
          </w:p>
        </w:tc>
        <w:tc>
          <w:tcPr>
            <w:tcW w:w="2108" w:type="dxa"/>
            <w:shd w:val="clear" w:color="auto" w:fill="FBEAF1"/>
          </w:tcPr>
          <w:p>
            <w:pPr>
              <w:pStyle w:val="Compact"/>
              <w:spacing w:after="40" w:before="40"/>
              <w:jc w:val="left"/>
            </w:pPr>
            <w:r>
              <w:rPr>
                <w:rFonts w:ascii="Tahoma" w:hAnsi="Tahoma"/>
                <w:sz w:val="22"/>
              </w:rPr>
              <w:t xml:space="preserve">Non-business</w:t>
            </w:r>
          </w:p>
        </w:tc>
        <w:tc>
          <w:tcPr>
            <w:tcW w:w="3174" w:type="dxa"/>
            <w:shd w:val="clear" w:color="auto" w:fill="FBEAF1"/>
          </w:tcPr>
          <w:p>
            <w:pPr>
              <w:pStyle w:val="Compact"/>
              <w:spacing w:after="40" w:before="40"/>
              <w:jc w:val="left"/>
            </w:pPr>
            <w:r>
              <w:rPr>
                <w:rFonts w:ascii="Tahoma" w:hAnsi="Tahoma"/>
                <w:sz w:val="22"/>
              </w:rPr>
              <w:t xml:space="preserve">Nothing is charged, so no supply</w:t>
            </w:r>
          </w:p>
        </w:tc>
      </w:tr>
      <w:tr>
        <w:trPr>
          <w:cantSplit w:val="true"/>
        </w:trPr>
        <w:tc>
          <w:tcPr>
            <w:tcW w:w="3742" w:type="dxa"/>
            <w:shd w:val="clear" w:color="auto" w:fill="EAF3FA"/>
          </w:tcPr>
          <w:p>
            <w:pPr>
              <w:pStyle w:val="Compact"/>
              <w:spacing w:after="40" w:before="40"/>
              <w:jc w:val="left"/>
            </w:pPr>
            <w:r>
              <w:rPr>
                <w:rFonts w:ascii="Tahoma" w:hAnsi="Tahoma"/>
                <w:sz w:val="22"/>
              </w:rPr>
              <w:t xml:space="preserve">Issuing regulatory certificates for a fee</w:t>
            </w:r>
          </w:p>
        </w:tc>
        <w:tc>
          <w:tcPr>
            <w:tcW w:w="2108" w:type="dxa"/>
            <w:shd w:val="clear" w:color="auto" w:fill="EAF3FA"/>
          </w:tcPr>
          <w:p>
            <w:pPr>
              <w:pStyle w:val="Compact"/>
              <w:spacing w:after="40" w:before="40"/>
              <w:jc w:val="left"/>
            </w:pPr>
            <w:r>
              <w:rPr>
                <w:rFonts w:ascii="Tahoma" w:hAnsi="Tahoma"/>
                <w:sz w:val="22"/>
              </w:rPr>
              <w:t xml:space="preserve">Non-business, usually</w:t>
            </w:r>
          </w:p>
        </w:tc>
        <w:tc>
          <w:tcPr>
            <w:tcW w:w="3174" w:type="dxa"/>
            <w:shd w:val="clear" w:color="auto" w:fill="EAF3FA"/>
          </w:tcPr>
          <w:p>
            <w:pPr>
              <w:pStyle w:val="Compact"/>
              <w:spacing w:after="40" w:before="40"/>
              <w:jc w:val="left"/>
            </w:pPr>
            <w:r>
              <w:rPr>
                <w:rFonts w:ascii="Tahoma" w:hAnsi="Tahoma"/>
                <w:sz w:val="22"/>
              </w:rPr>
              <w:t xml:space="preserve">HMRC treats it as a public authority transaction</w:t>
            </w:r>
          </w:p>
        </w:tc>
      </w:tr>
      <w:tr>
        <w:trPr>
          <w:cantSplit w:val="true"/>
        </w:trPr>
        <w:tc>
          <w:tcPr>
            <w:tcW w:w="3742" w:type="dxa"/>
            <w:shd w:val="clear" w:color="auto" w:fill="FFFFFF"/>
          </w:tcPr>
          <w:p>
            <w:pPr>
              <w:pStyle w:val="Compact"/>
              <w:spacing w:after="40" w:before="40"/>
              <w:jc w:val="left"/>
            </w:pPr>
            <w:r>
              <w:rPr>
                <w:rFonts w:ascii="Tahoma" w:hAnsi="Tahoma"/>
                <w:sz w:val="22"/>
              </w:rPr>
              <w:t xml:space="preserve">Catering and car parks</w:t>
            </w:r>
          </w:p>
        </w:tc>
        <w:tc>
          <w:tcPr>
            <w:tcW w:w="2108" w:type="dxa"/>
            <w:shd w:val="clear" w:color="auto" w:fill="FFFFFF"/>
          </w:tcPr>
          <w:p>
            <w:pPr>
              <w:pStyle w:val="Compact"/>
              <w:spacing w:after="40" w:before="40"/>
              <w:jc w:val="left"/>
            </w:pPr>
            <w:r>
              <w:rPr>
                <w:rFonts w:ascii="Tahoma" w:hAnsi="Tahoma"/>
                <w:sz w:val="22"/>
              </w:rPr>
              <w:t xml:space="preserve">Business</w:t>
            </w:r>
          </w:p>
        </w:tc>
        <w:tc>
          <w:tcPr>
            <w:tcW w:w="3174" w:type="dxa"/>
            <w:shd w:val="clear" w:color="auto" w:fill="FFFFFF"/>
          </w:tcPr>
          <w:p>
            <w:pPr>
              <w:pStyle w:val="Compact"/>
              <w:spacing w:after="40" w:before="40"/>
              <w:jc w:val="left"/>
            </w:pPr>
            <w:r>
              <w:rPr>
                <w:rFonts w:ascii="Tahoma" w:hAnsi="Tahoma"/>
                <w:sz w:val="22"/>
              </w:rPr>
              <w:t xml:space="preserve">Standard-rated</w:t>
            </w:r>
          </w:p>
        </w:tc>
      </w:tr>
      <w:tr>
        <w:trPr>
          <w:cantSplit w:val="true"/>
        </w:trPr>
        <w:tc>
          <w:tcPr>
            <w:tcW w:w="3742" w:type="dxa"/>
            <w:shd w:val="clear" w:color="auto" w:fill="FBEAF1"/>
          </w:tcPr>
          <w:p>
            <w:pPr>
              <w:pStyle w:val="Compact"/>
              <w:spacing w:after="40" w:before="40"/>
              <w:jc w:val="left"/>
            </w:pPr>
            <w:r>
              <w:rPr>
                <w:rFonts w:ascii="Tahoma" w:hAnsi="Tahoma"/>
                <w:sz w:val="22"/>
              </w:rPr>
              <w:t xml:space="preserve">Sale of assets, such as surplus equipment</w:t>
            </w:r>
          </w:p>
        </w:tc>
        <w:tc>
          <w:tcPr>
            <w:tcW w:w="2108" w:type="dxa"/>
            <w:shd w:val="clear" w:color="auto" w:fill="FBEAF1"/>
          </w:tcPr>
          <w:p>
            <w:pPr>
              <w:pStyle w:val="Compact"/>
              <w:spacing w:after="40" w:before="40"/>
              <w:jc w:val="left"/>
            </w:pPr>
            <w:r>
              <w:rPr>
                <w:rFonts w:ascii="Tahoma" w:hAnsi="Tahoma"/>
                <w:sz w:val="22"/>
              </w:rPr>
              <w:t xml:space="preserve">Business</w:t>
            </w:r>
          </w:p>
        </w:tc>
        <w:tc>
          <w:tcPr>
            <w:tcW w:w="3174" w:type="dxa"/>
            <w:shd w:val="clear" w:color="auto" w:fill="FBEAF1"/>
          </w:tcPr>
          <w:p>
            <w:pPr>
              <w:pStyle w:val="Compact"/>
              <w:spacing w:after="40" w:before="40"/>
              <w:jc w:val="left"/>
            </w:pPr>
            <w:r>
              <w:rPr>
                <w:rFonts w:ascii="Tahoma" w:hAnsi="Tahoma"/>
                <w:sz w:val="22"/>
              </w:rPr>
              <w:t xml:space="preserve">Standard-rated in HMRC’s list; exports can be zero-rated</w:t>
            </w:r>
          </w:p>
        </w:tc>
      </w:tr>
      <w:tr>
        <w:trPr>
          <w:cantSplit w:val="true"/>
        </w:trPr>
        <w:tc>
          <w:tcPr>
            <w:tcW w:w="3742" w:type="dxa"/>
            <w:shd w:val="clear" w:color="auto" w:fill="EAF3FA"/>
          </w:tcPr>
          <w:p>
            <w:pPr>
              <w:pStyle w:val="Compact"/>
              <w:spacing w:after="40" w:before="40"/>
              <w:jc w:val="left"/>
            </w:pPr>
            <w:r>
              <w:rPr>
                <w:rFonts w:ascii="Tahoma" w:hAnsi="Tahoma"/>
                <w:sz w:val="22"/>
              </w:rPr>
              <w:t xml:space="preserve">Administration fees and salary sacrifice schemes</w:t>
            </w:r>
          </w:p>
        </w:tc>
        <w:tc>
          <w:tcPr>
            <w:tcW w:w="2108" w:type="dxa"/>
            <w:shd w:val="clear" w:color="auto" w:fill="EAF3FA"/>
          </w:tcPr>
          <w:p>
            <w:pPr>
              <w:pStyle w:val="Compact"/>
              <w:spacing w:after="40" w:before="40"/>
              <w:jc w:val="left"/>
            </w:pPr>
            <w:r>
              <w:rPr>
                <w:rFonts w:ascii="Tahoma" w:hAnsi="Tahoma"/>
                <w:sz w:val="22"/>
              </w:rPr>
              <w:t xml:space="preserve">Business</w:t>
            </w:r>
          </w:p>
        </w:tc>
        <w:tc>
          <w:tcPr>
            <w:tcW w:w="3174" w:type="dxa"/>
            <w:shd w:val="clear" w:color="auto" w:fill="EAF3FA"/>
          </w:tcPr>
          <w:p>
            <w:pPr>
              <w:pStyle w:val="Compact"/>
              <w:spacing w:after="40" w:before="40"/>
              <w:jc w:val="left"/>
            </w:pPr>
            <w:r>
              <w:rPr>
                <w:rFonts w:ascii="Tahoma" w:hAnsi="Tahoma"/>
                <w:sz w:val="22"/>
              </w:rPr>
              <w:t xml:space="preserve">Standard-rated</w:t>
            </w:r>
          </w:p>
        </w:tc>
      </w:tr>
      <w:tr>
        <w:trPr>
          <w:cantSplit w:val="true"/>
        </w:trPr>
        <w:tc>
          <w:tcPr>
            <w:tcW w:w="3742" w:type="dxa"/>
            <w:shd w:val="clear" w:color="auto" w:fill="FFFFFF"/>
          </w:tcPr>
          <w:p>
            <w:pPr>
              <w:pStyle w:val="Compact"/>
              <w:spacing w:after="40" w:before="40"/>
              <w:jc w:val="left"/>
            </w:pPr>
            <w:r>
              <w:rPr>
                <w:rFonts w:ascii="Tahoma" w:hAnsi="Tahoma"/>
                <w:sz w:val="22"/>
              </w:rPr>
              <w:t xml:space="preserve">Non-specialist staff secondments</w:t>
            </w:r>
          </w:p>
        </w:tc>
        <w:tc>
          <w:tcPr>
            <w:tcW w:w="2108" w:type="dxa"/>
            <w:shd w:val="clear" w:color="auto" w:fill="FFFFFF"/>
          </w:tcPr>
          <w:p>
            <w:pPr>
              <w:pStyle w:val="Compact"/>
              <w:spacing w:after="40" w:before="40"/>
              <w:jc w:val="left"/>
            </w:pPr>
            <w:r>
              <w:rPr>
                <w:rFonts w:ascii="Tahoma" w:hAnsi="Tahoma"/>
                <w:sz w:val="22"/>
              </w:rPr>
              <w:t xml:space="preserve">Business</w:t>
            </w:r>
          </w:p>
        </w:tc>
        <w:tc>
          <w:tcPr>
            <w:tcW w:w="3174" w:type="dxa"/>
            <w:shd w:val="clear" w:color="auto" w:fill="FFFFFF"/>
          </w:tcPr>
          <w:p>
            <w:pPr>
              <w:pStyle w:val="Compact"/>
              <w:spacing w:after="40" w:before="40"/>
              <w:jc w:val="left"/>
            </w:pPr>
            <w:r>
              <w:rPr>
                <w:rFonts w:ascii="Tahoma" w:hAnsi="Tahoma"/>
                <w:sz w:val="22"/>
              </w:rPr>
              <w:t xml:space="preserve">Standard-rated</w:t>
            </w:r>
          </w:p>
        </w:tc>
      </w:tr>
      <w:tr>
        <w:trPr>
          <w:cantSplit w:val="true"/>
        </w:trPr>
        <w:tc>
          <w:tcPr>
            <w:tcW w:w="3742" w:type="dxa"/>
            <w:shd w:val="clear" w:color="auto" w:fill="FBEAF1"/>
          </w:tcPr>
          <w:p>
            <w:pPr>
              <w:pStyle w:val="Compact"/>
              <w:spacing w:after="40" w:before="40"/>
              <w:jc w:val="left"/>
            </w:pPr>
            <w:r>
              <w:rPr>
                <w:rFonts w:ascii="Tahoma" w:hAnsi="Tahoma"/>
                <w:sz w:val="22"/>
              </w:rPr>
              <w:t xml:space="preserve">Letting land or buildings, no option to tax</w:t>
            </w:r>
          </w:p>
        </w:tc>
        <w:tc>
          <w:tcPr>
            <w:tcW w:w="2108" w:type="dxa"/>
            <w:shd w:val="clear" w:color="auto" w:fill="FBEAF1"/>
          </w:tcPr>
          <w:p>
            <w:pPr>
              <w:pStyle w:val="Compact"/>
              <w:spacing w:after="40" w:before="40"/>
              <w:jc w:val="left"/>
            </w:pPr>
            <w:r>
              <w:rPr>
                <w:rFonts w:ascii="Tahoma" w:hAnsi="Tahoma"/>
                <w:sz w:val="22"/>
              </w:rPr>
              <w:t xml:space="preserve">Business</w:t>
            </w:r>
          </w:p>
        </w:tc>
        <w:tc>
          <w:tcPr>
            <w:tcW w:w="3174" w:type="dxa"/>
            <w:shd w:val="clear" w:color="auto" w:fill="FBEAF1"/>
          </w:tcPr>
          <w:p>
            <w:pPr>
              <w:pStyle w:val="Compact"/>
              <w:spacing w:after="40" w:before="40"/>
              <w:jc w:val="left"/>
            </w:pPr>
            <w:r>
              <w:rPr>
                <w:rFonts w:ascii="Tahoma" w:hAnsi="Tahoma"/>
                <w:sz w:val="22"/>
              </w:rPr>
              <w:t xml:space="preserve">Exempt</w:t>
            </w:r>
          </w:p>
        </w:tc>
      </w:tr>
      <w:tr>
        <w:trPr>
          <w:cantSplit w:val="true"/>
        </w:trPr>
        <w:tc>
          <w:tcPr>
            <w:tcW w:w="3742" w:type="dxa"/>
            <w:shd w:val="clear" w:color="auto" w:fill="EAF3FA"/>
          </w:tcPr>
          <w:p>
            <w:pPr>
              <w:pStyle w:val="Compact"/>
              <w:spacing w:after="40" w:before="40"/>
              <w:jc w:val="left"/>
            </w:pPr>
            <w:r>
              <w:rPr>
                <w:rFonts w:ascii="Tahoma" w:hAnsi="Tahoma"/>
                <w:sz w:val="22"/>
              </w:rPr>
              <w:t xml:space="preserve">Education by an eligible body</w:t>
            </w:r>
          </w:p>
        </w:tc>
        <w:tc>
          <w:tcPr>
            <w:tcW w:w="2108" w:type="dxa"/>
            <w:shd w:val="clear" w:color="auto" w:fill="EAF3FA"/>
          </w:tcPr>
          <w:p>
            <w:pPr>
              <w:pStyle w:val="Compact"/>
              <w:spacing w:after="40" w:before="40"/>
              <w:jc w:val="left"/>
            </w:pPr>
            <w:r>
              <w:rPr>
                <w:rFonts w:ascii="Tahoma" w:hAnsi="Tahoma"/>
                <w:sz w:val="22"/>
              </w:rPr>
              <w:t xml:space="preserve">Business</w:t>
            </w:r>
          </w:p>
        </w:tc>
        <w:tc>
          <w:tcPr>
            <w:tcW w:w="3174" w:type="dxa"/>
            <w:shd w:val="clear" w:color="auto" w:fill="EAF3FA"/>
          </w:tcPr>
          <w:p>
            <w:pPr>
              <w:pStyle w:val="Compact"/>
              <w:spacing w:after="40" w:before="40"/>
              <w:jc w:val="left"/>
            </w:pPr>
            <w:r>
              <w:rPr>
                <w:rFonts w:ascii="Tahoma" w:hAnsi="Tahoma"/>
                <w:sz w:val="22"/>
              </w:rPr>
              <w:t xml:space="preserve">Exempt</w:t>
            </w:r>
          </w:p>
        </w:tc>
      </w:tr>
    </w:tbl>
    <w:bookmarkEnd w:id="87"/>
    <w:bookmarkStart w:id="88" w:name="X6d8c6b47cef077a5b5948adc5fbbe3c49c5539a"/>
    <w:p>
      <w:pPr>
        <w:pStyle w:val="Heading4"/>
      </w:pPr>
      <w:r>
        <w:t xml:space="preserve">A short history: from Taxing Directions to section 41A</w:t>
      </w:r>
    </w:p>
    <w:p>
      <w:pPr>
        <w:pStyle w:val="FirstParagraph"/>
      </w:pPr>
      <w:r>
        <w:t xml:space="preserve">Before 17 July 2012, the Treasury could direct, under the old section 41(2), that supplies by government departments be treated as business</w:t>
      </w:r>
      <w:r>
        <w:t xml:space="preserve"> </w:t>
      </w:r>
      <w:r>
        <w:t xml:space="preserve">(</w:t>
      </w:r>
      <w:hyperlink w:anchor="ref-gazette_2008">
        <w:r>
          <w:rPr>
            <w:rStyle w:val="Hyperlink"/>
          </w:rPr>
          <w:t xml:space="preserve">HM Treasury, 2008, para. 4</w:t>
        </w:r>
      </w:hyperlink>
      <w:r>
        <w:t xml:space="preserve">;</w:t>
      </w:r>
      <w:r>
        <w:t xml:space="preserve"> </w:t>
      </w:r>
      <w:hyperlink w:anchor="ref-hmrc_vatgpb">
        <w:r>
          <w:rPr>
            <w:rStyle w:val="Hyperlink"/>
          </w:rPr>
          <w:t xml:space="preserve">HMRC, 2026n, sec. VATGPB9340</w:t>
        </w:r>
      </w:hyperlink>
      <w:r>
        <w:t xml:space="preserve">)</w:t>
      </w:r>
      <w:r>
        <w:t xml:space="preserve">. The Finance Act 2012 removed that power and inserted section 41A (Finance Act 2012, s. 198(2)(a) and (3)).</w:t>
      </w:r>
    </w:p>
    <w:p>
      <w:pPr>
        <w:pStyle w:val="BodyText"/>
      </w:pPr>
      <w:r>
        <w:t xml:space="preserve">The most recent set of these directions this guide found in The Gazette is the Treasury (Taxing) Directions of 29 October 2008, made under section 41(2), (5) and (6)</w:t>
      </w:r>
      <w:r>
        <w:t xml:space="preserve"> </w:t>
      </w:r>
      <w:r>
        <w:t xml:space="preserve">(</w:t>
      </w:r>
      <w:hyperlink w:anchor="ref-gazette_2008">
        <w:r>
          <w:rPr>
            <w:rStyle w:val="Hyperlink"/>
          </w:rPr>
          <w:t xml:space="preserve">HM Treasury, 2008</w:t>
        </w:r>
      </w:hyperlink>
      <w:r>
        <w:t xml:space="preserve">)</w:t>
      </w:r>
      <w:r>
        <w:t xml:space="preserve">:</w:t>
      </w:r>
    </w:p>
    <w:p>
      <w:pPr>
        <w:pStyle w:val="Compact"/>
        <w:numPr>
          <w:ilvl w:val="0"/>
          <w:numId w:val="1096"/>
        </w:numPr>
      </w:pPr>
      <w:r>
        <w:rPr>
          <w:b/>
          <w:bCs/>
        </w:rPr>
        <w:t xml:space="preserve">List 1</w:t>
      </w:r>
      <w:r>
        <w:t xml:space="preserve"> </w:t>
      </w:r>
      <w:r>
        <w:t xml:space="preserve">named the departments covered, including the Ministry of Defence, the Defence Science and Technology Laboratory and the Defence Aviation Repair Agency</w:t>
      </w:r>
      <w:r>
        <w:t xml:space="preserve"> </w:t>
      </w:r>
      <w:r>
        <w:t xml:space="preserve">(</w:t>
      </w:r>
      <w:hyperlink w:anchor="ref-gazette_2008">
        <w:r>
          <w:rPr>
            <w:rStyle w:val="Hyperlink"/>
          </w:rPr>
          <w:t xml:space="preserve">HM Treasury, 2008</w:t>
        </w:r>
      </w:hyperlink>
      <w:r>
        <w:t xml:space="preserve">)</w:t>
      </w:r>
      <w:r>
        <w:t xml:space="preserve">.</w:t>
      </w:r>
    </w:p>
    <w:p>
      <w:pPr>
        <w:pStyle w:val="Compact"/>
        <w:numPr>
          <w:ilvl w:val="0"/>
          <w:numId w:val="1096"/>
        </w:numPr>
      </w:pPr>
      <w:r>
        <w:rPr>
          <w:b/>
          <w:bCs/>
        </w:rPr>
        <w:t xml:space="preserve">List 2</w:t>
      </w:r>
      <w:r>
        <w:t xml:space="preserve"> </w:t>
      </w:r>
      <w:r>
        <w:t xml:space="preserve">described goods and services treated as business when supplied by a List 1 department</w:t>
      </w:r>
      <w:r>
        <w:t xml:space="preserve"> </w:t>
      </w:r>
      <w:r>
        <w:t xml:space="preserve">(</w:t>
      </w:r>
      <w:hyperlink w:anchor="ref-gazette_2008">
        <w:r>
          <w:rPr>
            <w:rStyle w:val="Hyperlink"/>
          </w:rPr>
          <w:t xml:space="preserve">HM Treasury, 2008, para. 4</w:t>
        </w:r>
      </w:hyperlink>
      <w:r>
        <w:t xml:space="preserve">)</w:t>
      </w:r>
      <w:r>
        <w:t xml:space="preserve">. Entries included:</w:t>
      </w:r>
    </w:p>
    <w:p>
      <w:pPr>
        <w:pStyle w:val="Compact"/>
        <w:numPr>
          <w:ilvl w:val="1"/>
          <w:numId w:val="1097"/>
        </w:numPr>
      </w:pPr>
      <w:r>
        <w:t xml:space="preserve">“</w:t>
      </w:r>
      <w:r>
        <w:t xml:space="preserve">Goods, including goods manufactured within a Government department and sold to its staff and to other customers, stores, surplus or other equipment</w:t>
      </w:r>
      <w:r>
        <w:t xml:space="preserve">”</w:t>
      </w:r>
      <w:r>
        <w:t xml:space="preserve">;</w:t>
      </w:r>
    </w:p>
    <w:p>
      <w:pPr>
        <w:pStyle w:val="Compact"/>
        <w:numPr>
          <w:ilvl w:val="1"/>
          <w:numId w:val="1097"/>
        </w:numPr>
      </w:pPr>
      <w:r>
        <w:t xml:space="preserve">“</w:t>
      </w:r>
      <w:r>
        <w:t xml:space="preserve">Export of goods and related services</w:t>
      </w:r>
      <w:r>
        <w:t xml:space="preserve">”</w:t>
      </w:r>
      <w:r>
        <w:t xml:space="preserve">;</w:t>
      </w:r>
    </w:p>
    <w:p>
      <w:pPr>
        <w:pStyle w:val="Compact"/>
        <w:numPr>
          <w:ilvl w:val="1"/>
          <w:numId w:val="1097"/>
        </w:numPr>
      </w:pPr>
      <w:r>
        <w:t xml:space="preserve">“</w:t>
      </w:r>
      <w:r>
        <w:t xml:space="preserve">Training, tuition or education and any related services or goods</w:t>
      </w:r>
      <w:r>
        <w:t xml:space="preserve">”</w:t>
      </w:r>
      <w:r>
        <w:t xml:space="preserve">;</w:t>
      </w:r>
    </w:p>
    <w:p>
      <w:pPr>
        <w:pStyle w:val="Compact"/>
        <w:numPr>
          <w:ilvl w:val="1"/>
          <w:numId w:val="1097"/>
        </w:numPr>
      </w:pPr>
      <w:r>
        <w:t xml:space="preserve">“</w:t>
      </w:r>
      <w:r>
        <w:t xml:space="preserve">Professional services, including those of any manager, adviser, expert, specialist or consultant</w:t>
      </w:r>
      <w:r>
        <w:t xml:space="preserve">”</w:t>
      </w:r>
      <w:r>
        <w:t xml:space="preserve">; and</w:t>
      </w:r>
    </w:p>
    <w:p>
      <w:pPr>
        <w:pStyle w:val="Compact"/>
        <w:numPr>
          <w:ilvl w:val="1"/>
          <w:numId w:val="1097"/>
        </w:numPr>
      </w:pPr>
      <w:r>
        <w:t xml:space="preserve">“</w:t>
      </w:r>
      <w:r>
        <w:t xml:space="preserve">Fire service assistance</w:t>
      </w:r>
      <w:r>
        <w:t xml:space="preserve">”</w:t>
      </w:r>
      <w:r>
        <w:t xml:space="preserve"> </w:t>
      </w:r>
      <w:r>
        <w:t xml:space="preserve">and</w:t>
      </w:r>
      <w:r>
        <w:t xml:space="preserve"> </w:t>
      </w:r>
      <w:r>
        <w:t xml:space="preserve">“</w:t>
      </w:r>
      <w:r>
        <w:t xml:space="preserve">Security services and related goods</w:t>
      </w:r>
      <w:r>
        <w:t xml:space="preserve">”</w:t>
      </w:r>
      <w:r>
        <w:t xml:space="preserve"> </w:t>
      </w:r>
      <w:r>
        <w:t xml:space="preserve">(</w:t>
      </w:r>
      <w:hyperlink w:anchor="ref-gazette_2008">
        <w:r>
          <w:rPr>
            <w:rStyle w:val="Hyperlink"/>
          </w:rPr>
          <w:t xml:space="preserve">HM Treasury, 2008</w:t>
        </w:r>
      </w:hyperlink>
      <w:r>
        <w:t xml:space="preserve">)</w:t>
      </w:r>
      <w:r>
        <w:t xml:space="preserve">.</w:t>
      </w:r>
    </w:p>
    <w:p>
      <w:pPr>
        <w:pStyle w:val="FirstParagraph"/>
      </w:pPr>
      <w:r>
        <w:t xml:space="preserve">Two lessons:</w:t>
      </w:r>
    </w:p>
    <w:p>
      <w:pPr>
        <w:pStyle w:val="Compact"/>
        <w:numPr>
          <w:ilvl w:val="0"/>
          <w:numId w:val="1098"/>
        </w:numPr>
      </w:pPr>
      <w:r>
        <w:rPr>
          <w:b/>
          <w:bCs/>
        </w:rPr>
        <w:t xml:space="preserve">Defending the country was not on the 2008 list.</w:t>
      </w:r>
      <w:r>
        <w:t xml:space="preserve"> </w:t>
      </w:r>
      <w:r>
        <w:t xml:space="preserve">List 2 described kinds of goods and services that a department supplies. Even the protective services on it, such as fire service assistance and security services, could only be business when supplied, and a supply needs consideration (Value Added Tax Act 1994, s. 5(2)(a)). This is the guide’s reading of the list</w:t>
      </w:r>
      <w:r>
        <w:t xml:space="preserve"> </w:t>
      </w:r>
      <w:r>
        <w:t xml:space="preserve">(</w:t>
      </w:r>
      <w:hyperlink w:anchor="ref-gazette_2008">
        <w:r>
          <w:rPr>
            <w:rStyle w:val="Hyperlink"/>
          </w:rPr>
          <w:t xml:space="preserve">HM Treasury, 2008</w:t>
        </w:r>
      </w:hyperlink>
      <w:r>
        <w:t xml:space="preserve">)</w:t>
      </w:r>
      <w:r>
        <w:t xml:space="preserve">.</w:t>
      </w:r>
    </w:p>
    <w:p>
      <w:pPr>
        <w:pStyle w:val="Compact"/>
        <w:numPr>
          <w:ilvl w:val="0"/>
          <w:numId w:val="1098"/>
        </w:numPr>
      </w:pPr>
      <w:r>
        <w:rPr>
          <w:b/>
          <w:bCs/>
        </w:rPr>
        <w:t xml:space="preserve">HMRC still sees most charged-for departmental supplies as competitive.</w:t>
      </w:r>
      <w:r>
        <w:t xml:space="preserve"> </w:t>
      </w:r>
      <w:r>
        <w:t xml:space="preserve">Its manual says</w:t>
      </w:r>
      <w:r>
        <w:t xml:space="preserve"> </w:t>
      </w:r>
      <w:r>
        <w:t xml:space="preserve">“</w:t>
      </w:r>
      <w:r>
        <w:t xml:space="preserve">the vast majority of supplies made by Government Departments and health authorities are, in fact, potentially in competition with the private sector</w:t>
      </w:r>
      <w:r>
        <w:t xml:space="preserve">”</w:t>
      </w:r>
      <w:r>
        <w:t xml:space="preserve"> </w:t>
      </w:r>
      <w:r>
        <w:t xml:space="preserve">(</w:t>
      </w:r>
      <w:hyperlink w:anchor="ref-hmrc_vatgpb">
        <w:r>
          <w:rPr>
            <w:rStyle w:val="Hyperlink"/>
          </w:rPr>
          <w:t xml:space="preserve">HMRC, 2026n, sec. VATGPB9330</w:t>
        </w:r>
      </w:hyperlink>
      <w:r>
        <w:t xml:space="preserve">)</w:t>
      </w:r>
      <w:r>
        <w:t xml:space="preserve">.</w:t>
      </w:r>
    </w:p>
    <w:p>
      <w:pPr>
        <w:pStyle w:val="FirstParagraph"/>
      </w:pPr>
      <w:r>
        <w:rPr>
          <w:b/>
          <w:bCs/>
        </w:rPr>
        <w:t xml:space="preserve">Check first:</w:t>
      </w:r>
      <w:r>
        <w:t xml:space="preserve"> </w:t>
      </w:r>
      <w:r>
        <w:t xml:space="preserve">HMRC’s flowchart still refers to the taxing direction lists</w:t>
      </w:r>
      <w:r>
        <w:t xml:space="preserve"> </w:t>
      </w:r>
      <w:r>
        <w:t xml:space="preserve">(</w:t>
      </w:r>
      <w:hyperlink w:anchor="ref-hmrc_vatgpb">
        <w:r>
          <w:rPr>
            <w:rStyle w:val="Hyperlink"/>
          </w:rPr>
          <w:t xml:space="preserve">HMRC, 2026n, sec. VATGPB3600</w:t>
        </w:r>
      </w:hyperlink>
      <w:r>
        <w:t xml:space="preserve">)</w:t>
      </w:r>
      <w:r>
        <w:t xml:space="preserve">, but section 41(2) has been removed (Finance Act 2012, s. 198(2)(a)). Use List 2 as a guide to what HMRC is likely to see as competitive, not as the law.</w:t>
      </w:r>
    </w:p>
    <w:bookmarkEnd w:id="88"/>
    <w:bookmarkStart w:id="89" w:name="supplies-between-government-departments"/>
    <w:p>
      <w:pPr>
        <w:pStyle w:val="Heading4"/>
      </w:pPr>
      <w:r>
        <w:t xml:space="preserve">Supplies between government departments</w:t>
      </w:r>
    </w:p>
    <w:p>
      <w:pPr>
        <w:pStyle w:val="FirstParagraph"/>
      </w:pPr>
      <w:r>
        <w:t xml:space="preserve">Section 41(5) is still in force. Goods or services</w:t>
      </w:r>
      <w:r>
        <w:t xml:space="preserve"> </w:t>
      </w:r>
      <w:r>
        <w:t xml:space="preserve">“</w:t>
      </w:r>
      <w:r>
        <w:t xml:space="preserve">obtained by one Government department from another Government department shall be treated, if and to the extent that the Treasury so direct, as supplied by that other department</w:t>
      </w:r>
      <w:r>
        <w:t xml:space="preserve">”</w:t>
      </w:r>
      <w:r>
        <w:t xml:space="preserve"> </w:t>
      </w:r>
      <w:r>
        <w:t xml:space="preserve">(Value Added Tax Act 1994, s. 41(5)).</w:t>
      </w:r>
    </w:p>
    <w:p>
      <w:pPr>
        <w:pStyle w:val="Compact"/>
        <w:numPr>
          <w:ilvl w:val="0"/>
          <w:numId w:val="1099"/>
        </w:numPr>
      </w:pPr>
      <w:r>
        <w:t xml:space="preserve">The 2008 Directions were made partly under section 41(5)</w:t>
      </w:r>
      <w:r>
        <w:t xml:space="preserve"> </w:t>
      </w:r>
      <w:r>
        <w:t xml:space="preserve">(</w:t>
      </w:r>
      <w:hyperlink w:anchor="ref-gazette_2008">
        <w:r>
          <w:rPr>
            <w:rStyle w:val="Hyperlink"/>
          </w:rPr>
          <w:t xml:space="preserve">HM Treasury, 2008</w:t>
        </w:r>
      </w:hyperlink>
      <w:r>
        <w:t xml:space="preserve">)</w:t>
      </w:r>
      <w:r>
        <w:t xml:space="preserve">.</w:t>
      </w:r>
    </w:p>
    <w:p>
      <w:pPr>
        <w:pStyle w:val="Compact"/>
        <w:numPr>
          <w:ilvl w:val="0"/>
          <w:numId w:val="1099"/>
        </w:numPr>
      </w:pPr>
      <w:r>
        <w:t xml:space="preserve">The 2020 COS Direction refuses a refund for VAT on costs used for a supply that</w:t>
      </w:r>
      <w:r>
        <w:t xml:space="preserve"> </w:t>
      </w:r>
      <w:r>
        <w:t xml:space="preserve">“</w:t>
      </w:r>
      <w:r>
        <w:t xml:space="preserve">is a supply by virtue of a direction made under section 41(5)</w:t>
      </w:r>
      <w:r>
        <w:t xml:space="preserve">”</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0"/>
          <w:numId w:val="1099"/>
        </w:numPr>
      </w:pPr>
      <w:r>
        <w:t xml:space="preserve">HMRC’s flowchart treats a supply between departments as business if it is in List 2</w:t>
      </w:r>
      <w:r>
        <w:t xml:space="preserve"> </w:t>
      </w:r>
      <w:r>
        <w:t xml:space="preserve">(</w:t>
      </w:r>
      <w:hyperlink w:anchor="ref-hmrc_vatgpb">
        <w:r>
          <w:rPr>
            <w:rStyle w:val="Hyperlink"/>
          </w:rPr>
          <w:t xml:space="preserve">HMRC, 2026n, sec. VATGPB3600</w:t>
        </w:r>
      </w:hyperlink>
      <w:r>
        <w:t xml:space="preserve">)</w:t>
      </w:r>
      <w:r>
        <w:t xml:space="preserve">.</w:t>
      </w:r>
    </w:p>
    <w:p>
      <w:pPr>
        <w:pStyle w:val="FirstParagraph"/>
      </w:pPr>
      <w:r>
        <w:rPr>
          <w:b/>
          <w:bCs/>
        </w:rPr>
        <w:t xml:space="preserve">Check first:</w:t>
      </w:r>
      <w:r>
        <w:t xml:space="preserve"> </w:t>
      </w:r>
      <w:r>
        <w:t xml:space="preserve">a search of The Gazette for this guide found no taxing direction published after 2008, and HMRC’s manual does not explain how the 2008 lists apply now. Before recharging another department (for example, for shared IT, training places or storage), agree the VAT treatment with HMRC.</w:t>
      </w:r>
    </w:p>
    <w:bookmarkEnd w:id="89"/>
    <w:bookmarkStart w:id="90" w:name="mixed-activities-and-apportionment"/>
    <w:p>
      <w:pPr>
        <w:pStyle w:val="Heading4"/>
      </w:pPr>
      <w:r>
        <w:t xml:space="preserve">Mixed activities and apportionment</w:t>
      </w:r>
    </w:p>
    <w:p>
      <w:pPr>
        <w:pStyle w:val="FirstParagraph"/>
      </w:pPr>
      <w:r>
        <w:t xml:space="preserve">Many costs support both kinds of activity. They are dealt with in a set order</w:t>
      </w:r>
      <w:r>
        <w:t xml:space="preserve"> </w:t>
      </w:r>
      <w:r>
        <w:t xml:space="preserve">(</w:t>
      </w:r>
      <w:hyperlink w:anchor="ref-hmrc_gdpef">
        <w:r>
          <w:rPr>
            <w:rStyle w:val="Hyperlink"/>
          </w:rPr>
          <w:t xml:space="preserve">HMRC, 2023c</w:t>
        </w:r>
      </w:hyperlink>
      <w:r>
        <w:t xml:space="preserve">)</w:t>
      </w:r>
      <w:r>
        <w:t xml:space="preserve">. See Part 1, How the framework splits the VAT.</w:t>
      </w:r>
    </w:p>
    <w:p>
      <w:pPr>
        <w:pStyle w:val="Compact"/>
        <w:numPr>
          <w:ilvl w:val="0"/>
          <w:numId w:val="1100"/>
        </w:numPr>
      </w:pPr>
      <w:r>
        <w:t xml:space="preserve">Directly attribute costs used wholly for one purpose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00"/>
        </w:numPr>
      </w:pPr>
      <w:r>
        <w:t xml:space="preserve">Split the rest between business and non-business use (Value Added Tax Act 1994, s. 24(5)). The method must be fair and reasonable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00"/>
        </w:numPr>
      </w:pPr>
      <w:r>
        <w:t xml:space="preserve">The non-business share is a COS refund if a heading applies. Otherwise it is a cost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00"/>
        </w:numPr>
      </w:pPr>
      <w:r>
        <w:t xml:space="preserve">The business share goes through the partial exemption method</w:t>
      </w:r>
      <w:r>
        <w:t xml:space="preserve"> </w:t>
      </w:r>
      <w:r>
        <w:t xml:space="preserve">(</w:t>
      </w:r>
      <w:hyperlink w:anchor="ref-hmrc_gdpef">
        <w:r>
          <w:rPr>
            <w:rStyle w:val="Hyperlink"/>
          </w:rPr>
          <w:t xml:space="preserve">HMRC, 2023c</w:t>
        </w:r>
      </w:hyperlink>
      <w:r>
        <w:t xml:space="preserve">)</w:t>
      </w:r>
      <w:r>
        <w:t xml:space="preserve">.</w:t>
      </w:r>
    </w:p>
    <w:p>
      <w:pPr>
        <w:pStyle w:val="FirstParagraph"/>
      </w:pPr>
      <w:r>
        <w:t xml:space="preserve">The business/non-business split must come before the partial exemption calculation</w:t>
      </w:r>
      <w:r>
        <w:t xml:space="preserve"> </w:t>
      </w:r>
      <w:r>
        <w:t xml:space="preserve">(</w:t>
      </w:r>
      <w:hyperlink w:anchor="ref-hmrc_gdpef">
        <w:r>
          <w:rPr>
            <w:rStyle w:val="Hyperlink"/>
          </w:rPr>
          <w:t xml:space="preserve">HMRC, 2023c</w:t>
        </w:r>
      </w:hyperlink>
      <w:r>
        <w:t xml:space="preserve">)</w:t>
      </w:r>
      <w:r>
        <w:t xml:space="preserve">.</w:t>
      </w:r>
    </w:p>
    <w:bookmarkEnd w:id="90"/>
    <w:bookmarkEnd w:id="91"/>
    <w:bookmarkStart w:id="99" w:name="Xbb35833047940b688c1aabf2c4f069719ab6e18"/>
    <w:p>
      <w:pPr>
        <w:pStyle w:val="Heading3"/>
      </w:pPr>
      <w:r>
        <w:t xml:space="preserve">Defence: does protecting people count as business?</w:t>
      </w:r>
    </w:p>
    <w:p>
      <w:pPr>
        <w:pStyle w:val="FirstParagraph"/>
      </w:pPr>
      <w:r>
        <w:rPr>
          <w:b/>
          <w:bCs/>
        </w:rPr>
        <w:t xml:space="preserve">No.</w:t>
      </w:r>
      <w:r>
        <w:t xml:space="preserve"> </w:t>
      </w:r>
      <w:r>
        <w:t xml:space="preserve">Protecting the public is not</w:t>
      </w:r>
      <w:r>
        <w:t xml:space="preserve"> </w:t>
      </w:r>
      <w:r>
        <w:t xml:space="preserve">“</w:t>
      </w:r>
      <w:r>
        <w:t xml:space="preserve">business</w:t>
      </w:r>
      <w:r>
        <w:t xml:space="preserve">”</w:t>
      </w:r>
      <w:r>
        <w:t xml:space="preserve"> </w:t>
      </w:r>
      <w:r>
        <w:t xml:space="preserve">for VAT just because it is valuable, expensive, well managed or called a service</w:t>
      </w:r>
      <w:r>
        <w:t xml:space="preserve"> </w:t>
      </w:r>
      <w:r>
        <w:t xml:space="preserve">(</w:t>
      </w:r>
      <w:hyperlink w:anchor="ref-hmrc_vatbus">
        <w:r>
          <w:rPr>
            <w:rStyle w:val="Hyperlink"/>
          </w:rPr>
          <w:t xml:space="preserve">HMRC, 2024f, sec. VBNB20100</w:t>
        </w:r>
      </w:hyperlink>
      <w:r>
        <w:t xml:space="preserve">)</w:t>
      </w:r>
      <w:r>
        <w:t xml:space="preserve">. VAT business needs a supply for payment, made to obtain income</w:t>
      </w:r>
      <w:r>
        <w:t xml:space="preserve"> </w:t>
      </w:r>
      <w:r>
        <w:t xml:space="preserve">(</w:t>
      </w:r>
      <w:hyperlink w:anchor="ref-hmrc_vatbus">
        <w:r>
          <w:rPr>
            <w:rStyle w:val="Hyperlink"/>
          </w:rPr>
          <w:t xml:space="preserve">HMRC, 2024f, sec. VBNB30200</w:t>
        </w:r>
      </w:hyperlink>
      <w:r>
        <w:t xml:space="preserve">)</w:t>
      </w:r>
      <w:r>
        <w:t xml:space="preserve">. Defending the country has neither, so on HMRC’s tests it is non-business. A defence department can still carry on some business activities, mainly when it sells goods or services for payment</w:t>
      </w:r>
      <w:r>
        <w:t xml:space="preserve"> </w:t>
      </w:r>
      <w:r>
        <w:t xml:space="preserve">(</w:t>
      </w:r>
      <w:hyperlink w:anchor="ref-hmrc_n700">
        <w:r>
          <w:rPr>
            <w:rStyle w:val="Hyperlink"/>
          </w:rPr>
          <w:t xml:space="preserve">HMRC, 2026o, para. 4.6.5</w:t>
        </w:r>
      </w:hyperlink>
      <w:r>
        <w:t xml:space="preserve">)</w:t>
      </w:r>
      <w:r>
        <w:t xml:space="preserve">.</w:t>
      </w:r>
    </w:p>
    <w:p>
      <w:pPr>
        <w:pStyle w:val="BodyText"/>
      </w:pPr>
      <w:r>
        <w:t xml:space="preserve">No HMRC page, notice or judgment found for this guide names national defence as non-business. The conclusion is the guide’s application of HMRC’s general tests, explained below.</w:t>
      </w:r>
    </w:p>
    <w:p>
      <w:pPr>
        <w:pStyle w:val="BodyText"/>
      </w:pPr>
      <w:r>
        <w:t xml:space="preserve">This section explains why, then works through the two examples in the question: working with other governments, and selling things to them.</w:t>
      </w:r>
    </w:p>
    <w:p>
      <w:pPr>
        <w:pStyle w:val="BodyText"/>
      </w:pPr>
      <w:r>
        <w:rPr>
          <w:b/>
          <w:bCs/>
        </w:rPr>
        <w:t xml:space="preserve">Important:</w:t>
      </w:r>
      <w:r>
        <w:t xml:space="preserve"> </w:t>
      </w:r>
      <w:r>
        <w:t xml:space="preserve">this guide is not the Ministry of Defence’s own guidance, and the examples use the fictional Department. A real department’s VAT position depends on its own facts and contracts. Where it is unclear, agree it with HMRC case by case. A partial exemption special method or combined method needs HMRC’s written approval</w:t>
      </w:r>
      <w:r>
        <w:t xml:space="preserve"> </w:t>
      </w:r>
      <w:r>
        <w:t xml:space="preserve">(</w:t>
      </w:r>
      <w:hyperlink w:anchor="ref-hmrc_gdpef">
        <w:r>
          <w:rPr>
            <w:rStyle w:val="Hyperlink"/>
          </w:rPr>
          <w:t xml:space="preserve">HMRC, 2023c</w:t>
        </w:r>
      </w:hyperlink>
      <w:r>
        <w:t xml:space="preserve">)</w:t>
      </w:r>
      <w:r>
        <w:t xml:space="preserve">.</w:t>
      </w:r>
    </w:p>
    <w:bookmarkStart w:id="92" w:name="why-national-defence-is-non-business"/>
    <w:p>
      <w:pPr>
        <w:pStyle w:val="Heading4"/>
      </w:pPr>
      <w:r>
        <w:t xml:space="preserve">Why national defence is non-business</w:t>
      </w:r>
    </w:p>
    <w:p>
      <w:pPr>
        <w:pStyle w:val="FirstParagraph"/>
      </w:pPr>
      <w:r>
        <w:t xml:space="preserve">There are four reasons. The first is enough on its own. The others back it up.</w:t>
      </w:r>
    </w:p>
    <w:p>
      <w:pPr>
        <w:pStyle w:val="BodyText"/>
      </w:pPr>
      <w:r>
        <w:rPr>
          <w:b/>
          <w:bCs/>
        </w:rPr>
        <w:t xml:space="preserve">1. There is no supply for consideration.</w:t>
      </w:r>
    </w:p>
    <w:p>
      <w:pPr>
        <w:pStyle w:val="Compact"/>
        <w:numPr>
          <w:ilvl w:val="0"/>
          <w:numId w:val="1101"/>
        </w:numPr>
      </w:pPr>
      <w:r>
        <w:t xml:space="preserve">The business test starts with a supply for consideration, which needs a legal relationship between a supplier and a recipient</w:t>
      </w:r>
      <w:r>
        <w:t xml:space="preserve"> </w:t>
      </w:r>
      <w:r>
        <w:t xml:space="preserve">(</w:t>
      </w:r>
      <w:hyperlink w:anchor="ref-hmrc_vatbus">
        <w:r>
          <w:rPr>
            <w:rStyle w:val="Hyperlink"/>
          </w:rPr>
          <w:t xml:space="preserve">HMRC, 2024f, sec. VBNB30200</w:t>
        </w:r>
      </w:hyperlink>
      <w:r>
        <w:t xml:space="preserve">)</w:t>
      </w:r>
      <w:r>
        <w:t xml:space="preserve">. The people protected do not contract with a defence department or pay it to be defended. Nobody can buy more defence, or opt out and pay less (the guide’s application of the test).</w:t>
      </w:r>
    </w:p>
    <w:p>
      <w:pPr>
        <w:pStyle w:val="Compact"/>
        <w:numPr>
          <w:ilvl w:val="0"/>
          <w:numId w:val="1101"/>
        </w:numPr>
      </w:pPr>
      <w:r>
        <w:t xml:space="preserve">In everyday language defence is a</w:t>
      </w:r>
      <w:r>
        <w:t xml:space="preserve"> </w:t>
      </w:r>
      <w:r>
        <w:t xml:space="preserve">“</w:t>
      </w:r>
      <w:r>
        <w:t xml:space="preserve">service</w:t>
      </w:r>
      <w:r>
        <w:t xml:space="preserve">”</w:t>
      </w:r>
      <w:r>
        <w:t xml:space="preserve">. In VAT, a supply of services needs something done for a consideration (Value Added Tax Act 1994, s. 5(2)(b)), with a direct link between the service and a payment</w:t>
      </w:r>
      <w:r>
        <w:t xml:space="preserve"> </w:t>
      </w:r>
      <w:r>
        <w:t xml:space="preserve">(</w:t>
      </w:r>
      <w:hyperlink w:anchor="ref-hmrc_vatsc">
        <w:r>
          <w:rPr>
            <w:rStyle w:val="Hyperlink"/>
          </w:rPr>
          <w:t xml:space="preserve">HMRC, 2025l, sec. VATSC05100</w:t>
        </w:r>
      </w:hyperlink>
      <w:r>
        <w:t xml:space="preserve">)</w:t>
      </w:r>
      <w:r>
        <w:t xml:space="preserve">.</w:t>
      </w:r>
    </w:p>
    <w:p>
      <w:pPr>
        <w:pStyle w:val="Compact"/>
        <w:numPr>
          <w:ilvl w:val="0"/>
          <w:numId w:val="1101"/>
        </w:numPr>
      </w:pPr>
      <w:r>
        <w:t xml:space="preserve">The benefit goes to the whole population, not to an identifiable customer. In</w:t>
      </w:r>
      <w:r>
        <w:t xml:space="preserve"> </w:t>
      </w:r>
      <w:r>
        <w:rPr>
          <w:i/>
          <w:iCs/>
        </w:rPr>
        <w:t xml:space="preserve">Apple and Pear Development Council</w:t>
      </w:r>
      <w:r>
        <w:t xml:space="preserve">, a levy paid for promotion that benefited a whole industry was not consideration</w:t>
      </w:r>
      <w:r>
        <w:t xml:space="preserve"> </w:t>
      </w:r>
      <w:r>
        <w:t xml:space="preserve">(</w:t>
      </w:r>
      <w:hyperlink w:anchor="ref-hmrc_vatsc">
        <w:r>
          <w:rPr>
            <w:rStyle w:val="Hyperlink"/>
          </w:rPr>
          <w:t xml:space="preserve">HMRC, 2025l, sec. VATSC05100</w:t>
        </w:r>
      </w:hyperlink>
      <w:r>
        <w:t xml:space="preserve">)</w:t>
      </w:r>
      <w:r>
        <w:t xml:space="preserve">. Defence is a stronger case, because there is not even a levy (the guide’s comparison).</w:t>
      </w:r>
    </w:p>
    <w:p>
      <w:pPr>
        <w:pStyle w:val="FirstParagraph"/>
      </w:pPr>
      <w:r>
        <w:rPr>
          <w:b/>
          <w:bCs/>
        </w:rPr>
        <w:t xml:space="preserve">2. It is paid for from public funds, not by the people protected.</w:t>
      </w:r>
    </w:p>
    <w:p>
      <w:pPr>
        <w:pStyle w:val="Compact"/>
        <w:numPr>
          <w:ilvl w:val="0"/>
          <w:numId w:val="1102"/>
        </w:numPr>
      </w:pPr>
      <w:r>
        <w:t xml:space="preserve">Parliament approves departments’ use of public resources each year through Supply Estimates</w:t>
      </w:r>
      <w:r>
        <w:t xml:space="preserve"> </w:t>
      </w:r>
      <w:r>
        <w:t xml:space="preserve">(</w:t>
      </w:r>
      <w:hyperlink w:anchor="ref-hmt_mpm">
        <w:r>
          <w:rPr>
            <w:rStyle w:val="Hyperlink"/>
          </w:rPr>
          <w:t xml:space="preserve">HM Treasury, 2026, chap. 2</w:t>
        </w:r>
      </w:hyperlink>
      <w:r>
        <w:t xml:space="preserve">)</w:t>
      </w:r>
      <w:r>
        <w:t xml:space="preserve">. Departments spend funds</w:t>
      </w:r>
      <w:r>
        <w:t xml:space="preserve"> </w:t>
      </w:r>
      <w:r>
        <w:t xml:space="preserve">“</w:t>
      </w:r>
      <w:r>
        <w:t xml:space="preserve">raised using powers agreed by Parliament</w:t>
      </w:r>
      <w:r>
        <w:t xml:space="preserve">”</w:t>
      </w:r>
      <w:r>
        <w:t xml:space="preserve"> </w:t>
      </w:r>
      <w:r>
        <w:t xml:space="preserve">(</w:t>
      </w:r>
      <w:hyperlink w:anchor="ref-hmt_mpm">
        <w:r>
          <w:rPr>
            <w:rStyle w:val="Hyperlink"/>
          </w:rPr>
          <w:t xml:space="preserve">HM Treasury, 2026</w:t>
        </w:r>
      </w:hyperlink>
      <w:r>
        <w:t xml:space="preserve">)</w:t>
      </w:r>
      <w:r>
        <w:t xml:space="preserve">.</w:t>
      </w:r>
    </w:p>
    <w:p>
      <w:pPr>
        <w:pStyle w:val="Compact"/>
        <w:numPr>
          <w:ilvl w:val="0"/>
          <w:numId w:val="1102"/>
        </w:numPr>
      </w:pPr>
      <w:r>
        <w:t xml:space="preserve">HMRC says many public body activities are outside the scope of VAT</w:t>
      </w:r>
      <w:r>
        <w:t xml:space="preserve"> </w:t>
      </w:r>
      <w:r>
        <w:t xml:space="preserve">“</w:t>
      </w:r>
      <w:r>
        <w:t xml:space="preserve">because they are funded from taxation for the wider public good</w:t>
      </w:r>
      <w:r>
        <w:t xml:space="preserve">”</w:t>
      </w:r>
      <w:r>
        <w:t xml:space="preserve"> </w:t>
      </w:r>
      <w:r>
        <w:t xml:space="preserve">(</w:t>
      </w:r>
      <w:hyperlink w:anchor="ref-hmrc_vatgpb">
        <w:r>
          <w:rPr>
            <w:rStyle w:val="Hyperlink"/>
          </w:rPr>
          <w:t xml:space="preserve">HMRC, 2026n, sec. VATGPB2310</w:t>
        </w:r>
      </w:hyperlink>
      <w:r>
        <w:t xml:space="preserve">)</w:t>
      </w:r>
      <w:r>
        <w:t xml:space="preserve">.</w:t>
      </w:r>
    </w:p>
    <w:p>
      <w:pPr>
        <w:pStyle w:val="FirstParagraph"/>
      </w:pPr>
      <w:r>
        <w:rPr>
          <w:b/>
          <w:bCs/>
        </w:rPr>
        <w:t xml:space="preserve">3. There is no market and no private competitor.</w:t>
      </w:r>
    </w:p>
    <w:p>
      <w:pPr>
        <w:pStyle w:val="Compact"/>
        <w:numPr>
          <w:ilvl w:val="0"/>
          <w:numId w:val="1103"/>
        </w:numPr>
      </w:pPr>
      <w:r>
        <w:t xml:space="preserve">HMRC says an activity is not business where it is part of</w:t>
      </w:r>
      <w:r>
        <w:t xml:space="preserve"> </w:t>
      </w:r>
      <w:r>
        <w:t xml:space="preserve">“</w:t>
      </w:r>
      <w:r>
        <w:t xml:space="preserve">a regulatory or Governmental activity, fulfilling the functions of the state</w:t>
      </w:r>
      <w:r>
        <w:t xml:space="preserve">”</w:t>
      </w:r>
      <w:r>
        <w:t xml:space="preserve">, or where</w:t>
      </w:r>
      <w:r>
        <w:t xml:space="preserve"> </w:t>
      </w:r>
      <w:r>
        <w:t xml:space="preserve">“</w:t>
      </w:r>
      <w:r>
        <w:t xml:space="preserve">there is no potential commercial competition</w:t>
      </w:r>
      <w:r>
        <w:t xml:space="preserve">”</w:t>
      </w:r>
      <w:r>
        <w:t xml:space="preserve"> </w:t>
      </w:r>
      <w:r>
        <w:t xml:space="preserve">(</w:t>
      </w:r>
      <w:hyperlink w:anchor="ref-hmrc_vatbus">
        <w:r>
          <w:rPr>
            <w:rStyle w:val="Hyperlink"/>
          </w:rPr>
          <w:t xml:space="preserve">HMRC, 2024f, sec. VBNB30200</w:t>
        </w:r>
      </w:hyperlink>
      <w:r>
        <w:t xml:space="preserve">)</w:t>
      </w:r>
      <w:r>
        <w:t xml:space="preserve">.</w:t>
      </w:r>
    </w:p>
    <w:p>
      <w:pPr>
        <w:pStyle w:val="Compact"/>
        <w:numPr>
          <w:ilvl w:val="0"/>
          <w:numId w:val="1103"/>
        </w:numPr>
      </w:pPr>
      <w:r>
        <w:t xml:space="preserve">HMRC also says activities</w:t>
      </w:r>
      <w:r>
        <w:t xml:space="preserve"> </w:t>
      </w:r>
      <w:r>
        <w:t xml:space="preserve">“</w:t>
      </w:r>
      <w:r>
        <w:t xml:space="preserve">which public bodies alone are required and able to perform are unlikely to be economic activities</w:t>
      </w:r>
      <w:r>
        <w:t xml:space="preserve">”</w:t>
      </w:r>
      <w:r>
        <w:t xml:space="preserve"> </w:t>
      </w:r>
      <w:r>
        <w:t xml:space="preserve">(</w:t>
      </w:r>
      <w:hyperlink w:anchor="ref-hmrc_vatgpb">
        <w:r>
          <w:rPr>
            <w:rStyle w:val="Hyperlink"/>
          </w:rPr>
          <w:t xml:space="preserve">HMRC, 2026n, sec. VATGPB2200</w:t>
        </w:r>
      </w:hyperlink>
      <w:r>
        <w:t xml:space="preserve">)</w:t>
      </w:r>
      <w:r>
        <w:t xml:space="preserve">.</w:t>
      </w:r>
    </w:p>
    <w:p>
      <w:pPr>
        <w:pStyle w:val="Compact"/>
        <w:numPr>
          <w:ilvl w:val="0"/>
          <w:numId w:val="1103"/>
        </w:numPr>
      </w:pPr>
      <w:r>
        <w:t xml:space="preserve">Defending the country is a function of the state that no private business offers to the public. This is the guide’s application of HMRC’s general statements.</w:t>
      </w:r>
    </w:p>
    <w:p>
      <w:pPr>
        <w:pStyle w:val="FirstParagraph"/>
      </w:pPr>
      <w:r>
        <w:rPr>
          <w:b/>
          <w:bCs/>
        </w:rPr>
        <w:t xml:space="preserve">4. Section 41A is a backstop, if it were ever needed.</w:t>
      </w:r>
    </w:p>
    <w:p>
      <w:pPr>
        <w:pStyle w:val="Compact"/>
        <w:numPr>
          <w:ilvl w:val="0"/>
          <w:numId w:val="1104"/>
        </w:numPr>
      </w:pPr>
      <w:r>
        <w:t xml:space="preserve">Section 41A only matters if an activity first passes the normal business test</w:t>
      </w:r>
      <w:r>
        <w:t xml:space="preserve"> </w:t>
      </w:r>
      <w:r>
        <w:t xml:space="preserve">(</w:t>
      </w:r>
      <w:hyperlink w:anchor="ref-hmrc_vatgpb">
        <w:r>
          <w:rPr>
            <w:rStyle w:val="Hyperlink"/>
          </w:rPr>
          <w:t xml:space="preserve">HMRC, 2026n, sec. VATGPB3210</w:t>
        </w:r>
      </w:hyperlink>
      <w:r>
        <w:t xml:space="preserve">)</w:t>
      </w:r>
      <w:r>
        <w:t xml:space="preserve">. National defence does not.</w:t>
      </w:r>
    </w:p>
    <w:p>
      <w:pPr>
        <w:pStyle w:val="Compact"/>
        <w:numPr>
          <w:ilvl w:val="0"/>
          <w:numId w:val="1104"/>
        </w:numPr>
      </w:pPr>
      <w:r>
        <w:t xml:space="preserve">If it were reached, the public authority rule is aimed at activities</w:t>
      </w:r>
      <w:r>
        <w:t xml:space="preserve"> </w:t>
      </w:r>
      <w:r>
        <w:t xml:space="preserve">“</w:t>
      </w:r>
      <w:r>
        <w:t xml:space="preserve">closely linked to the exercise of rights and powers of public authority</w:t>
      </w:r>
      <w:r>
        <w:t xml:space="preserve">”</w:t>
      </w:r>
      <w:r>
        <w:t xml:space="preserve"> </w:t>
      </w:r>
      <w:r>
        <w:t xml:space="preserve">and carried on</w:t>
      </w:r>
      <w:r>
        <w:t xml:space="preserve"> </w:t>
      </w:r>
      <w:r>
        <w:t xml:space="preserve">“</w:t>
      </w:r>
      <w:r>
        <w:t xml:space="preserve">exclusively, or almost exclusively, by the public sector</w:t>
      </w:r>
      <w:r>
        <w:t xml:space="preserve">”</w:t>
      </w:r>
      <w:r>
        <w:t xml:space="preserve"> </w:t>
      </w:r>
      <w:r>
        <w:t xml:space="preserve">(</w:t>
      </w:r>
      <w:r>
        <w:rPr>
          <w:i/>
          <w:iCs/>
        </w:rPr>
        <w:t xml:space="preserve">Northumbria Healthcare</w:t>
      </w:r>
      <w:r>
        <w:t xml:space="preserve">, para. 51). National defence fits that description, and there is no private competitor to protect (again, the guide’s application of the rule).</w:t>
      </w:r>
    </w:p>
    <w:p>
      <w:pPr>
        <w:pStyle w:val="FirstParagraph"/>
      </w:pPr>
      <w:r>
        <w:rPr>
          <w:b/>
          <w:bCs/>
        </w:rPr>
        <w:t xml:space="preserve">The closest HMRC statement about armed forces.</w:t>
      </w:r>
      <w:r>
        <w:t xml:space="preserve"> </w:t>
      </w:r>
      <w:r>
        <w:t xml:space="preserve">HMRC lets UK suppliers zero-rate training supplied to overseas governments for their</w:t>
      </w:r>
      <w:r>
        <w:t xml:space="preserve"> </w:t>
      </w:r>
      <w:r>
        <w:t xml:space="preserve">“</w:t>
      </w:r>
      <w:r>
        <w:t xml:space="preserve">sovereign activities (that is not for business purposes)</w:t>
      </w:r>
      <w:r>
        <w:t xml:space="preserve">”</w:t>
      </w:r>
      <w:r>
        <w:t xml:space="preserve">. For this purpose an overseas government includes members of its</w:t>
      </w:r>
      <w:r>
        <w:t xml:space="preserve"> </w:t>
      </w:r>
      <w:r>
        <w:t xml:space="preserve">“</w:t>
      </w:r>
      <w:r>
        <w:t xml:space="preserve">armed forces</w:t>
      </w:r>
      <w:r>
        <w:t xml:space="preserve">”</w:t>
      </w:r>
      <w:r>
        <w:t xml:space="preserve">,</w:t>
      </w:r>
      <w:r>
        <w:t xml:space="preserve"> </w:t>
      </w:r>
      <w:r>
        <w:t xml:space="preserve">“</w:t>
      </w:r>
      <w:r>
        <w:t xml:space="preserve">police</w:t>
      </w:r>
      <w:r>
        <w:t xml:space="preserve">”</w:t>
      </w:r>
      <w:r>
        <w:t xml:space="preserve"> </w:t>
      </w:r>
      <w:r>
        <w:t xml:space="preserve">and</w:t>
      </w:r>
      <w:r>
        <w:t xml:space="preserve"> </w:t>
      </w:r>
      <w:r>
        <w:t xml:space="preserve">“</w:t>
      </w:r>
      <w:r>
        <w:t xml:space="preserve">emergency services</w:t>
      </w:r>
      <w:r>
        <w:t xml:space="preserve">”</w:t>
      </w:r>
      <w:r>
        <w:t xml:space="preserve"> </w:t>
      </w:r>
      <w:r>
        <w:t xml:space="preserve">(</w:t>
      </w:r>
      <w:hyperlink w:anchor="ref-hmrc_n741a">
        <w:r>
          <w:rPr>
            <w:rStyle w:val="Hyperlink"/>
          </w:rPr>
          <w:t xml:space="preserve">HMRC, 2022d</w:t>
        </w:r>
      </w:hyperlink>
      <w:r>
        <w:t xml:space="preserve">, paras. 15.6 and 15.7)</w:t>
      </w:r>
      <w:r>
        <w:t xml:space="preserve">. So HMRC accepts that a government’s armed forces can carry on sovereign activities that are not business. This concession is about overseas governments as customers, so it supports the conclusion but does not decide it.</w:t>
      </w:r>
    </w:p>
    <w:p>
      <w:pPr>
        <w:pStyle w:val="BodyText"/>
      </w:pPr>
      <w:r>
        <w:rPr>
          <w:b/>
          <w:bCs/>
        </w:rPr>
        <w:t xml:space="preserve">Calling it</w:t>
      </w:r>
      <w:r>
        <w:rPr>
          <w:b/>
          <w:bCs/>
        </w:rPr>
        <w:t xml:space="preserve"> </w:t>
      </w:r>
      <w:r>
        <w:rPr>
          <w:b/>
          <w:bCs/>
        </w:rPr>
        <w:t xml:space="preserve">“</w:t>
      </w:r>
      <w:r>
        <w:rPr>
          <w:b/>
          <w:bCs/>
        </w:rPr>
        <w:t xml:space="preserve">business</w:t>
      </w:r>
      <w:r>
        <w:rPr>
          <w:b/>
          <w:bCs/>
        </w:rPr>
        <w:t xml:space="preserve">”</w:t>
      </w:r>
      <w:r>
        <w:rPr>
          <w:b/>
          <w:bCs/>
        </w:rPr>
        <w:t xml:space="preserve"> </w:t>
      </w:r>
      <w:r>
        <w:rPr>
          <w:b/>
          <w:bCs/>
        </w:rPr>
        <w:t xml:space="preserve">would not help anyway.</w:t>
      </w:r>
      <w:r>
        <w:t xml:space="preserve"> </w:t>
      </w:r>
      <w:r>
        <w:t xml:space="preserve">Input tax is deductible only so far as it is attributable to taxable supplies and the other supplies listed in section 26(2), such as supplies made abroad that would be taxable in the UK (Value Added Tax Act 1994, s. 26(2)). Defending the country makes no such supplies, so there would be nothing to attach the VAT to. The route for non-business VAT is COS, for services within a heading</w:t>
      </w:r>
      <w:r>
        <w:t xml:space="preserve"> </w:t>
      </w:r>
      <w:r>
        <w:t xml:space="preserve">(</w:t>
      </w:r>
      <w:hyperlink w:anchor="ref-hmrc_gdpef">
        <w:r>
          <w:rPr>
            <w:rStyle w:val="Hyperlink"/>
          </w:rPr>
          <w:t xml:space="preserve">HMRC, 2023c</w:t>
        </w:r>
      </w:hyperlink>
      <w:r>
        <w:t xml:space="preserve">)</w:t>
      </w:r>
      <w:r>
        <w:t xml:space="preserve">.</w:t>
      </w:r>
    </w:p>
    <w:p>
      <w:pPr>
        <w:pStyle w:val="BodyText"/>
      </w:pPr>
      <w:r>
        <w:rPr>
          <w:b/>
          <w:bCs/>
        </w:rPr>
        <w:t xml:space="preserve">What the VAT system shows:</w:t>
      </w:r>
    </w:p>
    <w:p>
      <w:pPr>
        <w:pStyle w:val="Compact"/>
        <w:numPr>
          <w:ilvl w:val="0"/>
          <w:numId w:val="1105"/>
        </w:numPr>
      </w:pPr>
      <w:r>
        <w:t xml:space="preserve">HMRC says the Ministry of Defence is registered for VAT and that supplies to it,</w:t>
      </w:r>
      <w:r>
        <w:t xml:space="preserve"> </w:t>
      </w:r>
      <w:r>
        <w:t xml:space="preserve">“</w:t>
      </w:r>
      <w:r>
        <w:t xml:space="preserve">or to any military establishment in the UK on their behalf, should include VAT at the appropriate rate</w:t>
      </w:r>
      <w:r>
        <w:t xml:space="preserve">”</w:t>
      </w:r>
      <w:r>
        <w:t xml:space="preserve"> </w:t>
      </w:r>
      <w:r>
        <w:t xml:space="preserve">(</w:t>
      </w:r>
      <w:hyperlink w:anchor="ref-hmrc_n703">
        <w:r>
          <w:rPr>
            <w:rStyle w:val="Hyperlink"/>
          </w:rPr>
          <w:t xml:space="preserve">HMRC, 2026p, para. 4.10</w:t>
        </w:r>
      </w:hyperlink>
      <w:r>
        <w:t xml:space="preserve">)</w:t>
      </w:r>
      <w:r>
        <w:t xml:space="preserve">. Registration does not make defence a business. Departments must register whatever their taxable supplies, so that they can claim COS refunds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05"/>
        </w:numPr>
      </w:pPr>
      <w:r>
        <w:t xml:space="preserve">There is a COS heading for</w:t>
      </w:r>
      <w:r>
        <w:t xml:space="preserve"> </w:t>
      </w:r>
      <w:r>
        <w:t xml:space="preserve">“</w:t>
      </w:r>
      <w:r>
        <w:t xml:space="preserve">fire prevention and rescue services provided to the Ministry of Defence</w:t>
      </w:r>
      <w:r>
        <w:t xml:space="preserve">”</w:t>
      </w:r>
      <w:r>
        <w:t xml:space="preserve">, including</w:t>
      </w:r>
      <w:r>
        <w:t xml:space="preserve"> </w:t>
      </w:r>
      <w:r>
        <w:t xml:space="preserve">“</w:t>
      </w:r>
      <w:r>
        <w:t xml:space="preserve">Operational fire and rescue capability in support of military operations worldwide</w:t>
      </w:r>
      <w:r>
        <w:t xml:space="preserve">”</w:t>
      </w:r>
      <w:r>
        <w:t xml:space="preserve"> </w:t>
      </w:r>
      <w:r>
        <w:t xml:space="preserve">(</w:t>
      </w:r>
      <w:hyperlink w:anchor="ref-hmrc_vatgpb">
        <w:r>
          <w:rPr>
            <w:rStyle w:val="Hyperlink"/>
          </w:rPr>
          <w:t xml:space="preserve">HMRC, 2026n, sec. VATGPB11330</w:t>
        </w:r>
      </w:hyperlink>
      <w:r>
        <w:t xml:space="preserve">)</w:t>
      </w:r>
      <w:r>
        <w:t xml:space="preserve">. COS refunds are only for non-business use</w:t>
      </w:r>
      <w:r>
        <w:t xml:space="preserve"> </w:t>
      </w:r>
      <w:r>
        <w:t xml:space="preserve">(</w:t>
      </w:r>
      <w:hyperlink w:anchor="ref-gazette_2020">
        <w:r>
          <w:rPr>
            <w:rStyle w:val="Hyperlink"/>
          </w:rPr>
          <w:t xml:space="preserve">HM Treasury, 2020b</w:t>
        </w:r>
      </w:hyperlink>
      <w:r>
        <w:t xml:space="preserve">)</w:t>
      </w:r>
      <w:r>
        <w:t xml:space="preserve">. That the heading exists suggests the Treasury expects this use to be non-business. This is the guide’s inference.</w:t>
      </w:r>
    </w:p>
    <w:bookmarkEnd w:id="92"/>
    <w:bookmarkStart w:id="93" w:name="X962a0eaf339ca86e1d4ddbcae2b79092b663687"/>
    <w:p>
      <w:pPr>
        <w:pStyle w:val="Heading4"/>
      </w:pPr>
      <w:r>
        <w:t xml:space="preserve">Example from the question: working with other governments</w:t>
      </w:r>
    </w:p>
    <w:p>
      <w:pPr>
        <w:pStyle w:val="FirstParagraph"/>
      </w:pPr>
      <w:r>
        <w:t xml:space="preserve">The answer depends on one thing: does anyone pay anyone for something specific?</w:t>
      </w:r>
    </w:p>
    <w:p>
      <w:pPr>
        <w:pStyle w:val="Compact"/>
        <w:numPr>
          <w:ilvl w:val="0"/>
          <w:numId w:val="1106"/>
        </w:numPr>
      </w:pPr>
      <w:r>
        <w:rPr>
          <w:b/>
          <w:bCs/>
        </w:rPr>
        <w:t xml:space="preserve">Non-business:</w:t>
      </w:r>
      <w:r>
        <w:t xml:space="preserve"> </w:t>
      </w:r>
      <w:r>
        <w:t xml:space="preserve">joint exercises, alliances, joint operations, sharing information and mutual support where nothing is charged. There is no supply for consideration</w:t>
      </w:r>
      <w:r>
        <w:t xml:space="preserve"> </w:t>
      </w:r>
      <w:r>
        <w:t xml:space="preserve">(</w:t>
      </w:r>
      <w:hyperlink w:anchor="ref-hmrc_vatbus">
        <w:r>
          <w:rPr>
            <w:rStyle w:val="Hyperlink"/>
          </w:rPr>
          <w:t xml:space="preserve">HMRC, 2024f, sec. VBNB30200</w:t>
        </w:r>
      </w:hyperlink>
      <w:r>
        <w:t xml:space="preserve">;</w:t>
      </w:r>
      <w:r>
        <w:t xml:space="preserve"> </w:t>
      </w:r>
      <w:hyperlink w:anchor="ref-hmrc_n700">
        <w:r>
          <w:rPr>
            <w:rStyle w:val="Hyperlink"/>
          </w:rPr>
          <w:t xml:space="preserve">2026o, para. 4.6.4</w:t>
        </w:r>
      </w:hyperlink>
      <w:r>
        <w:t xml:space="preserve">)</w:t>
      </w:r>
      <w:r>
        <w:t xml:space="preserve">.</w:t>
      </w:r>
    </w:p>
    <w:p>
      <w:pPr>
        <w:pStyle w:val="Compact"/>
        <w:numPr>
          <w:ilvl w:val="0"/>
          <w:numId w:val="1106"/>
        </w:numPr>
      </w:pPr>
      <w:r>
        <w:rPr>
          <w:b/>
          <w:bCs/>
        </w:rPr>
        <w:t xml:space="preserve">Not recoverable:</w:t>
      </w:r>
      <w:r>
        <w:t xml:space="preserve"> </w:t>
      </w:r>
      <w:r>
        <w:t xml:space="preserve">VAT on costs used only for that work is not input tax</w:t>
      </w:r>
      <w:r>
        <w:t xml:space="preserve"> </w:t>
      </w:r>
      <w:r>
        <w:t xml:space="preserve">(</w:t>
      </w:r>
      <w:hyperlink w:anchor="ref-hmrc_n700">
        <w:r>
          <w:rPr>
            <w:rStyle w:val="Hyperlink"/>
          </w:rPr>
          <w:t xml:space="preserve">HMRC, 2026o, para. 4.6.3</w:t>
        </w:r>
      </w:hyperlink>
      <w:r>
        <w:t xml:space="preserve">)</w:t>
      </w:r>
      <w:r>
        <w:t xml:space="preserve">.</w:t>
      </w:r>
    </w:p>
    <w:p>
      <w:pPr>
        <w:pStyle w:val="Compact"/>
        <w:numPr>
          <w:ilvl w:val="0"/>
          <w:numId w:val="1106"/>
        </w:numPr>
      </w:pPr>
      <w:r>
        <w:rPr>
          <w:b/>
          <w:bCs/>
        </w:rPr>
        <w:t xml:space="preserve">Claimable:</w:t>
      </w:r>
      <w:r>
        <w:t xml:space="preserve"> </w:t>
      </w:r>
      <w:r>
        <w:t xml:space="preserve">only UK VAT on services within a COS heading</w:t>
      </w:r>
      <w:r>
        <w:t xml:space="preserve"> </w:t>
      </w:r>
      <w:r>
        <w:t xml:space="preserve">(</w:t>
      </w:r>
      <w:hyperlink w:anchor="ref-hmrc_gdpef">
        <w:r>
          <w:rPr>
            <w:rStyle w:val="Hyperlink"/>
          </w:rPr>
          <w:t xml:space="preserve">HMRC, 2023c</w:t>
        </w:r>
      </w:hyperlink>
      <w:r>
        <w:t xml:space="preserve">)</w:t>
      </w:r>
      <w:r>
        <w:t xml:space="preserve">. Foreign VAT is never COS (see Part 4, Foreign VAT charged abroad).</w:t>
      </w:r>
    </w:p>
    <w:p>
      <w:pPr>
        <w:pStyle w:val="Compact"/>
        <w:numPr>
          <w:ilvl w:val="0"/>
          <w:numId w:val="1106"/>
        </w:numPr>
      </w:pPr>
      <w:r>
        <w:rPr>
          <w:b/>
          <w:bCs/>
        </w:rPr>
        <w:t xml:space="preserve">Check first:</w:t>
      </w:r>
      <w:r>
        <w:t xml:space="preserve"> </w:t>
      </w:r>
      <w:r>
        <w:t xml:space="preserve">where governments</w:t>
      </w:r>
      <w:r>
        <w:t xml:space="preserve"> </w:t>
      </w:r>
      <w:r>
        <w:rPr>
          <w:b/>
          <w:bCs/>
        </w:rPr>
        <w:t xml:space="preserve">share the costs</w:t>
      </w:r>
      <w:r>
        <w:t xml:space="preserve"> </w:t>
      </w:r>
      <w:r>
        <w:t xml:space="preserve">of a joint project, a contribution may or may not be consideration.</w:t>
      </w:r>
    </w:p>
    <w:p>
      <w:pPr>
        <w:pStyle w:val="Compact"/>
        <w:numPr>
          <w:ilvl w:val="1"/>
          <w:numId w:val="1107"/>
        </w:numPr>
      </w:pPr>
      <w:r>
        <w:t xml:space="preserve">HMRC says that where sponsors co-fund a research and development project and their benefits (such as reports or rights over results) are incidental,</w:t>
      </w:r>
      <w:r>
        <w:t xml:space="preserve"> </w:t>
      </w:r>
      <w:r>
        <w:t xml:space="preserve">“</w:t>
      </w:r>
      <w:r>
        <w:t xml:space="preserve">the funding of the project is not seen as a consideration for any supply</w:t>
      </w:r>
      <w:r>
        <w:t xml:space="preserve">”</w:t>
      </w:r>
      <w:r>
        <w:t xml:space="preserve"> </w:t>
      </w:r>
      <w:r>
        <w:t xml:space="preserve">(</w:t>
      </w:r>
      <w:hyperlink w:anchor="ref-hmrc_vatsc">
        <w:r>
          <w:rPr>
            <w:rStyle w:val="Hyperlink"/>
          </w:rPr>
          <w:t xml:space="preserve">HMRC, 2025l, sec. VATSC06110</w:t>
        </w:r>
      </w:hyperlink>
      <w:r>
        <w:t xml:space="preserve">)</w:t>
      </w:r>
      <w:r>
        <w:t xml:space="preserve">.</w:t>
      </w:r>
    </w:p>
    <w:p>
      <w:pPr>
        <w:pStyle w:val="Compact"/>
        <w:numPr>
          <w:ilvl w:val="1"/>
          <w:numId w:val="1107"/>
        </w:numPr>
      </w:pPr>
      <w:r>
        <w:t xml:space="preserve">Where a party pays for specific services that it receives, that points to consideration</w:t>
      </w:r>
      <w:r>
        <w:t xml:space="preserve"> </w:t>
      </w:r>
      <w:r>
        <w:t xml:space="preserve">(</w:t>
      </w:r>
      <w:hyperlink w:anchor="ref-hmrc_vatsc">
        <w:r>
          <w:rPr>
            <w:rStyle w:val="Hyperlink"/>
          </w:rPr>
          <w:t xml:space="preserve">HMRC, 2025l, sec. VATSC06318</w:t>
        </w:r>
      </w:hyperlink>
      <w:r>
        <w:t xml:space="preserve">)</w:t>
      </w:r>
      <w:r>
        <w:t xml:space="preserve">.</w:t>
      </w:r>
    </w:p>
    <w:p>
      <w:pPr>
        <w:pStyle w:val="Compact"/>
        <w:numPr>
          <w:ilvl w:val="0"/>
          <w:numId w:val="1106"/>
        </w:numPr>
      </w:pPr>
      <w:r>
        <w:rPr>
          <w:b/>
          <w:bCs/>
        </w:rPr>
        <w:t xml:space="preserve">Business:</w:t>
      </w:r>
      <w:r>
        <w:t xml:space="preserve"> </w:t>
      </w:r>
      <w:r>
        <w:t xml:space="preserve">normally, where one government charges another for a specific service, such as logistics support</w:t>
      </w:r>
      <w:r>
        <w:t xml:space="preserve"> </w:t>
      </w:r>
      <w:r>
        <w:t xml:space="preserve">(</w:t>
      </w:r>
      <w:hyperlink w:anchor="ref-hmrc_vatbus">
        <w:r>
          <w:rPr>
            <w:rStyle w:val="Hyperlink"/>
          </w:rPr>
          <w:t xml:space="preserve">HMRC, 2024f, sec. VBNB30200</w:t>
        </w:r>
      </w:hyperlink>
      <w:r>
        <w:t xml:space="preserve">)</w:t>
      </w:r>
      <w:r>
        <w:t xml:space="preserve">. See Worked example 4.</w:t>
      </w:r>
    </w:p>
    <w:p>
      <w:pPr>
        <w:pStyle w:val="FirstParagraph"/>
      </w:pPr>
      <w:r>
        <w:rPr>
          <w:b/>
          <w:bCs/>
        </w:rPr>
        <w:t xml:space="preserve">International Collaboration Defence Projects (ICDPs)</w:t>
      </w:r>
      <w:r>
        <w:t xml:space="preserve"> </w:t>
      </w:r>
      <w:r>
        <w:t xml:space="preserve">have their own zero rate (Value Added Tax Act 1994, Sch. 8, Group 13, item 2).</w:t>
      </w:r>
    </w:p>
    <w:p>
      <w:pPr>
        <w:pStyle w:val="Compact"/>
        <w:numPr>
          <w:ilvl w:val="0"/>
          <w:numId w:val="1108"/>
        </w:numPr>
      </w:pPr>
      <w:r>
        <w:t xml:space="preserve">It zero-rates supplies</w:t>
      </w:r>
      <w:r>
        <w:t xml:space="preserve"> </w:t>
      </w:r>
      <w:r>
        <w:rPr>
          <w:b/>
          <w:bCs/>
        </w:rPr>
        <w:t xml:space="preserve">to or by</w:t>
      </w:r>
      <w:r>
        <w:t xml:space="preserve"> </w:t>
      </w:r>
      <w:r>
        <w:t xml:space="preserve">an overseas authority, body or trader that manages a defence project under an</w:t>
      </w:r>
      <w:r>
        <w:t xml:space="preserve"> </w:t>
      </w:r>
      <w:r>
        <w:t xml:space="preserve">“</w:t>
      </w:r>
      <w:r>
        <w:t xml:space="preserve">international collaboration arrangement</w:t>
      </w:r>
      <w:r>
        <w:t xml:space="preserve">”</w:t>
      </w:r>
      <w:r>
        <w:t xml:space="preserve">, or is under direct contract with a participating government,</w:t>
      </w:r>
      <w:r>
        <w:t xml:space="preserve"> </w:t>
      </w:r>
      <w:r>
        <w:t xml:space="preserve">“</w:t>
      </w:r>
      <w:r>
        <w:t xml:space="preserve">in the course of giving effect to that arrangement</w:t>
      </w:r>
      <w:r>
        <w:t xml:space="preserve">”</w:t>
      </w:r>
      <w:r>
        <w:t xml:space="preserve"> </w:t>
      </w:r>
      <w:r>
        <w:t xml:space="preserve">(Value Added Tax Act 1994, Sch. 8, Group 13, item 2).</w:t>
      </w:r>
    </w:p>
    <w:p>
      <w:pPr>
        <w:pStyle w:val="Compact"/>
        <w:numPr>
          <w:ilvl w:val="0"/>
          <w:numId w:val="1108"/>
        </w:numPr>
      </w:pPr>
      <w:r>
        <w:t xml:space="preserve">The arrangement must be between the UK Government and other governments (or a government-sponsored international body)</w:t>
      </w:r>
      <w:r>
        <w:t xml:space="preserve"> </w:t>
      </w:r>
      <w:r>
        <w:t xml:space="preserve">“</w:t>
      </w:r>
      <w:r>
        <w:t xml:space="preserve">for collaboration in a joint project of research, development or production</w:t>
      </w:r>
      <w:r>
        <w:t xml:space="preserve">”</w:t>
      </w:r>
      <w:r>
        <w:t xml:space="preserve">, and must provide for relieving the project’s cost from taxation (Value Added Tax Act 1994, Sch. 8, Group 13, note (1)).</w:t>
      </w:r>
    </w:p>
    <w:p>
      <w:pPr>
        <w:pStyle w:val="Compact"/>
        <w:numPr>
          <w:ilvl w:val="0"/>
          <w:numId w:val="1108"/>
        </w:numPr>
      </w:pPr>
      <w:r>
        <w:t xml:space="preserve">HMRC keeps a list of qualifying agreements, updated after consulting the Ministry of Defence. It includes, for example, the A400M aircraft and Eurofighter (Typhoon)</w:t>
      </w:r>
      <w:r>
        <w:t xml:space="preserve"> </w:t>
      </w:r>
      <w:r>
        <w:t xml:space="preserve">(</w:t>
      </w:r>
      <w:hyperlink w:anchor="ref-hmrc_vatgpb">
        <w:r>
          <w:rPr>
            <w:rStyle w:val="Hyperlink"/>
          </w:rPr>
          <w:t xml:space="preserve">HMRC, 2026n</w:t>
        </w:r>
      </w:hyperlink>
      <w:r>
        <w:t xml:space="preserve">, secs. VATGPB9500 and VATGPB9510)</w:t>
      </w:r>
      <w:r>
        <w:t xml:space="preserve">.</w:t>
      </w:r>
    </w:p>
    <w:p>
      <w:pPr>
        <w:pStyle w:val="Compact"/>
        <w:numPr>
          <w:ilvl w:val="0"/>
          <w:numId w:val="1108"/>
        </w:numPr>
      </w:pPr>
      <w:r>
        <w:rPr>
          <w:b/>
          <w:bCs/>
        </w:rPr>
        <w:t xml:space="preserve">What ICDP does not do.</w:t>
      </w:r>
      <w:r>
        <w:t xml:space="preserve"> </w:t>
      </w:r>
      <w:r>
        <w:t xml:space="preserve">It sets the rate on supplies to and by the project’s managing body. It does not decide whether a UK department’s own contribution is consideration. A simple sale of equipment to another government is not collaboration in a joint project, so it is not an ICDP (the guide’s reading of Value Added Tax Act 1994, Sch. 8, Group 13, note (1)).</w:t>
      </w:r>
    </w:p>
    <w:p>
      <w:pPr>
        <w:pStyle w:val="Compact"/>
        <w:numPr>
          <w:ilvl w:val="0"/>
          <w:numId w:val="1108"/>
        </w:numPr>
      </w:pPr>
      <w:r>
        <w:rPr>
          <w:b/>
          <w:bCs/>
        </w:rPr>
        <w:t xml:space="preserve">Check first:</w:t>
      </w:r>
      <w:r>
        <w:t xml:space="preserve"> </w:t>
      </w:r>
      <w:r>
        <w:t xml:space="preserve">for further information on ICDP treatment, HMRC’s manual tells customers to contact their</w:t>
      </w:r>
      <w:r>
        <w:t xml:space="preserve"> </w:t>
      </w:r>
      <w:r>
        <w:t xml:space="preserve">“</w:t>
      </w:r>
      <w:r>
        <w:t xml:space="preserve">customer contract manager</w:t>
      </w:r>
      <w:r>
        <w:t xml:space="preserve">”</w:t>
      </w:r>
      <w:r>
        <w:t xml:space="preserve"> </w:t>
      </w:r>
      <w:r>
        <w:t xml:space="preserve">(</w:t>
      </w:r>
      <w:hyperlink w:anchor="ref-hmrc_vatgpb">
        <w:r>
          <w:rPr>
            <w:rStyle w:val="Hyperlink"/>
          </w:rPr>
          <w:t xml:space="preserve">HMRC, 2026n, sec. VATGPB9500</w:t>
        </w:r>
      </w:hyperlink>
      <w:r>
        <w:t xml:space="preserve">)</w:t>
      </w:r>
      <w:r>
        <w:t xml:space="preserve">.</w:t>
      </w:r>
    </w:p>
    <w:bookmarkEnd w:id="93"/>
    <w:bookmarkStart w:id="94" w:name="Xf3792a42672c5a0dee4eb59863eaa89accc9138"/>
    <w:p>
      <w:pPr>
        <w:pStyle w:val="Heading4"/>
      </w:pPr>
      <w:r>
        <w:t xml:space="preserve">Example from the question: selling things to other governments</w:t>
      </w:r>
    </w:p>
    <w:p>
      <w:pPr>
        <w:pStyle w:val="FirstParagraph"/>
      </w:pPr>
      <w:r>
        <w:rPr>
          <w:b/>
          <w:bCs/>
        </w:rPr>
        <w:t xml:space="preserve">Business:</w:t>
      </w:r>
      <w:r>
        <w:t xml:space="preserve"> </w:t>
      </w:r>
      <w:r>
        <w:t xml:space="preserve">normally. Selling equipment, surplus kit, spare parts, training or support services to another government</w:t>
      </w:r>
      <w:r>
        <w:t xml:space="preserve"> </w:t>
      </w:r>
      <w:r>
        <w:rPr>
          <w:b/>
          <w:bCs/>
        </w:rPr>
        <w:t xml:space="preserve">for payment</w:t>
      </w:r>
      <w:r>
        <w:t xml:space="preserve"> </w:t>
      </w:r>
      <w:r>
        <w:t xml:space="preserve">is a supply for consideration, made to obtain income, even if the price only recovers costs</w:t>
      </w:r>
      <w:r>
        <w:t xml:space="preserve"> </w:t>
      </w:r>
      <w:r>
        <w:t xml:space="preserve">(</w:t>
      </w:r>
      <w:hyperlink w:anchor="ref-hmrc_vatbus">
        <w:r>
          <w:rPr>
            <w:rStyle w:val="Hyperlink"/>
          </w:rPr>
          <w:t xml:space="preserve">HMRC, 2024f</w:t>
        </w:r>
      </w:hyperlink>
      <w:r>
        <w:t xml:space="preserve">, secs. VBNB20250 and VBNB30200)</w:t>
      </w:r>
      <w:r>
        <w:t xml:space="preserve">.</w:t>
      </w:r>
    </w:p>
    <w:p>
      <w:pPr>
        <w:pStyle w:val="Compact"/>
        <w:numPr>
          <w:ilvl w:val="0"/>
          <w:numId w:val="1109"/>
        </w:numPr>
      </w:pPr>
      <w:r>
        <w:t xml:space="preserve">HMRC’s framework lists</w:t>
      </w:r>
      <w:r>
        <w:t xml:space="preserve"> </w:t>
      </w:r>
      <w:r>
        <w:t xml:space="preserve">“</w:t>
      </w:r>
      <w:r>
        <w:t xml:space="preserve">sale of assets</w:t>
      </w:r>
      <w:r>
        <w:t xml:space="preserve">”</w:t>
      </w:r>
      <w:r>
        <w:t xml:space="preserve"> </w:t>
      </w:r>
      <w:r>
        <w:t xml:space="preserve">as a business supply of government departments</w:t>
      </w:r>
      <w:r>
        <w:t xml:space="preserve"> </w:t>
      </w:r>
      <w:r>
        <w:t xml:space="preserve">(</w:t>
      </w:r>
      <w:hyperlink w:anchor="ref-hmrc_gdpef">
        <w:r>
          <w:rPr>
            <w:rStyle w:val="Hyperlink"/>
          </w:rPr>
          <w:t xml:space="preserve">HMRC, 2023c</w:t>
        </w:r>
      </w:hyperlink>
      <w:r>
        <w:t xml:space="preserve">)</w:t>
      </w:r>
      <w:r>
        <w:t xml:space="preserve">. HMRC sees most departments’ charged-for supplies as potentially competitive</w:t>
      </w:r>
      <w:r>
        <w:t xml:space="preserve"> </w:t>
      </w:r>
      <w:r>
        <w:t xml:space="preserve">(</w:t>
      </w:r>
      <w:hyperlink w:anchor="ref-hmrc_vatgpb">
        <w:r>
          <w:rPr>
            <w:rStyle w:val="Hyperlink"/>
          </w:rPr>
          <w:t xml:space="preserve">HMRC, 2026n, sec. VATGPB9330</w:t>
        </w:r>
      </w:hyperlink>
      <w:r>
        <w:t xml:space="preserve">)</w:t>
      </w:r>
      <w:r>
        <w:t xml:space="preserve">.</w:t>
      </w:r>
    </w:p>
    <w:p>
      <w:pPr>
        <w:pStyle w:val="Compact"/>
        <w:numPr>
          <w:ilvl w:val="0"/>
          <w:numId w:val="1109"/>
        </w:numPr>
      </w:pPr>
      <w:r>
        <w:t xml:space="preserve">These are goods and services that private businesses also sell, so the</w:t>
      </w:r>
      <w:r>
        <w:t xml:space="preserve"> </w:t>
      </w:r>
      <w:r>
        <w:t xml:space="preserve">“</w:t>
      </w:r>
      <w:r>
        <w:t xml:space="preserve">functions of the state</w:t>
      </w:r>
      <w:r>
        <w:t xml:space="preserve">”</w:t>
      </w:r>
      <w:r>
        <w:t xml:space="preserve"> </w:t>
      </w:r>
      <w:r>
        <w:t xml:space="preserve">exception is unlikely to apply. This is the guide’s reading.</w:t>
      </w:r>
    </w:p>
    <w:p>
      <w:pPr>
        <w:pStyle w:val="Compact"/>
        <w:numPr>
          <w:ilvl w:val="0"/>
          <w:numId w:val="1109"/>
        </w:numPr>
      </w:pPr>
      <w:r>
        <w:rPr>
          <w:b/>
          <w:bCs/>
        </w:rPr>
        <w:t xml:space="preserve">Selling to a government does not change this.</w:t>
      </w:r>
      <w:r>
        <w:t xml:space="preserve"> </w:t>
      </w:r>
      <w:r>
        <w:t xml:space="preserve">The business test looks at the seller’s activity</w:t>
      </w:r>
      <w:r>
        <w:t xml:space="preserve"> </w:t>
      </w:r>
      <w:r>
        <w:t xml:space="preserve">(</w:t>
      </w:r>
      <w:hyperlink w:anchor="ref-hmrc_vatbus">
        <w:r>
          <w:rPr>
            <w:rStyle w:val="Hyperlink"/>
          </w:rPr>
          <w:t xml:space="preserve">HMRC, 2024f, sec. VBNB20250</w:t>
        </w:r>
      </w:hyperlink>
      <w:r>
        <w:t xml:space="preserve">)</w:t>
      </w:r>
      <w:r>
        <w:t xml:space="preserve">. The buyer’s status affects the place of supply and some reliefs</w:t>
      </w:r>
      <w:r>
        <w:t xml:space="preserve"> </w:t>
      </w:r>
      <w:r>
        <w:t xml:space="preserve">(</w:t>
      </w:r>
      <w:hyperlink w:anchor="ref-hmrc_n741a">
        <w:r>
          <w:rPr>
            <w:rStyle w:val="Hyperlink"/>
          </w:rPr>
          <w:t xml:space="preserve">HMRC, 2022d, para. 2.4</w:t>
        </w:r>
      </w:hyperlink>
      <w:r>
        <w:t xml:space="preserve">)</w:t>
      </w:r>
      <w:r>
        <w:t xml:space="preserve">.</w:t>
      </w:r>
    </w:p>
    <w:p>
      <w:pPr>
        <w:pStyle w:val="Compact"/>
        <w:numPr>
          <w:ilvl w:val="0"/>
          <w:numId w:val="1109"/>
        </w:numPr>
      </w:pPr>
      <w:r>
        <w:rPr>
          <w:b/>
          <w:bCs/>
        </w:rPr>
        <w:t xml:space="preserve">Check first:</w:t>
      </w:r>
      <w:r>
        <w:t xml:space="preserve"> </w:t>
      </w:r>
      <w:r>
        <w:t xml:space="preserve">HMRC says</w:t>
      </w:r>
      <w:r>
        <w:t xml:space="preserve"> </w:t>
      </w:r>
      <w:r>
        <w:t xml:space="preserve">“</w:t>
      </w:r>
      <w:r>
        <w:t xml:space="preserve">Isolated transactions are not normally business for VAT purposes</w:t>
      </w:r>
      <w:r>
        <w:t xml:space="preserve">”</w:t>
      </w:r>
      <w:r>
        <w:t xml:space="preserve"> </w:t>
      </w:r>
      <w:r>
        <w:t xml:space="preserve">(</w:t>
      </w:r>
      <w:hyperlink w:anchor="ref-hmrc_n700">
        <w:r>
          <w:rPr>
            <w:rStyle w:val="Hyperlink"/>
          </w:rPr>
          <w:t xml:space="preserve">HMRC, 2026o, para. 4.6.2</w:t>
        </w:r>
      </w:hyperlink>
      <w:r>
        <w:t xml:space="preserve">)</w:t>
      </w:r>
      <w:r>
        <w:t xml:space="preserve">. A genuine one-off disposal, or a sale at a token price, may need confirming with HMRC (see Worked example 8).</w:t>
      </w:r>
    </w:p>
    <w:p>
      <w:pPr>
        <w:pStyle w:val="FirstParagraph"/>
      </w:pPr>
      <w:r>
        <w:rPr>
          <w:b/>
          <w:bCs/>
        </w:rPr>
        <w:t xml:space="preserve">Output tax: what to charge.</w:t>
      </w:r>
    </w:p>
    <w:p>
      <w:pPr>
        <w:pStyle w:val="Compact"/>
        <w:numPr>
          <w:ilvl w:val="0"/>
          <w:numId w:val="1110"/>
        </w:numPr>
      </w:pPr>
      <w:r>
        <w:rPr>
          <w:b/>
          <w:bCs/>
        </w:rPr>
        <w:t xml:space="preserve">Goods exported from the UK:</w:t>
      </w:r>
      <w:r>
        <w:t xml:space="preserve"> </w:t>
      </w:r>
      <w:r>
        <w:t xml:space="preserve">zero-rated if the Notice 703 conditions are met, including exporting in time and holding evidence of the supply and of export</w:t>
      </w:r>
      <w:r>
        <w:t xml:space="preserve"> </w:t>
      </w:r>
      <w:r>
        <w:t xml:space="preserve">(</w:t>
      </w:r>
      <w:hyperlink w:anchor="ref-hmrc_n703">
        <w:r>
          <w:rPr>
            <w:rStyle w:val="Hyperlink"/>
          </w:rPr>
          <w:t xml:space="preserve">HMRC, 2026p, para. 3.3</w:t>
        </w:r>
      </w:hyperlink>
      <w:r>
        <w:t xml:space="preserve">)</w:t>
      </w:r>
      <w:r>
        <w:t xml:space="preserve">. An</w:t>
      </w:r>
      <w:r>
        <w:t xml:space="preserve"> </w:t>
      </w:r>
      <w:r>
        <w:t xml:space="preserve">“</w:t>
      </w:r>
      <w:r>
        <w:t xml:space="preserve">overseas person</w:t>
      </w:r>
      <w:r>
        <w:t xml:space="preserve">”</w:t>
      </w:r>
      <w:r>
        <w:t xml:space="preserve"> </w:t>
      </w:r>
      <w:r>
        <w:t xml:space="preserve">includes</w:t>
      </w:r>
      <w:r>
        <w:t xml:space="preserve"> </w:t>
      </w:r>
      <w:r>
        <w:t xml:space="preserve">“</w:t>
      </w:r>
      <w:r>
        <w:t xml:space="preserve">an overseas authority</w:t>
      </w:r>
      <w:r>
        <w:t xml:space="preserve">”</w:t>
      </w:r>
      <w:r>
        <w:t xml:space="preserve">, so the sale can be a direct or an indirect export</w:t>
      </w:r>
      <w:r>
        <w:t xml:space="preserve"> </w:t>
      </w:r>
      <w:r>
        <w:t xml:space="preserve">(</w:t>
      </w:r>
      <w:hyperlink w:anchor="ref-hmrc_n703">
        <w:r>
          <w:rPr>
            <w:rStyle w:val="Hyperlink"/>
          </w:rPr>
          <w:t xml:space="preserve">HMRC, 2026p</w:t>
        </w:r>
      </w:hyperlink>
      <w:r>
        <w:t xml:space="preserve">, paras. 2.4, 2.8 and 2.9)</w:t>
      </w:r>
      <w:r>
        <w:t xml:space="preserve">. See Part 4, Exporting goods.</w:t>
      </w:r>
    </w:p>
    <w:p>
      <w:pPr>
        <w:pStyle w:val="Compact"/>
        <w:numPr>
          <w:ilvl w:val="0"/>
          <w:numId w:val="1110"/>
        </w:numPr>
      </w:pPr>
      <w:r>
        <w:rPr>
          <w:b/>
          <w:bCs/>
        </w:rPr>
        <w:t xml:space="preserve">Goods ordered through an embassy:</w:t>
      </w:r>
      <w:r>
        <w:t xml:space="preserve"> </w:t>
      </w:r>
      <w:r>
        <w:t xml:space="preserve">goods supplied to an overseas authority that orders through its embassy, High Commission or UK purchasing agent can be zero-rated. The conditions are a separate record, proof of export within 3 months and no use before export</w:t>
      </w:r>
      <w:r>
        <w:t xml:space="preserve"> </w:t>
      </w:r>
      <w:r>
        <w:t xml:space="preserve">(</w:t>
      </w:r>
      <w:hyperlink w:anchor="ref-hmrc_n703">
        <w:r>
          <w:rPr>
            <w:rStyle w:val="Hyperlink"/>
          </w:rPr>
          <w:t xml:space="preserve">HMRC, 2026p, para. 4.13</w:t>
        </w:r>
      </w:hyperlink>
      <w:r>
        <w:t xml:space="preserve">)</w:t>
      </w:r>
      <w:r>
        <w:t xml:space="preserve">.</w:t>
      </w:r>
    </w:p>
    <w:p>
      <w:pPr>
        <w:pStyle w:val="Compact"/>
        <w:numPr>
          <w:ilvl w:val="0"/>
          <w:numId w:val="1110"/>
        </w:numPr>
      </w:pPr>
      <w:r>
        <w:rPr>
          <w:b/>
          <w:bCs/>
        </w:rPr>
        <w:t xml:space="preserve">No evidence, no zero rate.</w:t>
      </w:r>
      <w:r>
        <w:t xml:space="preserve"> </w:t>
      </w:r>
      <w:r>
        <w:t xml:space="preserve">VAT is then due at the UK rate</w:t>
      </w:r>
      <w:r>
        <w:t xml:space="preserve"> </w:t>
      </w:r>
      <w:r>
        <w:t xml:space="preserve">(</w:t>
      </w:r>
      <w:hyperlink w:anchor="ref-hmrc_n703">
        <w:r>
          <w:rPr>
            <w:rStyle w:val="Hyperlink"/>
          </w:rPr>
          <w:t xml:space="preserve">HMRC, 2026p</w:t>
        </w:r>
      </w:hyperlink>
      <w:r>
        <w:t xml:space="preserve">, paras. 3.8 and 11.2)</w:t>
      </w:r>
      <w:r>
        <w:t xml:space="preserve">.</w:t>
      </w:r>
    </w:p>
    <w:p>
      <w:pPr>
        <w:pStyle w:val="Compact"/>
        <w:numPr>
          <w:ilvl w:val="0"/>
          <w:numId w:val="1110"/>
        </w:numPr>
      </w:pPr>
      <w:r>
        <w:rPr>
          <w:b/>
          <w:bCs/>
        </w:rPr>
        <w:t xml:space="preserve">Goods already abroad when sold:</w:t>
      </w:r>
      <w:r>
        <w:t xml:space="preserve"> </w:t>
      </w:r>
      <w:r>
        <w:t xml:space="preserve">not an export, and outside the scope of UK VAT</w:t>
      </w:r>
      <w:r>
        <w:t xml:space="preserve"> </w:t>
      </w:r>
      <w:r>
        <w:t xml:space="preserve">(</w:t>
      </w:r>
      <w:hyperlink w:anchor="ref-hmrc_n703">
        <w:r>
          <w:rPr>
            <w:rStyle w:val="Hyperlink"/>
          </w:rPr>
          <w:t xml:space="preserve">HMRC, 2026p, para. 2.2</w:t>
        </w:r>
      </w:hyperlink>
      <w:r>
        <w:t xml:space="preserve">)</w:t>
      </w:r>
      <w:r>
        <w:t xml:space="preserve">.</w:t>
      </w:r>
    </w:p>
    <w:p>
      <w:pPr>
        <w:pStyle w:val="Compact"/>
        <w:numPr>
          <w:ilvl w:val="0"/>
          <w:numId w:val="1110"/>
        </w:numPr>
      </w:pPr>
      <w:r>
        <w:rPr>
          <w:b/>
          <w:bCs/>
        </w:rPr>
        <w:t xml:space="preserve">Services:</w:t>
      </w:r>
      <w:r>
        <w:t xml:space="preserve"> </w:t>
      </w:r>
      <w:r>
        <w:t xml:space="preserve">treat an overseas government as a non-business (business-to-consumer, or B2C) customer unless it can show it has business activities, for example by giving a VAT number</w:t>
      </w:r>
      <w:r>
        <w:t xml:space="preserve"> </w:t>
      </w:r>
      <w:r>
        <w:t xml:space="preserve">(</w:t>
      </w:r>
      <w:hyperlink w:anchor="ref-hmrc_n741a">
        <w:r>
          <w:rPr>
            <w:rStyle w:val="Hyperlink"/>
          </w:rPr>
          <w:t xml:space="preserve">HMRC, 2022d</w:t>
        </w:r>
      </w:hyperlink>
      <w:r>
        <w:t xml:space="preserve">, paras. 2.4 and 6.3)</w:t>
      </w:r>
      <w:r>
        <w:t xml:space="preserve">.</w:t>
      </w:r>
    </w:p>
    <w:p>
      <w:pPr>
        <w:pStyle w:val="Compact"/>
        <w:numPr>
          <w:ilvl w:val="1"/>
          <w:numId w:val="1111"/>
        </w:numPr>
      </w:pPr>
      <w:r>
        <w:t xml:space="preserve">Consultancy, information services, supplies of staff and hire of goods (other than means of transport) to a B2C customer outside the UK are supplied where the customer belongs, so they are outside the scope of UK VAT</w:t>
      </w:r>
      <w:r>
        <w:t xml:space="preserve"> </w:t>
      </w:r>
      <w:r>
        <w:t xml:space="preserve">(</w:t>
      </w:r>
      <w:hyperlink w:anchor="ref-hmrc_n741a">
        <w:r>
          <w:rPr>
            <w:rStyle w:val="Hyperlink"/>
          </w:rPr>
          <w:t xml:space="preserve">HMRC, 2022d</w:t>
        </w:r>
      </w:hyperlink>
      <w:r>
        <w:t xml:space="preserve">, paras. 12.1 and 12.2)</w:t>
      </w:r>
      <w:r>
        <w:t xml:space="preserve">.</w:t>
      </w:r>
      <w:r>
        <w:t xml:space="preserve"> </w:t>
      </w:r>
      <w:r>
        <w:rPr>
          <w:b/>
          <w:bCs/>
        </w:rPr>
        <w:t xml:space="preserve">Check first:</w:t>
      </w:r>
      <w:r>
        <w:t xml:space="preserve"> </w:t>
      </w:r>
      <w:r>
        <w:t xml:space="preserve">hired goods that are used in the UK, for example kit hired to a foreign force for a UK-hosted exercise, are taxed in the UK under the use and enjoyment rule</w:t>
      </w:r>
      <w:r>
        <w:t xml:space="preserve"> </w:t>
      </w:r>
      <w:r>
        <w:t xml:space="preserve">(</w:t>
      </w:r>
      <w:hyperlink w:anchor="ref-hmrc_n741a">
        <w:r>
          <w:rPr>
            <w:rStyle w:val="Hyperlink"/>
          </w:rPr>
          <w:t xml:space="preserve">HMRC, 2022d</w:t>
        </w:r>
      </w:hyperlink>
      <w:r>
        <w:t xml:space="preserve">, paras. 13.1 and 13.2)</w:t>
      </w:r>
      <w:r>
        <w:t xml:space="preserve">.</w:t>
      </w:r>
    </w:p>
    <w:p>
      <w:pPr>
        <w:pStyle w:val="Compact"/>
        <w:numPr>
          <w:ilvl w:val="1"/>
          <w:numId w:val="1111"/>
        </w:numPr>
      </w:pPr>
      <w:r>
        <w:t xml:space="preserve">B2C classroom training and work on goods are supplied where performed</w:t>
      </w:r>
      <w:r>
        <w:t xml:space="preserve"> </w:t>
      </w:r>
      <w:r>
        <w:t xml:space="preserve">(</w:t>
      </w:r>
      <w:hyperlink w:anchor="ref-hmrc_n741a">
        <w:r>
          <w:rPr>
            <w:rStyle w:val="Hyperlink"/>
          </w:rPr>
          <w:t xml:space="preserve">HMRC, 2022d</w:t>
        </w:r>
      </w:hyperlink>
      <w:r>
        <w:t xml:space="preserve">, paras. 9.5 and 9.7)</w:t>
      </w:r>
      <w:r>
        <w:t xml:space="preserve">.</w:t>
      </w:r>
    </w:p>
    <w:p>
      <w:pPr>
        <w:pStyle w:val="Compact"/>
        <w:numPr>
          <w:ilvl w:val="1"/>
          <w:numId w:val="1111"/>
        </w:numPr>
      </w:pPr>
      <w:r>
        <w:t xml:space="preserve">See Part 4, Selling services to overseas customers.</w:t>
      </w:r>
    </w:p>
    <w:p>
      <w:pPr>
        <w:pStyle w:val="Compact"/>
        <w:numPr>
          <w:ilvl w:val="0"/>
          <w:numId w:val="1110"/>
        </w:numPr>
      </w:pPr>
      <w:r>
        <w:rPr>
          <w:b/>
          <w:bCs/>
        </w:rPr>
        <w:t xml:space="preserve">Training the Department sells is normally exempt,</w:t>
      </w:r>
      <w:r>
        <w:t xml:space="preserve"> </w:t>
      </w:r>
      <w:r>
        <w:t xml:space="preserve">because a government department is an</w:t>
      </w:r>
      <w:r>
        <w:t xml:space="preserve"> </w:t>
      </w:r>
      <w:r>
        <w:t xml:space="preserve">“</w:t>
      </w:r>
      <w:r>
        <w:t xml:space="preserve">eligible body</w:t>
      </w:r>
      <w:r>
        <w:t xml:space="preserve">”</w:t>
      </w:r>
      <w:r>
        <w:t xml:space="preserve"> </w:t>
      </w:r>
      <w:r>
        <w:t xml:space="preserve">(</w:t>
      </w:r>
      <w:hyperlink w:anchor="ref-hmrc_n70130">
        <w:r>
          <w:rPr>
            <w:rStyle w:val="Hyperlink"/>
          </w:rPr>
          <w:t xml:space="preserve">HMRC, 2025d, para. 4.1</w:t>
        </w:r>
      </w:hyperlink>
      <w:r>
        <w:t xml:space="preserve">)</w:t>
      </w:r>
      <w:r>
        <w:t xml:space="preserve">. The zero-rating concession for training overseas governments applies only to training</w:t>
      </w:r>
      <w:r>
        <w:t xml:space="preserve"> </w:t>
      </w:r>
      <w:r>
        <w:t xml:space="preserve">“</w:t>
      </w:r>
      <w:r>
        <w:t xml:space="preserve">not already exempt</w:t>
      </w:r>
      <w:r>
        <w:t xml:space="preserve">”</w:t>
      </w:r>
      <w:r>
        <w:t xml:space="preserve"> </w:t>
      </w:r>
      <w:r>
        <w:t xml:space="preserve">(</w:t>
      </w:r>
      <w:hyperlink w:anchor="ref-hmrc_n741a">
        <w:r>
          <w:rPr>
            <w:rStyle w:val="Hyperlink"/>
          </w:rPr>
          <w:t xml:space="preserve">HMRC, 2022d, para. 15.5</w:t>
        </w:r>
      </w:hyperlink>
      <w:r>
        <w:t xml:space="preserve">)</w:t>
      </w:r>
      <w:r>
        <w:t xml:space="preserve">. See Part 6, Providing items to overseas governments.</w:t>
      </w:r>
    </w:p>
    <w:p>
      <w:pPr>
        <w:pStyle w:val="FirstParagraph"/>
      </w:pPr>
      <w:r>
        <w:rPr>
          <w:b/>
          <w:bCs/>
        </w:rPr>
        <w:t xml:space="preserve">Input tax and COS:</w:t>
      </w:r>
    </w:p>
    <w:p>
      <w:pPr>
        <w:pStyle w:val="Compact"/>
        <w:numPr>
          <w:ilvl w:val="0"/>
          <w:numId w:val="1112"/>
        </w:numPr>
      </w:pPr>
      <w:r>
        <w:rPr>
          <w:b/>
          <w:bCs/>
        </w:rPr>
        <w:t xml:space="preserve">Recoverable:</w:t>
      </w:r>
      <w:r>
        <w:t xml:space="preserve"> </w:t>
      </w:r>
      <w:r>
        <w:t xml:space="preserve">VAT on costs of taxable supplies, including zero-rated exports, and of supplies made abroad that would be taxable in the UK (Value Added Tax Act 1994, s. 26(2)(a) and (b)). This includes VAT on goods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12"/>
        </w:numPr>
      </w:pPr>
      <w:r>
        <w:rPr>
          <w:b/>
          <w:bCs/>
        </w:rPr>
        <w:t xml:space="preserve">Not recoverable:</w:t>
      </w:r>
      <w:r>
        <w:t xml:space="preserve"> </w:t>
      </w:r>
      <w:r>
        <w:t xml:space="preserve">VAT on costs of exempt supplies, such as training, unless the whole registration is within the de minimis limits</w:t>
      </w:r>
      <w:r>
        <w:t xml:space="preserve"> </w:t>
      </w:r>
      <w:r>
        <w:t xml:space="preserve">(</w:t>
      </w:r>
      <w:hyperlink w:anchor="ref-hmrc_n706">
        <w:r>
          <w:rPr>
            <w:rStyle w:val="Hyperlink"/>
          </w:rPr>
          <w:t xml:space="preserve">HMRC, 2025h, sec. 11</w:t>
        </w:r>
      </w:hyperlink>
      <w:r>
        <w:t xml:space="preserve">)</w:t>
      </w:r>
      <w:r>
        <w:t xml:space="preserve">.</w:t>
      </w:r>
    </w:p>
    <w:p>
      <w:pPr>
        <w:pStyle w:val="Compact"/>
        <w:numPr>
          <w:ilvl w:val="0"/>
          <w:numId w:val="1112"/>
        </w:numPr>
      </w:pPr>
      <w:r>
        <w:rPr>
          <w:b/>
          <w:bCs/>
        </w:rPr>
        <w:t xml:space="preserve">Partly recoverable:</w:t>
      </w:r>
      <w:r>
        <w:t xml:space="preserve"> </w:t>
      </w:r>
      <w:r>
        <w:t xml:space="preserve">costs shared with non-business work are apportioned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12"/>
        </w:numPr>
      </w:pPr>
      <w:r>
        <w:rPr>
          <w:b/>
          <w:bCs/>
        </w:rPr>
        <w:t xml:space="preserve">Not claimable:</w:t>
      </w:r>
      <w:r>
        <w:t xml:space="preserve"> </w:t>
      </w:r>
      <w:r>
        <w:t xml:space="preserve">VAT on costs of making the sale is outside COS, even if the service appears in a heading</w:t>
      </w:r>
      <w:r>
        <w:t xml:space="preserve"> </w:t>
      </w:r>
      <w:r>
        <w:t xml:space="preserve">(</w:t>
      </w:r>
      <w:hyperlink w:anchor="ref-gazette_2020">
        <w:r>
          <w:rPr>
            <w:rStyle w:val="Hyperlink"/>
          </w:rPr>
          <w:t xml:space="preserve">HM Treasury, 2020b</w:t>
        </w:r>
      </w:hyperlink>
      <w:r>
        <w:t xml:space="preserve">;</w:t>
      </w:r>
      <w:r>
        <w:t xml:space="preserve"> </w:t>
      </w:r>
      <w:hyperlink w:anchor="ref-hmrc_gdpef">
        <w:r>
          <w:rPr>
            <w:rStyle w:val="Hyperlink"/>
          </w:rPr>
          <w:t xml:space="preserve">HMRC, 2023c</w:t>
        </w:r>
      </w:hyperlink>
      <w:r>
        <w:t xml:space="preserve">)</w:t>
      </w:r>
      <w:r>
        <w:t xml:space="preserve">. This is usually good news: input tax covers goods too and does not depend on a heading.</w:t>
      </w:r>
    </w:p>
    <w:p>
      <w:pPr>
        <w:pStyle w:val="FirstParagraph"/>
      </w:pPr>
      <w:r>
        <w:rPr>
          <w:b/>
          <w:bCs/>
        </w:rPr>
        <w:t xml:space="preserve">Government-to-government (G2G) arrangements.</w:t>
      </w:r>
      <w:r>
        <w:t xml:space="preserve"> </w:t>
      </w:r>
      <w:r>
        <w:t xml:space="preserve">A G2G arrangement could, for example, involve a department buying equipment from industry and selling it on to another government.</w:t>
      </w:r>
    </w:p>
    <w:p>
      <w:pPr>
        <w:pStyle w:val="Compact"/>
        <w:numPr>
          <w:ilvl w:val="0"/>
          <w:numId w:val="1113"/>
        </w:numPr>
      </w:pPr>
      <w:r>
        <w:rPr>
          <w:b/>
          <w:bCs/>
        </w:rPr>
        <w:t xml:space="preserve">Check first:</w:t>
      </w:r>
      <w:r>
        <w:t xml:space="preserve"> </w:t>
      </w:r>
      <w:r>
        <w:t xml:space="preserve">this guide has not found a published HMRC source on how HMRC treats any particular UK G2G defence arrangement. Settle these points with HMRC:</w:t>
      </w:r>
    </w:p>
    <w:p>
      <w:pPr>
        <w:pStyle w:val="Compact"/>
        <w:numPr>
          <w:ilvl w:val="1"/>
          <w:numId w:val="1114"/>
        </w:numPr>
      </w:pPr>
      <w:r>
        <w:t xml:space="preserve">Is the Department buying and reselling, or only arranging a sale between the manufacturer and the foreign government?</w:t>
      </w:r>
    </w:p>
    <w:p>
      <w:pPr>
        <w:pStyle w:val="Compact"/>
        <w:numPr>
          <w:ilvl w:val="1"/>
          <w:numId w:val="1114"/>
        </w:numPr>
      </w:pPr>
      <w:r>
        <w:t xml:space="preserve">Is the Department’s charge consideration for a supply by the Department?</w:t>
      </w:r>
    </w:p>
    <w:p>
      <w:pPr>
        <w:pStyle w:val="Compact"/>
        <w:numPr>
          <w:ilvl w:val="1"/>
          <w:numId w:val="1114"/>
        </w:numPr>
      </w:pPr>
      <w:r>
        <w:t xml:space="preserve">Where are the goods when supplied, and who exports them?</w:t>
      </w:r>
    </w:p>
    <w:p>
      <w:pPr>
        <w:pStyle w:val="Compact"/>
        <w:numPr>
          <w:ilvl w:val="0"/>
          <w:numId w:val="1113"/>
        </w:numPr>
      </w:pPr>
      <w:r>
        <w:rPr>
          <w:b/>
          <w:bCs/>
        </w:rPr>
        <w:t xml:space="preserve">A rule that does apply:</w:t>
      </w:r>
      <w:r>
        <w:t xml:space="preserve"> </w:t>
      </w:r>
      <w:r>
        <w:t xml:space="preserve">goods delivered to a government department in the UK carry VAT, even if ordered for an overseas destination, unless the supplier arranges direct export</w:t>
      </w:r>
      <w:r>
        <w:t xml:space="preserve"> </w:t>
      </w:r>
      <w:r>
        <w:t xml:space="preserve">(</w:t>
      </w:r>
      <w:hyperlink w:anchor="ref-hmrc_n703">
        <w:r>
          <w:rPr>
            <w:rStyle w:val="Hyperlink"/>
          </w:rPr>
          <w:t xml:space="preserve">HMRC, 2026p, para. 4.12</w:t>
        </w:r>
      </w:hyperlink>
      <w:r>
        <w:t xml:space="preserve">)</w:t>
      </w:r>
      <w:r>
        <w:t xml:space="preserve">.</w:t>
      </w:r>
    </w:p>
    <w:p>
      <w:pPr>
        <w:pStyle w:val="Compact"/>
        <w:numPr>
          <w:ilvl w:val="1"/>
          <w:numId w:val="1115"/>
        </w:numPr>
      </w:pPr>
      <w:r>
        <w:rPr>
          <w:b/>
          <w:bCs/>
        </w:rPr>
        <w:t xml:space="preserve">Recoverable:</w:t>
      </w:r>
      <w:r>
        <w:t xml:space="preserve"> </w:t>
      </w:r>
      <w:r>
        <w:t xml:space="preserve">if the Department buys for resale as a zero-rated export, that VAT is input tax (Value Added Tax Act 1994, s. 26(2)(a)).</w:t>
      </w:r>
    </w:p>
    <w:p>
      <w:pPr>
        <w:pStyle w:val="Compact"/>
        <w:numPr>
          <w:ilvl w:val="1"/>
          <w:numId w:val="1115"/>
        </w:numPr>
      </w:pPr>
      <w:r>
        <w:rPr>
          <w:b/>
          <w:bCs/>
        </w:rPr>
        <w:t xml:space="preserve">Not recoverable:</w:t>
      </w:r>
      <w:r>
        <w:t xml:space="preserve"> </w:t>
      </w:r>
      <w:r>
        <w:t xml:space="preserve">if it buys the goods to give away, the VAT is a cost</w:t>
      </w:r>
      <w:r>
        <w:t xml:space="preserve"> </w:t>
      </w:r>
      <w:r>
        <w:t xml:space="preserve">(</w:t>
      </w:r>
      <w:hyperlink w:anchor="ref-hmrc_gdpef">
        <w:r>
          <w:rPr>
            <w:rStyle w:val="Hyperlink"/>
          </w:rPr>
          <w:t xml:space="preserve">HMRC, 2023c</w:t>
        </w:r>
      </w:hyperlink>
      <w:r>
        <w:t xml:space="preserve">)</w:t>
      </w:r>
      <w:r>
        <w:t xml:space="preserve">.</w:t>
      </w:r>
    </w:p>
    <w:bookmarkEnd w:id="94"/>
    <w:bookmarkStart w:id="95" w:name="example-gifting-equipment-or-aid"/>
    <w:p>
      <w:pPr>
        <w:pStyle w:val="Heading4"/>
      </w:pPr>
      <w:r>
        <w:t xml:space="preserve">Example: gifting equipment or aid</w:t>
      </w:r>
    </w:p>
    <w:p>
      <w:pPr>
        <w:pStyle w:val="Compact"/>
        <w:numPr>
          <w:ilvl w:val="0"/>
          <w:numId w:val="1116"/>
        </w:numPr>
      </w:pPr>
      <w:r>
        <w:rPr>
          <w:b/>
          <w:bCs/>
        </w:rPr>
        <w:t xml:space="preserve">Non-business:</w:t>
      </w:r>
      <w:r>
        <w:t xml:space="preserve"> </w:t>
      </w:r>
      <w:r>
        <w:t xml:space="preserve">giving equipment, aid or training to another government free of charge</w:t>
      </w:r>
      <w:r>
        <w:t xml:space="preserve"> </w:t>
      </w:r>
      <w:r>
        <w:t xml:space="preserve">(</w:t>
      </w:r>
      <w:hyperlink w:anchor="ref-hmrc_vatgpb">
        <w:r>
          <w:rPr>
            <w:rStyle w:val="Hyperlink"/>
          </w:rPr>
          <w:t xml:space="preserve">HMRC, 2026n, sec. VATGPB3100</w:t>
        </w:r>
      </w:hyperlink>
      <w:r>
        <w:t xml:space="preserve">)</w:t>
      </w:r>
      <w:r>
        <w:t xml:space="preserve">.</w:t>
      </w:r>
    </w:p>
    <w:p>
      <w:pPr>
        <w:pStyle w:val="Compact"/>
        <w:numPr>
          <w:ilvl w:val="0"/>
          <w:numId w:val="1116"/>
        </w:numPr>
      </w:pPr>
      <w:r>
        <w:rPr>
          <w:b/>
          <w:bCs/>
        </w:rPr>
        <w:t xml:space="preserve">Not recoverable</w:t>
      </w:r>
      <w:r>
        <w:t xml:space="preserve"> </w:t>
      </w:r>
      <w:r>
        <w:t xml:space="preserve">and</w:t>
      </w:r>
      <w:r>
        <w:t xml:space="preserve"> </w:t>
      </w:r>
      <w:r>
        <w:rPr>
          <w:b/>
          <w:bCs/>
        </w:rPr>
        <w:t xml:space="preserve">Not claimable:</w:t>
      </w:r>
      <w:r>
        <w:t xml:space="preserve"> </w:t>
      </w:r>
      <w:r>
        <w:t xml:space="preserve">VAT on goods bought to give away. It is not input tax, and goods on their own are not COS</w:t>
      </w:r>
      <w:r>
        <w:t xml:space="preserve"> </w:t>
      </w:r>
      <w:r>
        <w:t xml:space="preserve">(</w:t>
      </w:r>
      <w:hyperlink w:anchor="ref-gazette_2020">
        <w:r>
          <w:rPr>
            <w:rStyle w:val="Hyperlink"/>
          </w:rPr>
          <w:t xml:space="preserve">HM Treasury, 2020b, para. 2</w:t>
        </w:r>
      </w:hyperlink>
      <w:r>
        <w:t xml:space="preserve">;</w:t>
      </w:r>
      <w:r>
        <w:t xml:space="preserve"> </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VATGPB11370</w:t>
        </w:r>
      </w:hyperlink>
      <w:r>
        <w:t xml:space="preserve">)</w:t>
      </w:r>
      <w:r>
        <w:t xml:space="preserve">. Having the supplier export the goods directly, with evidence, avoids UK VAT altogether</w:t>
      </w:r>
      <w:r>
        <w:t xml:space="preserve"> </w:t>
      </w:r>
      <w:r>
        <w:t xml:space="preserve">(</w:t>
      </w:r>
      <w:hyperlink w:anchor="ref-hmrc_n703">
        <w:r>
          <w:rPr>
            <w:rStyle w:val="Hyperlink"/>
          </w:rPr>
          <w:t xml:space="preserve">HMRC, 2026p, para. 4.12</w:t>
        </w:r>
      </w:hyperlink>
      <w:r>
        <w:t xml:space="preserve">)</w:t>
      </w:r>
      <w:r>
        <w:t xml:space="preserve">.</w:t>
      </w:r>
    </w:p>
    <w:p>
      <w:pPr>
        <w:pStyle w:val="Compact"/>
        <w:numPr>
          <w:ilvl w:val="0"/>
          <w:numId w:val="1116"/>
        </w:numPr>
      </w:pPr>
      <w:r>
        <w:rPr>
          <w:b/>
          <w:bCs/>
        </w:rPr>
        <w:t xml:space="preserve">Claimable:</w:t>
      </w:r>
      <w:r>
        <w:t xml:space="preserve"> </w:t>
      </w:r>
      <w:r>
        <w:t xml:space="preserve">UK VAT on supporting services within a heading, such as storage (Heading 63) or translation (Heading 28)</w:t>
      </w:r>
      <w:r>
        <w:t xml:space="preserve"> </w:t>
      </w:r>
      <w:r>
        <w:t xml:space="preserve">(</w:t>
      </w:r>
      <w:hyperlink w:anchor="ref-hmrc_vatgpb">
        <w:r>
          <w:rPr>
            <w:rStyle w:val="Hyperlink"/>
          </w:rPr>
          <w:t xml:space="preserve">HMRC, 2026n</w:t>
        </w:r>
      </w:hyperlink>
      <w:r>
        <w:t xml:space="preserve">, secs. VATGPB10990 and VATGPB10290)</w:t>
      </w:r>
      <w:r>
        <w:t xml:space="preserve">.</w:t>
      </w:r>
    </w:p>
    <w:p>
      <w:pPr>
        <w:pStyle w:val="Compact"/>
        <w:numPr>
          <w:ilvl w:val="0"/>
          <w:numId w:val="1116"/>
        </w:numPr>
      </w:pPr>
      <w:r>
        <w:rPr>
          <w:b/>
          <w:bCs/>
        </w:rPr>
        <w:t xml:space="preserve">Check first:</w:t>
      </w:r>
      <w:r>
        <w:t xml:space="preserve"> </w:t>
      </w:r>
      <w:r>
        <w:t xml:space="preserve">if the recipient pays anything, look again (see Worked example 8). For more detail, see Part 6, Providing items to overseas governments.</w:t>
      </w:r>
    </w:p>
    <w:bookmarkEnd w:id="95"/>
    <w:bookmarkStart w:id="96" w:name="X2c011a9c36b524c5cb812604d89f00aaf38aeab"/>
    <w:p>
      <w:pPr>
        <w:pStyle w:val="Heading4"/>
      </w:pPr>
      <w:r>
        <w:t xml:space="preserve">Other defence-type activities that are business</w:t>
      </w:r>
    </w:p>
    <w:p>
      <w:pPr>
        <w:pStyle w:val="FirstParagraph"/>
      </w:pPr>
      <w:r>
        <w:t xml:space="preserve">These examples come from HMRC’s framework, the section 41A(2) list, section 94 and the old List 2. They do not describe any real department.</w:t>
      </w:r>
    </w:p>
    <w:p>
      <w:pPr>
        <w:pStyle w:val="Compact"/>
        <w:numPr>
          <w:ilvl w:val="0"/>
          <w:numId w:val="1117"/>
        </w:numPr>
      </w:pPr>
      <w:r>
        <w:rPr>
          <w:b/>
          <w:bCs/>
        </w:rPr>
        <w:t xml:space="preserve">Business:</w:t>
      </w:r>
      <w:r>
        <w:t xml:space="preserve"> </w:t>
      </w:r>
      <w:r>
        <w:t xml:space="preserve">selling surplus vehicles, equipment or stores</w:t>
      </w:r>
      <w:r>
        <w:t xml:space="preserve"> </w:t>
      </w:r>
      <w:r>
        <w:t xml:space="preserve">(</w:t>
      </w:r>
      <w:hyperlink w:anchor="ref-gazette_2008">
        <w:r>
          <w:rPr>
            <w:rStyle w:val="Hyperlink"/>
          </w:rPr>
          <w:t xml:space="preserve">HM Treasury, 2008</w:t>
        </w:r>
      </w:hyperlink>
      <w:r>
        <w:t xml:space="preserve">;</w:t>
      </w:r>
      <w:r>
        <w:t xml:space="preserve"> </w:t>
      </w:r>
      <w:hyperlink w:anchor="ref-hmrc_gdpef">
        <w:r>
          <w:rPr>
            <w:rStyle w:val="Hyperlink"/>
          </w:rPr>
          <w:t xml:space="preserve">HMRC, 2023c</w:t>
        </w:r>
      </w:hyperlink>
      <w:r>
        <w:t xml:space="preserve">)</w:t>
      </w:r>
      <w:r>
        <w:t xml:space="preserve">.</w:t>
      </w:r>
    </w:p>
    <w:p>
      <w:pPr>
        <w:pStyle w:val="Compact"/>
        <w:numPr>
          <w:ilvl w:val="0"/>
          <w:numId w:val="1117"/>
        </w:numPr>
      </w:pPr>
      <w:r>
        <w:rPr>
          <w:b/>
          <w:bCs/>
        </w:rPr>
        <w:t xml:space="preserve">Business:</w:t>
      </w:r>
      <w:r>
        <w:t xml:space="preserve"> </w:t>
      </w:r>
      <w:r>
        <w:t xml:space="preserve">staff catering</w:t>
      </w:r>
      <w:r>
        <w:t xml:space="preserve"> </w:t>
      </w:r>
      <w:r>
        <w:t xml:space="preserve">(</w:t>
      </w:r>
      <w:hyperlink w:anchor="ref-hmrc_gdpef">
        <w:r>
          <w:rPr>
            <w:rStyle w:val="Hyperlink"/>
          </w:rPr>
          <w:t xml:space="preserve">HMRC, 2023c</w:t>
        </w:r>
      </w:hyperlink>
      <w:r>
        <w:t xml:space="preserve">)</w:t>
      </w:r>
      <w:r>
        <w:t xml:space="preserve">. Staff shops and canteens are also on the section 41A(2) list (Value Added Tax Act 1994, s. 41A(2)(l)).</w:t>
      </w:r>
    </w:p>
    <w:p>
      <w:pPr>
        <w:pStyle w:val="Compact"/>
        <w:numPr>
          <w:ilvl w:val="0"/>
          <w:numId w:val="1117"/>
        </w:numPr>
      </w:pPr>
      <w:r>
        <w:rPr>
          <w:b/>
          <w:bCs/>
        </w:rPr>
        <w:t xml:space="preserve">Business:</w:t>
      </w:r>
      <w:r>
        <w:t xml:space="preserve"> </w:t>
      </w:r>
      <w:r>
        <w:t xml:space="preserve">car parks that charge</w:t>
      </w:r>
      <w:r>
        <w:t xml:space="preserve"> </w:t>
      </w:r>
      <w:r>
        <w:t xml:space="preserve">(</w:t>
      </w:r>
      <w:hyperlink w:anchor="ref-hmrc_gdpef">
        <w:r>
          <w:rPr>
            <w:rStyle w:val="Hyperlink"/>
          </w:rPr>
          <w:t xml:space="preserve">HMRC, 2023c</w:t>
        </w:r>
      </w:hyperlink>
      <w:r>
        <w:t xml:space="preserve">)</w:t>
      </w:r>
      <w:r>
        <w:t xml:space="preserve">. In</w:t>
      </w:r>
      <w:r>
        <w:t xml:space="preserve"> </w:t>
      </w:r>
      <w:r>
        <w:rPr>
          <w:i/>
          <w:iCs/>
        </w:rPr>
        <w:t xml:space="preserve">Northumbria Healthcare</w:t>
      </w:r>
      <w:r>
        <w:t xml:space="preserve">, an NHS trust’s car parking was not carried on under a special legal regime (paras. 86 to 90).</w:t>
      </w:r>
    </w:p>
    <w:p>
      <w:pPr>
        <w:pStyle w:val="Compact"/>
        <w:numPr>
          <w:ilvl w:val="0"/>
          <w:numId w:val="1117"/>
        </w:numPr>
      </w:pPr>
      <w:r>
        <w:rPr>
          <w:b/>
          <w:bCs/>
        </w:rPr>
        <w:t xml:space="preserve">Business:</w:t>
      </w:r>
      <w:r>
        <w:t xml:space="preserve"> </w:t>
      </w:r>
      <w:r>
        <w:t xml:space="preserve">letting land or buildings to outside bodies. This is normally exempt unless the option to tax has been used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17"/>
        </w:numPr>
      </w:pPr>
      <w:r>
        <w:rPr>
          <w:b/>
          <w:bCs/>
        </w:rPr>
        <w:t xml:space="preserve">Business:</w:t>
      </w:r>
      <w:r>
        <w:t xml:space="preserve"> </w:t>
      </w:r>
      <w:r>
        <w:t xml:space="preserve">salary sacrifice schemes and non-specialist staff secondments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17"/>
        </w:numPr>
      </w:pPr>
      <w:r>
        <w:rPr>
          <w:b/>
          <w:bCs/>
        </w:rPr>
        <w:t xml:space="preserve">Business:</w:t>
      </w:r>
      <w:r>
        <w:t xml:space="preserve"> </w:t>
      </w:r>
      <w:r>
        <w:t xml:space="preserve">transport of goods, warehousing, and organising trade fairs or exhibitions, when charged for, unless negligible (Value Added Tax Act 1994, s. 41A(2)(c), (h) and (i)).</w:t>
      </w:r>
    </w:p>
    <w:p>
      <w:pPr>
        <w:pStyle w:val="Compact"/>
        <w:numPr>
          <w:ilvl w:val="0"/>
          <w:numId w:val="1117"/>
        </w:numPr>
      </w:pPr>
      <w:r>
        <w:rPr>
          <w:b/>
          <w:bCs/>
        </w:rPr>
        <w:t xml:space="preserve">Business:</w:t>
      </w:r>
      <w:r>
        <w:t xml:space="preserve"> </w:t>
      </w:r>
      <w:r>
        <w:t xml:space="preserve">charging admission to premises, for example for an event (Value Added Tax Act 1994, s. 94(2)(b)). The old List 2 gave air displays as an example</w:t>
      </w:r>
      <w:r>
        <w:t xml:space="preserve"> </w:t>
      </w:r>
      <w:r>
        <w:t xml:space="preserve">(</w:t>
      </w:r>
      <w:hyperlink w:anchor="ref-gazette_2008">
        <w:r>
          <w:rPr>
            <w:rStyle w:val="Hyperlink"/>
          </w:rPr>
          <w:t xml:space="preserve">HM Treasury, 2008</w:t>
        </w:r>
      </w:hyperlink>
      <w:r>
        <w:t xml:space="preserve">)</w:t>
      </w:r>
      <w:r>
        <w:t xml:space="preserve">.</w:t>
      </w:r>
    </w:p>
    <w:bookmarkEnd w:id="96"/>
    <w:bookmarkStart w:id="97" w:name="supplies-to-visiting-forces-in-the-uk"/>
    <w:p>
      <w:pPr>
        <w:pStyle w:val="Heading4"/>
      </w:pPr>
      <w:r>
        <w:t xml:space="preserve">Supplies to visiting forces in the UK</w:t>
      </w:r>
    </w:p>
    <w:p>
      <w:pPr>
        <w:pStyle w:val="FirstParagraph"/>
      </w:pPr>
      <w:r>
        <w:t xml:space="preserve">HMRC’s VAT Notice 431 explains reliefs for UK suppliers to NATO visiting forces and NATO international military headquarters in the UK</w:t>
      </w:r>
      <w:r>
        <w:t xml:space="preserve"> </w:t>
      </w:r>
      <w:r>
        <w:t xml:space="preserve">(</w:t>
      </w:r>
      <w:hyperlink w:anchor="ref-hmrc_n431">
        <w:r>
          <w:rPr>
            <w:rStyle w:val="Hyperlink"/>
          </w:rPr>
          <w:t xml:space="preserve">HMRC, 2020e, para. 1.1</w:t>
        </w:r>
      </w:hyperlink>
      <w:r>
        <w:t xml:space="preserve">)</w:t>
      </w:r>
      <w:r>
        <w:t xml:space="preserve">.</w:t>
      </w:r>
    </w:p>
    <w:p>
      <w:pPr>
        <w:pStyle w:val="Compact"/>
        <w:numPr>
          <w:ilvl w:val="0"/>
          <w:numId w:val="1118"/>
        </w:numPr>
      </w:pPr>
      <w:r>
        <w:t xml:space="preserve">Relief is usually given by letting the supplier zero-rate the supply</w:t>
      </w:r>
      <w:r>
        <w:t xml:space="preserve"> </w:t>
      </w:r>
      <w:r>
        <w:t xml:space="preserve">(</w:t>
      </w:r>
      <w:hyperlink w:anchor="ref-hmrc_n431">
        <w:r>
          <w:rPr>
            <w:rStyle w:val="Hyperlink"/>
          </w:rPr>
          <w:t xml:space="preserve">HMRC, 2020e, para. 1.5</w:t>
        </w:r>
      </w:hyperlink>
      <w:r>
        <w:t xml:space="preserve">)</w:t>
      </w:r>
      <w:r>
        <w:t xml:space="preserve">.</w:t>
      </w:r>
    </w:p>
    <w:p>
      <w:pPr>
        <w:pStyle w:val="Compact"/>
        <w:numPr>
          <w:ilvl w:val="0"/>
          <w:numId w:val="1118"/>
        </w:numPr>
      </w:pPr>
      <w:r>
        <w:t xml:space="preserve">The reliefs</w:t>
      </w:r>
      <w:r>
        <w:t xml:space="preserve"> </w:t>
      </w:r>
      <w:r>
        <w:t xml:space="preserve">“</w:t>
      </w:r>
      <w:r>
        <w:t xml:space="preserve">are not available to British forces based in the UK</w:t>
      </w:r>
      <w:r>
        <w:t xml:space="preserve">”</w:t>
      </w:r>
      <w:r>
        <w:t xml:space="preserve">, and not generally to non-NATO forces</w:t>
      </w:r>
      <w:r>
        <w:t xml:space="preserve"> </w:t>
      </w:r>
      <w:r>
        <w:t xml:space="preserve">(</w:t>
      </w:r>
      <w:hyperlink w:anchor="ref-hmrc_n431">
        <w:r>
          <w:rPr>
            <w:rStyle w:val="Hyperlink"/>
          </w:rPr>
          <w:t xml:space="preserve">HMRC, 2020e, para. 2.1</w:t>
        </w:r>
      </w:hyperlink>
      <w:r>
        <w:t xml:space="preserve">)</w:t>
      </w:r>
      <w:r>
        <w:t xml:space="preserve">.</w:t>
      </w:r>
    </w:p>
    <w:p>
      <w:pPr>
        <w:pStyle w:val="Compact"/>
        <w:numPr>
          <w:ilvl w:val="0"/>
          <w:numId w:val="1118"/>
        </w:numPr>
      </w:pPr>
      <w:r>
        <w:rPr>
          <w:b/>
          <w:bCs/>
        </w:rPr>
        <w:t xml:space="preserve">Check first:</w:t>
      </w:r>
      <w:r>
        <w:t xml:space="preserve"> </w:t>
      </w:r>
      <w:r>
        <w:t xml:space="preserve">the notice is written for</w:t>
      </w:r>
      <w:r>
        <w:t xml:space="preserve"> </w:t>
      </w:r>
      <w:r>
        <w:t xml:space="preserve">“</w:t>
      </w:r>
      <w:r>
        <w:t xml:space="preserve">UK VAT-registered businesses</w:t>
      </w:r>
      <w:r>
        <w:t xml:space="preserve">”</w:t>
      </w:r>
      <w:r>
        <w:t xml:space="preserve"> </w:t>
      </w:r>
      <w:r>
        <w:t xml:space="preserve">(</w:t>
      </w:r>
      <w:hyperlink w:anchor="ref-hmrc_n431">
        <w:r>
          <w:rPr>
            <w:rStyle w:val="Hyperlink"/>
          </w:rPr>
          <w:t xml:space="preserve">HMRC, 2020e, para. 1.3</w:t>
        </w:r>
      </w:hyperlink>
      <w:r>
        <w:t xml:space="preserve">)</w:t>
      </w:r>
      <w:r>
        <w:t xml:space="preserve">. It does not say how it applies where the supplier is a government department.</w:t>
      </w:r>
    </w:p>
    <w:bookmarkEnd w:id="97"/>
    <w:bookmarkStart w:id="98" w:name="defence-activities-at-a-glance"/>
    <w:p>
      <w:pPr>
        <w:pStyle w:val="Heading4"/>
      </w:pPr>
      <w:r>
        <w:t xml:space="preserve">Defence activities at a glance</w:t>
      </w:r>
    </w:p>
    <w:p>
      <w:pPr>
        <w:pStyle w:val="FirstParagraph"/>
      </w:pPr>
      <w:r>
        <w:t xml:space="preserve">The table applies the rules set out in this section</w:t>
      </w:r>
      <w:r>
        <w:t xml:space="preserve"> </w:t>
      </w:r>
      <w:r>
        <w:t xml:space="preserve">(</w:t>
      </w:r>
      <w:hyperlink w:anchor="ref-hmrc_n741a">
        <w:r>
          <w:rPr>
            <w:rStyle w:val="Hyperlink"/>
          </w:rPr>
          <w:t xml:space="preserve">HMRC, 2022d, para. 12.2</w:t>
        </w:r>
      </w:hyperlink>
      <w:r>
        <w:t xml:space="preserve">;</w:t>
      </w:r>
      <w:r>
        <w:t xml:space="preserve"> </w:t>
      </w:r>
      <w:hyperlink w:anchor="ref-hmrc_gdpef">
        <w:r>
          <w:rPr>
            <w:rStyle w:val="Hyperlink"/>
          </w:rPr>
          <w:t xml:space="preserve">2023c</w:t>
        </w:r>
      </w:hyperlink>
      <w:r>
        <w:t xml:space="preserve">;</w:t>
      </w:r>
      <w:r>
        <w:t xml:space="preserve"> </w:t>
      </w:r>
      <w:hyperlink w:anchor="ref-hmrc_n70130">
        <w:r>
          <w:rPr>
            <w:rStyle w:val="Hyperlink"/>
          </w:rPr>
          <w:t xml:space="preserve">2025d, para. 4.1</w:t>
        </w:r>
      </w:hyperlink>
      <w:r>
        <w:t xml:space="preserve">;</w:t>
      </w:r>
      <w:r>
        <w:t xml:space="preserve"> </w:t>
      </w:r>
      <w:hyperlink w:anchor="ref-hmrc_n703">
        <w:r>
          <w:rPr>
            <w:rStyle w:val="Hyperlink"/>
          </w:rPr>
          <w:t xml:space="preserve">HMRC, 2026p</w:t>
        </w:r>
      </w:hyperlink>
      <w:r>
        <w:t xml:space="preserve">, paras. 2.2 and 3.3;</w:t>
      </w:r>
      <w:r>
        <w:t xml:space="preserve"> </w:t>
      </w:r>
      <w:hyperlink w:anchor="ref-hmrc_vatgpb">
        <w:r>
          <w:rPr>
            <w:rStyle w:val="Hyperlink"/>
          </w:rPr>
          <w:t xml:space="preserve">HMRC, 2026n, sec. VATGPB11030</w:t>
        </w:r>
      </w:hyperlink>
      <w:r>
        <w:t xml:space="preserve">)</w:t>
      </w:r>
      <w:r>
        <w:t xml:space="preserve">. Use it as a starting point only.</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540"/>
        <w:gridCol w:w="1899"/>
        <w:gridCol w:w="3586"/>
      </w:tblGrid>
      <w:tr>
        <w:trPr>
          <w:tblHeader w:val="true"/>
          <w:cantSplit w:val="true"/>
        </w:trPr>
        <w:tc>
          <w:tcPr>
            <w:tcW w:w="3540" w:type="dxa"/>
            <w:shd w:val="clear" w:color="auto" w:fill="1B3A5C"/>
          </w:tcPr>
          <w:p>
            <w:pPr>
              <w:pStyle w:val="Compact"/>
              <w:spacing w:after="40" w:before="40"/>
              <w:jc w:val="left"/>
            </w:pPr>
            <w:r>
              <w:rPr>
                <w:rFonts w:ascii="Tahoma" w:hAnsi="Tahoma"/>
                <w:b/>
                <w:color w:val="FFFFFF"/>
                <w:sz w:val="22"/>
              </w:rPr>
              <w:t xml:space="preserve">Defence activity</w:t>
            </w:r>
          </w:p>
        </w:tc>
        <w:tc>
          <w:tcPr>
            <w:tcW w:w="1899" w:type="dxa"/>
            <w:shd w:val="clear" w:color="auto" w:fill="1B3A5C"/>
          </w:tcPr>
          <w:p>
            <w:pPr>
              <w:pStyle w:val="Compact"/>
              <w:spacing w:after="40" w:before="40"/>
              <w:jc w:val="left"/>
            </w:pPr>
            <w:r>
              <w:rPr>
                <w:rFonts w:ascii="Tahoma" w:hAnsi="Tahoma"/>
                <w:b/>
                <w:color w:val="FFFFFF"/>
                <w:sz w:val="22"/>
              </w:rPr>
              <w:t xml:space="preserve">Business or non-business?</w:t>
            </w:r>
          </w:p>
        </w:tc>
        <w:tc>
          <w:tcPr>
            <w:tcW w:w="3586" w:type="dxa"/>
            <w:shd w:val="clear" w:color="auto" w:fill="1B3A5C"/>
          </w:tcPr>
          <w:p>
            <w:pPr>
              <w:pStyle w:val="Compact"/>
              <w:spacing w:after="40" w:before="40"/>
              <w:jc w:val="left"/>
            </w:pPr>
            <w:r>
              <w:rPr>
                <w:rFonts w:ascii="Tahoma" w:hAnsi="Tahoma"/>
                <w:b/>
                <w:color w:val="FFFFFF"/>
                <w:sz w:val="22"/>
              </w:rPr>
              <w:t xml:space="preserve">VAT effect</w:t>
            </w:r>
          </w:p>
        </w:tc>
      </w:tr>
      <w:tr>
        <w:trPr>
          <w:cantSplit w:val="true"/>
        </w:trPr>
        <w:tc>
          <w:tcPr>
            <w:tcW w:w="3540" w:type="dxa"/>
            <w:shd w:val="clear" w:color="auto" w:fill="EAF3FA"/>
          </w:tcPr>
          <w:p>
            <w:pPr>
              <w:pStyle w:val="Compact"/>
              <w:spacing w:after="40" w:before="40"/>
              <w:jc w:val="left"/>
            </w:pPr>
            <w:r>
              <w:rPr>
                <w:rFonts w:ascii="Tahoma" w:hAnsi="Tahoma"/>
                <w:sz w:val="22"/>
              </w:rPr>
              <w:t xml:space="preserve">Defending the UK, operations, deterrence</w:t>
            </w:r>
          </w:p>
        </w:tc>
        <w:tc>
          <w:tcPr>
            <w:tcW w:w="1899" w:type="dxa"/>
            <w:shd w:val="clear" w:color="auto" w:fill="EAF3FA"/>
          </w:tcPr>
          <w:p>
            <w:pPr>
              <w:pStyle w:val="Compact"/>
              <w:spacing w:after="40" w:before="40"/>
              <w:jc w:val="left"/>
            </w:pPr>
            <w:r>
              <w:rPr>
                <w:rFonts w:ascii="Tahoma" w:hAnsi="Tahoma"/>
                <w:sz w:val="22"/>
              </w:rPr>
              <w:t xml:space="preserve">Non-business</w:t>
            </w:r>
          </w:p>
        </w:tc>
        <w:tc>
          <w:tcPr>
            <w:tcW w:w="3586" w:type="dxa"/>
            <w:shd w:val="clear" w:color="auto" w:fill="EAF3FA"/>
          </w:tcPr>
          <w:p>
            <w:pPr>
              <w:pStyle w:val="Compact"/>
              <w:spacing w:after="40" w:before="40"/>
              <w:jc w:val="left"/>
            </w:pPr>
            <w:r>
              <w:rPr>
                <w:rFonts w:ascii="Tahoma" w:hAnsi="Tahoma"/>
                <w:sz w:val="22"/>
              </w:rPr>
              <w:t xml:space="preserve">Not input tax; COS for heading services only</w:t>
            </w:r>
          </w:p>
        </w:tc>
      </w:tr>
      <w:tr>
        <w:trPr>
          <w:cantSplit w:val="true"/>
        </w:trPr>
        <w:tc>
          <w:tcPr>
            <w:tcW w:w="3540" w:type="dxa"/>
            <w:shd w:val="clear" w:color="auto" w:fill="FFFFFF"/>
          </w:tcPr>
          <w:p>
            <w:pPr>
              <w:pStyle w:val="Compact"/>
              <w:spacing w:after="40" w:before="40"/>
              <w:jc w:val="left"/>
            </w:pPr>
            <w:r>
              <w:rPr>
                <w:rFonts w:ascii="Tahoma" w:hAnsi="Tahoma"/>
                <w:sz w:val="22"/>
              </w:rPr>
              <w:t xml:space="preserve">Training the department’s own personnel</w:t>
            </w:r>
          </w:p>
        </w:tc>
        <w:tc>
          <w:tcPr>
            <w:tcW w:w="1899" w:type="dxa"/>
            <w:shd w:val="clear" w:color="auto" w:fill="FFFFFF"/>
          </w:tcPr>
          <w:p>
            <w:pPr>
              <w:pStyle w:val="Compact"/>
              <w:spacing w:after="40" w:before="40"/>
              <w:jc w:val="left"/>
            </w:pPr>
            <w:r>
              <w:rPr>
                <w:rFonts w:ascii="Tahoma" w:hAnsi="Tahoma"/>
                <w:sz w:val="22"/>
              </w:rPr>
              <w:t xml:space="preserve">Non-business</w:t>
            </w:r>
          </w:p>
        </w:tc>
        <w:tc>
          <w:tcPr>
            <w:tcW w:w="3586" w:type="dxa"/>
            <w:shd w:val="clear" w:color="auto" w:fill="FFFFFF"/>
          </w:tcPr>
          <w:p>
            <w:pPr>
              <w:pStyle w:val="Compact"/>
              <w:spacing w:after="40" w:before="40"/>
              <w:jc w:val="left"/>
            </w:pPr>
            <w:r>
              <w:rPr>
                <w:rFonts w:ascii="Tahoma" w:hAnsi="Tahoma"/>
                <w:sz w:val="22"/>
              </w:rPr>
              <w:t xml:space="preserve">As above; bought-in training may be Heading 65</w:t>
            </w:r>
          </w:p>
        </w:tc>
      </w:tr>
      <w:tr>
        <w:trPr>
          <w:cantSplit w:val="true"/>
        </w:trPr>
        <w:tc>
          <w:tcPr>
            <w:tcW w:w="3540" w:type="dxa"/>
            <w:shd w:val="clear" w:color="auto" w:fill="FBEAF1"/>
          </w:tcPr>
          <w:p>
            <w:pPr>
              <w:pStyle w:val="Compact"/>
              <w:spacing w:after="40" w:before="40"/>
              <w:jc w:val="left"/>
            </w:pPr>
            <w:r>
              <w:rPr>
                <w:rFonts w:ascii="Tahoma" w:hAnsi="Tahoma"/>
                <w:sz w:val="22"/>
              </w:rPr>
              <w:t xml:space="preserve">Joint exercise with allies, no charge</w:t>
            </w:r>
          </w:p>
        </w:tc>
        <w:tc>
          <w:tcPr>
            <w:tcW w:w="1899" w:type="dxa"/>
            <w:shd w:val="clear" w:color="auto" w:fill="FBEAF1"/>
          </w:tcPr>
          <w:p>
            <w:pPr>
              <w:pStyle w:val="Compact"/>
              <w:spacing w:after="40" w:before="40"/>
              <w:jc w:val="left"/>
            </w:pPr>
            <w:r>
              <w:rPr>
                <w:rFonts w:ascii="Tahoma" w:hAnsi="Tahoma"/>
                <w:sz w:val="22"/>
              </w:rPr>
              <w:t xml:space="preserve">Non-business</w:t>
            </w:r>
          </w:p>
        </w:tc>
        <w:tc>
          <w:tcPr>
            <w:tcW w:w="3586" w:type="dxa"/>
            <w:shd w:val="clear" w:color="auto" w:fill="FBEAF1"/>
          </w:tcPr>
          <w:p>
            <w:pPr>
              <w:pStyle w:val="Compact"/>
              <w:spacing w:after="40" w:before="40"/>
              <w:jc w:val="left"/>
            </w:pPr>
            <w:r>
              <w:rPr>
                <w:rFonts w:ascii="Tahoma" w:hAnsi="Tahoma"/>
                <w:sz w:val="22"/>
              </w:rPr>
              <w:t xml:space="preserve">As above</w:t>
            </w:r>
          </w:p>
        </w:tc>
      </w:tr>
      <w:tr>
        <w:trPr>
          <w:cantSplit w:val="true"/>
        </w:trPr>
        <w:tc>
          <w:tcPr>
            <w:tcW w:w="3540" w:type="dxa"/>
            <w:shd w:val="clear" w:color="auto" w:fill="EAF3FA"/>
          </w:tcPr>
          <w:p>
            <w:pPr>
              <w:pStyle w:val="Compact"/>
              <w:spacing w:after="40" w:before="40"/>
              <w:jc w:val="left"/>
            </w:pPr>
            <w:r>
              <w:rPr>
                <w:rFonts w:ascii="Tahoma" w:hAnsi="Tahoma"/>
                <w:sz w:val="22"/>
              </w:rPr>
              <w:t xml:space="preserve">Gifting equipment to another government</w:t>
            </w:r>
          </w:p>
        </w:tc>
        <w:tc>
          <w:tcPr>
            <w:tcW w:w="1899" w:type="dxa"/>
            <w:shd w:val="clear" w:color="auto" w:fill="EAF3FA"/>
          </w:tcPr>
          <w:p>
            <w:pPr>
              <w:pStyle w:val="Compact"/>
              <w:spacing w:after="40" w:before="40"/>
              <w:jc w:val="left"/>
            </w:pPr>
            <w:r>
              <w:rPr>
                <w:rFonts w:ascii="Tahoma" w:hAnsi="Tahoma"/>
                <w:sz w:val="22"/>
              </w:rPr>
              <w:t xml:space="preserve">Non-business</w:t>
            </w:r>
          </w:p>
        </w:tc>
        <w:tc>
          <w:tcPr>
            <w:tcW w:w="3586" w:type="dxa"/>
            <w:shd w:val="clear" w:color="auto" w:fill="EAF3FA"/>
          </w:tcPr>
          <w:p>
            <w:pPr>
              <w:pStyle w:val="Compact"/>
              <w:spacing w:after="40" w:before="40"/>
              <w:jc w:val="left"/>
            </w:pPr>
            <w:r>
              <w:rPr>
                <w:rFonts w:ascii="Tahoma" w:hAnsi="Tahoma"/>
                <w:sz w:val="22"/>
              </w:rPr>
              <w:t xml:space="preserve">VAT on goods is a cost; support services may be COS</w:t>
            </w:r>
          </w:p>
        </w:tc>
      </w:tr>
      <w:tr>
        <w:trPr>
          <w:cantSplit w:val="true"/>
        </w:trPr>
        <w:tc>
          <w:tcPr>
            <w:tcW w:w="3540" w:type="dxa"/>
            <w:shd w:val="clear" w:color="auto" w:fill="FFFFFF"/>
          </w:tcPr>
          <w:p>
            <w:pPr>
              <w:pStyle w:val="Compact"/>
              <w:spacing w:after="40" w:before="40"/>
              <w:jc w:val="left"/>
            </w:pPr>
            <w:r>
              <w:rPr>
                <w:rFonts w:ascii="Tahoma" w:hAnsi="Tahoma"/>
                <w:sz w:val="22"/>
              </w:rPr>
              <w:t xml:space="preserve">Free disaster relief abroad</w:t>
            </w:r>
          </w:p>
        </w:tc>
        <w:tc>
          <w:tcPr>
            <w:tcW w:w="1899" w:type="dxa"/>
            <w:shd w:val="clear" w:color="auto" w:fill="FFFFFF"/>
          </w:tcPr>
          <w:p>
            <w:pPr>
              <w:pStyle w:val="Compact"/>
              <w:spacing w:after="40" w:before="40"/>
              <w:jc w:val="left"/>
            </w:pPr>
            <w:r>
              <w:rPr>
                <w:rFonts w:ascii="Tahoma" w:hAnsi="Tahoma"/>
                <w:sz w:val="22"/>
              </w:rPr>
              <w:t xml:space="preserve">Non-business</w:t>
            </w:r>
          </w:p>
        </w:tc>
        <w:tc>
          <w:tcPr>
            <w:tcW w:w="3586" w:type="dxa"/>
            <w:shd w:val="clear" w:color="auto" w:fill="FFFFFF"/>
          </w:tcPr>
          <w:p>
            <w:pPr>
              <w:pStyle w:val="Compact"/>
              <w:spacing w:after="40" w:before="40"/>
              <w:jc w:val="left"/>
            </w:pPr>
            <w:r>
              <w:rPr>
                <w:rFonts w:ascii="Tahoma" w:hAnsi="Tahoma"/>
                <w:sz w:val="22"/>
              </w:rPr>
              <w:t xml:space="preserve">As above</w:t>
            </w:r>
          </w:p>
        </w:tc>
      </w:tr>
      <w:tr>
        <w:trPr>
          <w:cantSplit w:val="true"/>
        </w:trPr>
        <w:tc>
          <w:tcPr>
            <w:tcW w:w="3540" w:type="dxa"/>
            <w:shd w:val="clear" w:color="auto" w:fill="FBEAF1"/>
          </w:tcPr>
          <w:p>
            <w:pPr>
              <w:pStyle w:val="Compact"/>
              <w:spacing w:after="40" w:before="40"/>
              <w:jc w:val="left"/>
            </w:pPr>
            <w:r>
              <w:rPr>
                <w:rFonts w:ascii="Tahoma" w:hAnsi="Tahoma"/>
                <w:sz w:val="22"/>
              </w:rPr>
              <w:t xml:space="preserve">Contribution to a joint international project</w:t>
            </w:r>
          </w:p>
        </w:tc>
        <w:tc>
          <w:tcPr>
            <w:tcW w:w="1899" w:type="dxa"/>
            <w:shd w:val="clear" w:color="auto" w:fill="FBEAF1"/>
          </w:tcPr>
          <w:p>
            <w:pPr>
              <w:pStyle w:val="Compact"/>
              <w:spacing w:after="40" w:before="40"/>
              <w:jc w:val="left"/>
            </w:pPr>
            <w:r>
              <w:rPr>
                <w:rFonts w:ascii="Tahoma" w:hAnsi="Tahoma"/>
                <w:sz w:val="22"/>
              </w:rPr>
              <w:t xml:space="preserve">Check first</w:t>
            </w:r>
          </w:p>
        </w:tc>
        <w:tc>
          <w:tcPr>
            <w:tcW w:w="3586" w:type="dxa"/>
            <w:shd w:val="clear" w:color="auto" w:fill="FBEAF1"/>
          </w:tcPr>
          <w:p>
            <w:pPr>
              <w:pStyle w:val="Compact"/>
              <w:spacing w:after="40" w:before="40"/>
              <w:jc w:val="left"/>
            </w:pPr>
            <w:r>
              <w:rPr>
                <w:rFonts w:ascii="Tahoma" w:hAnsi="Tahoma"/>
                <w:sz w:val="22"/>
              </w:rPr>
              <w:t xml:space="preserve">Depends on the agreement; ICDP zero rate may apply</w:t>
            </w:r>
          </w:p>
        </w:tc>
      </w:tr>
      <w:tr>
        <w:trPr>
          <w:cantSplit w:val="true"/>
        </w:trPr>
        <w:tc>
          <w:tcPr>
            <w:tcW w:w="3540" w:type="dxa"/>
            <w:shd w:val="clear" w:color="auto" w:fill="EAF3FA"/>
          </w:tcPr>
          <w:p>
            <w:pPr>
              <w:pStyle w:val="Compact"/>
              <w:spacing w:after="40" w:before="40"/>
              <w:jc w:val="left"/>
            </w:pPr>
            <w:r>
              <w:rPr>
                <w:rFonts w:ascii="Tahoma" w:hAnsi="Tahoma"/>
                <w:sz w:val="22"/>
              </w:rPr>
              <w:t xml:space="preserve">Selling surplus vehicles to another government, exported</w:t>
            </w:r>
          </w:p>
        </w:tc>
        <w:tc>
          <w:tcPr>
            <w:tcW w:w="1899" w:type="dxa"/>
            <w:shd w:val="clear" w:color="auto" w:fill="EAF3FA"/>
          </w:tcPr>
          <w:p>
            <w:pPr>
              <w:pStyle w:val="Compact"/>
              <w:spacing w:after="40" w:before="40"/>
              <w:jc w:val="left"/>
            </w:pPr>
            <w:r>
              <w:rPr>
                <w:rFonts w:ascii="Tahoma" w:hAnsi="Tahoma"/>
                <w:sz w:val="22"/>
              </w:rPr>
              <w:t xml:space="preserve">Business</w:t>
            </w:r>
          </w:p>
        </w:tc>
        <w:tc>
          <w:tcPr>
            <w:tcW w:w="3586" w:type="dxa"/>
            <w:shd w:val="clear" w:color="auto" w:fill="EAF3FA"/>
          </w:tcPr>
          <w:p>
            <w:pPr>
              <w:pStyle w:val="Compact"/>
              <w:spacing w:after="40" w:before="40"/>
              <w:jc w:val="left"/>
            </w:pPr>
            <w:r>
              <w:rPr>
                <w:rFonts w:ascii="Tahoma" w:hAnsi="Tahoma"/>
                <w:sz w:val="22"/>
              </w:rPr>
              <w:t xml:space="preserve">Zero-rated with evidence; input tax recoverable</w:t>
            </w:r>
          </w:p>
        </w:tc>
      </w:tr>
      <w:tr>
        <w:trPr>
          <w:cantSplit w:val="true"/>
        </w:trPr>
        <w:tc>
          <w:tcPr>
            <w:tcW w:w="3540" w:type="dxa"/>
            <w:shd w:val="clear" w:color="auto" w:fill="FFFFFF"/>
          </w:tcPr>
          <w:p>
            <w:pPr>
              <w:pStyle w:val="Compact"/>
              <w:spacing w:after="40" w:before="40"/>
              <w:jc w:val="left"/>
            </w:pPr>
            <w:r>
              <w:rPr>
                <w:rFonts w:ascii="Tahoma" w:hAnsi="Tahoma"/>
                <w:sz w:val="22"/>
              </w:rPr>
              <w:t xml:space="preserve">Selling kit already located abroad</w:t>
            </w:r>
          </w:p>
        </w:tc>
        <w:tc>
          <w:tcPr>
            <w:tcW w:w="1899" w:type="dxa"/>
            <w:shd w:val="clear" w:color="auto" w:fill="FFFFFF"/>
          </w:tcPr>
          <w:p>
            <w:pPr>
              <w:pStyle w:val="Compact"/>
              <w:spacing w:after="40" w:before="40"/>
              <w:jc w:val="left"/>
            </w:pPr>
            <w:r>
              <w:rPr>
                <w:rFonts w:ascii="Tahoma" w:hAnsi="Tahoma"/>
                <w:sz w:val="22"/>
              </w:rPr>
              <w:t xml:space="preserve">Business</w:t>
            </w:r>
          </w:p>
        </w:tc>
        <w:tc>
          <w:tcPr>
            <w:tcW w:w="3586" w:type="dxa"/>
            <w:shd w:val="clear" w:color="auto" w:fill="FFFFFF"/>
          </w:tcPr>
          <w:p>
            <w:pPr>
              <w:pStyle w:val="Compact"/>
              <w:spacing w:after="40" w:before="40"/>
              <w:jc w:val="left"/>
            </w:pPr>
            <w:r>
              <w:rPr>
                <w:rFonts w:ascii="Tahoma" w:hAnsi="Tahoma"/>
                <w:sz w:val="22"/>
              </w:rPr>
              <w:t xml:space="preserve">Outside the scope; input tax recoverable (s. 26(2)(b))</w:t>
            </w:r>
          </w:p>
        </w:tc>
      </w:tr>
      <w:tr>
        <w:trPr>
          <w:cantSplit w:val="true"/>
        </w:trPr>
        <w:tc>
          <w:tcPr>
            <w:tcW w:w="3540" w:type="dxa"/>
            <w:shd w:val="clear" w:color="auto" w:fill="FBEAF1"/>
          </w:tcPr>
          <w:p>
            <w:pPr>
              <w:pStyle w:val="Compact"/>
              <w:spacing w:after="40" w:before="40"/>
              <w:jc w:val="left"/>
            </w:pPr>
            <w:r>
              <w:rPr>
                <w:rFonts w:ascii="Tahoma" w:hAnsi="Tahoma"/>
                <w:sz w:val="22"/>
              </w:rPr>
              <w:t xml:space="preserve">Selling training places to foreign officials</w:t>
            </w:r>
          </w:p>
        </w:tc>
        <w:tc>
          <w:tcPr>
            <w:tcW w:w="1899" w:type="dxa"/>
            <w:shd w:val="clear" w:color="auto" w:fill="FBEAF1"/>
          </w:tcPr>
          <w:p>
            <w:pPr>
              <w:pStyle w:val="Compact"/>
              <w:spacing w:after="40" w:before="40"/>
              <w:jc w:val="left"/>
            </w:pPr>
            <w:r>
              <w:rPr>
                <w:rFonts w:ascii="Tahoma" w:hAnsi="Tahoma"/>
                <w:sz w:val="22"/>
              </w:rPr>
              <w:t xml:space="preserve">Business</w:t>
            </w:r>
          </w:p>
        </w:tc>
        <w:tc>
          <w:tcPr>
            <w:tcW w:w="3586" w:type="dxa"/>
            <w:shd w:val="clear" w:color="auto" w:fill="FBEAF1"/>
          </w:tcPr>
          <w:p>
            <w:pPr>
              <w:pStyle w:val="Compact"/>
              <w:spacing w:after="40" w:before="40"/>
              <w:jc w:val="left"/>
            </w:pPr>
            <w:r>
              <w:rPr>
                <w:rFonts w:ascii="Tahoma" w:hAnsi="Tahoma"/>
                <w:sz w:val="22"/>
              </w:rPr>
              <w:t xml:space="preserve">Normally exempt; related VAT is exempt input tax</w:t>
            </w:r>
          </w:p>
        </w:tc>
      </w:tr>
      <w:tr>
        <w:trPr>
          <w:cantSplit w:val="true"/>
        </w:trPr>
        <w:tc>
          <w:tcPr>
            <w:tcW w:w="3540" w:type="dxa"/>
            <w:shd w:val="clear" w:color="auto" w:fill="EAF3FA"/>
          </w:tcPr>
          <w:p>
            <w:pPr>
              <w:pStyle w:val="Compact"/>
              <w:spacing w:after="40" w:before="40"/>
              <w:jc w:val="left"/>
            </w:pPr>
            <w:r>
              <w:rPr>
                <w:rFonts w:ascii="Tahoma" w:hAnsi="Tahoma"/>
                <w:sz w:val="22"/>
              </w:rPr>
              <w:t xml:space="preserve">Logistics support for another government, for a fee</w:t>
            </w:r>
          </w:p>
        </w:tc>
        <w:tc>
          <w:tcPr>
            <w:tcW w:w="1899" w:type="dxa"/>
            <w:shd w:val="clear" w:color="auto" w:fill="EAF3FA"/>
          </w:tcPr>
          <w:p>
            <w:pPr>
              <w:pStyle w:val="Compact"/>
              <w:spacing w:after="40" w:before="40"/>
              <w:jc w:val="left"/>
            </w:pPr>
            <w:r>
              <w:rPr>
                <w:rFonts w:ascii="Tahoma" w:hAnsi="Tahoma"/>
                <w:sz w:val="22"/>
              </w:rPr>
              <w:t xml:space="preserve">Business</w:t>
            </w:r>
          </w:p>
        </w:tc>
        <w:tc>
          <w:tcPr>
            <w:tcW w:w="3586" w:type="dxa"/>
            <w:shd w:val="clear" w:color="auto" w:fill="EAF3FA"/>
          </w:tcPr>
          <w:p>
            <w:pPr>
              <w:pStyle w:val="Compact"/>
              <w:spacing w:after="40" w:before="40"/>
              <w:jc w:val="left"/>
            </w:pPr>
            <w:r>
              <w:rPr>
                <w:rFonts w:ascii="Tahoma" w:hAnsi="Tahoma"/>
                <w:sz w:val="22"/>
              </w:rPr>
              <w:t xml:space="preserve">Output tax depends on place of supply and reliefs</w:t>
            </w:r>
          </w:p>
        </w:tc>
      </w:tr>
      <w:tr>
        <w:trPr>
          <w:cantSplit w:val="true"/>
        </w:trPr>
        <w:tc>
          <w:tcPr>
            <w:tcW w:w="3540" w:type="dxa"/>
            <w:shd w:val="clear" w:color="auto" w:fill="FFFFFF"/>
          </w:tcPr>
          <w:p>
            <w:pPr>
              <w:pStyle w:val="Compact"/>
              <w:spacing w:after="40" w:before="40"/>
              <w:jc w:val="left"/>
            </w:pPr>
            <w:r>
              <w:rPr>
                <w:rFonts w:ascii="Tahoma" w:hAnsi="Tahoma"/>
                <w:sz w:val="22"/>
              </w:rPr>
              <w:t xml:space="preserve">Consultancy to a foreign defence ministry, for a fee</w:t>
            </w:r>
          </w:p>
        </w:tc>
        <w:tc>
          <w:tcPr>
            <w:tcW w:w="1899" w:type="dxa"/>
            <w:shd w:val="clear" w:color="auto" w:fill="FFFFFF"/>
          </w:tcPr>
          <w:p>
            <w:pPr>
              <w:pStyle w:val="Compact"/>
              <w:spacing w:after="40" w:before="40"/>
              <w:jc w:val="left"/>
            </w:pPr>
            <w:r>
              <w:rPr>
                <w:rFonts w:ascii="Tahoma" w:hAnsi="Tahoma"/>
                <w:sz w:val="22"/>
              </w:rPr>
              <w:t xml:space="preserve">Business</w:t>
            </w:r>
          </w:p>
        </w:tc>
        <w:tc>
          <w:tcPr>
            <w:tcW w:w="3586" w:type="dxa"/>
            <w:shd w:val="clear" w:color="auto" w:fill="FFFFFF"/>
          </w:tcPr>
          <w:p>
            <w:pPr>
              <w:pStyle w:val="Compact"/>
              <w:spacing w:after="40" w:before="40"/>
              <w:jc w:val="left"/>
            </w:pPr>
            <w:r>
              <w:rPr>
                <w:rFonts w:ascii="Tahoma" w:hAnsi="Tahoma"/>
                <w:sz w:val="22"/>
              </w:rPr>
              <w:t xml:space="preserve">Usually outside the scope; input tax recoverable</w:t>
            </w:r>
          </w:p>
        </w:tc>
      </w:tr>
      <w:tr>
        <w:trPr>
          <w:cantSplit w:val="true"/>
        </w:trPr>
        <w:tc>
          <w:tcPr>
            <w:tcW w:w="3540" w:type="dxa"/>
            <w:shd w:val="clear" w:color="auto" w:fill="FBEAF1"/>
          </w:tcPr>
          <w:p>
            <w:pPr>
              <w:pStyle w:val="Compact"/>
              <w:spacing w:after="40" w:before="40"/>
              <w:jc w:val="left"/>
            </w:pPr>
            <w:r>
              <w:rPr>
                <w:rFonts w:ascii="Tahoma" w:hAnsi="Tahoma"/>
                <w:sz w:val="22"/>
              </w:rPr>
              <w:t xml:space="preserve">Staff canteen or shop</w:t>
            </w:r>
          </w:p>
        </w:tc>
        <w:tc>
          <w:tcPr>
            <w:tcW w:w="1899" w:type="dxa"/>
            <w:shd w:val="clear" w:color="auto" w:fill="FBEAF1"/>
          </w:tcPr>
          <w:p>
            <w:pPr>
              <w:pStyle w:val="Compact"/>
              <w:spacing w:after="40" w:before="40"/>
              <w:jc w:val="left"/>
            </w:pPr>
            <w:r>
              <w:rPr>
                <w:rFonts w:ascii="Tahoma" w:hAnsi="Tahoma"/>
                <w:sz w:val="22"/>
              </w:rPr>
              <w:t xml:space="preserve">Business</w:t>
            </w:r>
          </w:p>
        </w:tc>
        <w:tc>
          <w:tcPr>
            <w:tcW w:w="3586" w:type="dxa"/>
            <w:shd w:val="clear" w:color="auto" w:fill="FBEAF1"/>
          </w:tcPr>
          <w:p>
            <w:pPr>
              <w:pStyle w:val="Compact"/>
              <w:spacing w:after="40" w:before="40"/>
              <w:jc w:val="left"/>
            </w:pPr>
            <w:r>
              <w:rPr>
                <w:rFonts w:ascii="Tahoma" w:hAnsi="Tahoma"/>
                <w:sz w:val="22"/>
              </w:rPr>
              <w:t xml:space="preserve">Output tax on sales; input tax recoverable</w:t>
            </w:r>
          </w:p>
        </w:tc>
      </w:tr>
      <w:tr>
        <w:trPr>
          <w:cantSplit w:val="true"/>
        </w:trPr>
        <w:tc>
          <w:tcPr>
            <w:tcW w:w="3540" w:type="dxa"/>
            <w:shd w:val="clear" w:color="auto" w:fill="EAF3FA"/>
          </w:tcPr>
          <w:p>
            <w:pPr>
              <w:pStyle w:val="Compact"/>
              <w:spacing w:after="40" w:before="40"/>
              <w:jc w:val="left"/>
            </w:pPr>
            <w:r>
              <w:rPr>
                <w:rFonts w:ascii="Tahoma" w:hAnsi="Tahoma"/>
                <w:sz w:val="22"/>
              </w:rPr>
              <w:t xml:space="preserve">Staff car park with charges</w:t>
            </w:r>
          </w:p>
        </w:tc>
        <w:tc>
          <w:tcPr>
            <w:tcW w:w="1899" w:type="dxa"/>
            <w:shd w:val="clear" w:color="auto" w:fill="EAF3FA"/>
          </w:tcPr>
          <w:p>
            <w:pPr>
              <w:pStyle w:val="Compact"/>
              <w:spacing w:after="40" w:before="40"/>
              <w:jc w:val="left"/>
            </w:pPr>
            <w:r>
              <w:rPr>
                <w:rFonts w:ascii="Tahoma" w:hAnsi="Tahoma"/>
                <w:sz w:val="22"/>
              </w:rPr>
              <w:t xml:space="preserve">Business</w:t>
            </w:r>
          </w:p>
        </w:tc>
        <w:tc>
          <w:tcPr>
            <w:tcW w:w="3586" w:type="dxa"/>
            <w:shd w:val="clear" w:color="auto" w:fill="EAF3FA"/>
          </w:tcPr>
          <w:p>
            <w:pPr>
              <w:pStyle w:val="Compact"/>
              <w:spacing w:after="40" w:before="40"/>
              <w:jc w:val="left"/>
            </w:pPr>
            <w:r>
              <w:rPr>
                <w:rFonts w:ascii="Tahoma" w:hAnsi="Tahoma"/>
                <w:sz w:val="22"/>
              </w:rPr>
              <w:t xml:space="preserve">Standard-rated; input tax recoverable</w:t>
            </w:r>
          </w:p>
        </w:tc>
      </w:tr>
    </w:tbl>
    <w:bookmarkEnd w:id="98"/>
    <w:bookmarkEnd w:id="99"/>
    <w:bookmarkStart w:id="108" w:name="worked-examples-1"/>
    <w:p>
      <w:pPr>
        <w:pStyle w:val="Heading3"/>
      </w:pPr>
      <w:r>
        <w:t xml:space="preserve">Worked examples</w:t>
      </w:r>
    </w:p>
    <w:p>
      <w:pPr>
        <w:pStyle w:val="FirstParagraph"/>
      </w:pPr>
      <w:r>
        <w:t xml:space="preserve">These examples use the fictional Department. For this Part, assume it has defence responsibilities. It is not the Ministry of Defence, and the figures are made up. VAT is at 20%.</w:t>
      </w:r>
    </w:p>
    <w:bookmarkStart w:id="100" w:name="X1e193ab51e82400d389f041cedcc15578d965b6"/>
    <w:p>
      <w:pPr>
        <w:pStyle w:val="Heading4"/>
      </w:pPr>
      <w:r>
        <w:t xml:space="preserve">Example 1: a training college that trains its own staff and sells places</w:t>
      </w:r>
    </w:p>
    <w:p>
      <w:pPr>
        <w:pStyle w:val="FirstParagraph"/>
      </w:pPr>
      <w:r>
        <w:rPr>
          <w:b/>
          <w:bCs/>
        </w:rPr>
        <w:t xml:space="preserve">Facts.</w:t>
      </w:r>
      <w:r>
        <w:t xml:space="preserve"> </w:t>
      </w:r>
      <w:r>
        <w:t xml:space="preserve">The Department runs a training college in the UK. In one year, 90% of student-days are its own personnel, trained free, and 10% are overseas government officials, whose governments pay fees of £300,000 in total. A cleaning contract costs £50,000 + £10,000 VAT. New classroom furniture costs £20,000 + £4,000 VAT.</w:t>
      </w:r>
    </w:p>
    <w:p>
      <w:pPr>
        <w:pStyle w:val="Compact"/>
        <w:numPr>
          <w:ilvl w:val="0"/>
          <w:numId w:val="1119"/>
        </w:numPr>
      </w:pPr>
      <w:r>
        <w:rPr>
          <w:b/>
          <w:bCs/>
        </w:rPr>
        <w:t xml:space="preserve">Non-business:</w:t>
      </w:r>
      <w:r>
        <w:t xml:space="preserve"> </w:t>
      </w:r>
      <w:r>
        <w:t xml:space="preserve">training its own personnel. No one pays, so there is no supply</w:t>
      </w:r>
      <w:r>
        <w:t xml:space="preserve"> </w:t>
      </w:r>
      <w:r>
        <w:t xml:space="preserve">(</w:t>
      </w:r>
      <w:hyperlink w:anchor="ref-hmrc_n70130">
        <w:r>
          <w:rPr>
            <w:rStyle w:val="Hyperlink"/>
          </w:rPr>
          <w:t xml:space="preserve">HMRC, 2025d, para. 2.3</w:t>
        </w:r>
      </w:hyperlink>
      <w:r>
        <w:t xml:space="preserve">)</w:t>
      </w:r>
      <w:r>
        <w:t xml:space="preserve">.</w:t>
      </w:r>
    </w:p>
    <w:p>
      <w:pPr>
        <w:pStyle w:val="Compact"/>
        <w:numPr>
          <w:ilvl w:val="0"/>
          <w:numId w:val="1119"/>
        </w:numPr>
      </w:pPr>
      <w:r>
        <w:rPr>
          <w:b/>
          <w:bCs/>
        </w:rPr>
        <w:t xml:space="preserve">Business:</w:t>
      </w:r>
      <w:r>
        <w:t xml:space="preserve"> </w:t>
      </w:r>
      <w:r>
        <w:t xml:space="preserve">selling places. Classroom courses for a B2C customer are supplied where performed, here the UK</w:t>
      </w:r>
      <w:r>
        <w:t xml:space="preserve"> </w:t>
      </w:r>
      <w:r>
        <w:t xml:space="preserve">(</w:t>
      </w:r>
      <w:hyperlink w:anchor="ref-hmrc_n741a">
        <w:r>
          <w:rPr>
            <w:rStyle w:val="Hyperlink"/>
          </w:rPr>
          <w:t xml:space="preserve">HMRC, 2022d, para. 9.5</w:t>
        </w:r>
      </w:hyperlink>
      <w:r>
        <w:t xml:space="preserve">)</w:t>
      </w:r>
      <w:r>
        <w:t xml:space="preserve">. The Department is an eligible body, so the supply is</w:t>
      </w:r>
      <w:r>
        <w:t xml:space="preserve"> </w:t>
      </w:r>
      <w:r>
        <w:rPr>
          <w:b/>
          <w:bCs/>
        </w:rPr>
        <w:t xml:space="preserve">exempt</w:t>
      </w:r>
      <w:r>
        <w:t xml:space="preserve"> </w:t>
      </w:r>
      <w:r>
        <w:t xml:space="preserve">and no output tax is due</w:t>
      </w:r>
      <w:r>
        <w:t xml:space="preserve"> </w:t>
      </w:r>
      <w:r>
        <w:t xml:space="preserve">(</w:t>
      </w:r>
      <w:hyperlink w:anchor="ref-hmrc_n70130">
        <w:r>
          <w:rPr>
            <w:rStyle w:val="Hyperlink"/>
          </w:rPr>
          <w:t xml:space="preserve">HMRC, 2025d, para. 4.1</w:t>
        </w:r>
      </w:hyperlink>
      <w:r>
        <w:t xml:space="preserve">)</w:t>
      </w:r>
      <w:r>
        <w:t xml:space="preserve">.</w:t>
      </w:r>
    </w:p>
    <w:p>
      <w:pPr>
        <w:pStyle w:val="Compact"/>
        <w:numPr>
          <w:ilvl w:val="0"/>
          <w:numId w:val="1119"/>
        </w:numPr>
      </w:pPr>
      <w:r>
        <w:rPr>
          <w:b/>
          <w:bCs/>
        </w:rPr>
        <w:t xml:space="preserve">Apportionment:</w:t>
      </w:r>
      <w:r>
        <w:t xml:space="preserve"> </w:t>
      </w:r>
      <w:r>
        <w:t xml:space="preserve">this example uses a split by student-days, 90% non-business and 10% business (exempt). Whatever basis is used must be fair and reasonable</w:t>
      </w:r>
      <w:r>
        <w:t xml:space="preserve"> </w:t>
      </w:r>
      <w:r>
        <w:t xml:space="preserve">(</w:t>
      </w:r>
      <w:hyperlink w:anchor="ref-hmrc_gdpef">
        <w:r>
          <w:rPr>
            <w:rStyle w:val="Hyperlink"/>
          </w:rPr>
          <w:t xml:space="preserve">HMRC, 2023c</w:t>
        </w:r>
      </w:hyperlink>
      <w:r>
        <w:t xml:space="preserve">)</w:t>
      </w:r>
      <w:r>
        <w:t xml:space="preserve">.</w:t>
      </w:r>
    </w:p>
    <w:p>
      <w:pPr>
        <w:pStyle w:val="FirstParagraph"/>
      </w:pPr>
      <w:r>
        <w:t xml:space="preserve">The table shows how the VAT on each cost is split.</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519"/>
        <w:gridCol w:w="2070"/>
        <w:gridCol w:w="2182"/>
        <w:gridCol w:w="2253"/>
      </w:tblGrid>
      <w:tr>
        <w:trPr>
          <w:tblHeader w:val="true"/>
          <w:cantSplit w:val="true"/>
        </w:trPr>
        <w:tc>
          <w:tcPr>
            <w:tcW w:w="2519" w:type="dxa"/>
            <w:shd w:val="clear" w:color="auto" w:fill="1B3A5C"/>
          </w:tcPr>
          <w:p>
            <w:pPr>
              <w:pStyle w:val="Compact"/>
              <w:spacing w:after="40" w:before="40"/>
              <w:jc w:val="left"/>
            </w:pPr>
            <w:r>
              <w:rPr>
                <w:rFonts w:ascii="Tahoma" w:hAnsi="Tahoma"/>
                <w:b/>
                <w:color w:val="FFFFFF"/>
                <w:sz w:val="22"/>
              </w:rPr>
              <w:t xml:space="preserve">Cost</w:t>
            </w:r>
          </w:p>
        </w:tc>
        <w:tc>
          <w:tcPr>
            <w:tcW w:w="2070" w:type="dxa"/>
            <w:shd w:val="clear" w:color="auto" w:fill="1B3A5C"/>
          </w:tcPr>
          <w:p>
            <w:pPr>
              <w:pStyle w:val="Compact"/>
              <w:spacing w:after="40" w:before="40"/>
              <w:jc w:val="left"/>
            </w:pPr>
            <w:r>
              <w:rPr>
                <w:rFonts w:ascii="Tahoma" w:hAnsi="Tahoma"/>
                <w:b/>
                <w:color w:val="FFFFFF"/>
                <w:sz w:val="22"/>
              </w:rPr>
              <w:t xml:space="preserve">VAT (£)</w:t>
            </w:r>
          </w:p>
        </w:tc>
        <w:tc>
          <w:tcPr>
            <w:tcW w:w="2182" w:type="dxa"/>
            <w:shd w:val="clear" w:color="auto" w:fill="1B3A5C"/>
          </w:tcPr>
          <w:p>
            <w:pPr>
              <w:pStyle w:val="Compact"/>
              <w:spacing w:after="40" w:before="40"/>
              <w:jc w:val="left"/>
            </w:pPr>
            <w:r>
              <w:rPr>
                <w:rFonts w:ascii="Tahoma" w:hAnsi="Tahoma"/>
                <w:b/>
                <w:color w:val="FFFFFF"/>
                <w:sz w:val="22"/>
              </w:rPr>
              <w:t xml:space="preserve">Non-business 90% (£)</w:t>
            </w:r>
          </w:p>
        </w:tc>
        <w:tc>
          <w:tcPr>
            <w:tcW w:w="2253" w:type="dxa"/>
            <w:shd w:val="clear" w:color="auto" w:fill="1B3A5C"/>
          </w:tcPr>
          <w:p>
            <w:pPr>
              <w:pStyle w:val="Compact"/>
              <w:spacing w:after="40" w:before="40"/>
              <w:jc w:val="left"/>
            </w:pPr>
            <w:r>
              <w:rPr>
                <w:rFonts w:ascii="Tahoma" w:hAnsi="Tahoma"/>
                <w:b/>
                <w:color w:val="FFFFFF"/>
                <w:sz w:val="22"/>
              </w:rPr>
              <w:t xml:space="preserve">Business, exempt 10% (£)</w:t>
            </w:r>
          </w:p>
        </w:tc>
      </w:tr>
      <w:tr>
        <w:trPr>
          <w:cantSplit w:val="true"/>
        </w:trPr>
        <w:tc>
          <w:tcPr>
            <w:tcW w:w="2519" w:type="dxa"/>
            <w:shd w:val="clear" w:color="auto" w:fill="EAF3FA"/>
          </w:tcPr>
          <w:p>
            <w:pPr>
              <w:pStyle w:val="Compact"/>
              <w:spacing w:after="40" w:before="40"/>
              <w:jc w:val="left"/>
            </w:pPr>
            <w:r>
              <w:rPr>
                <w:rFonts w:ascii="Tahoma" w:hAnsi="Tahoma"/>
                <w:sz w:val="22"/>
              </w:rPr>
              <w:t xml:space="preserve">Cleaning contract</w:t>
            </w:r>
          </w:p>
        </w:tc>
        <w:tc>
          <w:tcPr>
            <w:tcW w:w="2070" w:type="dxa"/>
            <w:shd w:val="clear" w:color="auto" w:fill="EAF3FA"/>
          </w:tcPr>
          <w:p>
            <w:pPr>
              <w:pStyle w:val="Compact"/>
              <w:spacing w:after="40" w:before="40"/>
              <w:jc w:val="left"/>
            </w:pPr>
            <w:r>
              <w:rPr>
                <w:rFonts w:ascii="Tahoma" w:hAnsi="Tahoma"/>
                <w:sz w:val="22"/>
              </w:rPr>
              <w:t xml:space="preserve">10,000</w:t>
            </w:r>
          </w:p>
        </w:tc>
        <w:tc>
          <w:tcPr>
            <w:tcW w:w="2182" w:type="dxa"/>
            <w:shd w:val="clear" w:color="auto" w:fill="EAF3FA"/>
          </w:tcPr>
          <w:p>
            <w:pPr>
              <w:pStyle w:val="Compact"/>
              <w:spacing w:after="40" w:before="40"/>
              <w:jc w:val="left"/>
            </w:pPr>
            <w:r>
              <w:rPr>
                <w:rFonts w:ascii="Tahoma" w:hAnsi="Tahoma"/>
                <w:sz w:val="22"/>
              </w:rPr>
              <w:t xml:space="preserve">9,000</w:t>
            </w:r>
          </w:p>
        </w:tc>
        <w:tc>
          <w:tcPr>
            <w:tcW w:w="2253" w:type="dxa"/>
            <w:shd w:val="clear" w:color="auto" w:fill="EAF3FA"/>
          </w:tcPr>
          <w:p>
            <w:pPr>
              <w:pStyle w:val="Compact"/>
              <w:spacing w:after="40" w:before="40"/>
              <w:jc w:val="left"/>
            </w:pPr>
            <w:r>
              <w:rPr>
                <w:rFonts w:ascii="Tahoma" w:hAnsi="Tahoma"/>
                <w:sz w:val="22"/>
              </w:rPr>
              <w:t xml:space="preserve">1,000</w:t>
            </w:r>
          </w:p>
        </w:tc>
      </w:tr>
      <w:tr>
        <w:trPr>
          <w:cantSplit w:val="true"/>
        </w:trPr>
        <w:tc>
          <w:tcPr>
            <w:tcW w:w="2519" w:type="dxa"/>
            <w:shd w:val="clear" w:color="auto" w:fill="FFFFFF"/>
          </w:tcPr>
          <w:p>
            <w:pPr>
              <w:pStyle w:val="Compact"/>
              <w:spacing w:after="40" w:before="40"/>
              <w:jc w:val="left"/>
            </w:pPr>
            <w:r>
              <w:rPr>
                <w:rFonts w:ascii="Tahoma" w:hAnsi="Tahoma"/>
                <w:sz w:val="22"/>
              </w:rPr>
              <w:t xml:space="preserve">Classroom furniture</w:t>
            </w:r>
          </w:p>
        </w:tc>
        <w:tc>
          <w:tcPr>
            <w:tcW w:w="2070" w:type="dxa"/>
            <w:shd w:val="clear" w:color="auto" w:fill="FFFFFF"/>
          </w:tcPr>
          <w:p>
            <w:pPr>
              <w:pStyle w:val="Compact"/>
              <w:spacing w:after="40" w:before="40"/>
              <w:jc w:val="left"/>
            </w:pPr>
            <w:r>
              <w:rPr>
                <w:rFonts w:ascii="Tahoma" w:hAnsi="Tahoma"/>
                <w:sz w:val="22"/>
              </w:rPr>
              <w:t xml:space="preserve">4,000</w:t>
            </w:r>
          </w:p>
        </w:tc>
        <w:tc>
          <w:tcPr>
            <w:tcW w:w="2182" w:type="dxa"/>
            <w:shd w:val="clear" w:color="auto" w:fill="FFFFFF"/>
          </w:tcPr>
          <w:p>
            <w:pPr>
              <w:pStyle w:val="Compact"/>
              <w:spacing w:after="40" w:before="40"/>
              <w:jc w:val="left"/>
            </w:pPr>
            <w:r>
              <w:rPr>
                <w:rFonts w:ascii="Tahoma" w:hAnsi="Tahoma"/>
                <w:sz w:val="22"/>
              </w:rPr>
              <w:t xml:space="preserve">3,600</w:t>
            </w:r>
          </w:p>
        </w:tc>
        <w:tc>
          <w:tcPr>
            <w:tcW w:w="2253" w:type="dxa"/>
            <w:shd w:val="clear" w:color="auto" w:fill="FFFFFF"/>
          </w:tcPr>
          <w:p>
            <w:pPr>
              <w:pStyle w:val="Compact"/>
              <w:spacing w:after="40" w:before="40"/>
              <w:jc w:val="left"/>
            </w:pPr>
            <w:r>
              <w:rPr>
                <w:rFonts w:ascii="Tahoma" w:hAnsi="Tahoma"/>
                <w:sz w:val="22"/>
              </w:rPr>
              <w:t xml:space="preserve">400</w:t>
            </w:r>
          </w:p>
        </w:tc>
      </w:tr>
    </w:tbl>
    <w:p>
      <w:pPr>
        <w:pStyle w:val="Compact"/>
        <w:numPr>
          <w:ilvl w:val="0"/>
          <w:numId w:val="1120"/>
        </w:numPr>
        <w:spacing w:before="200"/>
      </w:pPr>
      <w:r>
        <w:t xml:space="preserve">Cleaning: £10,000 × 90% = £9,000.</w:t>
      </w:r>
      <w:r>
        <w:t xml:space="preserve"> </w:t>
      </w:r>
      <w:r>
        <w:rPr>
          <w:b/>
          <w:bCs/>
        </w:rPr>
        <w:t xml:space="preserve">Claimable:</w:t>
      </w:r>
      <w:r>
        <w:t xml:space="preserve"> </w:t>
      </w:r>
      <w:r>
        <w:t xml:space="preserve">cleaning of buildings is within Heading 35</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120"/>
        </w:numPr>
      </w:pPr>
      <w:r>
        <w:t xml:space="preserve">Furniture: £4,000 × 90% = £3,600.</w:t>
      </w:r>
      <w:r>
        <w:t xml:space="preserve"> </w:t>
      </w:r>
      <w:r>
        <w:rPr>
          <w:b/>
          <w:bCs/>
        </w:rPr>
        <w:t xml:space="preserve">Not claimable:</w:t>
      </w:r>
      <w:r>
        <w:t xml:space="preserve"> </w:t>
      </w:r>
      <w:r>
        <w:t xml:space="preserve">goods on their own are not COS</w:t>
      </w:r>
      <w:r>
        <w:t xml:space="preserve"> </w:t>
      </w:r>
      <w:r>
        <w:t xml:space="preserve">(</w:t>
      </w:r>
      <w:hyperlink w:anchor="ref-hmrc_vatgpb">
        <w:r>
          <w:rPr>
            <w:rStyle w:val="Hyperlink"/>
          </w:rPr>
          <w:t xml:space="preserve">HMRC, 2026n, sec. VATGPB11370</w:t>
        </w:r>
      </w:hyperlink>
      <w:r>
        <w:t xml:space="preserve">)</w:t>
      </w:r>
      <w:r>
        <w:t xml:space="preserve">.</w:t>
      </w:r>
    </w:p>
    <w:p>
      <w:pPr>
        <w:pStyle w:val="Compact"/>
        <w:numPr>
          <w:ilvl w:val="0"/>
          <w:numId w:val="1120"/>
        </w:numPr>
      </w:pPr>
      <w:r>
        <w:t xml:space="preserve">Business share: £1,000 + £400 = £1,400.</w:t>
      </w:r>
      <w:r>
        <w:t xml:space="preserve"> </w:t>
      </w:r>
      <w:r>
        <w:rPr>
          <w:b/>
          <w:bCs/>
        </w:rPr>
        <w:t xml:space="preserve">Not recoverable:</w:t>
      </w:r>
      <w:r>
        <w:t xml:space="preserve"> </w:t>
      </w:r>
      <w:r>
        <w:t xml:space="preserve">exempt input tax, unless the whole registration is within the de minimis limits</w:t>
      </w:r>
      <w:r>
        <w:t xml:space="preserve"> </w:t>
      </w:r>
      <w:r>
        <w:t xml:space="preserve">(</w:t>
      </w:r>
      <w:hyperlink w:anchor="ref-hmrc_n706">
        <w:r>
          <w:rPr>
            <w:rStyle w:val="Hyperlink"/>
          </w:rPr>
          <w:t xml:space="preserve">HMRC, 2025h, sec. 11</w:t>
        </w:r>
      </w:hyperlink>
      <w:r>
        <w:t xml:space="preserve">)</w:t>
      </w:r>
      <w:r>
        <w:t xml:space="preserve">.</w:t>
      </w:r>
    </w:p>
    <w:p>
      <w:pPr>
        <w:pStyle w:val="Compact"/>
        <w:numPr>
          <w:ilvl w:val="0"/>
          <w:numId w:val="1120"/>
        </w:numPr>
      </w:pPr>
      <w:r>
        <w:rPr>
          <w:b/>
          <w:bCs/>
        </w:rPr>
        <w:t xml:space="preserve">Result:</w:t>
      </w:r>
      <w:r>
        <w:t xml:space="preserve"> </w:t>
      </w:r>
      <w:r>
        <w:t xml:space="preserve">£9,000 refunded; £3,600 + £1,400 = £5,000 is a cost. Check: £9,000 + £5,000 = £14,000, which equals £10,000 + £4,000.</w:t>
      </w:r>
    </w:p>
    <w:p>
      <w:pPr>
        <w:pStyle w:val="Compact"/>
        <w:numPr>
          <w:ilvl w:val="0"/>
          <w:numId w:val="1120"/>
        </w:numPr>
      </w:pPr>
      <w:r>
        <w:rPr>
          <w:b/>
          <w:bCs/>
        </w:rPr>
        <w:t xml:space="preserve">Watch out:</w:t>
      </w:r>
      <w:r>
        <w:t xml:space="preserve"> </w:t>
      </w:r>
      <w:r>
        <w:t xml:space="preserve">the zero-rating concession for training overseas governments does not apply, because this training is already exempt</w:t>
      </w:r>
      <w:r>
        <w:t xml:space="preserve"> </w:t>
      </w:r>
      <w:r>
        <w:t xml:space="preserve">(</w:t>
      </w:r>
      <w:hyperlink w:anchor="ref-hmrc_n741a">
        <w:r>
          <w:rPr>
            <w:rStyle w:val="Hyperlink"/>
          </w:rPr>
          <w:t xml:space="preserve">HMRC, 2022d, para. 15.5</w:t>
        </w:r>
      </w:hyperlink>
      <w:r>
        <w:t xml:space="preserve">)</w:t>
      </w:r>
      <w:r>
        <w:t xml:space="preserve">.</w:t>
      </w:r>
    </w:p>
    <w:bookmarkEnd w:id="100"/>
    <w:bookmarkStart w:id="101" w:name="X551ff89b50cc6b210c407d1689e2d49d01b6736"/>
    <w:p>
      <w:pPr>
        <w:pStyle w:val="Heading4"/>
      </w:pPr>
      <w:r>
        <w:t xml:space="preserve">Example 2: selling surplus vehicles to an overseas government</w:t>
      </w:r>
    </w:p>
    <w:p>
      <w:pPr>
        <w:pStyle w:val="FirstParagraph"/>
      </w:pPr>
      <w:r>
        <w:rPr>
          <w:b/>
          <w:bCs/>
        </w:rPr>
        <w:t xml:space="preserve">Facts.</w:t>
      </w:r>
      <w:r>
        <w:t xml:space="preserve"> </w:t>
      </w:r>
      <w:r>
        <w:t xml:space="preserve">The Department sells 20 surplus trucks to Country A’s defence ministry for £400,000. A UK contractor refurbishes them first for £30,000 + £6,000 VAT. The Department arranges shipping for £12,000. Transport of goods in the course of an export is zero-rated, so there is no VAT on the shipping (Value Added Tax Act 1994, Sch. 8, Group 8, item 5).</w:t>
      </w:r>
    </w:p>
    <w:p>
      <w:pPr>
        <w:pStyle w:val="Compact"/>
        <w:numPr>
          <w:ilvl w:val="0"/>
          <w:numId w:val="1121"/>
        </w:numPr>
      </w:pPr>
      <w:r>
        <w:rPr>
          <w:b/>
          <w:bCs/>
        </w:rPr>
        <w:t xml:space="preserve">Business:</w:t>
      </w:r>
      <w:r>
        <w:t xml:space="preserve"> </w:t>
      </w:r>
      <w:r>
        <w:t xml:space="preserve">a sale of assets for payment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21"/>
        </w:numPr>
      </w:pPr>
      <w:r>
        <w:rPr>
          <w:b/>
          <w:bCs/>
        </w:rPr>
        <w:t xml:space="preserve">Output tax:</w:t>
      </w:r>
      <w:r>
        <w:t xml:space="preserve"> </w:t>
      </w:r>
      <w:r>
        <w:t xml:space="preserve">the Department arranges transport, so this is a direct export</w:t>
      </w:r>
      <w:r>
        <w:t xml:space="preserve"> </w:t>
      </w:r>
      <w:r>
        <w:t xml:space="preserve">(</w:t>
      </w:r>
      <w:hyperlink w:anchor="ref-hmrc_n703">
        <w:r>
          <w:rPr>
            <w:rStyle w:val="Hyperlink"/>
          </w:rPr>
          <w:t xml:space="preserve">HMRC, 2026p, para. 2.8</w:t>
        </w:r>
      </w:hyperlink>
      <w:r>
        <w:t xml:space="preserve">)</w:t>
      </w:r>
      <w:r>
        <w:t xml:space="preserve">. With export evidence: £400,000 × 0% = £0</w:t>
      </w:r>
      <w:r>
        <w:t xml:space="preserve"> </w:t>
      </w:r>
      <w:r>
        <w:t xml:space="preserve">(</w:t>
      </w:r>
      <w:hyperlink w:anchor="ref-hmrc_n703">
        <w:r>
          <w:rPr>
            <w:rStyle w:val="Hyperlink"/>
          </w:rPr>
          <w:t xml:space="preserve">HMRC, 2026p, para. 3.3</w:t>
        </w:r>
      </w:hyperlink>
      <w:r>
        <w:t xml:space="preserve">)</w:t>
      </w:r>
      <w:r>
        <w:t xml:space="preserve">. Because these are motor vehicles, they also must not be used or delivered in the UK before export, and must not be sold under the second-hand margin scheme</w:t>
      </w:r>
      <w:r>
        <w:t xml:space="preserve"> </w:t>
      </w:r>
      <w:r>
        <w:t xml:space="preserve">(</w:t>
      </w:r>
      <w:hyperlink w:anchor="ref-hmrc_n703">
        <w:r>
          <w:rPr>
            <w:rStyle w:val="Hyperlink"/>
          </w:rPr>
          <w:t xml:space="preserve">HMRC, 2026p, para. 4.15</w:t>
        </w:r>
      </w:hyperlink>
      <w:r>
        <w:t xml:space="preserve">)</w:t>
      </w:r>
      <w:r>
        <w:t xml:space="preserve">.</w:t>
      </w:r>
    </w:p>
    <w:p>
      <w:pPr>
        <w:pStyle w:val="Compact"/>
        <w:numPr>
          <w:ilvl w:val="0"/>
          <w:numId w:val="1121"/>
        </w:numPr>
      </w:pPr>
      <w:r>
        <w:rPr>
          <w:b/>
          <w:bCs/>
        </w:rPr>
        <w:t xml:space="preserve">Recoverable:</w:t>
      </w:r>
      <w:r>
        <w:t xml:space="preserve"> </w:t>
      </w:r>
      <w:r>
        <w:t xml:space="preserve">the £6,000 VAT on refurbishment, a cost of a zero-rated supply (Value Added Tax Act 1994, s. 26(2)(a)). It is not a Heading 37 claim, because the use is business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21"/>
        </w:numPr>
      </w:pPr>
      <w:r>
        <w:rPr>
          <w:b/>
          <w:bCs/>
        </w:rPr>
        <w:t xml:space="preserve">Net VAT position:</w:t>
      </w:r>
      <w:r>
        <w:t xml:space="preserve"> </w:t>
      </w:r>
      <w:r>
        <w:t xml:space="preserve">output tax £0 − input tax £6,000 = £6,000 repayable to the Department.</w:t>
      </w:r>
    </w:p>
    <w:p>
      <w:pPr>
        <w:pStyle w:val="Compact"/>
        <w:numPr>
          <w:ilvl w:val="0"/>
          <w:numId w:val="1121"/>
        </w:numPr>
      </w:pPr>
      <w:r>
        <w:rPr>
          <w:b/>
          <w:bCs/>
        </w:rPr>
        <w:t xml:space="preserve">If the export evidence is not obtained in time:</w:t>
      </w:r>
      <w:r>
        <w:t xml:space="preserve"> </w:t>
      </w:r>
      <w:r>
        <w:t xml:space="preserve">VAT must be accounted for at one-sixth of the amount received: £400,000 × 1/6 = £66,666.67</w:t>
      </w:r>
      <w:r>
        <w:t xml:space="preserve"> </w:t>
      </w:r>
      <w:r>
        <w:t xml:space="preserve">(</w:t>
      </w:r>
      <w:hyperlink w:anchor="ref-hmrc_n703">
        <w:r>
          <w:rPr>
            <w:rStyle w:val="Hyperlink"/>
          </w:rPr>
          <w:t xml:space="preserve">HMRC, 2026p, para. 11.2</w:t>
        </w:r>
      </w:hyperlink>
      <w:r>
        <w:t xml:space="preserve">)</w:t>
      </w:r>
      <w:r>
        <w:t xml:space="preserve">.</w:t>
      </w:r>
    </w:p>
    <w:p>
      <w:pPr>
        <w:pStyle w:val="Compact"/>
        <w:numPr>
          <w:ilvl w:val="0"/>
          <w:numId w:val="1121"/>
        </w:numPr>
      </w:pPr>
      <w:r>
        <w:rPr>
          <w:b/>
          <w:bCs/>
        </w:rPr>
        <w:t xml:space="preserve">If Country A orders through its embassy and collects:</w:t>
      </w:r>
      <w:r>
        <w:t xml:space="preserve"> </w:t>
      </w:r>
      <w:r>
        <w:t xml:space="preserve">zero-rating needs a separate record, proof of export within 3 months and no use before export</w:t>
      </w:r>
      <w:r>
        <w:t xml:space="preserve"> </w:t>
      </w:r>
      <w:r>
        <w:t xml:space="preserve">(</w:t>
      </w:r>
      <w:hyperlink w:anchor="ref-hmrc_n703">
        <w:r>
          <w:rPr>
            <w:rStyle w:val="Hyperlink"/>
          </w:rPr>
          <w:t xml:space="preserve">HMRC, 2026p, para. 4.13</w:t>
        </w:r>
      </w:hyperlink>
      <w:r>
        <w:t xml:space="preserve">)</w:t>
      </w:r>
      <w:r>
        <w:t xml:space="preserve">.</w:t>
      </w:r>
    </w:p>
    <w:bookmarkEnd w:id="101"/>
    <w:bookmarkStart w:id="102" w:name="X1eb15423de1cb901559645c5edbf628bd700655"/>
    <w:p>
      <w:pPr>
        <w:pStyle w:val="Heading4"/>
      </w:pPr>
      <w:r>
        <w:t xml:space="preserve">Example 3: free disaster-relief equipment overseas</w:t>
      </w:r>
    </w:p>
    <w:p>
      <w:pPr>
        <w:pStyle w:val="FirstParagraph"/>
      </w:pPr>
      <w:r>
        <w:rPr>
          <w:b/>
          <w:bCs/>
        </w:rPr>
        <w:t xml:space="preserve">Facts.</w:t>
      </w:r>
      <w:r>
        <w:t xml:space="preserve"> </w:t>
      </w:r>
      <w:r>
        <w:t xml:space="preserve">After an earthquake, the Department gives Country B tents and generators, free. It buys them from a UK supplier for £100,000 + £20,000 VAT, delivered to its UK depot. A third-party warehouse stores them for £5,000 + £1,000 VAT. An airline flies them out for £25,000, with no VAT because transport of goods in the course of an export is zero-rated (Value Added Tax Act 1994, Sch. 8, Group 8, item 5).</w:t>
      </w:r>
    </w:p>
    <w:p>
      <w:pPr>
        <w:pStyle w:val="Compact"/>
        <w:numPr>
          <w:ilvl w:val="0"/>
          <w:numId w:val="1122"/>
        </w:numPr>
      </w:pPr>
      <w:r>
        <w:rPr>
          <w:b/>
          <w:bCs/>
        </w:rPr>
        <w:t xml:space="preserve">Non-business:</w:t>
      </w:r>
      <w:r>
        <w:t xml:space="preserve"> </w:t>
      </w:r>
      <w:r>
        <w:t xml:space="preserve">a gift</w:t>
      </w:r>
      <w:r>
        <w:t xml:space="preserve"> </w:t>
      </w:r>
      <w:r>
        <w:t xml:space="preserve">(</w:t>
      </w:r>
      <w:hyperlink w:anchor="ref-hmrc_vatgpb">
        <w:r>
          <w:rPr>
            <w:rStyle w:val="Hyperlink"/>
          </w:rPr>
          <w:t xml:space="preserve">HMRC, 2026n, sec. VATGPB3100</w:t>
        </w:r>
      </w:hyperlink>
      <w:r>
        <w:t xml:space="preserve">)</w:t>
      </w:r>
      <w:r>
        <w:t xml:space="preserve">.</w:t>
      </w:r>
    </w:p>
    <w:p>
      <w:pPr>
        <w:pStyle w:val="Compact"/>
        <w:numPr>
          <w:ilvl w:val="0"/>
          <w:numId w:val="1122"/>
        </w:numPr>
      </w:pPr>
      <w:r>
        <w:rPr>
          <w:b/>
          <w:bCs/>
        </w:rPr>
        <w:t xml:space="preserve">Not recoverable</w:t>
      </w:r>
      <w:r>
        <w:t xml:space="preserve"> </w:t>
      </w:r>
      <w:r>
        <w:t xml:space="preserve">and</w:t>
      </w:r>
      <w:r>
        <w:t xml:space="preserve"> </w:t>
      </w:r>
      <w:r>
        <w:rPr>
          <w:b/>
          <w:bCs/>
        </w:rPr>
        <w:t xml:space="preserve">Not claimable:</w:t>
      </w:r>
      <w:r>
        <w:t xml:space="preserve"> </w:t>
      </w:r>
      <w:r>
        <w:t xml:space="preserve">the £20,000 VAT on the goods</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VATGPB11370</w:t>
        </w:r>
      </w:hyperlink>
      <w:r>
        <w:t xml:space="preserve">)</w:t>
      </w:r>
      <w:r>
        <w:t xml:space="preserve">.</w:t>
      </w:r>
    </w:p>
    <w:p>
      <w:pPr>
        <w:pStyle w:val="Compact"/>
        <w:numPr>
          <w:ilvl w:val="0"/>
          <w:numId w:val="1122"/>
        </w:numPr>
      </w:pPr>
      <w:r>
        <w:rPr>
          <w:b/>
          <w:bCs/>
        </w:rPr>
        <w:t xml:space="preserve">Claimable:</w:t>
      </w:r>
      <w:r>
        <w:t xml:space="preserve"> </w:t>
      </w:r>
      <w:r>
        <w:t xml:space="preserve">the £1,000 VAT on storage, under Heading 63</w:t>
      </w:r>
      <w:r>
        <w:t xml:space="preserve"> </w:t>
      </w:r>
      <w:r>
        <w:t xml:space="preserve">(</w:t>
      </w:r>
      <w:hyperlink w:anchor="ref-hmrc_vatgpb">
        <w:r>
          <w:rPr>
            <w:rStyle w:val="Hyperlink"/>
          </w:rPr>
          <w:t xml:space="preserve">HMRC, 2026n, sec. VATGPB10990</w:t>
        </w:r>
      </w:hyperlink>
      <w:r>
        <w:t xml:space="preserve">)</w:t>
      </w:r>
      <w:r>
        <w:t xml:space="preserve">.</w:t>
      </w:r>
    </w:p>
    <w:p>
      <w:pPr>
        <w:pStyle w:val="Compact"/>
        <w:numPr>
          <w:ilvl w:val="0"/>
          <w:numId w:val="1122"/>
        </w:numPr>
      </w:pPr>
      <w:r>
        <w:rPr>
          <w:b/>
          <w:bCs/>
        </w:rPr>
        <w:t xml:space="preserve">Cost to the budget:</w:t>
      </w:r>
      <w:r>
        <w:t xml:space="preserve"> </w:t>
      </w:r>
      <w:r>
        <w:t xml:space="preserve">total VAT £20,000 + £1,000 = £21,000; less £1,000 refunded = £20,000.</w:t>
      </w:r>
    </w:p>
    <w:p>
      <w:pPr>
        <w:pStyle w:val="Compact"/>
        <w:numPr>
          <w:ilvl w:val="0"/>
          <w:numId w:val="1122"/>
        </w:numPr>
      </w:pPr>
      <w:r>
        <w:rPr>
          <w:b/>
          <w:bCs/>
        </w:rPr>
        <w:t xml:space="preserve">A better way:</w:t>
      </w:r>
      <w:r>
        <w:t xml:space="preserve"> </w:t>
      </w:r>
      <w:r>
        <w:t xml:space="preserve">if the supplier had exported the goods directly to Country B, with evidence: £100,000 × 0% = £0</w:t>
      </w:r>
      <w:r>
        <w:t xml:space="preserve"> </w:t>
      </w:r>
      <w:r>
        <w:t xml:space="preserve">(</w:t>
      </w:r>
      <w:hyperlink w:anchor="ref-hmrc_n703">
        <w:r>
          <w:rPr>
            <w:rStyle w:val="Hyperlink"/>
          </w:rPr>
          <w:t xml:space="preserve">HMRC, 2026p, para. 4.12</w:t>
        </w:r>
      </w:hyperlink>
      <w:r>
        <w:t xml:space="preserve">)</w:t>
      </w:r>
      <w:r>
        <w:t xml:space="preserve">.</w:t>
      </w:r>
      <w:r>
        <w:t xml:space="preserve"> </w:t>
      </w:r>
      <w:r>
        <w:rPr>
          <w:b/>
          <w:bCs/>
        </w:rPr>
        <w:t xml:space="preserve">Saving:</w:t>
      </w:r>
      <w:r>
        <w:t xml:space="preserve"> </w:t>
      </w:r>
      <w:r>
        <w:t xml:space="preserve">£20,000.</w:t>
      </w:r>
    </w:p>
    <w:bookmarkEnd w:id="102"/>
    <w:bookmarkStart w:id="103" w:name="Xff6ff0d86081414cbd2b5cf121ae2946ff1eb04"/>
    <w:p>
      <w:pPr>
        <w:pStyle w:val="Heading4"/>
      </w:pPr>
      <w:r>
        <w:t xml:space="preserve">Example 4: a cost-recovery fee for logistics support</w:t>
      </w:r>
    </w:p>
    <w:p>
      <w:pPr>
        <w:pStyle w:val="FirstParagraph"/>
      </w:pPr>
      <w:r>
        <w:rPr>
          <w:b/>
          <w:bCs/>
        </w:rPr>
        <w:t xml:space="preserve">Facts.</w:t>
      </w:r>
      <w:r>
        <w:t xml:space="preserve"> </w:t>
      </w:r>
      <w:r>
        <w:t xml:space="preserve">Country C’s armed forces join a UK-hosted exercise. They have no VAT number. The Department moves their equipment between two UK sites for a fee of £50,000, set only to recover costs, and the agreement says VAT is added. The Department pays a UK haulier £20,000 + £4,000 VAT for part of the work.</w:t>
      </w:r>
    </w:p>
    <w:p>
      <w:pPr>
        <w:pStyle w:val="Compact"/>
        <w:numPr>
          <w:ilvl w:val="0"/>
          <w:numId w:val="1123"/>
        </w:numPr>
      </w:pPr>
      <w:r>
        <w:rPr>
          <w:b/>
          <w:bCs/>
        </w:rPr>
        <w:t xml:space="preserve">Business:</w:t>
      </w:r>
      <w:r>
        <w:t xml:space="preserve"> </w:t>
      </w:r>
      <w:r>
        <w:t xml:space="preserve">a supply for consideration, even though the fee only recovers costs</w:t>
      </w:r>
      <w:r>
        <w:t xml:space="preserve"> </w:t>
      </w:r>
      <w:r>
        <w:t xml:space="preserve">(</w:t>
      </w:r>
      <w:hyperlink w:anchor="ref-hmrc_vatbus">
        <w:r>
          <w:rPr>
            <w:rStyle w:val="Hyperlink"/>
          </w:rPr>
          <w:t xml:space="preserve">HMRC, 2024f</w:t>
        </w:r>
      </w:hyperlink>
      <w:r>
        <w:t xml:space="preserve">, secs. VBNB20250 and VBNB30200)</w:t>
      </w:r>
      <w:r>
        <w:t xml:space="preserve">. Transport of goods is also on the section 41A(2) list (Value Added Tax Act 1994, s. 41A(2)(c)).</w:t>
      </w:r>
    </w:p>
    <w:p>
      <w:pPr>
        <w:pStyle w:val="Compact"/>
        <w:numPr>
          <w:ilvl w:val="0"/>
          <w:numId w:val="1123"/>
        </w:numPr>
      </w:pPr>
      <w:r>
        <w:rPr>
          <w:b/>
          <w:bCs/>
        </w:rPr>
        <w:t xml:space="preserve">Output tax:</w:t>
      </w:r>
      <w:r>
        <w:t xml:space="preserve"> </w:t>
      </w:r>
      <w:r>
        <w:t xml:space="preserve">without a VAT number or other evidence of business activities, Country C’s forces are a non-business customer</w:t>
      </w:r>
      <w:r>
        <w:t xml:space="preserve"> </w:t>
      </w:r>
      <w:r>
        <w:t xml:space="preserve">(</w:t>
      </w:r>
      <w:hyperlink w:anchor="ref-hmrc_n744b">
        <w:r>
          <w:rPr>
            <w:rStyle w:val="Hyperlink"/>
          </w:rPr>
          <w:t xml:space="preserve">HMRC, 2021a, para. 3.1</w:t>
        </w:r>
      </w:hyperlink>
      <w:r>
        <w:t xml:space="preserve">;</w:t>
      </w:r>
      <w:r>
        <w:t xml:space="preserve"> </w:t>
      </w:r>
      <w:hyperlink w:anchor="ref-hmrc_n741a">
        <w:r>
          <w:rPr>
            <w:rStyle w:val="Hyperlink"/>
          </w:rPr>
          <w:t xml:space="preserve">2022d, para. 6.3</w:t>
        </w:r>
      </w:hyperlink>
      <w:r>
        <w:t xml:space="preserve">)</w:t>
      </w:r>
      <w:r>
        <w:t xml:space="preserve">. For a non-business customer, freight transport within the UK is supplied in the UK</w:t>
      </w:r>
      <w:r>
        <w:t xml:space="preserve"> </w:t>
      </w:r>
      <w:r>
        <w:t xml:space="preserve">(</w:t>
      </w:r>
      <w:hyperlink w:anchor="ref-hmrc_n744b">
        <w:r>
          <w:rPr>
            <w:rStyle w:val="Hyperlink"/>
          </w:rPr>
          <w:t xml:space="preserve">HMRC, 2021a, para. 3.3</w:t>
        </w:r>
      </w:hyperlink>
      <w:r>
        <w:t xml:space="preserve">)</w:t>
      </w:r>
      <w:r>
        <w:t xml:space="preserve">. It is standard-rated unless it is connected with an import or export</w:t>
      </w:r>
      <w:r>
        <w:t xml:space="preserve"> </w:t>
      </w:r>
      <w:r>
        <w:t xml:space="preserve">(</w:t>
      </w:r>
      <w:hyperlink w:anchor="ref-hmrc_n744b">
        <w:r>
          <w:rPr>
            <w:rStyle w:val="Hyperlink"/>
          </w:rPr>
          <w:t xml:space="preserve">HMRC, 2021a, para. 4.1</w:t>
        </w:r>
      </w:hyperlink>
      <w:r>
        <w:t xml:space="preserve">)</w:t>
      </w:r>
      <w:r>
        <w:t xml:space="preserve">: £50,000 × 20% = £10,000.</w:t>
      </w:r>
    </w:p>
    <w:p>
      <w:pPr>
        <w:pStyle w:val="Compact"/>
        <w:numPr>
          <w:ilvl w:val="0"/>
          <w:numId w:val="1123"/>
        </w:numPr>
      </w:pPr>
      <w:r>
        <w:rPr>
          <w:b/>
          <w:bCs/>
        </w:rPr>
        <w:t xml:space="preserve">Recoverable:</w:t>
      </w:r>
      <w:r>
        <w:t xml:space="preserve"> </w:t>
      </w:r>
      <w:r>
        <w:t xml:space="preserve">the £4,000 VAT on the haulier (Value Added Tax Act 1994, s. 26(2)(a)). It is not a Heading 13 claim</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23"/>
        </w:numPr>
      </w:pPr>
      <w:r>
        <w:rPr>
          <w:b/>
          <w:bCs/>
        </w:rPr>
        <w:t xml:space="preserve">Net VAT position:</w:t>
      </w:r>
      <w:r>
        <w:t xml:space="preserve"> </w:t>
      </w:r>
      <w:r>
        <w:t xml:space="preserve">£10,000 − £4,000 = £6,000 payable to HMRC.</w:t>
      </w:r>
    </w:p>
    <w:p>
      <w:pPr>
        <w:pStyle w:val="Compact"/>
        <w:numPr>
          <w:ilvl w:val="0"/>
          <w:numId w:val="1123"/>
        </w:numPr>
      </w:pPr>
      <w:r>
        <w:rPr>
          <w:b/>
          <w:bCs/>
        </w:rPr>
        <w:t xml:space="preserve">Check first:</w:t>
      </w:r>
    </w:p>
    <w:p>
      <w:pPr>
        <w:pStyle w:val="Compact"/>
        <w:numPr>
          <w:ilvl w:val="1"/>
          <w:numId w:val="1124"/>
        </w:numPr>
      </w:pPr>
      <w:r>
        <w:t xml:space="preserve">whether the movement is part of bringing the equipment into, or taking it out of, the UK. If so, the zero rate may apply instead (Value Added Tax Act 1994, Sch. 8, Group 8, item 5);</w:t>
      </w:r>
    </w:p>
    <w:p>
      <w:pPr>
        <w:pStyle w:val="Compact"/>
        <w:numPr>
          <w:ilvl w:val="1"/>
          <w:numId w:val="1124"/>
        </w:numPr>
      </w:pPr>
      <w:r>
        <w:t xml:space="preserve">whether Notice 431 reliefs apply if Country C’s force is a NATO visiting force</w:t>
      </w:r>
      <w:r>
        <w:t xml:space="preserve"> </w:t>
      </w:r>
      <w:r>
        <w:t xml:space="preserve">(</w:t>
      </w:r>
      <w:hyperlink w:anchor="ref-hmrc_n431">
        <w:r>
          <w:rPr>
            <w:rStyle w:val="Hyperlink"/>
          </w:rPr>
          <w:t xml:space="preserve">HMRC, 2020e, para. 2.1</w:t>
        </w:r>
      </w:hyperlink>
      <w:r>
        <w:t xml:space="preserve">)</w:t>
      </w:r>
      <w:r>
        <w:t xml:space="preserve">; and</w:t>
      </w:r>
    </w:p>
    <w:p>
      <w:pPr>
        <w:pStyle w:val="Compact"/>
        <w:numPr>
          <w:ilvl w:val="1"/>
          <w:numId w:val="1124"/>
        </w:numPr>
      </w:pPr>
      <w:r>
        <w:t xml:space="preserve">that the agreement really says VAT is added. If the £50,000 had to include VAT, the VAT would be £50,000 × 1/6 = £8,333.33</w:t>
      </w:r>
      <w:r>
        <w:t xml:space="preserve"> </w:t>
      </w:r>
      <w:r>
        <w:t xml:space="preserve">(</w:t>
      </w:r>
      <w:hyperlink w:anchor="ref-hmrc_n700">
        <w:r>
          <w:rPr>
            <w:rStyle w:val="Hyperlink"/>
          </w:rPr>
          <w:t xml:space="preserve">HMRC, 2026o, para. 7.3.1</w:t>
        </w:r>
      </w:hyperlink>
      <w:r>
        <w:t xml:space="preserve">)</w:t>
      </w:r>
      <w:r>
        <w:t xml:space="preserve">.</w:t>
      </w:r>
    </w:p>
    <w:bookmarkEnd w:id="103"/>
    <w:bookmarkStart w:id="104" w:name="example-5-a-car-park-that-charges-staff"/>
    <w:p>
      <w:pPr>
        <w:pStyle w:val="Heading4"/>
      </w:pPr>
      <w:r>
        <w:t xml:space="preserve">Example 5: a car park that charges staff</w:t>
      </w:r>
    </w:p>
    <w:p>
      <w:pPr>
        <w:pStyle w:val="FirstParagraph"/>
      </w:pPr>
      <w:r>
        <w:rPr>
          <w:b/>
          <w:bCs/>
        </w:rPr>
        <w:t xml:space="preserve">Facts.</w:t>
      </w:r>
      <w:r>
        <w:t xml:space="preserve"> </w:t>
      </w:r>
      <w:r>
        <w:t xml:space="preserve">A Department site sells 200 staff parking permits at £30 a month each, including VAT. Maintenance costs £3,000 + £600 VAT a month.</w:t>
      </w:r>
    </w:p>
    <w:p>
      <w:pPr>
        <w:pStyle w:val="Compact"/>
        <w:numPr>
          <w:ilvl w:val="0"/>
          <w:numId w:val="1125"/>
        </w:numPr>
      </w:pPr>
      <w:r>
        <w:rPr>
          <w:b/>
          <w:bCs/>
        </w:rPr>
        <w:t xml:space="preserve">Business:</w:t>
      </w:r>
      <w:r>
        <w:t xml:space="preserve"> </w:t>
      </w:r>
      <w:r>
        <w:t xml:space="preserve">HMRC’s framework lists car parks as a standard-rated supply</w:t>
      </w:r>
      <w:r>
        <w:t xml:space="preserve"> </w:t>
      </w:r>
      <w:r>
        <w:t xml:space="preserve">(</w:t>
      </w:r>
      <w:hyperlink w:anchor="ref-hmrc_gdpef">
        <w:r>
          <w:rPr>
            <w:rStyle w:val="Hyperlink"/>
          </w:rPr>
          <w:t xml:space="preserve">HMRC, 2023c</w:t>
        </w:r>
      </w:hyperlink>
      <w:r>
        <w:t xml:space="preserve">)</w:t>
      </w:r>
      <w:r>
        <w:t xml:space="preserve">. In</w:t>
      </w:r>
      <w:r>
        <w:t xml:space="preserve"> </w:t>
      </w:r>
      <w:r>
        <w:rPr>
          <w:i/>
          <w:iCs/>
        </w:rPr>
        <w:t xml:space="preserve">Northumbria Healthcare</w:t>
      </w:r>
      <w:r>
        <w:t xml:space="preserve">, guidance on parking did not create a special legal regime (paras. 86 to 90).</w:t>
      </w:r>
    </w:p>
    <w:p>
      <w:pPr>
        <w:pStyle w:val="Compact"/>
        <w:numPr>
          <w:ilvl w:val="0"/>
          <w:numId w:val="1125"/>
        </w:numPr>
      </w:pPr>
      <w:r>
        <w:rPr>
          <w:b/>
          <w:bCs/>
        </w:rPr>
        <w:t xml:space="preserve">Output tax:</w:t>
      </w:r>
      <w:r>
        <w:t xml:space="preserve"> </w:t>
      </w:r>
      <w:r>
        <w:t xml:space="preserve">200 × £30 = £6,000; £6,000 × 1/6 = £1,000 a month</w:t>
      </w:r>
      <w:r>
        <w:t xml:space="preserve"> </w:t>
      </w:r>
      <w:r>
        <w:t xml:space="preserve">(</w:t>
      </w:r>
      <w:hyperlink w:anchor="ref-hmrc_n700">
        <w:r>
          <w:rPr>
            <w:rStyle w:val="Hyperlink"/>
          </w:rPr>
          <w:t xml:space="preserve">HMRC, 2026o, para. 7.3.1</w:t>
        </w:r>
      </w:hyperlink>
      <w:r>
        <w:t xml:space="preserve">)</w:t>
      </w:r>
      <w:r>
        <w:t xml:space="preserve">.</w:t>
      </w:r>
    </w:p>
    <w:p>
      <w:pPr>
        <w:pStyle w:val="Compact"/>
        <w:numPr>
          <w:ilvl w:val="0"/>
          <w:numId w:val="1125"/>
        </w:numPr>
      </w:pPr>
      <w:r>
        <w:rPr>
          <w:b/>
          <w:bCs/>
        </w:rPr>
        <w:t xml:space="preserve">Recoverable:</w:t>
      </w:r>
      <w:r>
        <w:t xml:space="preserve"> </w:t>
      </w:r>
      <w:r>
        <w:t xml:space="preserve">the £600 maintenance VAT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25"/>
        </w:numPr>
      </w:pPr>
      <w:r>
        <w:rPr>
          <w:b/>
          <w:bCs/>
        </w:rPr>
        <w:t xml:space="preserve">Net VAT position:</w:t>
      </w:r>
      <w:r>
        <w:t xml:space="preserve"> </w:t>
      </w:r>
      <w:r>
        <w:t xml:space="preserve">£1,000 − £600 = £400 a month payable to HMRC.</w:t>
      </w:r>
    </w:p>
    <w:p>
      <w:pPr>
        <w:pStyle w:val="Compact"/>
        <w:numPr>
          <w:ilvl w:val="0"/>
          <w:numId w:val="1125"/>
        </w:numPr>
      </w:pPr>
      <w:r>
        <w:rPr>
          <w:b/>
          <w:bCs/>
        </w:rPr>
        <w:t xml:space="preserve">If parking were free:</w:t>
      </w:r>
      <w:r>
        <w:t xml:space="preserve"> </w:t>
      </w:r>
      <w:r>
        <w:t xml:space="preserve">no supply and no output tax. The £600 would then be an overhead of the work the site’s staff do, so split it between business and non-business use like other mixed costs. The business share goes through the partial exemption method, and the non-business share is claimable only if a COS heading covers it</w:t>
      </w:r>
      <w:r>
        <w:t xml:space="preserve"> </w:t>
      </w:r>
      <w:r>
        <w:t xml:space="preserve">(</w:t>
      </w:r>
      <w:hyperlink w:anchor="ref-hmrc_gdpef">
        <w:r>
          <w:rPr>
            <w:rStyle w:val="Hyperlink"/>
          </w:rPr>
          <w:t xml:space="preserve">HMRC, 2023c</w:t>
        </w:r>
      </w:hyperlink>
      <w:r>
        <w:t xml:space="preserve">)</w:t>
      </w:r>
      <w:r>
        <w:t xml:space="preserve">.</w:t>
      </w:r>
    </w:p>
    <w:bookmarkEnd w:id="104"/>
    <w:bookmarkStart w:id="105" w:name="X24bb4f095cb04da4988ae2ae7b4b038445e9f6f"/>
    <w:p>
      <w:pPr>
        <w:pStyle w:val="Heading4"/>
      </w:pPr>
      <w:r>
        <w:t xml:space="preserve">Example 6: a contribution to a joint international project</w:t>
      </w:r>
    </w:p>
    <w:p>
      <w:pPr>
        <w:pStyle w:val="FirstParagraph"/>
      </w:pPr>
      <w:r>
        <w:rPr>
          <w:b/>
          <w:bCs/>
        </w:rPr>
        <w:t xml:space="preserve">Facts.</w:t>
      </w:r>
      <w:r>
        <w:t xml:space="preserve"> </w:t>
      </w:r>
      <w:r>
        <w:t xml:space="preserve">The Department pays £5,000,000 into a multinational defence research programme run by a project office abroad. It receives progress reports and shared rights to the results.</w:t>
      </w:r>
    </w:p>
    <w:p>
      <w:pPr>
        <w:pStyle w:val="Compact"/>
        <w:numPr>
          <w:ilvl w:val="0"/>
          <w:numId w:val="1126"/>
        </w:numPr>
      </w:pPr>
      <w:r>
        <w:rPr>
          <w:b/>
          <w:bCs/>
        </w:rPr>
        <w:t xml:space="preserve">Check first:</w:t>
      </w:r>
      <w:r>
        <w:t xml:space="preserve"> </w:t>
      </w:r>
      <w:r>
        <w:t xml:space="preserve">is the payment consideration?</w:t>
      </w:r>
    </w:p>
    <w:p>
      <w:pPr>
        <w:pStyle w:val="Compact"/>
        <w:numPr>
          <w:ilvl w:val="1"/>
          <w:numId w:val="1127"/>
        </w:numPr>
      </w:pPr>
      <w:r>
        <w:t xml:space="preserve">If the reports and rights are incidental safeguards, HMRC’s guidance suggests it is not</w:t>
      </w:r>
      <w:r>
        <w:t xml:space="preserve"> </w:t>
      </w:r>
      <w:r>
        <w:t xml:space="preserve">(</w:t>
      </w:r>
      <w:hyperlink w:anchor="ref-hmrc_vatsc">
        <w:r>
          <w:rPr>
            <w:rStyle w:val="Hyperlink"/>
          </w:rPr>
          <w:t xml:space="preserve">HMRC, 2025l, sec. VATSC06110</w:t>
        </w:r>
      </w:hyperlink>
      <w:r>
        <w:t xml:space="preserve">)</w:t>
      </w:r>
      <w:r>
        <w:t xml:space="preserve">.</w:t>
      </w:r>
      <w:r>
        <w:t xml:space="preserve"> </w:t>
      </w:r>
      <w:r>
        <w:rPr>
          <w:b/>
          <w:bCs/>
        </w:rPr>
        <w:t xml:space="preserve">Non-business:</w:t>
      </w:r>
      <w:r>
        <w:t xml:space="preserve"> </w:t>
      </w:r>
      <w:r>
        <w:t xml:space="preserve">no VAT arises.</w:t>
      </w:r>
    </w:p>
    <w:p>
      <w:pPr>
        <w:pStyle w:val="Compact"/>
        <w:numPr>
          <w:ilvl w:val="1"/>
          <w:numId w:val="1127"/>
        </w:numPr>
      </w:pPr>
      <w:r>
        <w:t xml:space="preserve">If the Department is paying for specific research services it receives, that points to consideration</w:t>
      </w:r>
      <w:r>
        <w:t xml:space="preserve"> </w:t>
      </w:r>
      <w:r>
        <w:t xml:space="preserve">(</w:t>
      </w:r>
      <w:hyperlink w:anchor="ref-hmrc_vatsc">
        <w:r>
          <w:rPr>
            <w:rStyle w:val="Hyperlink"/>
          </w:rPr>
          <w:t xml:space="preserve">HMRC, 2025l, sec. VATSC06318</w:t>
        </w:r>
      </w:hyperlink>
      <w:r>
        <w:t xml:space="preserve">)</w:t>
      </w:r>
      <w:r>
        <w:t xml:space="preserve">.</w:t>
      </w:r>
    </w:p>
    <w:p>
      <w:pPr>
        <w:pStyle w:val="Compact"/>
        <w:numPr>
          <w:ilvl w:val="0"/>
          <w:numId w:val="1126"/>
        </w:numPr>
      </w:pPr>
      <w:r>
        <w:rPr>
          <w:b/>
          <w:bCs/>
        </w:rPr>
        <w:t xml:space="preserve">Why it matters:</w:t>
      </w:r>
      <w:r>
        <w:t xml:space="preserve"> </w:t>
      </w:r>
      <w:r>
        <w:t xml:space="preserve">a department with business and non-business activities must apply the reverse charge to services from abroad, even for non-business use</w:t>
      </w:r>
      <w:r>
        <w:t xml:space="preserve"> </w:t>
      </w:r>
      <w:r>
        <w:t xml:space="preserve">(</w:t>
      </w:r>
      <w:hyperlink w:anchor="ref-hmrc_gdpef">
        <w:r>
          <w:rPr>
            <w:rStyle w:val="Hyperlink"/>
          </w:rPr>
          <w:t xml:space="preserve">HMRC, 2023c</w:t>
        </w:r>
      </w:hyperlink>
      <w:r>
        <w:t xml:space="preserve">)</w:t>
      </w:r>
      <w:r>
        <w:t xml:space="preserve">. If the payment were for standard-rated research: £5,000,000 × 20% = £1,000,000 to account for. That VAT is recoverable only for business use, or for non-business use under a COS heading if one applies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26"/>
        </w:numPr>
      </w:pPr>
      <w:r>
        <w:rPr>
          <w:b/>
          <w:bCs/>
        </w:rPr>
        <w:t xml:space="preserve">If the project is a listed ICDP:</w:t>
      </w:r>
      <w:r>
        <w:t xml:space="preserve"> </w:t>
      </w:r>
      <w:r>
        <w:t xml:space="preserve">supplies by the managing body in giving effect to the arrangement are zero-rated: £5,000,000 × 0% = £0 (Value Added Tax Act 1994, Sch. 8, Group 13, item 2)</w:t>
      </w:r>
      <w:r>
        <w:t xml:space="preserve"> </w:t>
      </w:r>
      <w:r>
        <w:t xml:space="preserve">(</w:t>
      </w:r>
      <w:hyperlink w:anchor="ref-hmrc_vatgpb">
        <w:r>
          <w:rPr>
            <w:rStyle w:val="Hyperlink"/>
          </w:rPr>
          <w:t xml:space="preserve">HMRC, 2026n</w:t>
        </w:r>
      </w:hyperlink>
      <w:r>
        <w:t xml:space="preserve">, secs. VATGPB9500 and VATGPB9510)</w:t>
      </w:r>
      <w:r>
        <w:t xml:space="preserve">.</w:t>
      </w:r>
    </w:p>
    <w:p>
      <w:pPr>
        <w:pStyle w:val="Compact"/>
        <w:numPr>
          <w:ilvl w:val="0"/>
          <w:numId w:val="1126"/>
        </w:numPr>
      </w:pPr>
      <w:r>
        <w:rPr>
          <w:b/>
          <w:bCs/>
        </w:rPr>
        <w:t xml:space="preserve">Action:</w:t>
      </w:r>
      <w:r>
        <w:t xml:space="preserve"> </w:t>
      </w:r>
      <w:r>
        <w:t xml:space="preserve">confirm the treatment with HMRC before paying.</w:t>
      </w:r>
    </w:p>
    <w:bookmarkEnd w:id="105"/>
    <w:bookmarkStart w:id="106" w:name="X305e5624f65255129cff3815da81770fcf28112"/>
    <w:p>
      <w:pPr>
        <w:pStyle w:val="Heading4"/>
      </w:pPr>
      <w:r>
        <w:t xml:space="preserve">Example 7: consultancy to a foreign defence ministry at a market rate</w:t>
      </w:r>
    </w:p>
    <w:p>
      <w:pPr>
        <w:pStyle w:val="FirstParagraph"/>
      </w:pPr>
      <w:r>
        <w:rPr>
          <w:b/>
          <w:bCs/>
        </w:rPr>
        <w:t xml:space="preserve">Facts.</w:t>
      </w:r>
      <w:r>
        <w:t xml:space="preserve"> </w:t>
      </w:r>
      <w:r>
        <w:t xml:space="preserve">The Department’s specialists advise Country D’s defence ministry on procurement reform for £120,000, a market rate. The Department buys an off-the-shelf software licence for the project from a UK supplier for £10,000 + £2,000 VAT. Its staff stay in a hotel in Country D.</w:t>
      </w:r>
    </w:p>
    <w:p>
      <w:pPr>
        <w:pStyle w:val="Compact"/>
        <w:numPr>
          <w:ilvl w:val="0"/>
          <w:numId w:val="1128"/>
        </w:numPr>
      </w:pPr>
      <w:r>
        <w:rPr>
          <w:b/>
          <w:bCs/>
        </w:rPr>
        <w:t xml:space="preserve">Business:</w:t>
      </w:r>
      <w:r>
        <w:t xml:space="preserve"> </w:t>
      </w:r>
      <w:r>
        <w:t xml:space="preserve">a supply for consideration at a market price</w:t>
      </w:r>
      <w:r>
        <w:t xml:space="preserve"> </w:t>
      </w:r>
      <w:r>
        <w:t xml:space="preserve">(</w:t>
      </w:r>
      <w:hyperlink w:anchor="ref-hmrc_vatbus">
        <w:r>
          <w:rPr>
            <w:rStyle w:val="Hyperlink"/>
          </w:rPr>
          <w:t xml:space="preserve">HMRC, 2024f, sec. VBNB30200</w:t>
        </w:r>
      </w:hyperlink>
      <w:r>
        <w:t xml:space="preserve">)</w:t>
      </w:r>
      <w:r>
        <w:t xml:space="preserve">.</w:t>
      </w:r>
    </w:p>
    <w:p>
      <w:pPr>
        <w:pStyle w:val="Compact"/>
        <w:numPr>
          <w:ilvl w:val="0"/>
          <w:numId w:val="1128"/>
        </w:numPr>
      </w:pPr>
      <w:r>
        <w:rPr>
          <w:b/>
          <w:bCs/>
        </w:rPr>
        <w:t xml:space="preserve">Place of supply:</w:t>
      </w:r>
      <w:r>
        <w:t xml:space="preserve"> </w:t>
      </w:r>
      <w:r>
        <w:t xml:space="preserve">the ministry has no VAT number or business activities, so the B2C rules apply</w:t>
      </w:r>
      <w:r>
        <w:t xml:space="preserve"> </w:t>
      </w:r>
      <w:r>
        <w:t xml:space="preserve">(</w:t>
      </w:r>
      <w:hyperlink w:anchor="ref-hmrc_n741a">
        <w:r>
          <w:rPr>
            <w:rStyle w:val="Hyperlink"/>
          </w:rPr>
          <w:t xml:space="preserve">HMRC, 2022d</w:t>
        </w:r>
      </w:hyperlink>
      <w:r>
        <w:t xml:space="preserve">, paras. 2.4 and 6.3)</w:t>
      </w:r>
      <w:r>
        <w:t xml:space="preserve">. Consultancy to a non-business customer outside the UK is supplied where the customer belongs:</w:t>
      </w:r>
      <w:r>
        <w:t xml:space="preserve"> </w:t>
      </w:r>
      <w:r>
        <w:rPr>
          <w:b/>
          <w:bCs/>
        </w:rPr>
        <w:t xml:space="preserve">outside the scope</w:t>
      </w:r>
      <w:r>
        <w:t xml:space="preserve">, £0 UK VAT</w:t>
      </w:r>
      <w:r>
        <w:t xml:space="preserve"> </w:t>
      </w:r>
      <w:r>
        <w:t xml:space="preserve">(</w:t>
      </w:r>
      <w:hyperlink w:anchor="ref-hmrc_n741a">
        <w:r>
          <w:rPr>
            <w:rStyle w:val="Hyperlink"/>
          </w:rPr>
          <w:t xml:space="preserve">HMRC, 2022d</w:t>
        </w:r>
      </w:hyperlink>
      <w:r>
        <w:t xml:space="preserve">, paras. 12.1, 12.2 and 12.6)</w:t>
      </w:r>
      <w:r>
        <w:t xml:space="preserve">. The £120,000 goes in Box 6</w:t>
      </w:r>
      <w:r>
        <w:t xml:space="preserve"> </w:t>
      </w:r>
      <w:r>
        <w:t xml:space="preserve">(</w:t>
      </w:r>
      <w:hyperlink w:anchor="ref-hmrc_n70012">
        <w:r>
          <w:rPr>
            <w:rStyle w:val="Hyperlink"/>
          </w:rPr>
          <w:t xml:space="preserve">HMRC, 2025f, para. 3.7</w:t>
        </w:r>
      </w:hyperlink>
      <w:r>
        <w:t xml:space="preserve">)</w:t>
      </w:r>
      <w:r>
        <w:t xml:space="preserve">.</w:t>
      </w:r>
    </w:p>
    <w:p>
      <w:pPr>
        <w:pStyle w:val="Compact"/>
        <w:numPr>
          <w:ilvl w:val="0"/>
          <w:numId w:val="1128"/>
        </w:numPr>
      </w:pPr>
      <w:r>
        <w:rPr>
          <w:b/>
          <w:bCs/>
        </w:rPr>
        <w:t xml:space="preserve">Recoverable:</w:t>
      </w:r>
      <w:r>
        <w:t xml:space="preserve"> </w:t>
      </w:r>
      <w:r>
        <w:t xml:space="preserve">the £2,000 VAT on the licence, because the consultancy would be taxable if supplied in the UK (Value Added Tax Act 1994, s. 26(2)(b)).</w:t>
      </w:r>
    </w:p>
    <w:p>
      <w:pPr>
        <w:pStyle w:val="Compact"/>
        <w:numPr>
          <w:ilvl w:val="0"/>
          <w:numId w:val="1128"/>
        </w:numPr>
      </w:pPr>
      <w:r>
        <w:rPr>
          <w:b/>
          <w:bCs/>
        </w:rPr>
        <w:t xml:space="preserve">Not on the UK return:</w:t>
      </w:r>
      <w:r>
        <w:t xml:space="preserve"> </w:t>
      </w:r>
      <w:r>
        <w:t xml:space="preserve">the hotel’s local tax (see Part 4, Foreign VAT charged abroad).</w:t>
      </w:r>
    </w:p>
    <w:p>
      <w:pPr>
        <w:pStyle w:val="Compact"/>
        <w:numPr>
          <w:ilvl w:val="0"/>
          <w:numId w:val="1128"/>
        </w:numPr>
      </w:pPr>
      <w:r>
        <w:rPr>
          <w:b/>
          <w:bCs/>
        </w:rPr>
        <w:t xml:space="preserve">If the advice were free,</w:t>
      </w:r>
      <w:r>
        <w:t xml:space="preserve"> </w:t>
      </w:r>
      <w:r>
        <w:t xml:space="preserve">for example as defence cooperation:</w:t>
      </w:r>
      <w:r>
        <w:t xml:space="preserve"> </w:t>
      </w:r>
      <w:r>
        <w:rPr>
          <w:b/>
          <w:bCs/>
        </w:rPr>
        <w:t xml:space="preserve">Non-business</w:t>
      </w:r>
      <w:r>
        <w:t xml:space="preserve">, and the £2,000 is a cost.</w:t>
      </w:r>
      <w:r>
        <w:t xml:space="preserve"> </w:t>
      </w:r>
      <w:r>
        <w:rPr>
          <w:b/>
          <w:bCs/>
        </w:rPr>
        <w:t xml:space="preserve">Not claimable:</w:t>
      </w:r>
      <w:r>
        <w:t xml:space="preserve"> </w:t>
      </w:r>
      <w:r>
        <w:t xml:space="preserve">off-the-shelf software licences are outside Heading 14</w:t>
      </w:r>
      <w:r>
        <w:t xml:space="preserve"> </w:t>
      </w:r>
      <w:r>
        <w:t xml:space="preserve">(</w:t>
      </w:r>
      <w:hyperlink w:anchor="ref-hmrc_vatgpb">
        <w:r>
          <w:rPr>
            <w:rStyle w:val="Hyperlink"/>
          </w:rPr>
          <w:t xml:space="preserve">HMRC, 2026n, sec. VATGPB10010</w:t>
        </w:r>
      </w:hyperlink>
      <w:r>
        <w:t xml:space="preserve">)</w:t>
      </w:r>
      <w:r>
        <w:t xml:space="preserve">.</w:t>
      </w:r>
    </w:p>
    <w:bookmarkEnd w:id="106"/>
    <w:bookmarkStart w:id="107" w:name="example-8-a-sale-at-a-token-price"/>
    <w:p>
      <w:pPr>
        <w:pStyle w:val="Heading4"/>
      </w:pPr>
      <w:r>
        <w:t xml:space="preserve">Example 8: a</w:t>
      </w:r>
      <w:r>
        <w:t xml:space="preserve"> </w:t>
      </w:r>
      <w:r>
        <w:t xml:space="preserve">“</w:t>
      </w:r>
      <w:r>
        <w:t xml:space="preserve">sale</w:t>
      </w:r>
      <w:r>
        <w:t xml:space="preserve">”</w:t>
      </w:r>
      <w:r>
        <w:t xml:space="preserve"> </w:t>
      </w:r>
      <w:r>
        <w:t xml:space="preserve">at a token price</w:t>
      </w:r>
    </w:p>
    <w:p>
      <w:pPr>
        <w:pStyle w:val="FirstParagraph"/>
      </w:pPr>
      <w:r>
        <w:rPr>
          <w:b/>
          <w:bCs/>
        </w:rPr>
        <w:t xml:space="preserve">Facts.</w:t>
      </w:r>
      <w:r>
        <w:t xml:space="preserve"> </w:t>
      </w:r>
      <w:r>
        <w:t xml:space="preserve">The Department transfers 10 surplus vehicles worth about £150,000 to Country E for £1 each. A UK contractor repaired them first for £40,000 + £8,000 VAT. The Department exports them, with evidence.</w:t>
      </w:r>
    </w:p>
    <w:p>
      <w:pPr>
        <w:pStyle w:val="Compact"/>
        <w:numPr>
          <w:ilvl w:val="0"/>
          <w:numId w:val="1129"/>
        </w:numPr>
      </w:pPr>
      <w:r>
        <w:rPr>
          <w:b/>
          <w:bCs/>
        </w:rPr>
        <w:t xml:space="preserve">Check first:</w:t>
      </w:r>
      <w:r>
        <w:t xml:space="preserve"> </w:t>
      </w:r>
      <w:r>
        <w:t xml:space="preserve">is this a sale or, in substance, a gift?</w:t>
      </w:r>
    </w:p>
    <w:p>
      <w:pPr>
        <w:pStyle w:val="Compact"/>
        <w:numPr>
          <w:ilvl w:val="1"/>
          <w:numId w:val="1130"/>
        </w:numPr>
      </w:pPr>
      <w:r>
        <w:t xml:space="preserve">Consideration need not equal the value of what is supplied (</w:t>
      </w:r>
      <w:r>
        <w:rPr>
          <w:i/>
          <w:iCs/>
        </w:rPr>
        <w:t xml:space="preserve">Wakefield College</w:t>
      </w:r>
      <w:r>
        <w:t xml:space="preserve">, para. 52).</w:t>
      </w:r>
    </w:p>
    <w:p>
      <w:pPr>
        <w:pStyle w:val="Compact"/>
        <w:numPr>
          <w:ilvl w:val="1"/>
          <w:numId w:val="1130"/>
        </w:numPr>
      </w:pPr>
      <w:r>
        <w:t xml:space="preserve">But a payment</w:t>
      </w:r>
      <w:r>
        <w:t xml:space="preserve"> </w:t>
      </w:r>
      <w:r>
        <w:t xml:space="preserve">“</w:t>
      </w:r>
      <w:r>
        <w:t xml:space="preserve">so low as to be a concession</w:t>
      </w:r>
      <w:r>
        <w:t xml:space="preserve">”</w:t>
      </w:r>
      <w:r>
        <w:t xml:space="preserve"> </w:t>
      </w:r>
      <w:r>
        <w:t xml:space="preserve">may show the activity is not carried on to obtain income</w:t>
      </w:r>
      <w:r>
        <w:t xml:space="preserve"> </w:t>
      </w:r>
      <w:r>
        <w:t xml:space="preserve">(</w:t>
      </w:r>
      <w:hyperlink w:anchor="ref-hmrc_vatbus">
        <w:r>
          <w:rPr>
            <w:rStyle w:val="Hyperlink"/>
          </w:rPr>
          <w:t xml:space="preserve">HMRC, 2024f, sec. VBNB30300</w:t>
        </w:r>
      </w:hyperlink>
      <w:r>
        <w:t xml:space="preserve">)</w:t>
      </w:r>
      <w:r>
        <w:t xml:space="preserve">. 10 × £1 = £10 for about £150,000 of vehicles looks like that.</w:t>
      </w:r>
    </w:p>
    <w:p>
      <w:pPr>
        <w:pStyle w:val="Compact"/>
        <w:numPr>
          <w:ilvl w:val="0"/>
          <w:numId w:val="1129"/>
        </w:numPr>
      </w:pPr>
      <w:r>
        <w:rPr>
          <w:b/>
          <w:bCs/>
        </w:rPr>
        <w:t xml:space="preserve">If business:</w:t>
      </w:r>
      <w:r>
        <w:t xml:space="preserve"> </w:t>
      </w:r>
      <w:r>
        <w:t xml:space="preserve">zero-rated export</w:t>
      </w:r>
      <w:r>
        <w:t xml:space="preserve"> </w:t>
      </w:r>
      <w:r>
        <w:t xml:space="preserve">(</w:t>
      </w:r>
      <w:hyperlink w:anchor="ref-hmrc_n703">
        <w:r>
          <w:rPr>
            <w:rStyle w:val="Hyperlink"/>
          </w:rPr>
          <w:t xml:space="preserve">HMRC, 2026p, para. 3.3</w:t>
        </w:r>
      </w:hyperlink>
      <w:r>
        <w:t xml:space="preserve">)</w:t>
      </w:r>
      <w:r>
        <w:t xml:space="preserve">.</w:t>
      </w:r>
      <w:r>
        <w:t xml:space="preserve"> </w:t>
      </w:r>
      <w:r>
        <w:rPr>
          <w:b/>
          <w:bCs/>
        </w:rPr>
        <w:t xml:space="preserve">Recoverable:</w:t>
      </w:r>
      <w:r>
        <w:t xml:space="preserve"> </w:t>
      </w:r>
      <w:r>
        <w:t xml:space="preserve">the £8,000, as input tax (Value Added Tax Act 1994, s. 26(2)(a)).</w:t>
      </w:r>
    </w:p>
    <w:p>
      <w:pPr>
        <w:pStyle w:val="Compact"/>
        <w:numPr>
          <w:ilvl w:val="0"/>
          <w:numId w:val="1129"/>
        </w:numPr>
      </w:pPr>
      <w:r>
        <w:rPr>
          <w:b/>
          <w:bCs/>
        </w:rPr>
        <w:t xml:space="preserve">If non-business:</w:t>
      </w:r>
      <w:r>
        <w:t xml:space="preserve"> </w:t>
      </w:r>
      <w:r>
        <w:t xml:space="preserve">the £8,000 is not input tax, but it may be</w:t>
      </w:r>
      <w:r>
        <w:t xml:space="preserve"> </w:t>
      </w:r>
      <w:r>
        <w:rPr>
          <w:b/>
          <w:bCs/>
        </w:rPr>
        <w:t xml:space="preserve">Claimable</w:t>
      </w:r>
      <w:r>
        <w:t xml:space="preserve"> </w:t>
      </w:r>
      <w:r>
        <w:t xml:space="preserve">under Heading 37, which covers repairs to vehicles the Department owns</w:t>
      </w:r>
      <w:r>
        <w:t xml:space="preserve"> </w:t>
      </w:r>
      <w:r>
        <w:t xml:space="preserve">(</w:t>
      </w:r>
      <w:hyperlink w:anchor="ref-hmrc_vatgpb">
        <w:r>
          <w:rPr>
            <w:rStyle w:val="Hyperlink"/>
          </w:rPr>
          <w:t xml:space="preserve">HMRC, 2026n, sec. VATGPB10470</w:t>
        </w:r>
      </w:hyperlink>
      <w:r>
        <w:t xml:space="preserve">)</w:t>
      </w:r>
      <w:r>
        <w:t xml:space="preserve">.</w:t>
      </w:r>
    </w:p>
    <w:p>
      <w:pPr>
        <w:pStyle w:val="Compact"/>
        <w:numPr>
          <w:ilvl w:val="0"/>
          <w:numId w:val="1129"/>
        </w:numPr>
      </w:pPr>
      <w:r>
        <w:rPr>
          <w:b/>
          <w:bCs/>
        </w:rPr>
        <w:t xml:space="preserve">Lesson:</w:t>
      </w:r>
      <w:r>
        <w:t xml:space="preserve"> </w:t>
      </w:r>
      <w:r>
        <w:t xml:space="preserve">decide and record the status before the work starts. The two routes have different time limits (see Part 5, How and when to claim).</w:t>
      </w:r>
    </w:p>
    <w:bookmarkEnd w:id="107"/>
    <w:bookmarkEnd w:id="108"/>
    <w:bookmarkStart w:id="109" w:name="common-misunderstandings"/>
    <w:p>
      <w:pPr>
        <w:pStyle w:val="Heading3"/>
      </w:pPr>
      <w:r>
        <w:t xml:space="preserve">Common misunderstandings</w:t>
      </w:r>
    </w:p>
    <w:p>
      <w:pPr>
        <w:pStyle w:val="FirstParagraph"/>
      </w:pPr>
      <w:r>
        <w:t xml:space="preserve">The table corrects common mistakes, drawing on the sources cited earlier in this Part</w:t>
      </w:r>
      <w:r>
        <w:t xml:space="preserve"> </w:t>
      </w:r>
      <w:r>
        <w:t xml:space="preserve">(</w:t>
      </w:r>
      <w:hyperlink w:anchor="ref-hmrc_vatbus">
        <w:r>
          <w:rPr>
            <w:rStyle w:val="Hyperlink"/>
          </w:rPr>
          <w:t xml:space="preserve">HMRC, 2024f</w:t>
        </w:r>
      </w:hyperlink>
      <w:r>
        <w:t xml:space="preserve">, secs. VBNB20250 and VBNB30200;</w:t>
      </w:r>
      <w:r>
        <w:t xml:space="preserve"> </w:t>
      </w:r>
      <w:hyperlink w:anchor="ref-hmrc_vatgpb">
        <w:r>
          <w:rPr>
            <w:rStyle w:val="Hyperlink"/>
          </w:rPr>
          <w:t xml:space="preserve">HMRC, 2026n</w:t>
        </w:r>
      </w:hyperlink>
      <w:r>
        <w:t xml:space="preserve">, secs. VATGPB2200 and VATGPB3220;</w:t>
      </w:r>
      <w:r>
        <w:t xml:space="preserve"> </w:t>
      </w:r>
      <w:hyperlink w:anchor="ref-hmrc_vatsc">
        <w:r>
          <w:rPr>
            <w:rStyle w:val="Hyperlink"/>
          </w:rPr>
          <w:t xml:space="preserve">HMRC, 2025l</w:t>
        </w:r>
      </w:hyperlink>
      <w:r>
        <w:t xml:space="preserve">, secs. VATSC05100 and VATSC06311;</w:t>
      </w:r>
      <w:r>
        <w:t xml:space="preserve"> </w:t>
      </w:r>
      <w:hyperlink w:anchor="ref-hmrc_n700">
        <w:r>
          <w:rPr>
            <w:rStyle w:val="Hyperlink"/>
          </w:rPr>
          <w:t xml:space="preserve">HMRC, 2026o</w:t>
        </w:r>
      </w:hyperlink>
      <w:r>
        <w:t xml:space="preserve">, paras. 3.2 and 3.6;</w:t>
      </w:r>
      <w:r>
        <w:t xml:space="preserve"> </w:t>
      </w:r>
      <w:hyperlink w:anchor="ref-gazette_2020">
        <w:r>
          <w:rPr>
            <w:rStyle w:val="Hyperlink"/>
          </w:rPr>
          <w:t xml:space="preserve">HM Treasury, 2020b</w:t>
        </w:r>
      </w:hyperlink>
      <w:r>
        <w:t xml:space="preserve">;</w:t>
      </w:r>
      <w:r>
        <w:t xml:space="preserve"> </w:t>
      </w:r>
      <w:hyperlink w:anchor="ref-hmrc_gdpef">
        <w:r>
          <w:rPr>
            <w:rStyle w:val="Hyperlink"/>
          </w:rPr>
          <w:t xml:space="preserve">HMRC, 2023c</w:t>
        </w:r>
      </w:hyperlink>
      <w:r>
        <w:t xml:space="preserve">)</w:t>
      </w:r>
      <w:r>
        <w:t xml:space="preserve"> </w:t>
      </w:r>
      <w:r>
        <w:t xml:space="preserve">(Value Added Tax Act 1994, ss. 26 and 41A).</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918"/>
        <w:gridCol w:w="5107"/>
      </w:tblGrid>
      <w:tr>
        <w:trPr>
          <w:tblHeader w:val="true"/>
          <w:cantSplit w:val="true"/>
        </w:trPr>
        <w:tc>
          <w:tcPr>
            <w:tcW w:w="3918" w:type="dxa"/>
            <w:shd w:val="clear" w:color="auto" w:fill="1B3A5C"/>
          </w:tcPr>
          <w:p>
            <w:pPr>
              <w:pStyle w:val="Compact"/>
              <w:spacing w:after="40" w:before="40"/>
              <w:jc w:val="left"/>
            </w:pPr>
            <w:r>
              <w:rPr>
                <w:rFonts w:ascii="Tahoma" w:hAnsi="Tahoma"/>
                <w:b/>
                <w:color w:val="FFFFFF"/>
                <w:sz w:val="22"/>
              </w:rPr>
              <w:t xml:space="preserve">Belief</w:t>
            </w:r>
          </w:p>
        </w:tc>
        <w:tc>
          <w:tcPr>
            <w:tcW w:w="5107" w:type="dxa"/>
            <w:shd w:val="clear" w:color="auto" w:fill="1B3A5C"/>
          </w:tcPr>
          <w:p>
            <w:pPr>
              <w:pStyle w:val="Compact"/>
              <w:spacing w:after="40" w:before="40"/>
              <w:jc w:val="left"/>
            </w:pPr>
            <w:r>
              <w:rPr>
                <w:rFonts w:ascii="Tahoma" w:hAnsi="Tahoma"/>
                <w:b/>
                <w:color w:val="FFFFFF"/>
                <w:sz w:val="22"/>
              </w:rPr>
              <w:t xml:space="preserve">Reality</w:t>
            </w:r>
          </w:p>
        </w:tc>
      </w:tr>
      <w:tr>
        <w:trPr>
          <w:cantSplit w:val="true"/>
        </w:trPr>
        <w:tc>
          <w:tcPr>
            <w:tcW w:w="3918" w:type="dxa"/>
            <w:shd w:val="clear" w:color="auto" w:fill="EAF3FA"/>
          </w:tcPr>
          <w:p>
            <w:pPr>
              <w:pStyle w:val="Compact"/>
              <w:spacing w:after="40" w:before="40"/>
              <w:jc w:val="left"/>
            </w:pPr>
            <w:r>
              <w:rPr>
                <w:rFonts w:ascii="Tahoma" w:hAnsi="Tahoma"/>
                <w:sz w:val="22"/>
              </w:rPr>
              <w:t xml:space="preserve">“</w:t>
            </w:r>
            <w:r>
              <w:rPr>
                <w:rFonts w:ascii="Tahoma" w:hAnsi="Tahoma"/>
                <w:sz w:val="22"/>
              </w:rPr>
              <w:t xml:space="preserve">Protecting the public is a service, so it must be business.</w:t>
            </w:r>
            <w:r>
              <w:rPr>
                <w:rFonts w:ascii="Tahoma" w:hAnsi="Tahoma"/>
                <w:sz w:val="22"/>
              </w:rPr>
              <w:t xml:space="preserve">”</w:t>
            </w:r>
          </w:p>
        </w:tc>
        <w:tc>
          <w:tcPr>
            <w:tcW w:w="5107" w:type="dxa"/>
            <w:shd w:val="clear" w:color="auto" w:fill="EAF3FA"/>
          </w:tcPr>
          <w:p>
            <w:pPr>
              <w:pStyle w:val="Compact"/>
              <w:spacing w:after="40" w:before="40"/>
              <w:jc w:val="left"/>
            </w:pPr>
            <w:r>
              <w:rPr>
                <w:rFonts w:ascii="Tahoma" w:hAnsi="Tahoma"/>
                <w:sz w:val="22"/>
              </w:rPr>
              <w:t xml:space="preserve">No. A VAT supply needs a payment directly linked to it. Defence is publicly funded, with no paying customer and no market.</w:t>
            </w:r>
          </w:p>
        </w:tc>
      </w:tr>
      <w:tr>
        <w:trPr>
          <w:cantSplit w:val="true"/>
        </w:trPr>
        <w:tc>
          <w:tcPr>
            <w:tcW w:w="3918" w:type="dxa"/>
            <w:shd w:val="clear" w:color="auto" w:fill="FFFFFF"/>
          </w:tcPr>
          <w:p>
            <w:pPr>
              <w:pStyle w:val="Compact"/>
              <w:spacing w:after="40" w:before="40"/>
              <w:jc w:val="left"/>
            </w:pPr>
            <w:r>
              <w:rPr>
                <w:rFonts w:ascii="Tahoma" w:hAnsi="Tahoma"/>
                <w:sz w:val="22"/>
              </w:rPr>
              <w:t xml:space="preserve">“</w:t>
            </w:r>
            <w:r>
              <w:rPr>
                <w:rFonts w:ascii="Tahoma" w:hAnsi="Tahoma"/>
                <w:sz w:val="22"/>
              </w:rPr>
              <w:t xml:space="preserve">We are VAT-registered, so everything we do is business.</w:t>
            </w:r>
            <w:r>
              <w:rPr>
                <w:rFonts w:ascii="Tahoma" w:hAnsi="Tahoma"/>
                <w:sz w:val="22"/>
              </w:rPr>
              <w:t xml:space="preserve">”</w:t>
            </w:r>
          </w:p>
        </w:tc>
        <w:tc>
          <w:tcPr>
            <w:tcW w:w="5107" w:type="dxa"/>
            <w:shd w:val="clear" w:color="auto" w:fill="FFFFFF"/>
          </w:tcPr>
          <w:p>
            <w:pPr>
              <w:pStyle w:val="Compact"/>
              <w:spacing w:after="40" w:before="40"/>
              <w:jc w:val="left"/>
            </w:pPr>
            <w:r>
              <w:rPr>
                <w:rFonts w:ascii="Tahoma" w:hAnsi="Tahoma"/>
                <w:sz w:val="22"/>
              </w:rPr>
              <w:t xml:space="preserve">No. Departments must register so that they can claim COS refunds, whatever their taxable supplies.</w:t>
            </w:r>
          </w:p>
        </w:tc>
      </w:tr>
      <w:tr>
        <w:trPr>
          <w:cantSplit w:val="true"/>
        </w:trPr>
        <w:tc>
          <w:tcPr>
            <w:tcW w:w="3918" w:type="dxa"/>
            <w:shd w:val="clear" w:color="auto" w:fill="FBEAF1"/>
          </w:tcPr>
          <w:p>
            <w:pPr>
              <w:pStyle w:val="Compact"/>
              <w:spacing w:after="40" w:before="40"/>
              <w:jc w:val="left"/>
            </w:pPr>
            <w:r>
              <w:rPr>
                <w:rFonts w:ascii="Tahoma" w:hAnsi="Tahoma"/>
                <w:sz w:val="22"/>
              </w:rPr>
              <w:t xml:space="preserve">“</w:t>
            </w:r>
            <w:r>
              <w:rPr>
                <w:rFonts w:ascii="Tahoma" w:hAnsi="Tahoma"/>
                <w:sz w:val="22"/>
              </w:rPr>
              <w:t xml:space="preserve">Anything involving another government is business.</w:t>
            </w:r>
            <w:r>
              <w:rPr>
                <w:rFonts w:ascii="Tahoma" w:hAnsi="Tahoma"/>
                <w:sz w:val="22"/>
              </w:rPr>
              <w:t xml:space="preserve">”</w:t>
            </w:r>
          </w:p>
        </w:tc>
        <w:tc>
          <w:tcPr>
            <w:tcW w:w="5107" w:type="dxa"/>
            <w:shd w:val="clear" w:color="auto" w:fill="FBEAF1"/>
          </w:tcPr>
          <w:p>
            <w:pPr>
              <w:pStyle w:val="Compact"/>
              <w:spacing w:after="40" w:before="40"/>
              <w:jc w:val="left"/>
            </w:pPr>
            <w:r>
              <w:rPr>
                <w:rFonts w:ascii="Tahoma" w:hAnsi="Tahoma"/>
                <w:sz w:val="22"/>
              </w:rPr>
              <w:t xml:space="preserve">No. Free cooperation, joint exercises and gifts are non-business. Only supplies for payment, made to obtain income, are business.</w:t>
            </w:r>
          </w:p>
        </w:tc>
      </w:tr>
      <w:tr>
        <w:trPr>
          <w:cantSplit w:val="true"/>
        </w:trPr>
        <w:tc>
          <w:tcPr>
            <w:tcW w:w="3918" w:type="dxa"/>
            <w:shd w:val="clear" w:color="auto" w:fill="EAF3FA"/>
          </w:tcPr>
          <w:p>
            <w:pPr>
              <w:pStyle w:val="Compact"/>
              <w:spacing w:after="40" w:before="40"/>
              <w:jc w:val="left"/>
            </w:pPr>
            <w:r>
              <w:rPr>
                <w:rFonts w:ascii="Tahoma" w:hAnsi="Tahoma"/>
                <w:sz w:val="22"/>
              </w:rPr>
              <w:t xml:space="preserve">“</w:t>
            </w:r>
            <w:r>
              <w:rPr>
                <w:rFonts w:ascii="Tahoma" w:hAnsi="Tahoma"/>
                <w:sz w:val="22"/>
              </w:rPr>
              <w:t xml:space="preserve">If we charge only cost price, it isn’t business.</w:t>
            </w:r>
            <w:r>
              <w:rPr>
                <w:rFonts w:ascii="Tahoma" w:hAnsi="Tahoma"/>
                <w:sz w:val="22"/>
              </w:rPr>
              <w:t xml:space="preserve">”</w:t>
            </w:r>
          </w:p>
        </w:tc>
        <w:tc>
          <w:tcPr>
            <w:tcW w:w="5107" w:type="dxa"/>
            <w:shd w:val="clear" w:color="auto" w:fill="EAF3FA"/>
          </w:tcPr>
          <w:p>
            <w:pPr>
              <w:pStyle w:val="Compact"/>
              <w:spacing w:after="40" w:before="40"/>
              <w:jc w:val="left"/>
            </w:pPr>
            <w:r>
              <w:rPr>
                <w:rFonts w:ascii="Tahoma" w:hAnsi="Tahoma"/>
                <w:sz w:val="22"/>
              </w:rPr>
              <w:t xml:space="preserve">Wrong. Cost-recovery and below-cost charges can be business. Profit is not needed.</w:t>
            </w:r>
          </w:p>
        </w:tc>
      </w:tr>
      <w:tr>
        <w:trPr>
          <w:cantSplit w:val="true"/>
        </w:trPr>
        <w:tc>
          <w:tcPr>
            <w:tcW w:w="3918" w:type="dxa"/>
            <w:shd w:val="clear" w:color="auto" w:fill="FFFFFF"/>
          </w:tcPr>
          <w:p>
            <w:pPr>
              <w:pStyle w:val="Compact"/>
              <w:spacing w:after="40" w:before="40"/>
              <w:jc w:val="left"/>
            </w:pPr>
            <w:r>
              <w:rPr>
                <w:rFonts w:ascii="Tahoma" w:hAnsi="Tahoma"/>
                <w:sz w:val="22"/>
              </w:rPr>
              <w:t xml:space="preserve">“</w:t>
            </w:r>
            <w:r>
              <w:rPr>
                <w:rFonts w:ascii="Tahoma" w:hAnsi="Tahoma"/>
                <w:sz w:val="22"/>
              </w:rPr>
              <w:t xml:space="preserve">Non-business means exempt.</w:t>
            </w:r>
            <w:r>
              <w:rPr>
                <w:rFonts w:ascii="Tahoma" w:hAnsi="Tahoma"/>
                <w:sz w:val="22"/>
              </w:rPr>
              <w:t xml:space="preserve">”</w:t>
            </w:r>
          </w:p>
        </w:tc>
        <w:tc>
          <w:tcPr>
            <w:tcW w:w="5107" w:type="dxa"/>
            <w:shd w:val="clear" w:color="auto" w:fill="FFFFFF"/>
          </w:tcPr>
          <w:p>
            <w:pPr>
              <w:pStyle w:val="Compact"/>
              <w:spacing w:after="40" w:before="40"/>
              <w:jc w:val="left"/>
            </w:pPr>
            <w:r>
              <w:rPr>
                <w:rFonts w:ascii="Tahoma" w:hAnsi="Tahoma"/>
                <w:sz w:val="22"/>
              </w:rPr>
              <w:t xml:space="preserve">No. Exempt supplies are within the scope of VAT; non-business activities are outside it.</w:t>
            </w:r>
          </w:p>
        </w:tc>
      </w:tr>
      <w:tr>
        <w:trPr>
          <w:cantSplit w:val="true"/>
        </w:trPr>
        <w:tc>
          <w:tcPr>
            <w:tcW w:w="3918" w:type="dxa"/>
            <w:shd w:val="clear" w:color="auto" w:fill="FBEAF1"/>
          </w:tcPr>
          <w:p>
            <w:pPr>
              <w:pStyle w:val="Compact"/>
              <w:spacing w:after="40" w:before="40"/>
              <w:jc w:val="left"/>
            </w:pPr>
            <w:r>
              <w:rPr>
                <w:rFonts w:ascii="Tahoma" w:hAnsi="Tahoma"/>
                <w:sz w:val="22"/>
              </w:rPr>
              <w:t xml:space="preserve">“</w:t>
            </w:r>
            <w:r>
              <w:rPr>
                <w:rFonts w:ascii="Tahoma" w:hAnsi="Tahoma"/>
                <w:sz w:val="22"/>
              </w:rPr>
              <w:t xml:space="preserve">Business activity means we can claim COS.</w:t>
            </w:r>
            <w:r>
              <w:rPr>
                <w:rFonts w:ascii="Tahoma" w:hAnsi="Tahoma"/>
                <w:sz w:val="22"/>
              </w:rPr>
              <w:t xml:space="preserve">”</w:t>
            </w:r>
          </w:p>
        </w:tc>
        <w:tc>
          <w:tcPr>
            <w:tcW w:w="5107" w:type="dxa"/>
            <w:shd w:val="clear" w:color="auto" w:fill="FBEAF1"/>
          </w:tcPr>
          <w:p>
            <w:pPr>
              <w:pStyle w:val="Compact"/>
              <w:spacing w:after="40" w:before="40"/>
              <w:jc w:val="left"/>
            </w:pPr>
            <w:r>
              <w:rPr>
                <w:rFonts w:ascii="Tahoma" w:hAnsi="Tahoma"/>
                <w:sz w:val="22"/>
              </w:rPr>
              <w:t xml:space="preserve">The reverse. COS is only for non-business use. Business costs go through input tax.</w:t>
            </w:r>
          </w:p>
        </w:tc>
      </w:tr>
      <w:tr>
        <w:trPr>
          <w:cantSplit w:val="true"/>
        </w:trPr>
        <w:tc>
          <w:tcPr>
            <w:tcW w:w="3918" w:type="dxa"/>
            <w:shd w:val="clear" w:color="auto" w:fill="EAF3FA"/>
          </w:tcPr>
          <w:p>
            <w:pPr>
              <w:pStyle w:val="Compact"/>
              <w:spacing w:after="40" w:before="40"/>
              <w:jc w:val="left"/>
            </w:pPr>
            <w:r>
              <w:rPr>
                <w:rFonts w:ascii="Tahoma" w:hAnsi="Tahoma"/>
                <w:sz w:val="22"/>
              </w:rPr>
              <w:t xml:space="preserve">“</w:t>
            </w:r>
            <w:r>
              <w:rPr>
                <w:rFonts w:ascii="Tahoma" w:hAnsi="Tahoma"/>
                <w:sz w:val="22"/>
              </w:rPr>
              <w:t xml:space="preserve">Non-business means we get the VAT back.</w:t>
            </w:r>
            <w:r>
              <w:rPr>
                <w:rFonts w:ascii="Tahoma" w:hAnsi="Tahoma"/>
                <w:sz w:val="22"/>
              </w:rPr>
              <w:t xml:space="preserve">”</w:t>
            </w:r>
          </w:p>
        </w:tc>
        <w:tc>
          <w:tcPr>
            <w:tcW w:w="5107" w:type="dxa"/>
            <w:shd w:val="clear" w:color="auto" w:fill="EAF3FA"/>
          </w:tcPr>
          <w:p>
            <w:pPr>
              <w:pStyle w:val="Compact"/>
              <w:spacing w:after="40" w:before="40"/>
              <w:jc w:val="left"/>
            </w:pPr>
            <w:r>
              <w:rPr>
                <w:rFonts w:ascii="Tahoma" w:hAnsi="Tahoma"/>
                <w:sz w:val="22"/>
              </w:rPr>
              <w:t xml:space="preserve">No. Non-business VAT is not input tax. Only COS services can be refunded.</w:t>
            </w:r>
          </w:p>
        </w:tc>
      </w:tr>
      <w:tr>
        <w:trPr>
          <w:cantSplit w:val="true"/>
        </w:trPr>
        <w:tc>
          <w:tcPr>
            <w:tcW w:w="3918" w:type="dxa"/>
            <w:shd w:val="clear" w:color="auto" w:fill="FFFFFF"/>
          </w:tcPr>
          <w:p>
            <w:pPr>
              <w:pStyle w:val="Compact"/>
              <w:spacing w:after="40" w:before="40"/>
              <w:jc w:val="left"/>
            </w:pPr>
            <w:r>
              <w:rPr>
                <w:rFonts w:ascii="Tahoma" w:hAnsi="Tahoma"/>
                <w:sz w:val="22"/>
              </w:rPr>
              <w:t xml:space="preserve">“</w:t>
            </w:r>
            <w:r>
              <w:rPr>
                <w:rFonts w:ascii="Tahoma" w:hAnsi="Tahoma"/>
                <w:sz w:val="22"/>
              </w:rPr>
              <w:t xml:space="preserve">If defence counted as business, we could reclaim all its VAT.</w:t>
            </w:r>
            <w:r>
              <w:rPr>
                <w:rFonts w:ascii="Tahoma" w:hAnsi="Tahoma"/>
                <w:sz w:val="22"/>
              </w:rPr>
              <w:t xml:space="preserve">”</w:t>
            </w:r>
          </w:p>
        </w:tc>
        <w:tc>
          <w:tcPr>
            <w:tcW w:w="5107" w:type="dxa"/>
            <w:shd w:val="clear" w:color="auto" w:fill="FFFFFF"/>
          </w:tcPr>
          <w:p>
            <w:pPr>
              <w:pStyle w:val="Compact"/>
              <w:spacing w:after="40" w:before="40"/>
              <w:jc w:val="left"/>
            </w:pPr>
            <w:r>
              <w:rPr>
                <w:rFonts w:ascii="Tahoma" w:hAnsi="Tahoma"/>
                <w:sz w:val="22"/>
              </w:rPr>
              <w:t xml:space="preserve">No. Input tax follows taxable supplies, and defending the country makes none.</w:t>
            </w:r>
          </w:p>
        </w:tc>
      </w:tr>
      <w:tr>
        <w:trPr>
          <w:cantSplit w:val="true"/>
        </w:trPr>
        <w:tc>
          <w:tcPr>
            <w:tcW w:w="3918" w:type="dxa"/>
            <w:shd w:val="clear" w:color="auto" w:fill="FBEAF1"/>
          </w:tcPr>
          <w:p>
            <w:pPr>
              <w:pStyle w:val="Compact"/>
              <w:spacing w:after="40" w:before="40"/>
              <w:jc w:val="left"/>
            </w:pPr>
            <w:r>
              <w:rPr>
                <w:rFonts w:ascii="Tahoma" w:hAnsi="Tahoma"/>
                <w:sz w:val="22"/>
              </w:rPr>
              <w:t xml:space="preserve">“</w:t>
            </w:r>
            <w:r>
              <w:rPr>
                <w:rFonts w:ascii="Tahoma" w:hAnsi="Tahoma"/>
                <w:sz w:val="22"/>
              </w:rPr>
              <w:t xml:space="preserve">Section 41A makes everything a public body does non-business.</w:t>
            </w:r>
            <w:r>
              <w:rPr>
                <w:rFonts w:ascii="Tahoma" w:hAnsi="Tahoma"/>
                <w:sz w:val="22"/>
              </w:rPr>
              <w:t xml:space="preserve">”</w:t>
            </w:r>
          </w:p>
        </w:tc>
        <w:tc>
          <w:tcPr>
            <w:tcW w:w="5107" w:type="dxa"/>
            <w:shd w:val="clear" w:color="auto" w:fill="FBEAF1"/>
          </w:tcPr>
          <w:p>
            <w:pPr>
              <w:pStyle w:val="Compact"/>
              <w:spacing w:after="40" w:before="40"/>
              <w:jc w:val="left"/>
            </w:pPr>
            <w:r>
              <w:rPr>
                <w:rFonts w:ascii="Tahoma" w:hAnsi="Tahoma"/>
                <w:sz w:val="22"/>
              </w:rPr>
              <w:t xml:space="preserve">No. It needs a special legal regime and no significant distortion of competition, and listed activities stay business unless negligible.</w:t>
            </w:r>
          </w:p>
        </w:tc>
      </w:tr>
      <w:tr>
        <w:trPr>
          <w:cantSplit w:val="true"/>
        </w:trPr>
        <w:tc>
          <w:tcPr>
            <w:tcW w:w="3918" w:type="dxa"/>
            <w:shd w:val="clear" w:color="auto" w:fill="EAF3FA"/>
          </w:tcPr>
          <w:p>
            <w:pPr>
              <w:pStyle w:val="Compact"/>
              <w:spacing w:after="40" w:before="40"/>
              <w:jc w:val="left"/>
            </w:pPr>
            <w:r>
              <w:rPr>
                <w:rFonts w:ascii="Tahoma" w:hAnsi="Tahoma"/>
                <w:sz w:val="22"/>
              </w:rPr>
              <w:t xml:space="preserve">“</w:t>
            </w:r>
            <w:r>
              <w:rPr>
                <w:rFonts w:ascii="Tahoma" w:hAnsi="Tahoma"/>
                <w:sz w:val="22"/>
              </w:rPr>
              <w:t xml:space="preserve">A payment called a</w:t>
            </w:r>
            <w:r>
              <w:rPr>
                <w:rFonts w:ascii="Tahoma" w:hAnsi="Tahoma"/>
                <w:sz w:val="22"/>
              </w:rPr>
              <w:t xml:space="preserve"> </w:t>
            </w:r>
            <w:r>
              <w:rPr>
                <w:rFonts w:ascii="Tahoma" w:hAnsi="Tahoma"/>
                <w:sz w:val="22"/>
              </w:rPr>
              <w:t xml:space="preserve">‘</w:t>
            </w:r>
            <w:r>
              <w:rPr>
                <w:rFonts w:ascii="Tahoma" w:hAnsi="Tahoma"/>
                <w:sz w:val="22"/>
              </w:rPr>
              <w:t xml:space="preserve">contribution</w:t>
            </w:r>
            <w:r>
              <w:rPr>
                <w:rFonts w:ascii="Tahoma" w:hAnsi="Tahoma"/>
                <w:sz w:val="22"/>
              </w:rPr>
              <w:t xml:space="preserve">’</w:t>
            </w:r>
            <w:r>
              <w:rPr>
                <w:rFonts w:ascii="Tahoma" w:hAnsi="Tahoma"/>
                <w:sz w:val="22"/>
              </w:rPr>
              <w:t xml:space="preserve"> </w:t>
            </w:r>
            <w:r>
              <w:rPr>
                <w:rFonts w:ascii="Tahoma" w:hAnsi="Tahoma"/>
                <w:sz w:val="22"/>
              </w:rPr>
              <w:t xml:space="preserve">or</w:t>
            </w:r>
            <w:r>
              <w:rPr>
                <w:rFonts w:ascii="Tahoma" w:hAnsi="Tahoma"/>
                <w:sz w:val="22"/>
              </w:rPr>
              <w:t xml:space="preserve"> </w:t>
            </w:r>
            <w:r>
              <w:rPr>
                <w:rFonts w:ascii="Tahoma" w:hAnsi="Tahoma"/>
                <w:sz w:val="22"/>
              </w:rPr>
              <w:t xml:space="preserve">‘</w:t>
            </w:r>
            <w:r>
              <w:rPr>
                <w:rFonts w:ascii="Tahoma" w:hAnsi="Tahoma"/>
                <w:sz w:val="22"/>
              </w:rPr>
              <w:t xml:space="preserve">grant</w:t>
            </w:r>
            <w:r>
              <w:rPr>
                <w:rFonts w:ascii="Tahoma" w:hAnsi="Tahoma"/>
                <w:sz w:val="22"/>
              </w:rPr>
              <w:t xml:space="preserve">’</w:t>
            </w:r>
            <w:r>
              <w:rPr>
                <w:rFonts w:ascii="Tahoma" w:hAnsi="Tahoma"/>
                <w:sz w:val="22"/>
              </w:rPr>
              <w:t xml:space="preserve"> </w:t>
            </w:r>
            <w:r>
              <w:rPr>
                <w:rFonts w:ascii="Tahoma" w:hAnsi="Tahoma"/>
                <w:sz w:val="22"/>
              </w:rPr>
              <w:t xml:space="preserve">cannot be consideration.</w:t>
            </w:r>
            <w:r>
              <w:rPr>
                <w:rFonts w:ascii="Tahoma" w:hAnsi="Tahoma"/>
                <w:sz w:val="22"/>
              </w:rPr>
              <w:t xml:space="preserve">”</w:t>
            </w:r>
          </w:p>
        </w:tc>
        <w:tc>
          <w:tcPr>
            <w:tcW w:w="5107" w:type="dxa"/>
            <w:shd w:val="clear" w:color="auto" w:fill="EAF3FA"/>
          </w:tcPr>
          <w:p>
            <w:pPr>
              <w:pStyle w:val="Compact"/>
              <w:spacing w:after="40" w:before="40"/>
              <w:jc w:val="left"/>
            </w:pPr>
            <w:r>
              <w:rPr>
                <w:rFonts w:ascii="Tahoma" w:hAnsi="Tahoma"/>
                <w:sz w:val="22"/>
              </w:rPr>
              <w:t xml:space="preserve">Labels do not count. Look at what the payer gets in return.</w:t>
            </w:r>
          </w:p>
        </w:tc>
      </w:tr>
      <w:tr>
        <w:trPr>
          <w:cantSplit w:val="true"/>
        </w:trPr>
        <w:tc>
          <w:tcPr>
            <w:tcW w:w="3918" w:type="dxa"/>
            <w:shd w:val="clear" w:color="auto" w:fill="FFFFFF"/>
          </w:tcPr>
          <w:p>
            <w:pPr>
              <w:pStyle w:val="Compact"/>
              <w:spacing w:after="40" w:before="40"/>
              <w:jc w:val="left"/>
            </w:pPr>
            <w:r>
              <w:rPr>
                <w:rFonts w:ascii="Tahoma" w:hAnsi="Tahoma"/>
                <w:sz w:val="22"/>
              </w:rPr>
              <w:t xml:space="preserve">“</w:t>
            </w:r>
            <w:r>
              <w:rPr>
                <w:rFonts w:ascii="Tahoma" w:hAnsi="Tahoma"/>
                <w:sz w:val="22"/>
              </w:rPr>
              <w:t xml:space="preserve">Selling to a foreign government is non-business because the buyer is a government.</w:t>
            </w:r>
            <w:r>
              <w:rPr>
                <w:rFonts w:ascii="Tahoma" w:hAnsi="Tahoma"/>
                <w:sz w:val="22"/>
              </w:rPr>
              <w:t xml:space="preserve">”</w:t>
            </w:r>
          </w:p>
        </w:tc>
        <w:tc>
          <w:tcPr>
            <w:tcW w:w="5107" w:type="dxa"/>
            <w:shd w:val="clear" w:color="auto" w:fill="FFFFFF"/>
          </w:tcPr>
          <w:p>
            <w:pPr>
              <w:pStyle w:val="Compact"/>
              <w:spacing w:after="40" w:before="40"/>
              <w:jc w:val="left"/>
            </w:pPr>
            <w:r>
              <w:rPr>
                <w:rFonts w:ascii="Tahoma" w:hAnsi="Tahoma"/>
                <w:sz w:val="22"/>
              </w:rPr>
              <w:t xml:space="preserve">No. The buyer’s status affects place of supply and reliefs, not whether the seller is in business.</w:t>
            </w:r>
          </w:p>
        </w:tc>
      </w:tr>
    </w:tbl>
    <w:bookmarkEnd w:id="109"/>
    <w:bookmarkStart w:id="110" w:name="key-points-to-remember-1"/>
    <w:p>
      <w:pPr>
        <w:pStyle w:val="Heading3"/>
      </w:pPr>
      <w:r>
        <w:t xml:space="preserve">Key points to remember</w:t>
      </w:r>
    </w:p>
    <w:p>
      <w:pPr>
        <w:pStyle w:val="Compact"/>
        <w:numPr>
          <w:ilvl w:val="0"/>
          <w:numId w:val="1131"/>
        </w:numPr>
      </w:pPr>
      <w:r>
        <w:rPr>
          <w:b/>
          <w:bCs/>
        </w:rPr>
        <w:t xml:space="preserve">Ask the business question first.</w:t>
      </w:r>
      <w:r>
        <w:t xml:space="preserve"> </w:t>
      </w:r>
      <w:r>
        <w:t xml:space="preserve">It decides output tax, input tax recovery and COS.</w:t>
      </w:r>
    </w:p>
    <w:p>
      <w:pPr>
        <w:pStyle w:val="Compact"/>
        <w:numPr>
          <w:ilvl w:val="0"/>
          <w:numId w:val="1131"/>
        </w:numPr>
      </w:pPr>
      <w:r>
        <w:rPr>
          <w:b/>
          <w:bCs/>
        </w:rPr>
        <w:t xml:space="preserve">Business needs two things:</w:t>
      </w:r>
      <w:r>
        <w:t xml:space="preserve"> </w:t>
      </w:r>
      <w:r>
        <w:t xml:space="preserve">a supply for consideration, and a purpose of obtaining income. Profit is not needed</w:t>
      </w:r>
      <w:r>
        <w:t xml:space="preserve"> </w:t>
      </w:r>
      <w:r>
        <w:t xml:space="preserve">(</w:t>
      </w:r>
      <w:hyperlink w:anchor="ref-hmrc_vatbus">
        <w:r>
          <w:rPr>
            <w:rStyle w:val="Hyperlink"/>
          </w:rPr>
          <w:t xml:space="preserve">HMRC, 2024f, sec. VBNB30200</w:t>
        </w:r>
      </w:hyperlink>
      <w:r>
        <w:t xml:space="preserve">)</w:t>
      </w:r>
      <w:r>
        <w:t xml:space="preserve">.</w:t>
      </w:r>
    </w:p>
    <w:p>
      <w:pPr>
        <w:pStyle w:val="Compact"/>
        <w:numPr>
          <w:ilvl w:val="0"/>
          <w:numId w:val="1131"/>
        </w:numPr>
      </w:pPr>
      <w:r>
        <w:rPr>
          <w:b/>
          <w:bCs/>
        </w:rPr>
        <w:t xml:space="preserve">No payment, no supply.</w:t>
      </w:r>
      <w:r>
        <w:t xml:space="preserve"> </w:t>
      </w:r>
      <w:r>
        <w:t xml:space="preserve">Free activities are non-business. Freely given grants, and grant-in-aid from a parent department, are not consideration</w:t>
      </w:r>
      <w:r>
        <w:t xml:space="preserve"> </w:t>
      </w:r>
      <w:r>
        <w:t xml:space="preserve">(</w:t>
      </w:r>
      <w:hyperlink w:anchor="ref-hmrc_vatbus">
        <w:r>
          <w:rPr>
            <w:rStyle w:val="Hyperlink"/>
          </w:rPr>
          <w:t xml:space="preserve">HMRC, 2024f, sec. VBNB20900</w:t>
        </w:r>
      </w:hyperlink>
      <w:r>
        <w:t xml:space="preserve">;</w:t>
      </w:r>
      <w:r>
        <w:t xml:space="preserve"> </w:t>
      </w:r>
      <w:hyperlink w:anchor="ref-hmrc_vatsc">
        <w:r>
          <w:rPr>
            <w:rStyle w:val="Hyperlink"/>
          </w:rPr>
          <w:t xml:space="preserve">2025l, sec. VATSC06311</w:t>
        </w:r>
      </w:hyperlink>
      <w:r>
        <w:t xml:space="preserve">)</w:t>
      </w:r>
      <w:r>
        <w:t xml:space="preserve">.</w:t>
      </w:r>
    </w:p>
    <w:p>
      <w:pPr>
        <w:pStyle w:val="Compact"/>
        <w:numPr>
          <w:ilvl w:val="0"/>
          <w:numId w:val="1131"/>
        </w:numPr>
      </w:pPr>
      <w:r>
        <w:rPr>
          <w:b/>
          <w:bCs/>
        </w:rPr>
        <w:t xml:space="preserve">Section 41A is narrow.</w:t>
      </w:r>
      <w:r>
        <w:t xml:space="preserve"> </w:t>
      </w:r>
      <w:r>
        <w:t xml:space="preserve">It needs a special legal regime. Activities on the section 41A(2) list stay business unless negligible, and so do activities where non-business treatment would significantly distort competition (Value Added Tax Act 1994, s. 41A)</w:t>
      </w:r>
      <w:r>
        <w:t xml:space="preserve"> </w:t>
      </w:r>
      <w:r>
        <w:t xml:space="preserve">(</w:t>
      </w:r>
      <w:hyperlink w:anchor="ref-hmrc_vatgpb">
        <w:r>
          <w:rPr>
            <w:rStyle w:val="Hyperlink"/>
          </w:rPr>
          <w:t xml:space="preserve">HMRC, 2026n, sec. VATGPB3220</w:t>
        </w:r>
      </w:hyperlink>
      <w:r>
        <w:t xml:space="preserve">)</w:t>
      </w:r>
      <w:r>
        <w:t xml:space="preserve">.</w:t>
      </w:r>
    </w:p>
    <w:p>
      <w:pPr>
        <w:pStyle w:val="Compact"/>
        <w:numPr>
          <w:ilvl w:val="0"/>
          <w:numId w:val="1131"/>
        </w:numPr>
      </w:pPr>
      <w:r>
        <w:rPr>
          <w:b/>
          <w:bCs/>
        </w:rPr>
        <w:t xml:space="preserve">Defending the country is non-business.</w:t>
      </w:r>
      <w:r>
        <w:t xml:space="preserve"> </w:t>
      </w:r>
      <w:r>
        <w:t xml:space="preserve">There is no paying customer, it is publicly funded, and there is no market. This is the guide’s application of HMRC’s tests.</w:t>
      </w:r>
    </w:p>
    <w:p>
      <w:pPr>
        <w:pStyle w:val="Compact"/>
        <w:numPr>
          <w:ilvl w:val="0"/>
          <w:numId w:val="1131"/>
        </w:numPr>
      </w:pPr>
      <w:r>
        <w:rPr>
          <w:b/>
          <w:bCs/>
        </w:rPr>
        <w:t xml:space="preserve">Working with other governments free of charge is non-business.</w:t>
      </w:r>
      <w:r>
        <w:t xml:space="preserve"> </w:t>
      </w:r>
      <w:r>
        <w:t xml:space="preserve">Check cost-sharing contributions against the agreement.</w:t>
      </w:r>
    </w:p>
    <w:p>
      <w:pPr>
        <w:pStyle w:val="Compact"/>
        <w:numPr>
          <w:ilvl w:val="0"/>
          <w:numId w:val="1131"/>
        </w:numPr>
      </w:pPr>
      <w:r>
        <w:rPr>
          <w:b/>
          <w:bCs/>
        </w:rPr>
        <w:t xml:space="preserve">Selling to other governments for payment is normally business.</w:t>
      </w:r>
      <w:r>
        <w:t xml:space="preserve"> </w:t>
      </w:r>
      <w:r>
        <w:t xml:space="preserve">Exported goods are zero-rated with evidence, services follow the place of supply rules, and training the Department sells is normally exempt.</w:t>
      </w:r>
    </w:p>
    <w:p>
      <w:pPr>
        <w:pStyle w:val="Compact"/>
        <w:numPr>
          <w:ilvl w:val="0"/>
          <w:numId w:val="1131"/>
        </w:numPr>
      </w:pPr>
      <w:r>
        <w:rPr>
          <w:b/>
          <w:bCs/>
        </w:rPr>
        <w:t xml:space="preserve">Business costs are input tax, not COS.</w:t>
      </w:r>
      <w:r>
        <w:t xml:space="preserve"> </w:t>
      </w:r>
      <w:r>
        <w:t xml:space="preserve">Non-business costs come back only through COS, for services within a heading</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31"/>
        </w:numPr>
      </w:pPr>
      <w:r>
        <w:rPr>
          <w:b/>
          <w:bCs/>
        </w:rPr>
        <w:t xml:space="preserve">Non-business is not exempt</w:t>
      </w:r>
      <w:r>
        <w:t xml:space="preserve"> </w:t>
      </w:r>
      <w:r>
        <w:t xml:space="preserve">(see Part 3).</w:t>
      </w:r>
    </w:p>
    <w:p>
      <w:pPr>
        <w:pStyle w:val="Compact"/>
        <w:numPr>
          <w:ilvl w:val="0"/>
          <w:numId w:val="1131"/>
        </w:numPr>
      </w:pPr>
      <w:r>
        <w:rPr>
          <w:b/>
          <w:bCs/>
        </w:rPr>
        <w:t xml:space="preserve">Get it confirmed.</w:t>
      </w:r>
      <w:r>
        <w:t xml:space="preserve"> </w:t>
      </w:r>
      <w:r>
        <w:t xml:space="preserve">Agree joint projects, G2G sales, token prices and recharges to other departments with HMRC before acting.</w:t>
      </w:r>
    </w:p>
    <w:bookmarkEnd w:id="110"/>
    <w:bookmarkEnd w:id="111"/>
    <w:bookmarkStart w:id="150" w:name="X366a674a5c86a1c667c11445d827cfc509e740b"/>
    <w:p>
      <w:pPr>
        <w:pStyle w:val="Heading2"/>
      </w:pPr>
      <w:r>
        <w:t xml:space="preserve">Part 3: VAT liability: standard-rated, reduced-rated, zero-rated, exempt and outside the scope</w:t>
      </w:r>
    </w:p>
    <w:p>
      <w:pPr>
        <w:pStyle w:val="FirstParagraph"/>
      </w:pPr>
      <w:r>
        <w:t xml:space="preserve">This Part explains how to tell which VAT category a purchase or sale falls into, and why that matters. It builds on the output tax and input tax basics in Part 1. Because the Department is mostly a buyer, most examples are about buying goods and services.</w:t>
      </w:r>
    </w:p>
    <w:bookmarkStart w:id="116" w:name="why-liability-matters"/>
    <w:p>
      <w:pPr>
        <w:pStyle w:val="Heading3"/>
      </w:pPr>
      <w:r>
        <w:t xml:space="preserve">Why liability matters</w:t>
      </w:r>
    </w:p>
    <w:p>
      <w:pPr>
        <w:pStyle w:val="FirstParagraph"/>
      </w:pPr>
      <w:r>
        <w:rPr>
          <w:b/>
          <w:bCs/>
        </w:rPr>
        <w:t xml:space="preserve">Liability</w:t>
      </w:r>
      <w:r>
        <w:t xml:space="preserve"> </w:t>
      </w:r>
      <w:r>
        <w:t xml:space="preserve">means the VAT category that a supply falls into. There are five possible answers:</w:t>
      </w:r>
    </w:p>
    <w:p>
      <w:pPr>
        <w:pStyle w:val="Compact"/>
        <w:numPr>
          <w:ilvl w:val="0"/>
          <w:numId w:val="1132"/>
        </w:numPr>
      </w:pPr>
      <w:r>
        <w:t xml:space="preserve">standard-rated (20%)</w:t>
      </w:r>
    </w:p>
    <w:p>
      <w:pPr>
        <w:pStyle w:val="Compact"/>
        <w:numPr>
          <w:ilvl w:val="0"/>
          <w:numId w:val="1132"/>
        </w:numPr>
      </w:pPr>
      <w:r>
        <w:t xml:space="preserve">reduced-rated (5%)</w:t>
      </w:r>
    </w:p>
    <w:p>
      <w:pPr>
        <w:pStyle w:val="Compact"/>
        <w:numPr>
          <w:ilvl w:val="0"/>
          <w:numId w:val="1132"/>
        </w:numPr>
      </w:pPr>
      <w:r>
        <w:t xml:space="preserve">zero-rated (0%)</w:t>
      </w:r>
    </w:p>
    <w:p>
      <w:pPr>
        <w:pStyle w:val="Compact"/>
        <w:numPr>
          <w:ilvl w:val="0"/>
          <w:numId w:val="1132"/>
        </w:numPr>
      </w:pPr>
      <w:r>
        <w:t xml:space="preserve">exempt</w:t>
      </w:r>
    </w:p>
    <w:p>
      <w:pPr>
        <w:pStyle w:val="Compact"/>
        <w:numPr>
          <w:ilvl w:val="0"/>
          <w:numId w:val="1132"/>
        </w:numPr>
      </w:pPr>
      <w:r>
        <w:t xml:space="preserve">outside the scope of UK VAT</w:t>
      </w:r>
    </w:p>
    <w:p>
      <w:pPr>
        <w:pStyle w:val="FirstParagraph"/>
      </w:pPr>
      <w:r>
        <w:t xml:space="preserve">The first three are all</w:t>
      </w:r>
      <w:r>
        <w:t xml:space="preserve"> </w:t>
      </w:r>
      <w:r>
        <w:rPr>
          <w:b/>
          <w:bCs/>
        </w:rPr>
        <w:t xml:space="preserve">taxable supplies</w:t>
      </w:r>
      <w:r>
        <w:t xml:space="preserve">. A taxable supply is a supply made in the UK that is not exempt (Value Added Tax Act 1994, s. 4(2)). For VAT, the Isle of Man is treated as part of the UK</w:t>
      </w:r>
      <w:r>
        <w:t xml:space="preserve"> </w:t>
      </w:r>
      <w:r>
        <w:t xml:space="preserve">(</w:t>
      </w:r>
      <w:hyperlink w:anchor="ref-hmrc_n700">
        <w:r>
          <w:rPr>
            <w:rStyle w:val="Hyperlink"/>
          </w:rPr>
          <w:t xml:space="preserve">HMRC, 2026o, para. 4.7.1</w:t>
        </w:r>
      </w:hyperlink>
      <w:r>
        <w:t xml:space="preserve">)</w:t>
      </w:r>
      <w:r>
        <w:t xml:space="preserve">. VAT is charged on it when it is made by a taxable person in the course or furtherance of business</w:t>
      </w:r>
      <w:r>
        <w:t xml:space="preserve"> </w:t>
      </w:r>
      <w:r>
        <w:t xml:space="preserve">(</w:t>
      </w:r>
      <w:hyperlink w:anchor="ref-hmrc_n700">
        <w:r>
          <w:rPr>
            <w:rStyle w:val="Hyperlink"/>
          </w:rPr>
          <w:t xml:space="preserve">HMRC, 2026o, para. 3.2</w:t>
        </w:r>
      </w:hyperlink>
      <w:r>
        <w:t xml:space="preserve">)</w:t>
      </w:r>
      <w:r>
        <w:t xml:space="preserve">. No VAT is charged on goods or services that are exempt or outside the scope</w:t>
      </w:r>
      <w:r>
        <w:t xml:space="preserve"> </w:t>
      </w:r>
      <w:r>
        <w:t xml:space="preserve">(</w:t>
      </w:r>
      <w:hyperlink w:anchor="ref-hmrc_vat_rates">
        <w:r>
          <w:rPr>
            <w:rStyle w:val="Hyperlink"/>
          </w:rPr>
          <w:t xml:space="preserve">HMRC, 2026r</w:t>
        </w:r>
      </w:hyperlink>
      <w:r>
        <w:t xml:space="preserve">)</w:t>
      </w:r>
      <w:r>
        <w:t xml:space="preserve">.</w:t>
      </w:r>
    </w:p>
    <w:p>
      <w:pPr>
        <w:pStyle w:val="BodyText"/>
      </w:pPr>
      <w:r>
        <w:t xml:space="preserve">Liability matters for two reasons:</w:t>
      </w:r>
    </w:p>
    <w:p>
      <w:pPr>
        <w:pStyle w:val="Compact"/>
        <w:numPr>
          <w:ilvl w:val="0"/>
          <w:numId w:val="1133"/>
        </w:numPr>
      </w:pPr>
      <w:r>
        <w:rPr>
          <w:b/>
          <w:bCs/>
        </w:rPr>
        <w:t xml:space="preserve">It decides whether VAT goes on the sale.</w:t>
      </w:r>
      <w:r>
        <w:t xml:space="preserve"> </w:t>
      </w:r>
      <w:r>
        <w:t xml:space="preserve">A supplier making standard-rated, reduced-rated or zero-rated supplies must account for the VAT due, which is its output tax</w:t>
      </w:r>
      <w:r>
        <w:t xml:space="preserve"> </w:t>
      </w:r>
      <w:r>
        <w:t xml:space="preserve">(</w:t>
      </w:r>
      <w:hyperlink w:anchor="ref-hmrc_n700">
        <w:r>
          <w:rPr>
            <w:rStyle w:val="Hyperlink"/>
          </w:rPr>
          <w:t xml:space="preserve">HMRC, 2026o, para. 4.1</w:t>
        </w:r>
      </w:hyperlink>
      <w:r>
        <w:t xml:space="preserve">)</w:t>
      </w:r>
      <w:r>
        <w:t xml:space="preserve">.</w:t>
      </w:r>
    </w:p>
    <w:p>
      <w:pPr>
        <w:pStyle w:val="Compact"/>
        <w:numPr>
          <w:ilvl w:val="0"/>
          <w:numId w:val="1133"/>
        </w:numPr>
      </w:pPr>
      <w:r>
        <w:rPr>
          <w:b/>
          <w:bCs/>
        </w:rPr>
        <w:t xml:space="preserve">It decides whether the supplier can get back the VAT on its own costs.</w:t>
      </w:r>
      <w:r>
        <w:t xml:space="preserve"> </w:t>
      </w:r>
      <w:r>
        <w:t xml:space="preserve">A VAT-registered supplier can reclaim the input tax that relates to its standard-rated, reduced-rated and zero-rated supplies. In principle it cannot reclaim VAT that relates to exempt supplies or non-business activities</w:t>
      </w:r>
      <w:r>
        <w:t xml:space="preserve"> </w:t>
      </w:r>
      <w:r>
        <w:t xml:space="preserve">(</w:t>
      </w:r>
      <w:hyperlink w:anchor="ref-hmrc_n700">
        <w:r>
          <w:rPr>
            <w:rStyle w:val="Hyperlink"/>
          </w:rPr>
          <w:t xml:space="preserve">HMRC, 2026o, para. 4.1</w:t>
        </w:r>
      </w:hyperlink>
      <w:r>
        <w:t xml:space="preserve">)</w:t>
      </w:r>
      <w:r>
        <w:t xml:space="preserve">.</w:t>
      </w:r>
    </w:p>
    <w:p>
      <w:pPr>
        <w:pStyle w:val="FirstParagraph"/>
      </w:pPr>
      <w:r>
        <w:t xml:space="preserve">For the Department as a buyer, the supplier’s liability also decides whether there is any VAT on the invoice at all. No VAT on the invoice means there is nothing to reclaim. If there is VAT, the Department then has to work out whether it can get it back (see</w:t>
      </w:r>
      <w:r>
        <w:t xml:space="preserve"> </w:t>
      </w:r>
      <w:r>
        <w:t xml:space="preserve">“</w:t>
      </w:r>
      <w:r>
        <w:t xml:space="preserve">What liability means for a government department as a buyer</w:t>
      </w:r>
      <w:r>
        <w:t xml:space="preserve">”</w:t>
      </w:r>
      <w:r>
        <w:t xml:space="preserve"> </w:t>
      </w:r>
      <w:r>
        <w:t xml:space="preserve">below, and Part 5, Business vs non-business: the key test).</w:t>
      </w:r>
    </w:p>
    <w:bookmarkStart w:id="112" w:name="who-decides-the-liability"/>
    <w:p>
      <w:pPr>
        <w:pStyle w:val="Heading4"/>
      </w:pPr>
      <w:r>
        <w:t xml:space="preserve">Who decides the liability</w:t>
      </w:r>
    </w:p>
    <w:p>
      <w:pPr>
        <w:pStyle w:val="FirstParagraph"/>
      </w:pPr>
      <w:r>
        <w:t xml:space="preserve">The supplier works out the liability, because the supplier is the one who must account for VAT on its taxable supplies</w:t>
      </w:r>
      <w:r>
        <w:t xml:space="preserve"> </w:t>
      </w:r>
      <w:r>
        <w:t xml:space="preserve">(</w:t>
      </w:r>
      <w:hyperlink w:anchor="ref-hmrc_n700">
        <w:r>
          <w:rPr>
            <w:rStyle w:val="Hyperlink"/>
          </w:rPr>
          <w:t xml:space="preserve">HMRC, 2026o, para. 4.1</w:t>
        </w:r>
      </w:hyperlink>
      <w:r>
        <w:t xml:space="preserve">)</w:t>
      </w:r>
      <w:r>
        <w:t xml:space="preserve">. The correct rate can depend on</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134"/>
        </w:numPr>
      </w:pPr>
      <w:r>
        <w:t xml:space="preserve">who is providing or buying the goods or services</w:t>
      </w:r>
    </w:p>
    <w:p>
      <w:pPr>
        <w:pStyle w:val="Compact"/>
        <w:numPr>
          <w:ilvl w:val="0"/>
          <w:numId w:val="1134"/>
        </w:numPr>
      </w:pPr>
      <w:r>
        <w:t xml:space="preserve">where they are provided</w:t>
      </w:r>
    </w:p>
    <w:p>
      <w:pPr>
        <w:pStyle w:val="Compact"/>
        <w:numPr>
          <w:ilvl w:val="0"/>
          <w:numId w:val="1134"/>
        </w:numPr>
      </w:pPr>
      <w:r>
        <w:t xml:space="preserve">how they are presented for sale</w:t>
      </w:r>
    </w:p>
    <w:p>
      <w:pPr>
        <w:pStyle w:val="Compact"/>
        <w:numPr>
          <w:ilvl w:val="0"/>
          <w:numId w:val="1134"/>
        </w:numPr>
      </w:pPr>
      <w:r>
        <w:t xml:space="preserve">exactly what they are</w:t>
      </w:r>
    </w:p>
    <w:p>
      <w:pPr>
        <w:pStyle w:val="Compact"/>
        <w:numPr>
          <w:ilvl w:val="0"/>
          <w:numId w:val="1134"/>
        </w:numPr>
      </w:pPr>
      <w:r>
        <w:t xml:space="preserve">whether the right evidence and records are kept</w:t>
      </w:r>
    </w:p>
    <w:p>
      <w:pPr>
        <w:pStyle w:val="Compact"/>
        <w:numPr>
          <w:ilvl w:val="0"/>
          <w:numId w:val="1134"/>
        </w:numPr>
      </w:pPr>
      <w:r>
        <w:t xml:space="preserve">whether they are supplied with other goods or services</w:t>
      </w:r>
    </w:p>
    <w:p>
      <w:pPr>
        <w:pStyle w:val="FirstParagraph"/>
      </w:pPr>
      <w:r>
        <w:t xml:space="preserve">So the same item can have different liabilities in different situations. For example, protective boots sold to an individual worker for their own use can be zero-rated, but the same boots sold to an employer for its staff cannot</w:t>
      </w:r>
      <w:r>
        <w:t xml:space="preserve"> </w:t>
      </w:r>
      <w:r>
        <w:t xml:space="preserve">(</w:t>
      </w:r>
      <w:hyperlink w:anchor="ref-hmrc_n70123">
        <w:r>
          <w:rPr>
            <w:rStyle w:val="Hyperlink"/>
          </w:rPr>
          <w:t xml:space="preserve">HMRC, 2022f, para. 2.5</w:t>
        </w:r>
      </w:hyperlink>
      <w:r>
        <w:t xml:space="preserve">)</w:t>
      </w:r>
      <w:r>
        <w:t xml:space="preserve">.</w:t>
      </w:r>
    </w:p>
    <w:bookmarkEnd w:id="112"/>
    <w:bookmarkStart w:id="113" w:name="where-the-law-is"/>
    <w:p>
      <w:pPr>
        <w:pStyle w:val="Heading4"/>
      </w:pPr>
      <w:r>
        <w:t xml:space="preserve">Where the law is</w:t>
      </w:r>
    </w:p>
    <w:p>
      <w:pPr>
        <w:pStyle w:val="FirstParagraph"/>
      </w:pPr>
      <w:r>
        <w:t xml:space="preserve">You do not need to read the legislation, but it helps to know where each category comes from:</w:t>
      </w:r>
    </w:p>
    <w:p>
      <w:pPr>
        <w:pStyle w:val="Compact"/>
        <w:numPr>
          <w:ilvl w:val="0"/>
          <w:numId w:val="1135"/>
        </w:numPr>
      </w:pPr>
      <w:r>
        <w:rPr>
          <w:b/>
          <w:bCs/>
        </w:rPr>
        <w:t xml:space="preserve">Standard rate:</w:t>
      </w:r>
      <w:r>
        <w:t xml:space="preserve"> </w:t>
      </w:r>
      <w:r>
        <w:t xml:space="preserve">section 2 of the Value Added Tax Act 1994.</w:t>
      </w:r>
    </w:p>
    <w:p>
      <w:pPr>
        <w:pStyle w:val="Compact"/>
        <w:numPr>
          <w:ilvl w:val="0"/>
          <w:numId w:val="1135"/>
        </w:numPr>
      </w:pPr>
      <w:r>
        <w:rPr>
          <w:b/>
          <w:bCs/>
        </w:rPr>
        <w:t xml:space="preserve">Reduced rate:</w:t>
      </w:r>
      <w:r>
        <w:t xml:space="preserve"> </w:t>
      </w:r>
      <w:r>
        <w:t xml:space="preserve">section 29A of, and Schedule 7A to, the Value Added Tax Act 1994.</w:t>
      </w:r>
    </w:p>
    <w:p>
      <w:pPr>
        <w:pStyle w:val="Compact"/>
        <w:numPr>
          <w:ilvl w:val="0"/>
          <w:numId w:val="1135"/>
        </w:numPr>
      </w:pPr>
      <w:r>
        <w:rPr>
          <w:b/>
          <w:bCs/>
        </w:rPr>
        <w:t xml:space="preserve">Zero rate:</w:t>
      </w:r>
      <w:r>
        <w:t xml:space="preserve"> </w:t>
      </w:r>
      <w:r>
        <w:t xml:space="preserve">section 30 of, and Schedule 8 to, the Value Added Tax Act 1994. Section 30(1) says a zero-rated supply is</w:t>
      </w:r>
      <w:r>
        <w:t xml:space="preserve"> </w:t>
      </w:r>
      <w:r>
        <w:t xml:space="preserve">“</w:t>
      </w:r>
      <w:r>
        <w:t xml:space="preserve">in all other respects … treated as a taxable supply</w:t>
      </w:r>
      <w:r>
        <w:t xml:space="preserve">”</w:t>
      </w:r>
      <w:r>
        <w:t xml:space="preserve">.</w:t>
      </w:r>
    </w:p>
    <w:p>
      <w:pPr>
        <w:pStyle w:val="Compact"/>
        <w:numPr>
          <w:ilvl w:val="0"/>
          <w:numId w:val="1135"/>
        </w:numPr>
      </w:pPr>
      <w:r>
        <w:rPr>
          <w:b/>
          <w:bCs/>
        </w:rPr>
        <w:t xml:space="preserve">Exemption:</w:t>
      </w:r>
      <w:r>
        <w:t xml:space="preserve"> </w:t>
      </w:r>
      <w:r>
        <w:t xml:space="preserve">section 31 of, and Schedule 9 to, the Value Added Tax Act 1994.</w:t>
      </w:r>
    </w:p>
    <w:p>
      <w:pPr>
        <w:pStyle w:val="FirstParagraph"/>
      </w:pPr>
      <w:r>
        <w:t xml:space="preserve">HMRC’s own guidance points to the same three schedules for zero rating, exemption and reduced rates</w:t>
      </w:r>
      <w:r>
        <w:t xml:space="preserve"> </w:t>
      </w:r>
      <w:r>
        <w:t xml:space="preserve">(</w:t>
      </w:r>
      <w:hyperlink w:anchor="ref-hmrc_vatposs">
        <w:r>
          <w:rPr>
            <w:rStyle w:val="Hyperlink"/>
          </w:rPr>
          <w:t xml:space="preserve">HMRC, 2022j, sec. VATPOSS03100</w:t>
        </w:r>
      </w:hyperlink>
      <w:r>
        <w:t xml:space="preserve">)</w:t>
      </w:r>
      <w:r>
        <w:t xml:space="preserve">.</w:t>
      </w:r>
    </w:p>
    <w:bookmarkEnd w:id="113"/>
    <w:bookmarkStart w:id="114" w:name="a-simple-order-of-questions"/>
    <w:p>
      <w:pPr>
        <w:pStyle w:val="Heading4"/>
      </w:pPr>
      <w:r>
        <w:t xml:space="preserve">A simple order of questions</w:t>
      </w:r>
    </w:p>
    <w:p>
      <w:pPr>
        <w:pStyle w:val="FirstParagraph"/>
      </w:pPr>
      <w:r>
        <w:t xml:space="preserve">Work through these questions in order:</w:t>
      </w:r>
    </w:p>
    <w:p>
      <w:pPr>
        <w:pStyle w:val="Compact"/>
        <w:numPr>
          <w:ilvl w:val="0"/>
          <w:numId w:val="1136"/>
        </w:numPr>
      </w:pPr>
      <w:r>
        <w:rPr>
          <w:b/>
          <w:bCs/>
        </w:rPr>
        <w:t xml:space="preserve">Is there a supply made by a taxable person in the course or furtherance of business?</w:t>
      </w:r>
      <w:r>
        <w:t xml:space="preserve"> </w:t>
      </w:r>
      <w:r>
        <w:t xml:space="preserve">If not, it is outside the scope of VAT</w:t>
      </w:r>
      <w:r>
        <w:t xml:space="preserve"> </w:t>
      </w:r>
      <w:r>
        <w:t xml:space="preserve">(</w:t>
      </w:r>
      <w:hyperlink w:anchor="ref-hmrc_n700">
        <w:r>
          <w:rPr>
            <w:rStyle w:val="Hyperlink"/>
          </w:rPr>
          <w:t xml:space="preserve">HMRC, 2026o, para. 3.2</w:t>
        </w:r>
      </w:hyperlink>
      <w:r>
        <w:t xml:space="preserve">)</w:t>
      </w:r>
      <w:r>
        <w:t xml:space="preserve">.</w:t>
      </w:r>
    </w:p>
    <w:p>
      <w:pPr>
        <w:pStyle w:val="Compact"/>
        <w:numPr>
          <w:ilvl w:val="0"/>
          <w:numId w:val="1136"/>
        </w:numPr>
      </w:pPr>
      <w:r>
        <w:rPr>
          <w:b/>
          <w:bCs/>
        </w:rPr>
        <w:t xml:space="preserve">Is the place of supply in the UK?</w:t>
      </w:r>
      <w:r>
        <w:t xml:space="preserve"> </w:t>
      </w:r>
      <w:r>
        <w:t xml:space="preserve">If not, it is outside the scope of UK VAT</w:t>
      </w:r>
      <w:r>
        <w:t xml:space="preserve"> </w:t>
      </w:r>
      <w:r>
        <w:t xml:space="preserve">(</w:t>
      </w:r>
      <w:hyperlink w:anchor="ref-hmrc_n741a">
        <w:r>
          <w:rPr>
            <w:rStyle w:val="Hyperlink"/>
          </w:rPr>
          <w:t xml:space="preserve">HMRC, 2022d, para. 2.1</w:t>
        </w:r>
      </w:hyperlink>
      <w:r>
        <w:t xml:space="preserve">;</w:t>
      </w:r>
      <w:r>
        <w:t xml:space="preserve"> </w:t>
      </w:r>
      <w:hyperlink w:anchor="ref-hmrc_n703">
        <w:r>
          <w:rPr>
            <w:rStyle w:val="Hyperlink"/>
          </w:rPr>
          <w:t xml:space="preserve">2026p, para. 2.2</w:t>
        </w:r>
      </w:hyperlink>
      <w:r>
        <w:t xml:space="preserve">)</w:t>
      </w:r>
      <w:r>
        <w:t xml:space="preserve">. Part 4 explains place of supply for imports and exports.</w:t>
      </w:r>
    </w:p>
    <w:p>
      <w:pPr>
        <w:pStyle w:val="Compact"/>
        <w:numPr>
          <w:ilvl w:val="0"/>
          <w:numId w:val="1136"/>
        </w:numPr>
      </w:pPr>
      <w:r>
        <w:rPr>
          <w:b/>
          <w:bCs/>
        </w:rPr>
        <w:t xml:space="preserve">Is it specifically zero-rated, reduced-rated or exempt?</w:t>
      </w:r>
      <w:r>
        <w:t xml:space="preserve"> </w:t>
      </w:r>
      <w:r>
        <w:t xml:space="preserve">Check the HMRC notice for that type of goods or service</w:t>
      </w:r>
      <w:r>
        <w:t xml:space="preserve"> </w:t>
      </w:r>
      <w:r>
        <w:t xml:space="preserve">(</w:t>
      </w:r>
      <w:hyperlink w:anchor="ref-hmrc_n700">
        <w:r>
          <w:rPr>
            <w:rStyle w:val="Hyperlink"/>
          </w:rPr>
          <w:t xml:space="preserve">HMRC, 2026o, para. 3.7</w:t>
        </w:r>
      </w:hyperlink>
      <w:r>
        <w:t xml:space="preserve">)</w:t>
      </w:r>
      <w:r>
        <w:t xml:space="preserve">.</w:t>
      </w:r>
    </w:p>
    <w:p>
      <w:pPr>
        <w:pStyle w:val="Compact"/>
        <w:numPr>
          <w:ilvl w:val="0"/>
          <w:numId w:val="1136"/>
        </w:numPr>
      </w:pPr>
      <w:r>
        <w:rPr>
          <w:b/>
          <w:bCs/>
        </w:rPr>
        <w:t xml:space="preserve">If none of these apply, it is standard-rated</w:t>
      </w:r>
      <w:r>
        <w:t xml:space="preserve"> </w:t>
      </w:r>
      <w:r>
        <w:t xml:space="preserve">(</w:t>
      </w:r>
      <w:hyperlink w:anchor="ref-hmrc_n700">
        <w:r>
          <w:rPr>
            <w:rStyle w:val="Hyperlink"/>
          </w:rPr>
          <w:t xml:space="preserve">HMRC, 2026o, para. 29.1</w:t>
        </w:r>
      </w:hyperlink>
      <w:r>
        <w:t xml:space="preserve">)</w:t>
      </w:r>
      <w:r>
        <w:t xml:space="preserve">.</w:t>
      </w:r>
    </w:p>
    <w:bookmarkEnd w:id="114"/>
    <w:bookmarkStart w:id="115" w:name="rates-can-change"/>
    <w:p>
      <w:pPr>
        <w:pStyle w:val="Heading4"/>
      </w:pPr>
      <w:r>
        <w:t xml:space="preserve">Rates can change</w:t>
      </w:r>
    </w:p>
    <w:p>
      <w:pPr>
        <w:pStyle w:val="FirstParagraph"/>
      </w:pPr>
      <w:r>
        <w:t xml:space="preserve">The rate that applies depends on the</w:t>
      </w:r>
      <w:r>
        <w:t xml:space="preserve"> </w:t>
      </w:r>
      <w:r>
        <w:rPr>
          <w:b/>
          <w:bCs/>
        </w:rPr>
        <w:t xml:space="preserve">tax point</w:t>
      </w:r>
      <w:r>
        <w:t xml:space="preserve"> </w:t>
      </w:r>
      <w:r>
        <w:t xml:space="preserve">(the date the supply is treated as made for VAT). When a rate or liability changes, the new rate normally applies to supplies with a tax point on or after the date of the change</w:t>
      </w:r>
      <w:r>
        <w:t xml:space="preserve"> </w:t>
      </w:r>
      <w:r>
        <w:t xml:space="preserve">(</w:t>
      </w:r>
      <w:hyperlink w:anchor="ref-hmrc_n700">
        <w:r>
          <w:rPr>
            <w:rStyle w:val="Hyperlink"/>
          </w:rPr>
          <w:t xml:space="preserve">HMRC, 2026o, para. 30.4</w:t>
        </w:r>
      </w:hyperlink>
      <w:r>
        <w:t xml:space="preserve">)</w:t>
      </w:r>
      <w:r>
        <w:t xml:space="preserve">. When you reclaim input tax after a change, you reclaim the VAT actually charged by your supplier</w:t>
      </w:r>
      <w:r>
        <w:t xml:space="preserve"> </w:t>
      </w:r>
      <w:r>
        <w:t xml:space="preserve">(</w:t>
      </w:r>
      <w:hyperlink w:anchor="ref-hmrc_n700">
        <w:r>
          <w:rPr>
            <w:rStyle w:val="Hyperlink"/>
          </w:rPr>
          <w:t xml:space="preserve">HMRC, 2026o, para. 30.5</w:t>
        </w:r>
      </w:hyperlink>
      <w:r>
        <w:t xml:space="preserve">)</w:t>
      </w:r>
      <w:r>
        <w:t xml:space="preserve">.</w:t>
      </w:r>
    </w:p>
    <w:p>
      <w:pPr>
        <w:pStyle w:val="BodyText"/>
      </w:pPr>
      <w:r>
        <w:t xml:space="preserve">For example, a temporary 5% rate applied from 25 June 2026 to 1 September 2026 (inclusive) to certain children’s meals eaten on the premises, children’s tickets for theatres, cinemas, concerts, exhibitions and shows, and tickets to certain family attractions. It replaced the standard rate for those supplies during that period only</w:t>
      </w:r>
      <w:r>
        <w:t xml:space="preserve"> </w:t>
      </w:r>
      <w:r>
        <w:t xml:space="preserve">(</w:t>
      </w:r>
      <w:hyperlink w:anchor="ref-hmrc_rcb5_2026">
        <w:r>
          <w:rPr>
            <w:rStyle w:val="Hyperlink"/>
          </w:rPr>
          <w:t xml:space="preserve">HMRC, 2026m</w:t>
        </w:r>
      </w:hyperlink>
      <w:r>
        <w:t xml:space="preserve">)</w:t>
      </w:r>
      <w:r>
        <w:t xml:space="preserve">.</w:t>
      </w:r>
    </w:p>
    <w:bookmarkEnd w:id="115"/>
    <w:bookmarkEnd w:id="116"/>
    <w:bookmarkStart w:id="119" w:name="standard-rate-20"/>
    <w:p>
      <w:pPr>
        <w:pStyle w:val="Heading3"/>
      </w:pPr>
      <w:r>
        <w:t xml:space="preserve">Standard rate (20%)</w:t>
      </w:r>
    </w:p>
    <w:p>
      <w:pPr>
        <w:pStyle w:val="FirstParagraph"/>
      </w:pPr>
      <w:r>
        <w:t xml:space="preserve">The standard rate has been 20% since 4 January 2011</w:t>
      </w:r>
      <w:r>
        <w:t xml:space="preserve"> </w:t>
      </w:r>
      <w:r>
        <w:t xml:space="preserve">(</w:t>
      </w:r>
      <w:hyperlink w:anchor="ref-hmrc_n700">
        <w:r>
          <w:rPr>
            <w:rStyle w:val="Hyperlink"/>
          </w:rPr>
          <w:t xml:space="preserve">HMRC, 2026o, para. 3.3.1</w:t>
        </w:r>
      </w:hyperlink>
      <w:r>
        <w:t xml:space="preserve">)</w:t>
      </w:r>
      <w:r>
        <w:t xml:space="preserve">. It applies to most goods and services</w:t>
      </w:r>
      <w:r>
        <w:t xml:space="preserve"> </w:t>
      </w:r>
      <w:r>
        <w:t xml:space="preserve">(</w:t>
      </w:r>
      <w:hyperlink w:anchor="ref-hmrc_vat_rates_summary">
        <w:r>
          <w:rPr>
            <w:rStyle w:val="Hyperlink"/>
          </w:rPr>
          <w:t xml:space="preserve">HMRC, 2014</w:t>
        </w:r>
      </w:hyperlink>
      <w:r>
        <w:t xml:space="preserve">)</w:t>
      </w:r>
      <w:r>
        <w:t xml:space="preserve">. It is the default. HMRC’s guide says that any supply that is not zero-rated or exempt is standard-rated or reduced-rated, so unless a specific relief gives the reduced rate, it is standard-rated</w:t>
      </w:r>
      <w:r>
        <w:t xml:space="preserve"> </w:t>
      </w:r>
      <w:r>
        <w:t xml:space="preserve">(</w:t>
      </w:r>
      <w:hyperlink w:anchor="ref-hmrc_n700">
        <w:r>
          <w:rPr>
            <w:rStyle w:val="Hyperlink"/>
          </w:rPr>
          <w:t xml:space="preserve">HMRC, 2026o, para. 29.1</w:t>
        </w:r>
      </w:hyperlink>
      <w:r>
        <w:t xml:space="preserve">)</w:t>
      </w:r>
      <w:r>
        <w:t xml:space="preserve">. The 20% rate itself is set by section 2(1) of the Value Added Tax Act 1994.</w:t>
      </w:r>
    </w:p>
    <w:bookmarkStart w:id="117" w:name="working-out-standard-rated-vat"/>
    <w:p>
      <w:pPr>
        <w:pStyle w:val="Heading4"/>
      </w:pPr>
      <w:r>
        <w:t xml:space="preserve">Working out standard-rated VAT</w:t>
      </w:r>
    </w:p>
    <w:p>
      <w:pPr>
        <w:pStyle w:val="Compact"/>
        <w:numPr>
          <w:ilvl w:val="0"/>
          <w:numId w:val="1137"/>
        </w:numPr>
      </w:pPr>
      <w:r>
        <w:rPr>
          <w:b/>
          <w:bCs/>
        </w:rPr>
        <w:t xml:space="preserve">Adding VAT to a net price:</w:t>
      </w:r>
      <w:r>
        <w:t xml:space="preserve"> </w:t>
      </w:r>
      <w:r>
        <w:t xml:space="preserve">£1,000 × 20% = £200. The invoice total is £1,000 + £200 = £1,200.</w:t>
      </w:r>
    </w:p>
    <w:p>
      <w:pPr>
        <w:pStyle w:val="Compact"/>
        <w:numPr>
          <w:ilvl w:val="0"/>
          <w:numId w:val="1137"/>
        </w:numPr>
      </w:pPr>
      <w:r>
        <w:rPr>
          <w:b/>
          <w:bCs/>
        </w:rPr>
        <w:t xml:space="preserve">Taking VAT out of a gross price:</w:t>
      </w:r>
      <w:r>
        <w:t xml:space="preserve"> </w:t>
      </w:r>
      <w:r>
        <w:t xml:space="preserve">use the VAT fraction, which is 1/6 at 20%</w:t>
      </w:r>
      <w:r>
        <w:t xml:space="preserve"> </w:t>
      </w:r>
      <w:r>
        <w:t xml:space="preserve">(</w:t>
      </w:r>
      <w:hyperlink w:anchor="ref-hmrc_n700">
        <w:r>
          <w:rPr>
            <w:rStyle w:val="Hyperlink"/>
          </w:rPr>
          <w:t xml:space="preserve">HMRC, 2026o, para. 7.3.1</w:t>
        </w:r>
      </w:hyperlink>
      <w:r>
        <w:t xml:space="preserve">)</w:t>
      </w:r>
      <w:r>
        <w:t xml:space="preserve">. £1,200 × 1/6 = £200, so the net price is £1,000.</w:t>
      </w:r>
    </w:p>
    <w:p>
      <w:pPr>
        <w:pStyle w:val="Compact"/>
        <w:numPr>
          <w:ilvl w:val="0"/>
          <w:numId w:val="1137"/>
        </w:numPr>
      </w:pPr>
      <w:r>
        <w:rPr>
          <w:b/>
          <w:bCs/>
        </w:rPr>
        <w:t xml:space="preserve">Common mistake:</w:t>
      </w:r>
      <w:r>
        <w:t xml:space="preserve"> </w:t>
      </w:r>
      <w:r>
        <w:t xml:space="preserve">20% of £1,200 is £240, which overstates the VAT by £40.</w:t>
      </w:r>
    </w:p>
    <w:bookmarkEnd w:id="117"/>
    <w:bookmarkStart w:id="118" w:name="examples-of-standard-rated-purchases"/>
    <w:p>
      <w:pPr>
        <w:pStyle w:val="Heading4"/>
      </w:pPr>
      <w:r>
        <w:t xml:space="preserve">Examples of standard-rated purchases</w:t>
      </w:r>
    </w:p>
    <w:p>
      <w:pPr>
        <w:pStyle w:val="FirstParagraph"/>
      </w:pPr>
      <w:r>
        <w:t xml:space="preserve">These are standard-rated unless a specific relief applies:</w:t>
      </w:r>
    </w:p>
    <w:p>
      <w:pPr>
        <w:pStyle w:val="Compact"/>
        <w:numPr>
          <w:ilvl w:val="0"/>
          <w:numId w:val="1138"/>
        </w:numPr>
      </w:pPr>
      <w:r>
        <w:t xml:space="preserve">computers, printers, office furniture and most other equipment (no specific relief applies, so the default rate applies)</w:t>
      </w:r>
      <w:r>
        <w:t xml:space="preserve"> </w:t>
      </w:r>
      <w:r>
        <w:t xml:space="preserve">(</w:t>
      </w:r>
      <w:hyperlink w:anchor="ref-hmrc_n700">
        <w:r>
          <w:rPr>
            <w:rStyle w:val="Hyperlink"/>
          </w:rPr>
          <w:t xml:space="preserve">HMRC, 2026o, para. 29.1</w:t>
        </w:r>
      </w:hyperlink>
      <w:r>
        <w:t xml:space="preserve">)</w:t>
      </w:r>
    </w:p>
    <w:p>
      <w:pPr>
        <w:pStyle w:val="Compact"/>
        <w:numPr>
          <w:ilvl w:val="0"/>
          <w:numId w:val="1138"/>
        </w:numPr>
      </w:pPr>
      <w:r>
        <w:t xml:space="preserve">stationery such as exercise books and account books, and posters</w:t>
      </w:r>
      <w:r>
        <w:t xml:space="preserve"> </w:t>
      </w:r>
      <w:r>
        <w:t xml:space="preserve">(</w:t>
      </w:r>
      <w:hyperlink w:anchor="ref-hmrc_n70110">
        <w:r>
          <w:rPr>
            <w:rStyle w:val="Hyperlink"/>
          </w:rPr>
          <w:t xml:space="preserve">HMRC, 2020f, para. 4.1</w:t>
        </w:r>
      </w:hyperlink>
      <w:r>
        <w:t xml:space="preserve">;</w:t>
      </w:r>
      <w:r>
        <w:t xml:space="preserve"> </w:t>
      </w:r>
      <w:hyperlink w:anchor="ref-hmrc_n70110">
        <w:r>
          <w:rPr>
            <w:rStyle w:val="Hyperlink"/>
          </w:rPr>
          <w:t xml:space="preserve">2020f, para. 4.2</w:t>
        </w:r>
      </w:hyperlink>
      <w:r>
        <w:t xml:space="preserve">)</w:t>
      </w:r>
    </w:p>
    <w:p>
      <w:pPr>
        <w:pStyle w:val="Compact"/>
        <w:numPr>
          <w:ilvl w:val="0"/>
          <w:numId w:val="1138"/>
        </w:numPr>
      </w:pPr>
      <w:r>
        <w:t xml:space="preserve">software and apps, including apps used to read e-books, and e-book readers</w:t>
      </w:r>
      <w:r>
        <w:t xml:space="preserve"> </w:t>
      </w:r>
      <w:r>
        <w:t xml:space="preserve">(</w:t>
      </w:r>
      <w:hyperlink w:anchor="ref-hmrc_n70110">
        <w:r>
          <w:rPr>
            <w:rStyle w:val="Hyperlink"/>
          </w:rPr>
          <w:t xml:space="preserve">HMRC, 2020f, para. 9.9</w:t>
        </w:r>
      </w:hyperlink>
      <w:r>
        <w:t xml:space="preserve">;</w:t>
      </w:r>
      <w:r>
        <w:t xml:space="preserve"> </w:t>
      </w:r>
      <w:hyperlink w:anchor="ref-hmrc_n70110">
        <w:r>
          <w:rPr>
            <w:rStyle w:val="Hyperlink"/>
          </w:rPr>
          <w:t xml:space="preserve">2020f, para. 9.10</w:t>
        </w:r>
      </w:hyperlink>
      <w:r>
        <w:t xml:space="preserve">)</w:t>
      </w:r>
    </w:p>
    <w:p>
      <w:pPr>
        <w:pStyle w:val="Compact"/>
        <w:numPr>
          <w:ilvl w:val="0"/>
          <w:numId w:val="1138"/>
        </w:numPr>
      </w:pPr>
      <w:r>
        <w:t xml:space="preserve">audiobooks, whether physical or digital</w:t>
      </w:r>
      <w:r>
        <w:t xml:space="preserve"> </w:t>
      </w:r>
      <w:r>
        <w:t xml:space="preserve">(</w:t>
      </w:r>
      <w:hyperlink w:anchor="ref-hmrc_n70110">
        <w:r>
          <w:rPr>
            <w:rStyle w:val="Hyperlink"/>
          </w:rPr>
          <w:t xml:space="preserve">HMRC, 2020f, para. 9.5</w:t>
        </w:r>
      </w:hyperlink>
      <w:r>
        <w:t xml:space="preserve">)</w:t>
      </w:r>
    </w:p>
    <w:p>
      <w:pPr>
        <w:pStyle w:val="Compact"/>
        <w:numPr>
          <w:ilvl w:val="0"/>
          <w:numId w:val="1138"/>
        </w:numPr>
      </w:pPr>
      <w:r>
        <w:t xml:space="preserve">food supplied in the course of catering, including hot takeaway food</w:t>
      </w:r>
      <w:r>
        <w:t xml:space="preserve"> </w:t>
      </w:r>
      <w:r>
        <w:t xml:space="preserve">(</w:t>
      </w:r>
      <w:hyperlink w:anchor="ref-hmrc_n70114">
        <w:r>
          <w:rPr>
            <w:rStyle w:val="Hyperlink"/>
          </w:rPr>
          <w:t xml:space="preserve">HMRC, 2026d, para. 2.1</w:t>
        </w:r>
      </w:hyperlink>
      <w:r>
        <w:t xml:space="preserve">)</w:t>
      </w:r>
    </w:p>
    <w:p>
      <w:pPr>
        <w:pStyle w:val="Compact"/>
        <w:numPr>
          <w:ilvl w:val="0"/>
          <w:numId w:val="1138"/>
        </w:numPr>
      </w:pPr>
      <w:r>
        <w:t xml:space="preserve">confectionery, chocolate biscuits, crisps, soft drinks and mineral water</w:t>
      </w:r>
      <w:r>
        <w:t xml:space="preserve"> </w:t>
      </w:r>
      <w:r>
        <w:t xml:space="preserve">(</w:t>
      </w:r>
      <w:hyperlink w:anchor="ref-hmrc_vat_rates">
        <w:r>
          <w:rPr>
            <w:rStyle w:val="Hyperlink"/>
          </w:rPr>
          <w:t xml:space="preserve">HMRC, 2026r</w:t>
        </w:r>
      </w:hyperlink>
      <w:r>
        <w:t xml:space="preserve">;</w:t>
      </w:r>
      <w:r>
        <w:t xml:space="preserve"> </w:t>
      </w:r>
      <w:hyperlink w:anchor="ref-hmrc_n70114">
        <w:r>
          <w:rPr>
            <w:rStyle w:val="Hyperlink"/>
          </w:rPr>
          <w:t xml:space="preserve">2026d, para. 3.4.2</w:t>
        </w:r>
      </w:hyperlink>
      <w:r>
        <w:t xml:space="preserve">)</w:t>
      </w:r>
    </w:p>
    <w:p>
      <w:pPr>
        <w:pStyle w:val="Compact"/>
        <w:numPr>
          <w:ilvl w:val="0"/>
          <w:numId w:val="1138"/>
        </w:numPr>
      </w:pPr>
      <w:r>
        <w:t xml:space="preserve">hotel and similar accommodation in the UK</w:t>
      </w:r>
      <w:r>
        <w:t xml:space="preserve"> </w:t>
      </w:r>
      <w:r>
        <w:t xml:space="preserve">(</w:t>
      </w:r>
      <w:hyperlink w:anchor="ref-hmrc_n700">
        <w:r>
          <w:rPr>
            <w:rStyle w:val="Hyperlink"/>
          </w:rPr>
          <w:t xml:space="preserve">HMRC, 2026o, para. 29.3.10</w:t>
        </w:r>
      </w:hyperlink>
      <w:r>
        <w:t xml:space="preserve">)</w:t>
      </w:r>
    </w:p>
    <w:p>
      <w:pPr>
        <w:pStyle w:val="Compact"/>
        <w:numPr>
          <w:ilvl w:val="0"/>
          <w:numId w:val="1138"/>
        </w:numPr>
      </w:pPr>
      <w:r>
        <w:t xml:space="preserve">parking in a car park or a designated parking space</w:t>
      </w:r>
      <w:r>
        <w:t xml:space="preserve"> </w:t>
      </w:r>
      <w:r>
        <w:t xml:space="preserve">(</w:t>
      </w:r>
      <w:hyperlink w:anchor="ref-hmrc_n742">
        <w:r>
          <w:rPr>
            <w:rStyle w:val="Hyperlink"/>
          </w:rPr>
          <w:t xml:space="preserve">HMRC, 2020a, para. 4.2</w:t>
        </w:r>
      </w:hyperlink>
      <w:r>
        <w:t xml:space="preserve">)</w:t>
      </w:r>
    </w:p>
    <w:p>
      <w:pPr>
        <w:pStyle w:val="Compact"/>
        <w:numPr>
          <w:ilvl w:val="0"/>
          <w:numId w:val="1138"/>
        </w:numPr>
      </w:pPr>
      <w:r>
        <w:t xml:space="preserve">taxis and hire cars with fewer than 10 seats</w:t>
      </w:r>
      <w:r>
        <w:t xml:space="preserve"> </w:t>
      </w:r>
      <w:r>
        <w:t xml:space="preserve">(</w:t>
      </w:r>
      <w:hyperlink w:anchor="ref-hmrc_n744a">
        <w:r>
          <w:rPr>
            <w:rStyle w:val="Hyperlink"/>
          </w:rPr>
          <w:t xml:space="preserve">HMRC, 2022g, para. 4.7</w:t>
        </w:r>
      </w:hyperlink>
      <w:r>
        <w:t xml:space="preserve">)</w:t>
      </w:r>
    </w:p>
    <w:p>
      <w:pPr>
        <w:pStyle w:val="Compact"/>
        <w:numPr>
          <w:ilvl w:val="0"/>
          <w:numId w:val="1138"/>
        </w:numPr>
      </w:pPr>
      <w:r>
        <w:t xml:space="preserve">vocational training from a commercial provider that is not an eligible body, unless a specific exemption applies, such as approved government-funded training</w:t>
      </w:r>
      <w:r>
        <w:t xml:space="preserve"> </w:t>
      </w:r>
      <w:r>
        <w:t xml:space="preserve">(</w:t>
      </w:r>
      <w:hyperlink w:anchor="ref-hmrc_n70130">
        <w:r>
          <w:rPr>
            <w:rStyle w:val="Hyperlink"/>
          </w:rPr>
          <w:t xml:space="preserve">HMRC, 2025d, para. 4.2</w:t>
        </w:r>
      </w:hyperlink>
      <w:r>
        <w:t xml:space="preserve">;</w:t>
      </w:r>
      <w:r>
        <w:t xml:space="preserve"> </w:t>
      </w:r>
      <w:hyperlink w:anchor="ref-hmrc_n70130">
        <w:r>
          <w:rPr>
            <w:rStyle w:val="Hyperlink"/>
          </w:rPr>
          <w:t xml:space="preserve">2025d, para. 5.5</w:t>
        </w:r>
      </w:hyperlink>
      <w:r>
        <w:t xml:space="preserve">)</w:t>
      </w:r>
    </w:p>
    <w:p>
      <w:pPr>
        <w:pStyle w:val="Compact"/>
        <w:numPr>
          <w:ilvl w:val="0"/>
          <w:numId w:val="1138"/>
        </w:numPr>
      </w:pPr>
      <w:r>
        <w:t xml:space="preserve">electricity and gas for an office, unless the quantity is small enough to be reduced-rated</w:t>
      </w:r>
      <w:r>
        <w:t xml:space="preserve"> </w:t>
      </w:r>
      <w:r>
        <w:t xml:space="preserve">(</w:t>
      </w:r>
      <w:hyperlink w:anchor="ref-hmrc_n70119">
        <w:r>
          <w:rPr>
            <w:rStyle w:val="Hyperlink"/>
          </w:rPr>
          <w:t xml:space="preserve">HMRC, 2026e, para. 4.3</w:t>
        </w:r>
      </w:hyperlink>
      <w:r>
        <w:t xml:space="preserve">;</w:t>
      </w:r>
      <w:r>
        <w:t xml:space="preserve"> </w:t>
      </w:r>
      <w:hyperlink w:anchor="ref-hmrc_n70119">
        <w:r>
          <w:rPr>
            <w:rStyle w:val="Hyperlink"/>
          </w:rPr>
          <w:t xml:space="preserve">2026e, para. 5.3</w:t>
        </w:r>
      </w:hyperlink>
      <w:r>
        <w:t xml:space="preserve">)</w:t>
      </w:r>
    </w:p>
    <w:p>
      <w:pPr>
        <w:pStyle w:val="Compact"/>
        <w:numPr>
          <w:ilvl w:val="0"/>
          <w:numId w:val="1138"/>
        </w:numPr>
      </w:pPr>
      <w:r>
        <w:t xml:space="preserve">charging an electric vehicle at a public charging point, whatever the quantity</w:t>
      </w:r>
      <w:r>
        <w:t xml:space="preserve"> </w:t>
      </w:r>
      <w:r>
        <w:t xml:space="preserve">(</w:t>
      </w:r>
      <w:hyperlink w:anchor="ref-hmrc_n70119">
        <w:r>
          <w:rPr>
            <w:rStyle w:val="Hyperlink"/>
          </w:rPr>
          <w:t xml:space="preserve">HMRC, 2026e, para. 3.1</w:t>
        </w:r>
      </w:hyperlink>
      <w:r>
        <w:t xml:space="preserve">)</w:t>
      </w:r>
    </w:p>
    <w:p>
      <w:pPr>
        <w:pStyle w:val="Compact"/>
        <w:numPr>
          <w:ilvl w:val="0"/>
          <w:numId w:val="1138"/>
        </w:numPr>
      </w:pPr>
      <w:r>
        <w:t xml:space="preserve">postal services that are not covered by the universal service obligation</w:t>
      </w:r>
      <w:r>
        <w:t xml:space="preserve"> </w:t>
      </w:r>
      <w:r>
        <w:t xml:space="preserve">(</w:t>
      </w:r>
      <w:hyperlink w:anchor="ref-hmrc_vat_rates">
        <w:r>
          <w:rPr>
            <w:rStyle w:val="Hyperlink"/>
          </w:rPr>
          <w:t xml:space="preserve">HMRC, 2026r</w:t>
        </w:r>
      </w:hyperlink>
      <w:r>
        <w:t xml:space="preserve">)</w:t>
      </w:r>
    </w:p>
    <w:bookmarkEnd w:id="118"/>
    <w:bookmarkEnd w:id="119"/>
    <w:bookmarkStart w:id="123" w:name="reduced-rate-5"/>
    <w:p>
      <w:pPr>
        <w:pStyle w:val="Heading3"/>
      </w:pPr>
      <w:r>
        <w:t xml:space="preserve">Reduced rate (5%)</w:t>
      </w:r>
    </w:p>
    <w:p>
      <w:pPr>
        <w:pStyle w:val="FirstParagraph"/>
      </w:pPr>
      <w:r>
        <w:t xml:space="preserve">Some goods and services are charged at the reduced rate of 5%. Reduced-rated supplies are taxable supplies, so the supplier can recover the VAT on its related costs in the normal way</w:t>
      </w:r>
      <w:r>
        <w:t xml:space="preserve"> </w:t>
      </w:r>
      <w:r>
        <w:t xml:space="preserve">(</w:t>
      </w:r>
      <w:hyperlink w:anchor="ref-hmrc_n700">
        <w:r>
          <w:rPr>
            <w:rStyle w:val="Hyperlink"/>
          </w:rPr>
          <w:t xml:space="preserve">HMRC, 2026o, para. 3.4</w:t>
        </w:r>
      </w:hyperlink>
      <w:r>
        <w:t xml:space="preserve">)</w:t>
      </w:r>
      <w:r>
        <w:t xml:space="preserve">.</w:t>
      </w:r>
    </w:p>
    <w:bookmarkStart w:id="120" w:name="working-out-reduced-rated-vat"/>
    <w:p>
      <w:pPr>
        <w:pStyle w:val="Heading4"/>
      </w:pPr>
      <w:r>
        <w:t xml:space="preserve">Working out reduced-rated VAT</w:t>
      </w:r>
    </w:p>
    <w:p>
      <w:pPr>
        <w:pStyle w:val="Compact"/>
        <w:numPr>
          <w:ilvl w:val="0"/>
          <w:numId w:val="1139"/>
        </w:numPr>
      </w:pPr>
      <w:r>
        <w:rPr>
          <w:b/>
          <w:bCs/>
        </w:rPr>
        <w:t xml:space="preserve">Adding VAT:</w:t>
      </w:r>
      <w:r>
        <w:t xml:space="preserve"> </w:t>
      </w:r>
      <w:r>
        <w:t xml:space="preserve">£1,000 × 5% = £50. The total is £1,050.</w:t>
      </w:r>
    </w:p>
    <w:p>
      <w:pPr>
        <w:pStyle w:val="Compact"/>
        <w:numPr>
          <w:ilvl w:val="0"/>
          <w:numId w:val="1139"/>
        </w:numPr>
      </w:pPr>
      <w:r>
        <w:rPr>
          <w:b/>
          <w:bCs/>
        </w:rPr>
        <w:t xml:space="preserve">Taking VAT out:</w:t>
      </w:r>
      <w:r>
        <w:t xml:space="preserve"> </w:t>
      </w:r>
      <w:r>
        <w:t xml:space="preserve">the VAT fraction at 5% is 1/21</w:t>
      </w:r>
      <w:r>
        <w:t xml:space="preserve"> </w:t>
      </w:r>
      <w:r>
        <w:t xml:space="preserve">(</w:t>
      </w:r>
      <w:hyperlink w:anchor="ref-hmrc_n700">
        <w:r>
          <w:rPr>
            <w:rStyle w:val="Hyperlink"/>
          </w:rPr>
          <w:t xml:space="preserve">HMRC, 2026o, para. 7.3.1</w:t>
        </w:r>
      </w:hyperlink>
      <w:r>
        <w:t xml:space="preserve">)</w:t>
      </w:r>
      <w:r>
        <w:t xml:space="preserve">. £1,050 × 1/21 = £50.</w:t>
      </w:r>
    </w:p>
    <w:bookmarkEnd w:id="120"/>
    <w:bookmarkStart w:id="121" w:name="examples-from-hmrcs-vat-rates-page"/>
    <w:p>
      <w:pPr>
        <w:pStyle w:val="Heading4"/>
      </w:pPr>
      <w:r>
        <w:t xml:space="preserve">Examples from HMRC’s VAT rates page</w:t>
      </w:r>
    </w:p>
    <w:p>
      <w:pPr>
        <w:pStyle w:val="FirstParagraph"/>
      </w:pPr>
      <w:r>
        <w:t xml:space="preserve">HMRC’s</w:t>
      </w:r>
      <w:r>
        <w:t xml:space="preserve"> </w:t>
      </w:r>
      <w:r>
        <w:t xml:space="preserve">“</w:t>
      </w:r>
      <w:r>
        <w:t xml:space="preserve">VAT rates on different goods and services</w:t>
      </w:r>
      <w:r>
        <w:t xml:space="preserve">”</w:t>
      </w:r>
      <w:r>
        <w:t xml:space="preserve"> </w:t>
      </w:r>
      <w:r>
        <w:t xml:space="preserve">page lists these at 5%</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140"/>
        </w:numPr>
      </w:pPr>
      <w:r>
        <w:rPr>
          <w:b/>
          <w:bCs/>
        </w:rPr>
        <w:t xml:space="preserve">domestic fuel and power:</w:t>
      </w:r>
      <w:r>
        <w:t xml:space="preserve"> </w:t>
      </w:r>
      <w:r>
        <w:t xml:space="preserve">electricity, gas, heating oil and solid fuel for domestic and residential use, or for non-business use by a charity</w:t>
      </w:r>
    </w:p>
    <w:p>
      <w:pPr>
        <w:pStyle w:val="Compact"/>
        <w:numPr>
          <w:ilvl w:val="0"/>
          <w:numId w:val="1140"/>
        </w:numPr>
      </w:pPr>
      <w:r>
        <w:rPr>
          <w:b/>
          <w:bCs/>
        </w:rPr>
        <w:t xml:space="preserve">children’s car seats:</w:t>
      </w:r>
      <w:r>
        <w:t xml:space="preserve"> </w:t>
      </w:r>
      <w:r>
        <w:t xml:space="preserve">including booster seats, booster cushions and carrycots with restraint straps</w:t>
      </w:r>
    </w:p>
    <w:p>
      <w:pPr>
        <w:pStyle w:val="Compact"/>
        <w:numPr>
          <w:ilvl w:val="0"/>
          <w:numId w:val="1140"/>
        </w:numPr>
      </w:pPr>
      <w:r>
        <w:rPr>
          <w:b/>
          <w:bCs/>
        </w:rPr>
        <w:t xml:space="preserve">mobility aids for older people:</w:t>
      </w:r>
      <w:r>
        <w:t xml:space="preserve"> </w:t>
      </w:r>
      <w:r>
        <w:t xml:space="preserve">for example grab rails, ramps and stair lifts installed in the home of someone aged 60 or over</w:t>
      </w:r>
      <w:r>
        <w:t xml:space="preserve"> </w:t>
      </w:r>
      <w:r>
        <w:t xml:space="preserve">(</w:t>
      </w:r>
      <w:hyperlink w:anchor="ref-hmrc_n700">
        <w:r>
          <w:rPr>
            <w:rStyle w:val="Hyperlink"/>
          </w:rPr>
          <w:t xml:space="preserve">HMRC, 2026o, para. 29.3.11</w:t>
        </w:r>
      </w:hyperlink>
      <w:r>
        <w:t xml:space="preserve">)</w:t>
      </w:r>
    </w:p>
    <w:p>
      <w:pPr>
        <w:pStyle w:val="Compact"/>
        <w:numPr>
          <w:ilvl w:val="0"/>
          <w:numId w:val="1140"/>
        </w:numPr>
      </w:pPr>
      <w:r>
        <w:rPr>
          <w:b/>
          <w:bCs/>
        </w:rPr>
        <w:t xml:space="preserve">smoking cessation products:</w:t>
      </w:r>
      <w:r>
        <w:t xml:space="preserve"> </w:t>
      </w:r>
      <w:r>
        <w:t xml:space="preserve">nicotine patches and gum</w:t>
      </w:r>
    </w:p>
    <w:p>
      <w:pPr>
        <w:pStyle w:val="Compact"/>
        <w:numPr>
          <w:ilvl w:val="0"/>
          <w:numId w:val="1140"/>
        </w:numPr>
      </w:pPr>
      <w:r>
        <w:rPr>
          <w:b/>
          <w:bCs/>
        </w:rPr>
        <w:t xml:space="preserve">grant-funded heating equipment:</w:t>
      </w:r>
      <w:r>
        <w:t xml:space="preserve"> </w:t>
      </w:r>
      <w:r>
        <w:t xml:space="preserve">for example gas-fired boilers, radiators and electric storage heaters, and connection to the mains gas supply, to the extent they are grant-funded for people aged over 60 or receiving certain benefits</w:t>
      </w:r>
    </w:p>
    <w:p>
      <w:pPr>
        <w:pStyle w:val="Compact"/>
        <w:numPr>
          <w:ilvl w:val="0"/>
          <w:numId w:val="1140"/>
        </w:numPr>
      </w:pPr>
      <w:r>
        <w:rPr>
          <w:b/>
          <w:bCs/>
        </w:rPr>
        <w:t xml:space="preserve">some residential building work:</w:t>
      </w:r>
      <w:r>
        <w:t xml:space="preserve"> </w:t>
      </w:r>
      <w:r>
        <w:t xml:space="preserve">converting premises to increase the number of dwellings, and renovating a dwelling that has been empty for at least 2 years</w:t>
      </w:r>
    </w:p>
    <w:p>
      <w:pPr>
        <w:pStyle w:val="FirstParagraph"/>
      </w:pPr>
      <w:r>
        <w:rPr>
          <w:b/>
          <w:bCs/>
        </w:rPr>
        <w:t xml:space="preserve">Check first:</w:t>
      </w:r>
      <w:r>
        <w:t xml:space="preserve"> </w:t>
      </w:r>
      <w:r>
        <w:t xml:space="preserve">energy-saving materials installed in residential accommodation (for example insulation, solar panels and heat pumps) are currently at 0%, not 5%. HMRC says this relief applies until 31 March 2027</w:t>
      </w:r>
      <w:r>
        <w:t xml:space="preserve"> </w:t>
      </w:r>
      <w:r>
        <w:t xml:space="preserve">(</w:t>
      </w:r>
      <w:hyperlink w:anchor="ref-hmrc_vat_rates">
        <w:r>
          <w:rPr>
            <w:rStyle w:val="Hyperlink"/>
          </w:rPr>
          <w:t xml:space="preserve">HMRC, 2026r</w:t>
        </w:r>
      </w:hyperlink>
      <w:r>
        <w:t xml:space="preserve">)</w:t>
      </w:r>
      <w:r>
        <w:t xml:space="preserve">. Check the rate for any installation with a tax point after that date.</w:t>
      </w:r>
    </w:p>
    <w:bookmarkEnd w:id="121"/>
    <w:bookmarkStart w:id="122" w:name="X0a2627575bd7af346a12aec62895783bf48a577"/>
    <w:p>
      <w:pPr>
        <w:pStyle w:val="Heading4"/>
      </w:pPr>
      <w:r>
        <w:t xml:space="preserve">Fuel and power: what this means for the Department</w:t>
      </w:r>
    </w:p>
    <w:p>
      <w:pPr>
        <w:pStyle w:val="FirstParagraph"/>
      </w:pPr>
      <w:r>
        <w:t xml:space="preserve">The 5% rate for fuel and power only applies to</w:t>
      </w:r>
      <w:r>
        <w:t xml:space="preserve"> </w:t>
      </w:r>
      <w:r>
        <w:t xml:space="preserve">“</w:t>
      </w:r>
      <w:r>
        <w:t xml:space="preserve">qualifying use</w:t>
      </w:r>
      <w:r>
        <w:t xml:space="preserve">”</w:t>
      </w:r>
      <w:r>
        <w:t xml:space="preserve">, which means domestic use or charity non-business use</w:t>
      </w:r>
      <w:r>
        <w:t xml:space="preserve"> </w:t>
      </w:r>
      <w:r>
        <w:t xml:space="preserve">(</w:t>
      </w:r>
      <w:hyperlink w:anchor="ref-hmrc_n70119">
        <w:r>
          <w:rPr>
            <w:rStyle w:val="Hyperlink"/>
          </w:rPr>
          <w:t xml:space="preserve">HMRC, 2026e, para. 3.1</w:t>
        </w:r>
      </w:hyperlink>
      <w:r>
        <w:t xml:space="preserve">)</w:t>
      </w:r>
      <w:r>
        <w:t xml:space="preserve">. A government department is not a charity, so electricity and gas for its offices are normally standard-rated</w:t>
      </w:r>
      <w:r>
        <w:t xml:space="preserve"> </w:t>
      </w:r>
      <w:r>
        <w:t xml:space="preserve">(</w:t>
      </w:r>
      <w:hyperlink w:anchor="ref-hmrc_n70119">
        <w:r>
          <w:rPr>
            <w:rStyle w:val="Hyperlink"/>
          </w:rPr>
          <w:t xml:space="preserve">HMRC, 2026e, para. 4.3</w:t>
        </w:r>
      </w:hyperlink>
      <w:r>
        <w:t xml:space="preserve">;</w:t>
      </w:r>
      <w:r>
        <w:t xml:space="preserve"> </w:t>
      </w:r>
      <w:hyperlink w:anchor="ref-hmrc_n70119">
        <w:r>
          <w:rPr>
            <w:rStyle w:val="Hyperlink"/>
          </w:rPr>
          <w:t xml:space="preserve">2026e, para. 5.3</w:t>
        </w:r>
      </w:hyperlink>
      <w:r>
        <w:t xml:space="preserve">)</w:t>
      </w:r>
      <w:r>
        <w:t xml:space="preserve">.</w:t>
      </w:r>
    </w:p>
    <w:p>
      <w:pPr>
        <w:pStyle w:val="BodyText"/>
      </w:pPr>
      <w:r>
        <w:t xml:space="preserve">There is one exception. Small (de minimis) quantities are always treated as domestic use and charged at 5%, even when sold to an organisation</w:t>
      </w:r>
      <w:r>
        <w:t xml:space="preserve"> </w:t>
      </w:r>
      <w:r>
        <w:t xml:space="preserve">(</w:t>
      </w:r>
      <w:hyperlink w:anchor="ref-hmrc_n70119">
        <w:r>
          <w:rPr>
            <w:rStyle w:val="Hyperlink"/>
          </w:rPr>
          <w:t xml:space="preserve">HMRC, 2026e, para. 3.2.2</w:t>
        </w:r>
      </w:hyperlink>
      <w:r>
        <w:t xml:space="preserve">)</w:t>
      </w:r>
      <w:r>
        <w:t xml:space="preserve">:</w:t>
      </w:r>
    </w:p>
    <w:p>
      <w:pPr>
        <w:pStyle w:val="Compact"/>
        <w:numPr>
          <w:ilvl w:val="0"/>
          <w:numId w:val="1141"/>
        </w:numPr>
      </w:pPr>
      <w:r>
        <w:rPr>
          <w:b/>
          <w:bCs/>
        </w:rPr>
        <w:t xml:space="preserve">electricity:</w:t>
      </w:r>
      <w:r>
        <w:t xml:space="preserve"> </w:t>
      </w:r>
      <w:r>
        <w:t xml:space="preserve">not more than an average of 33 kilowatt hours a day, or 1,000 kilowatt hours a month, at any one premises</w:t>
      </w:r>
      <w:r>
        <w:t xml:space="preserve"> </w:t>
      </w:r>
      <w:r>
        <w:t xml:space="preserve">(</w:t>
      </w:r>
      <w:hyperlink w:anchor="ref-hmrc_n70119">
        <w:r>
          <w:rPr>
            <w:rStyle w:val="Hyperlink"/>
          </w:rPr>
          <w:t xml:space="preserve">HMRC, 2026e, para. 5.2</w:t>
        </w:r>
      </w:hyperlink>
      <w:r>
        <w:t xml:space="preserve">)</w:t>
      </w:r>
    </w:p>
    <w:p>
      <w:pPr>
        <w:pStyle w:val="Compact"/>
        <w:numPr>
          <w:ilvl w:val="0"/>
          <w:numId w:val="1141"/>
        </w:numPr>
      </w:pPr>
      <w:r>
        <w:rPr>
          <w:b/>
          <w:bCs/>
        </w:rPr>
        <w:t xml:space="preserve">piped gas:</w:t>
      </w:r>
      <w:r>
        <w:t xml:space="preserve"> </w:t>
      </w:r>
      <w:r>
        <w:t xml:space="preserve">not more than an average of 145 kilowatt hours a day, or 4,397 kilowatt hours a month, at any one premises</w:t>
      </w:r>
      <w:r>
        <w:t xml:space="preserve"> </w:t>
      </w:r>
      <w:r>
        <w:t xml:space="preserve">(</w:t>
      </w:r>
      <w:hyperlink w:anchor="ref-hmrc_n70119">
        <w:r>
          <w:rPr>
            <w:rStyle w:val="Hyperlink"/>
          </w:rPr>
          <w:t xml:space="preserve">HMRC, 2026e, para. 4.2</w:t>
        </w:r>
      </w:hyperlink>
      <w:r>
        <w:t xml:space="preserve">)</w:t>
      </w:r>
    </w:p>
    <w:p>
      <w:pPr>
        <w:pStyle w:val="FirstParagraph"/>
      </w:pPr>
      <w:r>
        <w:t xml:space="preserve">So a small storage unit might legitimately be billed at 5%, while the main office is billed at 20%.</w:t>
      </w:r>
    </w:p>
    <w:bookmarkEnd w:id="122"/>
    <w:bookmarkEnd w:id="123"/>
    <w:bookmarkStart w:id="126" w:name="zero-rate-0"/>
    <w:p>
      <w:pPr>
        <w:pStyle w:val="Heading3"/>
      </w:pPr>
      <w:r>
        <w:t xml:space="preserve">Zero rate (0%)</w:t>
      </w:r>
    </w:p>
    <w:p>
      <w:pPr>
        <w:pStyle w:val="FirstParagraph"/>
      </w:pPr>
      <w:r>
        <w:t xml:space="preserve">A zero-rated supply is a taxable supply where the VAT rate is 0%</w:t>
      </w:r>
      <w:r>
        <w:t xml:space="preserve"> </w:t>
      </w:r>
      <w:r>
        <w:t xml:space="preserve">(</w:t>
      </w:r>
      <w:hyperlink w:anchor="ref-hmrc_n703">
        <w:r>
          <w:rPr>
            <w:rStyle w:val="Hyperlink"/>
          </w:rPr>
          <w:t xml:space="preserve">HMRC, 2026p, para. 2.1</w:t>
        </w:r>
      </w:hyperlink>
      <w:r>
        <w:t xml:space="preserve">)</w:t>
      </w:r>
      <w:r>
        <w:t xml:space="preserve">. No VAT is payable, and an invoice for a zero-rated supply is not a VAT invoice. In every other way the supply is treated as taxable, so the supplier can recover the VAT on its related costs</w:t>
      </w:r>
      <w:r>
        <w:t xml:space="preserve"> </w:t>
      </w:r>
      <w:r>
        <w:t xml:space="preserve">(</w:t>
      </w:r>
      <w:hyperlink w:anchor="ref-hmrc_n700">
        <w:r>
          <w:rPr>
            <w:rStyle w:val="Hyperlink"/>
          </w:rPr>
          <w:t xml:space="preserve">HMRC, 2026o, para. 3.5</w:t>
        </w:r>
      </w:hyperlink>
      <w:r>
        <w:t xml:space="preserve">)</w:t>
      </w:r>
      <w:r>
        <w:t xml:space="preserve">.</w:t>
      </w:r>
    </w:p>
    <w:bookmarkStart w:id="124" w:name="X1eca6e3552206f35e17979d2a7ca26ccbe4dbb3"/>
    <w:p>
      <w:pPr>
        <w:pStyle w:val="Heading4"/>
      </w:pPr>
      <w:r>
        <w:t xml:space="preserve">Examples of zero-rated goods and services</w:t>
      </w:r>
    </w:p>
    <w:p>
      <w:pPr>
        <w:pStyle w:val="Compact"/>
        <w:numPr>
          <w:ilvl w:val="0"/>
          <w:numId w:val="1142"/>
        </w:numPr>
      </w:pPr>
      <w:r>
        <w:rPr>
          <w:b/>
          <w:bCs/>
        </w:rPr>
        <w:t xml:space="preserve">most food:</w:t>
      </w:r>
      <w:r>
        <w:t xml:space="preserve"> </w:t>
      </w:r>
      <w:r>
        <w:t xml:space="preserve">most food of a kind used for human consumption, including tea, coffee and milk, but not catering, confectionery, crisps, alcohol, soft drinks or ice cream</w:t>
      </w:r>
      <w:r>
        <w:t xml:space="preserve"> </w:t>
      </w:r>
      <w:r>
        <w:t xml:space="preserve">(</w:t>
      </w:r>
      <w:hyperlink w:anchor="ref-hmrc_n70114">
        <w:r>
          <w:rPr>
            <w:rStyle w:val="Hyperlink"/>
          </w:rPr>
          <w:t xml:space="preserve">HMRC, 2026d, para. 2.1</w:t>
        </w:r>
      </w:hyperlink>
      <w:r>
        <w:t xml:space="preserve">;</w:t>
      </w:r>
      <w:r>
        <w:t xml:space="preserve"> </w:t>
      </w:r>
      <w:hyperlink w:anchor="ref-hmrc_n70114">
        <w:r>
          <w:rPr>
            <w:rStyle w:val="Hyperlink"/>
          </w:rPr>
          <w:t xml:space="preserve">2026d, para. 2.2</w:t>
        </w:r>
      </w:hyperlink>
      <w:r>
        <w:t xml:space="preserve">)</w:t>
      </w:r>
    </w:p>
    <w:p>
      <w:pPr>
        <w:pStyle w:val="Compact"/>
        <w:numPr>
          <w:ilvl w:val="0"/>
          <w:numId w:val="1142"/>
        </w:numPr>
      </w:pPr>
      <w:r>
        <w:rPr>
          <w:b/>
          <w:bCs/>
        </w:rPr>
        <w:t xml:space="preserve">books and printed publications:</w:t>
      </w:r>
      <w:r>
        <w:t xml:space="preserve"> </w:t>
      </w:r>
      <w:r>
        <w:t xml:space="preserve">books, booklets, brochures, pamphlets, leaflets, newspapers, journals and periodicals (such as magazines), maps and printed music</w:t>
      </w:r>
      <w:r>
        <w:t xml:space="preserve"> </w:t>
      </w:r>
      <w:r>
        <w:t xml:space="preserve">(</w:t>
      </w:r>
      <w:hyperlink w:anchor="ref-hmrc_n70110">
        <w:r>
          <w:rPr>
            <w:rStyle w:val="Hyperlink"/>
          </w:rPr>
          <w:t xml:space="preserve">HMRC, 2020f, para. 1.2</w:t>
        </w:r>
      </w:hyperlink>
      <w:r>
        <w:t xml:space="preserve">)</w:t>
      </w:r>
    </w:p>
    <w:p>
      <w:pPr>
        <w:pStyle w:val="Compact"/>
        <w:numPr>
          <w:ilvl w:val="0"/>
          <w:numId w:val="1142"/>
        </w:numPr>
      </w:pPr>
      <w:r>
        <w:rPr>
          <w:b/>
          <w:bCs/>
        </w:rPr>
        <w:t xml:space="preserve">most e-publications:</w:t>
      </w:r>
      <w:r>
        <w:t xml:space="preserve"> </w:t>
      </w:r>
      <w:r>
        <w:t xml:space="preserve">since 1 May 2020, electronic versions of books, newspapers, journals, periodicals and similar publications, unless they are wholly or mainly (more than half) advertising, audio or video content</w:t>
      </w:r>
      <w:r>
        <w:t xml:space="preserve"> </w:t>
      </w:r>
      <w:r>
        <w:t xml:space="preserve">(</w:t>
      </w:r>
      <w:hyperlink w:anchor="ref-hmrc_n70110">
        <w:r>
          <w:rPr>
            <w:rStyle w:val="Hyperlink"/>
          </w:rPr>
          <w:t xml:space="preserve">HMRC, 2020f, sec. 9</w:t>
        </w:r>
      </w:hyperlink>
      <w:r>
        <w:t xml:space="preserve">;</w:t>
      </w:r>
      <w:r>
        <w:t xml:space="preserve"> </w:t>
      </w:r>
      <w:hyperlink w:anchor="ref-hmrc_n70110">
        <w:r>
          <w:rPr>
            <w:rStyle w:val="Hyperlink"/>
          </w:rPr>
          <w:t xml:space="preserve">2020f, para. 9.2</w:t>
        </w:r>
      </w:hyperlink>
      <w:r>
        <w:t xml:space="preserve">)</w:t>
      </w:r>
    </w:p>
    <w:p>
      <w:pPr>
        <w:pStyle w:val="Compact"/>
        <w:numPr>
          <w:ilvl w:val="0"/>
          <w:numId w:val="1142"/>
        </w:numPr>
      </w:pPr>
      <w:r>
        <w:rPr>
          <w:b/>
          <w:bCs/>
        </w:rPr>
        <w:t xml:space="preserve">children’s clothes and footwear,</w:t>
      </w:r>
      <w:r>
        <w:t xml:space="preserve"> </w:t>
      </w:r>
      <w:r>
        <w:t xml:space="preserve">and babywear</w:t>
      </w:r>
      <w:r>
        <w:t xml:space="preserve"> </w:t>
      </w:r>
      <w:r>
        <w:t xml:space="preserve">(</w:t>
      </w:r>
      <w:hyperlink w:anchor="ref-hmrc_vat_rates">
        <w:r>
          <w:rPr>
            <w:rStyle w:val="Hyperlink"/>
          </w:rPr>
          <w:t xml:space="preserve">HMRC, 2026r</w:t>
        </w:r>
      </w:hyperlink>
      <w:r>
        <w:t xml:space="preserve">)</w:t>
      </w:r>
    </w:p>
    <w:p>
      <w:pPr>
        <w:pStyle w:val="Compact"/>
        <w:numPr>
          <w:ilvl w:val="0"/>
          <w:numId w:val="1142"/>
        </w:numPr>
      </w:pPr>
      <w:r>
        <w:rPr>
          <w:b/>
          <w:bCs/>
        </w:rPr>
        <w:t xml:space="preserve">exports of goods:</w:t>
      </w:r>
      <w:r>
        <w:t xml:space="preserve"> </w:t>
      </w:r>
      <w:r>
        <w:t xml:space="preserve">goods exported from the UK, if the conditions in VAT Notice 703 are met</w:t>
      </w:r>
      <w:r>
        <w:t xml:space="preserve"> </w:t>
      </w:r>
      <w:r>
        <w:t xml:space="preserve">(</w:t>
      </w:r>
      <w:hyperlink w:anchor="ref-hmrc_n703">
        <w:r>
          <w:rPr>
            <w:rStyle w:val="Hyperlink"/>
          </w:rPr>
          <w:t xml:space="preserve">HMRC, 2026p, para. 2.1</w:t>
        </w:r>
      </w:hyperlink>
      <w:r>
        <w:t xml:space="preserve">)</w:t>
      </w:r>
      <w:r>
        <w:t xml:space="preserve"> </w:t>
      </w:r>
      <w:r>
        <w:t xml:space="preserve">(see Part 4)</w:t>
      </w:r>
    </w:p>
    <w:p>
      <w:pPr>
        <w:pStyle w:val="Compact"/>
        <w:numPr>
          <w:ilvl w:val="0"/>
          <w:numId w:val="1142"/>
        </w:numPr>
      </w:pPr>
      <w:r>
        <w:rPr>
          <w:b/>
          <w:bCs/>
        </w:rPr>
        <w:t xml:space="preserve">international passenger transport:</w:t>
      </w:r>
      <w:r>
        <w:t xml:space="preserve"> </w:t>
      </w:r>
      <w:r>
        <w:t xml:space="preserve">the UK part of a journey to or from a place outside the UK</w:t>
      </w:r>
      <w:r>
        <w:t xml:space="preserve"> </w:t>
      </w:r>
      <w:r>
        <w:t xml:space="preserve">(</w:t>
      </w:r>
      <w:hyperlink w:anchor="ref-hmrc_n744a">
        <w:r>
          <w:rPr>
            <w:rStyle w:val="Hyperlink"/>
          </w:rPr>
          <w:t xml:space="preserve">HMRC, 2022g, para. 3.2</w:t>
        </w:r>
      </w:hyperlink>
      <w:r>
        <w:t xml:space="preserve">)</w:t>
      </w:r>
    </w:p>
    <w:p>
      <w:pPr>
        <w:pStyle w:val="Compact"/>
        <w:numPr>
          <w:ilvl w:val="0"/>
          <w:numId w:val="1142"/>
        </w:numPr>
      </w:pPr>
      <w:r>
        <w:rPr>
          <w:b/>
          <w:bCs/>
        </w:rPr>
        <w:t xml:space="preserve">domestic passenger transport in larger vehicles:</w:t>
      </w:r>
      <w:r>
        <w:t xml:space="preserve"> </w:t>
      </w:r>
      <w:r>
        <w:t xml:space="preserve">transport in any vehicle, ship or aircraft designed or adapted to carry 10 or more passengers (for example trains and buses), and scheduled flights</w:t>
      </w:r>
      <w:r>
        <w:t xml:space="preserve"> </w:t>
      </w:r>
      <w:r>
        <w:t xml:space="preserve">(</w:t>
      </w:r>
      <w:hyperlink w:anchor="ref-hmrc_n744a">
        <w:r>
          <w:rPr>
            <w:rStyle w:val="Hyperlink"/>
          </w:rPr>
          <w:t xml:space="preserve">HMRC, 2022g, para. 2.1</w:t>
        </w:r>
      </w:hyperlink>
      <w:r>
        <w:t xml:space="preserve">)</w:t>
      </w:r>
    </w:p>
    <w:p>
      <w:pPr>
        <w:pStyle w:val="Compact"/>
        <w:numPr>
          <w:ilvl w:val="0"/>
          <w:numId w:val="1142"/>
        </w:numPr>
      </w:pPr>
      <w:r>
        <w:rPr>
          <w:b/>
          <w:bCs/>
        </w:rPr>
        <w:t xml:space="preserve">new-build homes:</w:t>
      </w:r>
      <w:r>
        <w:t xml:space="preserve"> </w:t>
      </w:r>
      <w:r>
        <w:t xml:space="preserve">construction, and the first freehold or long leasehold sale, of new domestic buildings</w:t>
      </w:r>
      <w:r>
        <w:t xml:space="preserve"> </w:t>
      </w:r>
      <w:r>
        <w:t xml:space="preserve">(</w:t>
      </w:r>
      <w:hyperlink w:anchor="ref-hmrc_vat_rates">
        <w:r>
          <w:rPr>
            <w:rStyle w:val="Hyperlink"/>
          </w:rPr>
          <w:t xml:space="preserve">HMRC, 2026r</w:t>
        </w:r>
      </w:hyperlink>
      <w:r>
        <w:t xml:space="preserve">)</w:t>
      </w:r>
    </w:p>
    <w:p>
      <w:pPr>
        <w:pStyle w:val="Compact"/>
        <w:numPr>
          <w:ilvl w:val="0"/>
          <w:numId w:val="1142"/>
        </w:numPr>
      </w:pPr>
      <w:r>
        <w:rPr>
          <w:b/>
          <w:bCs/>
        </w:rPr>
        <w:t xml:space="preserve">freight transport</w:t>
      </w:r>
      <w:r>
        <w:t xml:space="preserve"> </w:t>
      </w:r>
      <w:r>
        <w:t xml:space="preserve">to or from a place outside the UK</w:t>
      </w:r>
      <w:r>
        <w:t xml:space="preserve"> </w:t>
      </w:r>
      <w:r>
        <w:t xml:space="preserve">(</w:t>
      </w:r>
      <w:hyperlink w:anchor="ref-hmrc_vat_rates">
        <w:r>
          <w:rPr>
            <w:rStyle w:val="Hyperlink"/>
          </w:rPr>
          <w:t xml:space="preserve">HMRC, 2026r</w:t>
        </w:r>
      </w:hyperlink>
      <w:r>
        <w:t xml:space="preserve">)</w:t>
      </w:r>
    </w:p>
    <w:p>
      <w:pPr>
        <w:pStyle w:val="Compact"/>
        <w:numPr>
          <w:ilvl w:val="0"/>
          <w:numId w:val="1142"/>
        </w:numPr>
      </w:pPr>
      <w:r>
        <w:rPr>
          <w:b/>
          <w:bCs/>
        </w:rPr>
        <w:t xml:space="preserve">water supplied to households,</w:t>
      </w:r>
      <w:r>
        <w:t xml:space="preserve"> </w:t>
      </w:r>
      <w:r>
        <w:t xml:space="preserve">and sanitary protection products</w:t>
      </w:r>
      <w:r>
        <w:t xml:space="preserve"> </w:t>
      </w:r>
      <w:r>
        <w:t xml:space="preserve">(</w:t>
      </w:r>
      <w:hyperlink w:anchor="ref-hmrc_vat_rates">
        <w:r>
          <w:rPr>
            <w:rStyle w:val="Hyperlink"/>
          </w:rPr>
          <w:t xml:space="preserve">HMRC, 2026r</w:t>
        </w:r>
      </w:hyperlink>
      <w:r>
        <w:t xml:space="preserve">)</w:t>
      </w:r>
    </w:p>
    <w:bookmarkEnd w:id="124"/>
    <w:bookmarkStart w:id="125" w:name="Xe5ca5c1a7d9051d8b77a076c1acc311e97c1445"/>
    <w:p>
      <w:pPr>
        <w:pStyle w:val="Heading4"/>
      </w:pPr>
      <w:r>
        <w:t xml:space="preserve">Worked example: a zero-rated supplier’s VAT return</w:t>
      </w:r>
    </w:p>
    <w:p>
      <w:pPr>
        <w:pStyle w:val="FirstParagraph"/>
      </w:pPr>
      <w:r>
        <w:t xml:space="preserve">A bookseller sells £50,000 of books in a quarter and buys new shelving for £6,000 plus £1,200 VAT.</w:t>
      </w:r>
    </w:p>
    <w:p>
      <w:pPr>
        <w:pStyle w:val="Compact"/>
        <w:numPr>
          <w:ilvl w:val="0"/>
          <w:numId w:val="1143"/>
        </w:numPr>
      </w:pPr>
      <w:r>
        <w:t xml:space="preserve">Output tax on book sales: £50,000 × 0% = £0</w:t>
      </w:r>
    </w:p>
    <w:p>
      <w:pPr>
        <w:pStyle w:val="Compact"/>
        <w:numPr>
          <w:ilvl w:val="0"/>
          <w:numId w:val="1143"/>
        </w:numPr>
      </w:pPr>
      <w:r>
        <w:t xml:space="preserve">Input tax on shelving: £1,200</w:t>
      </w:r>
    </w:p>
    <w:p>
      <w:pPr>
        <w:pStyle w:val="Compact"/>
        <w:numPr>
          <w:ilvl w:val="0"/>
          <w:numId w:val="1143"/>
        </w:numPr>
      </w:pPr>
      <w:r>
        <w:t xml:space="preserve">VAT return result: £0 − £1,200 = a repayment of £1,200 from HMRC</w:t>
      </w:r>
      <w:r>
        <w:t xml:space="preserve"> </w:t>
      </w:r>
      <w:r>
        <w:t xml:space="preserve">(</w:t>
      </w:r>
      <w:hyperlink w:anchor="ref-hmrc_n700">
        <w:r>
          <w:rPr>
            <w:rStyle w:val="Hyperlink"/>
          </w:rPr>
          <w:t xml:space="preserve">HMRC, 2026o, para. 4.2</w:t>
        </w:r>
      </w:hyperlink>
      <w:r>
        <w:t xml:space="preserve">)</w:t>
      </w:r>
    </w:p>
    <w:p>
      <w:pPr>
        <w:pStyle w:val="FirstParagraph"/>
      </w:pPr>
      <w:r>
        <w:rPr>
          <w:b/>
          <w:bCs/>
        </w:rPr>
        <w:t xml:space="preserve">Recoverable:</w:t>
      </w:r>
      <w:r>
        <w:t xml:space="preserve"> </w:t>
      </w:r>
      <w:r>
        <w:t xml:space="preserve">the full £1,200, because zero-rated supplies are taxable supplies</w:t>
      </w:r>
      <w:r>
        <w:t xml:space="preserve"> </w:t>
      </w:r>
      <w:r>
        <w:t xml:space="preserve">(</w:t>
      </w:r>
      <w:hyperlink w:anchor="ref-hmrc_n700">
        <w:r>
          <w:rPr>
            <w:rStyle w:val="Hyperlink"/>
          </w:rPr>
          <w:t xml:space="preserve">HMRC, 2026o, para. 3.5</w:t>
        </w:r>
      </w:hyperlink>
      <w:r>
        <w:t xml:space="preserve">)</w:t>
      </w:r>
      <w:r>
        <w:t xml:space="preserve">.</w:t>
      </w:r>
    </w:p>
    <w:bookmarkEnd w:id="125"/>
    <w:bookmarkEnd w:id="126"/>
    <w:bookmarkStart w:id="133" w:name="exempt-supplies"/>
    <w:p>
      <w:pPr>
        <w:pStyle w:val="Heading3"/>
      </w:pPr>
      <w:r>
        <w:t xml:space="preserve">Exempt supplies</w:t>
      </w:r>
    </w:p>
    <w:p>
      <w:pPr>
        <w:pStyle w:val="FirstParagraph"/>
      </w:pPr>
      <w:r>
        <w:t xml:space="preserve">An exempt supply has no VAT charged on it. But the supplier also cannot normally recover any of the VAT on its own costs that relate to it</w:t>
      </w:r>
      <w:r>
        <w:t xml:space="preserve"> </w:t>
      </w:r>
      <w:r>
        <w:t xml:space="preserve">(</w:t>
      </w:r>
      <w:hyperlink w:anchor="ref-hmrc_n700">
        <w:r>
          <w:rPr>
            <w:rStyle w:val="Hyperlink"/>
          </w:rPr>
          <w:t xml:space="preserve">HMRC, 2026o, para. 3.6</w:t>
        </w:r>
      </w:hyperlink>
      <w:r>
        <w:t xml:space="preserve">)</w:t>
      </w:r>
      <w:r>
        <w:t xml:space="preserve">. A business that only makes exempt supplies cannot register for VAT at all, so it cannot recover any VAT on its purchases</w:t>
      </w:r>
      <w:r>
        <w:t xml:space="preserve"> </w:t>
      </w:r>
      <w:r>
        <w:t xml:space="preserve">(</w:t>
      </w:r>
      <w:hyperlink w:anchor="ref-hmrc_exemption">
        <w:r>
          <w:rPr>
            <w:rStyle w:val="Hyperlink"/>
          </w:rPr>
          <w:t xml:space="preserve">HMRC, 2022a</w:t>
        </w:r>
      </w:hyperlink>
      <w:r>
        <w:t xml:space="preserve">)</w:t>
      </w:r>
      <w:r>
        <w:t xml:space="preserve">.</w:t>
      </w:r>
    </w:p>
    <w:p>
      <w:pPr>
        <w:pStyle w:val="BodyText"/>
      </w:pPr>
      <w:r>
        <w:t xml:space="preserve">Exempt supplies are listed in Schedule 9 to the Value Added Tax Act 1994, which is divided into</w:t>
      </w:r>
      <w:r>
        <w:t xml:space="preserve"> </w:t>
      </w:r>
      <w:r>
        <w:t xml:space="preserve">“</w:t>
      </w:r>
      <w:r>
        <w:t xml:space="preserve">groups</w:t>
      </w:r>
      <w:r>
        <w:t xml:space="preserve">”</w:t>
      </w:r>
      <w:r>
        <w:t xml:space="preserve">.</w:t>
      </w:r>
    </w:p>
    <w:bookmarkStart w:id="127" w:name="the-schedule-9-groups-in-plain-terms"/>
    <w:p>
      <w:pPr>
        <w:pStyle w:val="Heading4"/>
      </w:pPr>
      <w:r>
        <w:t xml:space="preserve">The Schedule 9 groups in plain terms</w:t>
      </w:r>
    </w:p>
    <w:p>
      <w:pPr>
        <w:pStyle w:val="FirstParagraph"/>
      </w:pPr>
      <w:r>
        <w:t xml:space="preserve">The table below summarises the exempt groups in Schedule 9 to the Value Added Tax Act 1994 (except Group 14, explained after the table), based on HMRC’s VAT guide and VAT rates page</w:t>
      </w:r>
      <w:r>
        <w:t xml:space="preserve"> </w:t>
      </w:r>
      <w:r>
        <w:t xml:space="preserve">(</w:t>
      </w:r>
      <w:hyperlink w:anchor="ref-hmrc_n700">
        <w:r>
          <w:rPr>
            <w:rStyle w:val="Hyperlink"/>
          </w:rPr>
          <w:t xml:space="preserve">HMRC, 2026o, para. 29.4</w:t>
        </w:r>
      </w:hyperlink>
      <w:r>
        <w:t xml:space="preserve">;</w:t>
      </w:r>
      <w:r>
        <w:t xml:space="preserve"> </w:t>
      </w:r>
      <w:hyperlink w:anchor="ref-hmrc_vat_rates">
        <w:r>
          <w:rPr>
            <w:rStyle w:val="Hyperlink"/>
          </w:rPr>
          <w:t xml:space="preserve">2026r</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116"/>
        <w:gridCol w:w="3856"/>
        <w:gridCol w:w="3052"/>
      </w:tblGrid>
      <w:tr>
        <w:trPr>
          <w:tblHeader w:val="true"/>
          <w:cantSplit w:val="true"/>
        </w:trPr>
        <w:tc>
          <w:tcPr>
            <w:tcW w:w="2116" w:type="dxa"/>
            <w:shd w:val="clear" w:color="auto" w:fill="1B3A5C"/>
          </w:tcPr>
          <w:p>
            <w:pPr>
              <w:pStyle w:val="Compact"/>
              <w:spacing w:after="40" w:before="40"/>
              <w:jc w:val="left"/>
            </w:pPr>
            <w:r>
              <w:rPr>
                <w:rFonts w:ascii="Tahoma" w:hAnsi="Tahoma"/>
                <w:b/>
                <w:color w:val="FFFFFF"/>
                <w:sz w:val="22"/>
              </w:rPr>
              <w:t xml:space="preserve">Group</w:t>
            </w:r>
          </w:p>
        </w:tc>
        <w:tc>
          <w:tcPr>
            <w:tcW w:w="3856" w:type="dxa"/>
            <w:shd w:val="clear" w:color="auto" w:fill="1B3A5C"/>
          </w:tcPr>
          <w:p>
            <w:pPr>
              <w:pStyle w:val="Compact"/>
              <w:spacing w:after="40" w:before="40"/>
              <w:jc w:val="left"/>
            </w:pPr>
            <w:r>
              <w:rPr>
                <w:rFonts w:ascii="Tahoma" w:hAnsi="Tahoma"/>
                <w:b/>
                <w:color w:val="FFFFFF"/>
                <w:sz w:val="22"/>
              </w:rPr>
              <w:t xml:space="preserve">What it covers in plain terms</w:t>
            </w:r>
          </w:p>
        </w:tc>
        <w:tc>
          <w:tcPr>
            <w:tcW w:w="3052" w:type="dxa"/>
            <w:shd w:val="clear" w:color="auto" w:fill="1B3A5C"/>
          </w:tcPr>
          <w:p>
            <w:pPr>
              <w:pStyle w:val="Compact"/>
              <w:spacing w:after="40" w:before="40"/>
              <w:jc w:val="left"/>
            </w:pPr>
            <w:r>
              <w:rPr>
                <w:rFonts w:ascii="Tahoma" w:hAnsi="Tahoma"/>
                <w:b/>
                <w:color w:val="FFFFFF"/>
                <w:sz w:val="22"/>
              </w:rPr>
              <w:t xml:space="preserve">Example the Department might meet</w:t>
            </w:r>
          </w:p>
        </w:tc>
      </w:tr>
      <w:tr>
        <w:trPr>
          <w:cantSplit w:val="true"/>
        </w:trPr>
        <w:tc>
          <w:tcPr>
            <w:tcW w:w="2116" w:type="dxa"/>
            <w:shd w:val="clear" w:color="auto" w:fill="EAF3FA"/>
          </w:tcPr>
          <w:p>
            <w:pPr>
              <w:pStyle w:val="Compact"/>
              <w:spacing w:after="40" w:before="40"/>
              <w:jc w:val="left"/>
            </w:pPr>
            <w:r>
              <w:rPr>
                <w:rFonts w:ascii="Tahoma" w:hAnsi="Tahoma"/>
                <w:sz w:val="22"/>
              </w:rPr>
              <w:t xml:space="preserve">1 Land</w:t>
            </w:r>
          </w:p>
        </w:tc>
        <w:tc>
          <w:tcPr>
            <w:tcW w:w="3856" w:type="dxa"/>
            <w:shd w:val="clear" w:color="auto" w:fill="EAF3FA"/>
          </w:tcPr>
          <w:p>
            <w:pPr>
              <w:pStyle w:val="Compact"/>
              <w:spacing w:after="40" w:before="40"/>
              <w:jc w:val="left"/>
            </w:pPr>
            <w:r>
              <w:rPr>
                <w:rFonts w:ascii="Tahoma" w:hAnsi="Tahoma"/>
                <w:sz w:val="22"/>
              </w:rPr>
              <w:t xml:space="preserve">Selling, leasing or letting land and buildings (with exceptions)</w:t>
            </w:r>
          </w:p>
        </w:tc>
        <w:tc>
          <w:tcPr>
            <w:tcW w:w="3052" w:type="dxa"/>
            <w:shd w:val="clear" w:color="auto" w:fill="EAF3FA"/>
          </w:tcPr>
          <w:p>
            <w:pPr>
              <w:pStyle w:val="Compact"/>
              <w:spacing w:after="40" w:before="40"/>
              <w:jc w:val="left"/>
            </w:pPr>
            <w:r>
              <w:rPr>
                <w:rFonts w:ascii="Tahoma" w:hAnsi="Tahoma"/>
                <w:sz w:val="22"/>
              </w:rPr>
              <w:t xml:space="preserve">Rent on an office where the landlord has not opted to tax</w:t>
            </w:r>
          </w:p>
        </w:tc>
      </w:tr>
      <w:tr>
        <w:trPr>
          <w:cantSplit w:val="true"/>
        </w:trPr>
        <w:tc>
          <w:tcPr>
            <w:tcW w:w="2116" w:type="dxa"/>
            <w:shd w:val="clear" w:color="auto" w:fill="FFFFFF"/>
          </w:tcPr>
          <w:p>
            <w:pPr>
              <w:pStyle w:val="Compact"/>
              <w:spacing w:after="40" w:before="40"/>
              <w:jc w:val="left"/>
            </w:pPr>
            <w:r>
              <w:rPr>
                <w:rFonts w:ascii="Tahoma" w:hAnsi="Tahoma"/>
                <w:sz w:val="22"/>
              </w:rPr>
              <w:t xml:space="preserve">2 Insurance</w:t>
            </w:r>
          </w:p>
        </w:tc>
        <w:tc>
          <w:tcPr>
            <w:tcW w:w="3856" w:type="dxa"/>
            <w:shd w:val="clear" w:color="auto" w:fill="FFFFFF"/>
          </w:tcPr>
          <w:p>
            <w:pPr>
              <w:pStyle w:val="Compact"/>
              <w:spacing w:after="40" w:before="40"/>
              <w:jc w:val="left"/>
            </w:pPr>
            <w:r>
              <w:rPr>
                <w:rFonts w:ascii="Tahoma" w:hAnsi="Tahoma"/>
                <w:sz w:val="22"/>
              </w:rPr>
              <w:t xml:space="preserve">Insurance, and the services of insurance brokers and agents</w:t>
            </w:r>
          </w:p>
        </w:tc>
        <w:tc>
          <w:tcPr>
            <w:tcW w:w="3052" w:type="dxa"/>
            <w:shd w:val="clear" w:color="auto" w:fill="FFFFFF"/>
          </w:tcPr>
          <w:p>
            <w:pPr>
              <w:pStyle w:val="Compact"/>
              <w:spacing w:after="40" w:before="40"/>
              <w:jc w:val="left"/>
            </w:pPr>
            <w:r>
              <w:rPr>
                <w:rFonts w:ascii="Tahoma" w:hAnsi="Tahoma"/>
                <w:sz w:val="22"/>
              </w:rPr>
              <w:t xml:space="preserve">Premium for insuring a vehicle</w:t>
            </w:r>
          </w:p>
        </w:tc>
      </w:tr>
      <w:tr>
        <w:trPr>
          <w:cantSplit w:val="true"/>
        </w:trPr>
        <w:tc>
          <w:tcPr>
            <w:tcW w:w="2116" w:type="dxa"/>
            <w:shd w:val="clear" w:color="auto" w:fill="FBEAF1"/>
          </w:tcPr>
          <w:p>
            <w:pPr>
              <w:pStyle w:val="Compact"/>
              <w:spacing w:after="40" w:before="40"/>
              <w:jc w:val="left"/>
            </w:pPr>
            <w:r>
              <w:rPr>
                <w:rFonts w:ascii="Tahoma" w:hAnsi="Tahoma"/>
                <w:sz w:val="22"/>
              </w:rPr>
              <w:t xml:space="preserve">3 Postal services</w:t>
            </w:r>
          </w:p>
        </w:tc>
        <w:tc>
          <w:tcPr>
            <w:tcW w:w="3856" w:type="dxa"/>
            <w:shd w:val="clear" w:color="auto" w:fill="FBEAF1"/>
          </w:tcPr>
          <w:p>
            <w:pPr>
              <w:pStyle w:val="Compact"/>
              <w:spacing w:after="40" w:before="40"/>
              <w:jc w:val="left"/>
            </w:pPr>
            <w:r>
              <w:rPr>
                <w:rFonts w:ascii="Tahoma" w:hAnsi="Tahoma"/>
                <w:sz w:val="22"/>
              </w:rPr>
              <w:t xml:space="preserve">Postal services under the universal service obligation</w:t>
            </w:r>
          </w:p>
        </w:tc>
        <w:tc>
          <w:tcPr>
            <w:tcW w:w="3052" w:type="dxa"/>
            <w:shd w:val="clear" w:color="auto" w:fill="FBEAF1"/>
          </w:tcPr>
          <w:p>
            <w:pPr>
              <w:pStyle w:val="Compact"/>
              <w:spacing w:after="40" w:before="40"/>
              <w:jc w:val="left"/>
            </w:pPr>
            <w:r>
              <w:rPr>
                <w:rFonts w:ascii="Tahoma" w:hAnsi="Tahoma"/>
                <w:sz w:val="22"/>
              </w:rPr>
              <w:t xml:space="preserve">Royal Mail first and second class stamps</w:t>
            </w:r>
          </w:p>
        </w:tc>
      </w:tr>
      <w:tr>
        <w:trPr>
          <w:cantSplit w:val="true"/>
        </w:trPr>
        <w:tc>
          <w:tcPr>
            <w:tcW w:w="2116" w:type="dxa"/>
            <w:shd w:val="clear" w:color="auto" w:fill="EAF3FA"/>
          </w:tcPr>
          <w:p>
            <w:pPr>
              <w:pStyle w:val="Compact"/>
              <w:spacing w:after="40" w:before="40"/>
              <w:jc w:val="left"/>
            </w:pPr>
            <w:r>
              <w:rPr>
                <w:rFonts w:ascii="Tahoma" w:hAnsi="Tahoma"/>
                <w:sz w:val="22"/>
              </w:rPr>
              <w:t xml:space="preserve">4 Betting, gaming and lotteries</w:t>
            </w:r>
          </w:p>
        </w:tc>
        <w:tc>
          <w:tcPr>
            <w:tcW w:w="3856" w:type="dxa"/>
            <w:shd w:val="clear" w:color="auto" w:fill="EAF3FA"/>
          </w:tcPr>
          <w:p>
            <w:pPr>
              <w:pStyle w:val="Compact"/>
              <w:spacing w:after="40" w:before="40"/>
              <w:jc w:val="left"/>
            </w:pPr>
            <w:r>
              <w:rPr>
                <w:rFonts w:ascii="Tahoma" w:hAnsi="Tahoma"/>
                <w:sz w:val="22"/>
              </w:rPr>
              <w:t xml:space="preserve">Betting, bingo and lottery tickets</w:t>
            </w:r>
          </w:p>
        </w:tc>
        <w:tc>
          <w:tcPr>
            <w:tcW w:w="3052" w:type="dxa"/>
            <w:shd w:val="clear" w:color="auto" w:fill="EAF3FA"/>
          </w:tcPr>
          <w:p>
            <w:pPr>
              <w:pStyle w:val="Compact"/>
              <w:spacing w:after="40" w:before="40"/>
              <w:jc w:val="left"/>
            </w:pPr>
            <w:r>
              <w:rPr>
                <w:rFonts w:ascii="Tahoma" w:hAnsi="Tahoma"/>
                <w:sz w:val="22"/>
              </w:rPr>
              <w:t xml:space="preserve">Unlikely to arise</w:t>
            </w:r>
          </w:p>
        </w:tc>
      </w:tr>
      <w:tr>
        <w:trPr>
          <w:cantSplit w:val="true"/>
        </w:trPr>
        <w:tc>
          <w:tcPr>
            <w:tcW w:w="2116" w:type="dxa"/>
            <w:shd w:val="clear" w:color="auto" w:fill="FFFFFF"/>
          </w:tcPr>
          <w:p>
            <w:pPr>
              <w:pStyle w:val="Compact"/>
              <w:spacing w:after="40" w:before="40"/>
              <w:jc w:val="left"/>
            </w:pPr>
            <w:r>
              <w:rPr>
                <w:rFonts w:ascii="Tahoma" w:hAnsi="Tahoma"/>
                <w:sz w:val="22"/>
              </w:rPr>
              <w:t xml:space="preserve">5 Finance</w:t>
            </w:r>
          </w:p>
        </w:tc>
        <w:tc>
          <w:tcPr>
            <w:tcW w:w="3856" w:type="dxa"/>
            <w:shd w:val="clear" w:color="auto" w:fill="FFFFFF"/>
          </w:tcPr>
          <w:p>
            <w:pPr>
              <w:pStyle w:val="Compact"/>
              <w:spacing w:after="40" w:before="40"/>
              <w:jc w:val="left"/>
            </w:pPr>
            <w:r>
              <w:rPr>
                <w:rFonts w:ascii="Tahoma" w:hAnsi="Tahoma"/>
                <w:sz w:val="22"/>
              </w:rPr>
              <w:t xml:space="preserve">Loans, bank accounts, dealing in money and securities</w:t>
            </w:r>
          </w:p>
        </w:tc>
        <w:tc>
          <w:tcPr>
            <w:tcW w:w="3052" w:type="dxa"/>
            <w:shd w:val="clear" w:color="auto" w:fill="FFFFFF"/>
          </w:tcPr>
          <w:p>
            <w:pPr>
              <w:pStyle w:val="Compact"/>
              <w:spacing w:after="40" w:before="40"/>
              <w:jc w:val="left"/>
            </w:pPr>
            <w:r>
              <w:rPr>
                <w:rFonts w:ascii="Tahoma" w:hAnsi="Tahoma"/>
                <w:sz w:val="22"/>
              </w:rPr>
              <w:t xml:space="preserve">Bank charges</w:t>
            </w:r>
          </w:p>
        </w:tc>
      </w:tr>
      <w:tr>
        <w:trPr>
          <w:cantSplit w:val="true"/>
        </w:trPr>
        <w:tc>
          <w:tcPr>
            <w:tcW w:w="2116" w:type="dxa"/>
            <w:shd w:val="clear" w:color="auto" w:fill="FBEAF1"/>
          </w:tcPr>
          <w:p>
            <w:pPr>
              <w:pStyle w:val="Compact"/>
              <w:spacing w:after="40" w:before="40"/>
              <w:jc w:val="left"/>
            </w:pPr>
            <w:r>
              <w:rPr>
                <w:rFonts w:ascii="Tahoma" w:hAnsi="Tahoma"/>
                <w:sz w:val="22"/>
              </w:rPr>
              <w:t xml:space="preserve">6 Education</w:t>
            </w:r>
          </w:p>
        </w:tc>
        <w:tc>
          <w:tcPr>
            <w:tcW w:w="3856" w:type="dxa"/>
            <w:shd w:val="clear" w:color="auto" w:fill="FBEAF1"/>
          </w:tcPr>
          <w:p>
            <w:pPr>
              <w:pStyle w:val="Compact"/>
              <w:spacing w:after="40" w:before="40"/>
              <w:jc w:val="left"/>
            </w:pPr>
            <w:r>
              <w:rPr>
                <w:rFonts w:ascii="Tahoma" w:hAnsi="Tahoma"/>
                <w:sz w:val="22"/>
              </w:rPr>
              <w:t xml:space="preserve">Education and vocational training by eligible bodies</w:t>
            </w:r>
          </w:p>
        </w:tc>
        <w:tc>
          <w:tcPr>
            <w:tcW w:w="3052" w:type="dxa"/>
            <w:shd w:val="clear" w:color="auto" w:fill="FBEAF1"/>
          </w:tcPr>
          <w:p>
            <w:pPr>
              <w:pStyle w:val="Compact"/>
              <w:spacing w:after="40" w:before="40"/>
              <w:jc w:val="left"/>
            </w:pPr>
            <w:r>
              <w:rPr>
                <w:rFonts w:ascii="Tahoma" w:hAnsi="Tahoma"/>
                <w:sz w:val="22"/>
              </w:rPr>
              <w:t xml:space="preserve">A course run by a university</w:t>
            </w:r>
          </w:p>
        </w:tc>
      </w:tr>
      <w:tr>
        <w:trPr>
          <w:cantSplit w:val="true"/>
        </w:trPr>
        <w:tc>
          <w:tcPr>
            <w:tcW w:w="2116" w:type="dxa"/>
            <w:shd w:val="clear" w:color="auto" w:fill="EAF3FA"/>
          </w:tcPr>
          <w:p>
            <w:pPr>
              <w:pStyle w:val="Compact"/>
              <w:spacing w:after="40" w:before="40"/>
              <w:jc w:val="left"/>
            </w:pPr>
            <w:r>
              <w:rPr>
                <w:rFonts w:ascii="Tahoma" w:hAnsi="Tahoma"/>
                <w:sz w:val="22"/>
              </w:rPr>
              <w:t xml:space="preserve">7 Health and welfare</w:t>
            </w:r>
          </w:p>
        </w:tc>
        <w:tc>
          <w:tcPr>
            <w:tcW w:w="3856" w:type="dxa"/>
            <w:shd w:val="clear" w:color="auto" w:fill="EAF3FA"/>
          </w:tcPr>
          <w:p>
            <w:pPr>
              <w:pStyle w:val="Compact"/>
              <w:spacing w:after="40" w:before="40"/>
              <w:jc w:val="left"/>
            </w:pPr>
            <w:r>
              <w:rPr>
                <w:rFonts w:ascii="Tahoma" w:hAnsi="Tahoma"/>
                <w:sz w:val="22"/>
              </w:rPr>
              <w:t xml:space="preserve">Medical care by registered health professionals, and care in hospitals</w:t>
            </w:r>
          </w:p>
        </w:tc>
        <w:tc>
          <w:tcPr>
            <w:tcW w:w="3052" w:type="dxa"/>
            <w:shd w:val="clear" w:color="auto" w:fill="EAF3FA"/>
          </w:tcPr>
          <w:p>
            <w:pPr>
              <w:pStyle w:val="Compact"/>
              <w:spacing w:after="40" w:before="40"/>
              <w:jc w:val="left"/>
            </w:pPr>
            <w:r>
              <w:rPr>
                <w:rFonts w:ascii="Tahoma" w:hAnsi="Tahoma"/>
                <w:sz w:val="22"/>
              </w:rPr>
              <w:t xml:space="preserve">Care from a registered nurse</w:t>
            </w:r>
          </w:p>
        </w:tc>
      </w:tr>
      <w:tr>
        <w:trPr>
          <w:cantSplit w:val="true"/>
        </w:trPr>
        <w:tc>
          <w:tcPr>
            <w:tcW w:w="2116" w:type="dxa"/>
            <w:shd w:val="clear" w:color="auto" w:fill="FFFFFF"/>
          </w:tcPr>
          <w:p>
            <w:pPr>
              <w:pStyle w:val="Compact"/>
              <w:spacing w:after="40" w:before="40"/>
              <w:jc w:val="left"/>
            </w:pPr>
            <w:r>
              <w:rPr>
                <w:rFonts w:ascii="Tahoma" w:hAnsi="Tahoma"/>
                <w:sz w:val="22"/>
              </w:rPr>
              <w:t xml:space="preserve">8 Burial and cremation</w:t>
            </w:r>
          </w:p>
        </w:tc>
        <w:tc>
          <w:tcPr>
            <w:tcW w:w="3856" w:type="dxa"/>
            <w:shd w:val="clear" w:color="auto" w:fill="FFFFFF"/>
          </w:tcPr>
          <w:p>
            <w:pPr>
              <w:pStyle w:val="Compact"/>
              <w:spacing w:after="40" w:before="40"/>
              <w:jc w:val="left"/>
            </w:pPr>
            <w:r>
              <w:rPr>
                <w:rFonts w:ascii="Tahoma" w:hAnsi="Tahoma"/>
                <w:sz w:val="22"/>
              </w:rPr>
              <w:t xml:space="preserve">Most burial and cremation services</w:t>
            </w:r>
          </w:p>
        </w:tc>
        <w:tc>
          <w:tcPr>
            <w:tcW w:w="3052" w:type="dxa"/>
            <w:shd w:val="clear" w:color="auto" w:fill="FFFFFF"/>
          </w:tcPr>
          <w:p>
            <w:pPr>
              <w:pStyle w:val="Compact"/>
              <w:spacing w:after="40" w:before="40"/>
              <w:jc w:val="left"/>
            </w:pPr>
            <w:r>
              <w:rPr>
                <w:rFonts w:ascii="Tahoma" w:hAnsi="Tahoma"/>
                <w:sz w:val="22"/>
              </w:rPr>
              <w:t xml:space="preserve">Unlikely to arise</w:t>
            </w:r>
          </w:p>
        </w:tc>
      </w:tr>
      <w:tr>
        <w:trPr>
          <w:cantSplit w:val="true"/>
        </w:trPr>
        <w:tc>
          <w:tcPr>
            <w:tcW w:w="2116" w:type="dxa"/>
            <w:shd w:val="clear" w:color="auto" w:fill="FBEAF1"/>
          </w:tcPr>
          <w:p>
            <w:pPr>
              <w:pStyle w:val="Compact"/>
              <w:spacing w:after="40" w:before="40"/>
              <w:jc w:val="left"/>
            </w:pPr>
            <w:r>
              <w:rPr>
                <w:rFonts w:ascii="Tahoma" w:hAnsi="Tahoma"/>
                <w:sz w:val="22"/>
              </w:rPr>
              <w:t xml:space="preserve">9 Subscriptions</w:t>
            </w:r>
          </w:p>
        </w:tc>
        <w:tc>
          <w:tcPr>
            <w:tcW w:w="3856" w:type="dxa"/>
            <w:shd w:val="clear" w:color="auto" w:fill="FBEAF1"/>
          </w:tcPr>
          <w:p>
            <w:pPr>
              <w:pStyle w:val="Compact"/>
              <w:spacing w:after="40" w:before="40"/>
              <w:jc w:val="left"/>
            </w:pPr>
            <w:r>
              <w:rPr>
                <w:rFonts w:ascii="Tahoma" w:hAnsi="Tahoma"/>
                <w:sz w:val="22"/>
              </w:rPr>
              <w:t xml:space="preserve">Some subscriptions to trade unions and professional bodies</w:t>
            </w:r>
          </w:p>
        </w:tc>
        <w:tc>
          <w:tcPr>
            <w:tcW w:w="3052" w:type="dxa"/>
            <w:shd w:val="clear" w:color="auto" w:fill="FBEAF1"/>
          </w:tcPr>
          <w:p>
            <w:pPr>
              <w:pStyle w:val="Compact"/>
              <w:spacing w:after="40" w:before="40"/>
              <w:jc w:val="left"/>
            </w:pPr>
            <w:r>
              <w:rPr>
                <w:rFonts w:ascii="Tahoma" w:hAnsi="Tahoma"/>
                <w:sz w:val="22"/>
              </w:rPr>
              <w:t xml:space="preserve">A staff member’s professional body subscription</w:t>
            </w:r>
          </w:p>
        </w:tc>
      </w:tr>
      <w:tr>
        <w:trPr>
          <w:cantSplit w:val="true"/>
        </w:trPr>
        <w:tc>
          <w:tcPr>
            <w:tcW w:w="2116" w:type="dxa"/>
            <w:shd w:val="clear" w:color="auto" w:fill="EAF3FA"/>
          </w:tcPr>
          <w:p>
            <w:pPr>
              <w:pStyle w:val="Compact"/>
              <w:spacing w:after="40" w:before="40"/>
              <w:jc w:val="left"/>
            </w:pPr>
            <w:r>
              <w:rPr>
                <w:rFonts w:ascii="Tahoma" w:hAnsi="Tahoma"/>
                <w:sz w:val="22"/>
              </w:rPr>
              <w:t xml:space="preserve">10 Sport</w:t>
            </w:r>
          </w:p>
        </w:tc>
        <w:tc>
          <w:tcPr>
            <w:tcW w:w="3856" w:type="dxa"/>
            <w:shd w:val="clear" w:color="auto" w:fill="EAF3FA"/>
          </w:tcPr>
          <w:p>
            <w:pPr>
              <w:pStyle w:val="Compact"/>
              <w:spacing w:after="40" w:before="40"/>
              <w:jc w:val="left"/>
            </w:pPr>
            <w:r>
              <w:rPr>
                <w:rFonts w:ascii="Tahoma" w:hAnsi="Tahoma"/>
                <w:sz w:val="22"/>
              </w:rPr>
              <w:t xml:space="preserve">Some sports services from eligible non-profit bodies</w:t>
            </w:r>
          </w:p>
        </w:tc>
        <w:tc>
          <w:tcPr>
            <w:tcW w:w="3052" w:type="dxa"/>
            <w:shd w:val="clear" w:color="auto" w:fill="EAF3FA"/>
          </w:tcPr>
          <w:p>
            <w:pPr>
              <w:pStyle w:val="Compact"/>
              <w:spacing w:after="40" w:before="40"/>
              <w:jc w:val="left"/>
            </w:pPr>
            <w:r>
              <w:rPr>
                <w:rFonts w:ascii="Tahoma" w:hAnsi="Tahoma"/>
                <w:sz w:val="22"/>
              </w:rPr>
              <w:t xml:space="preserve">Rarely, as bookings by an organisation usually do not qualify</w:t>
            </w:r>
          </w:p>
        </w:tc>
      </w:tr>
      <w:tr>
        <w:trPr>
          <w:cantSplit w:val="true"/>
        </w:trPr>
        <w:tc>
          <w:tcPr>
            <w:tcW w:w="2116" w:type="dxa"/>
            <w:shd w:val="clear" w:color="auto" w:fill="FFFFFF"/>
          </w:tcPr>
          <w:p>
            <w:pPr>
              <w:pStyle w:val="Compact"/>
              <w:spacing w:after="40" w:before="40"/>
              <w:jc w:val="left"/>
            </w:pPr>
            <w:r>
              <w:rPr>
                <w:rFonts w:ascii="Tahoma" w:hAnsi="Tahoma"/>
                <w:sz w:val="22"/>
              </w:rPr>
              <w:t xml:space="preserve">11 Works of art</w:t>
            </w:r>
          </w:p>
        </w:tc>
        <w:tc>
          <w:tcPr>
            <w:tcW w:w="3856" w:type="dxa"/>
            <w:shd w:val="clear" w:color="auto" w:fill="FFFFFF"/>
          </w:tcPr>
          <w:p>
            <w:pPr>
              <w:pStyle w:val="Compact"/>
              <w:spacing w:after="40" w:before="40"/>
              <w:jc w:val="left"/>
            </w:pPr>
            <w:r>
              <w:rPr>
                <w:rFonts w:ascii="Tahoma" w:hAnsi="Tahoma"/>
                <w:sz w:val="22"/>
              </w:rPr>
              <w:t xml:space="preserve">Certain sales of works of art from historic houses</w:t>
            </w:r>
          </w:p>
        </w:tc>
        <w:tc>
          <w:tcPr>
            <w:tcW w:w="3052" w:type="dxa"/>
            <w:shd w:val="clear" w:color="auto" w:fill="FFFFFF"/>
          </w:tcPr>
          <w:p>
            <w:pPr>
              <w:pStyle w:val="Compact"/>
              <w:spacing w:after="40" w:before="40"/>
              <w:jc w:val="left"/>
            </w:pPr>
            <w:r>
              <w:rPr>
                <w:rFonts w:ascii="Tahoma" w:hAnsi="Tahoma"/>
                <w:sz w:val="22"/>
              </w:rPr>
              <w:t xml:space="preserve">Unlikely to arise</w:t>
            </w:r>
          </w:p>
        </w:tc>
      </w:tr>
      <w:tr>
        <w:trPr>
          <w:cantSplit w:val="true"/>
        </w:trPr>
        <w:tc>
          <w:tcPr>
            <w:tcW w:w="2116" w:type="dxa"/>
            <w:shd w:val="clear" w:color="auto" w:fill="FBEAF1"/>
          </w:tcPr>
          <w:p>
            <w:pPr>
              <w:pStyle w:val="Compact"/>
              <w:spacing w:after="40" w:before="40"/>
              <w:jc w:val="left"/>
            </w:pPr>
            <w:r>
              <w:rPr>
                <w:rFonts w:ascii="Tahoma" w:hAnsi="Tahoma"/>
                <w:sz w:val="22"/>
              </w:rPr>
              <w:t xml:space="preserve">12 Fundraising</w:t>
            </w:r>
          </w:p>
        </w:tc>
        <w:tc>
          <w:tcPr>
            <w:tcW w:w="3856" w:type="dxa"/>
            <w:shd w:val="clear" w:color="auto" w:fill="FBEAF1"/>
          </w:tcPr>
          <w:p>
            <w:pPr>
              <w:pStyle w:val="Compact"/>
              <w:spacing w:after="40" w:before="40"/>
              <w:jc w:val="left"/>
            </w:pPr>
            <w:r>
              <w:rPr>
                <w:rFonts w:ascii="Tahoma" w:hAnsi="Tahoma"/>
                <w:sz w:val="22"/>
              </w:rPr>
              <w:t xml:space="preserve">Fundraising events by charities and other qualifying bodies</w:t>
            </w:r>
          </w:p>
        </w:tc>
        <w:tc>
          <w:tcPr>
            <w:tcW w:w="3052" w:type="dxa"/>
            <w:shd w:val="clear" w:color="auto" w:fill="FBEAF1"/>
          </w:tcPr>
          <w:p>
            <w:pPr>
              <w:pStyle w:val="Compact"/>
              <w:spacing w:after="40" w:before="40"/>
              <w:jc w:val="left"/>
            </w:pPr>
            <w:r>
              <w:rPr>
                <w:rFonts w:ascii="Tahoma" w:hAnsi="Tahoma"/>
                <w:sz w:val="22"/>
              </w:rPr>
              <w:t xml:space="preserve">A ticket for a charity fundraising dinner</w:t>
            </w:r>
          </w:p>
        </w:tc>
      </w:tr>
      <w:tr>
        <w:trPr>
          <w:cantSplit w:val="true"/>
        </w:trPr>
        <w:tc>
          <w:tcPr>
            <w:tcW w:w="2116" w:type="dxa"/>
            <w:shd w:val="clear" w:color="auto" w:fill="EAF3FA"/>
          </w:tcPr>
          <w:p>
            <w:pPr>
              <w:pStyle w:val="Compact"/>
              <w:spacing w:after="40" w:before="40"/>
              <w:jc w:val="left"/>
            </w:pPr>
            <w:r>
              <w:rPr>
                <w:rFonts w:ascii="Tahoma" w:hAnsi="Tahoma"/>
                <w:sz w:val="22"/>
              </w:rPr>
              <w:t xml:space="preserve">13 Cultural services</w:t>
            </w:r>
          </w:p>
        </w:tc>
        <w:tc>
          <w:tcPr>
            <w:tcW w:w="3856" w:type="dxa"/>
            <w:shd w:val="clear" w:color="auto" w:fill="EAF3FA"/>
          </w:tcPr>
          <w:p>
            <w:pPr>
              <w:pStyle w:val="Compact"/>
              <w:spacing w:after="40" w:before="40"/>
              <w:jc w:val="left"/>
            </w:pPr>
            <w:r>
              <w:rPr>
                <w:rFonts w:ascii="Tahoma" w:hAnsi="Tahoma"/>
                <w:sz w:val="22"/>
              </w:rPr>
              <w:t xml:space="preserve">Admission charges by public bodies and eligible cultural bodies</w:t>
            </w:r>
          </w:p>
        </w:tc>
        <w:tc>
          <w:tcPr>
            <w:tcW w:w="3052" w:type="dxa"/>
            <w:shd w:val="clear" w:color="auto" w:fill="EAF3FA"/>
          </w:tcPr>
          <w:p>
            <w:pPr>
              <w:pStyle w:val="Compact"/>
              <w:spacing w:after="40" w:before="40"/>
              <w:jc w:val="left"/>
            </w:pPr>
            <w:r>
              <w:rPr>
                <w:rFonts w:ascii="Tahoma" w:hAnsi="Tahoma"/>
                <w:sz w:val="22"/>
              </w:rPr>
              <w:t xml:space="preserve">Entry to a museum or exhibition</w:t>
            </w:r>
          </w:p>
        </w:tc>
      </w:tr>
      <w:tr>
        <w:trPr>
          <w:cantSplit w:val="true"/>
        </w:trPr>
        <w:tc>
          <w:tcPr>
            <w:tcW w:w="2116" w:type="dxa"/>
            <w:shd w:val="clear" w:color="auto" w:fill="FFFFFF"/>
          </w:tcPr>
          <w:p>
            <w:pPr>
              <w:pStyle w:val="Compact"/>
              <w:spacing w:after="40" w:before="40"/>
              <w:jc w:val="left"/>
            </w:pPr>
            <w:r>
              <w:rPr>
                <w:rFonts w:ascii="Tahoma" w:hAnsi="Tahoma"/>
                <w:sz w:val="22"/>
              </w:rPr>
              <w:t xml:space="preserve">15 Investment gold</w:t>
            </w:r>
          </w:p>
        </w:tc>
        <w:tc>
          <w:tcPr>
            <w:tcW w:w="3856" w:type="dxa"/>
            <w:shd w:val="clear" w:color="auto" w:fill="FFFFFF"/>
          </w:tcPr>
          <w:p>
            <w:pPr>
              <w:pStyle w:val="Compact"/>
              <w:spacing w:after="40" w:before="40"/>
              <w:jc w:val="left"/>
            </w:pPr>
            <w:r>
              <w:rPr>
                <w:rFonts w:ascii="Tahoma" w:hAnsi="Tahoma"/>
                <w:sz w:val="22"/>
              </w:rPr>
              <w:t xml:space="preserve">Investment gold</w:t>
            </w:r>
          </w:p>
        </w:tc>
        <w:tc>
          <w:tcPr>
            <w:tcW w:w="3052" w:type="dxa"/>
            <w:shd w:val="clear" w:color="auto" w:fill="FFFFFF"/>
          </w:tcPr>
          <w:p>
            <w:pPr>
              <w:pStyle w:val="Compact"/>
              <w:spacing w:after="40" w:before="40"/>
              <w:jc w:val="left"/>
            </w:pPr>
            <w:r>
              <w:rPr>
                <w:rFonts w:ascii="Tahoma" w:hAnsi="Tahoma"/>
                <w:sz w:val="22"/>
              </w:rPr>
              <w:t xml:space="preserve">Unlikely to arise</w:t>
            </w:r>
          </w:p>
        </w:tc>
      </w:tr>
      <w:tr>
        <w:trPr>
          <w:cantSplit w:val="true"/>
        </w:trPr>
        <w:tc>
          <w:tcPr>
            <w:tcW w:w="2116" w:type="dxa"/>
            <w:shd w:val="clear" w:color="auto" w:fill="FBEAF1"/>
          </w:tcPr>
          <w:p>
            <w:pPr>
              <w:pStyle w:val="Compact"/>
              <w:spacing w:after="40" w:before="40"/>
              <w:jc w:val="left"/>
            </w:pPr>
            <w:r>
              <w:rPr>
                <w:rFonts w:ascii="Tahoma" w:hAnsi="Tahoma"/>
                <w:sz w:val="22"/>
              </w:rPr>
              <w:t xml:space="preserve">16 Cost sharing</w:t>
            </w:r>
          </w:p>
        </w:tc>
        <w:tc>
          <w:tcPr>
            <w:tcW w:w="3856" w:type="dxa"/>
            <w:shd w:val="clear" w:color="auto" w:fill="FBEAF1"/>
          </w:tcPr>
          <w:p>
            <w:pPr>
              <w:pStyle w:val="Compact"/>
              <w:spacing w:after="40" w:before="40"/>
              <w:jc w:val="left"/>
            </w:pPr>
            <w:r>
              <w:rPr>
                <w:rFonts w:ascii="Tahoma" w:hAnsi="Tahoma"/>
                <w:sz w:val="22"/>
              </w:rPr>
              <w:t xml:space="preserve">Services from certain cost sharing groups</w:t>
            </w:r>
          </w:p>
        </w:tc>
        <w:tc>
          <w:tcPr>
            <w:tcW w:w="3052" w:type="dxa"/>
            <w:shd w:val="clear" w:color="auto" w:fill="FBEAF1"/>
          </w:tcPr>
          <w:p>
            <w:pPr>
              <w:pStyle w:val="Compact"/>
              <w:spacing w:after="40" w:before="40"/>
              <w:jc w:val="left"/>
            </w:pPr>
            <w:r>
              <w:rPr>
                <w:rFonts w:ascii="Tahoma" w:hAnsi="Tahoma"/>
                <w:sz w:val="22"/>
              </w:rPr>
              <w:t xml:space="preserve">Unlikely to arise</w:t>
            </w:r>
          </w:p>
        </w:tc>
      </w:tr>
    </w:tbl>
    <w:p>
      <w:pPr>
        <w:pStyle w:val="BodyText"/>
        <w:spacing w:before="200"/>
      </w:pPr>
      <w:r>
        <w:t xml:space="preserve">Some points to note about the table:</w:t>
      </w:r>
    </w:p>
    <w:p>
      <w:pPr>
        <w:pStyle w:val="Compact"/>
        <w:numPr>
          <w:ilvl w:val="0"/>
          <w:numId w:val="1144"/>
        </w:numPr>
      </w:pPr>
      <w:r>
        <w:rPr>
          <w:b/>
          <w:bCs/>
        </w:rPr>
        <w:t xml:space="preserve">Land:</w:t>
      </w:r>
      <w:r>
        <w:t xml:space="preserve"> </w:t>
      </w:r>
      <w:r>
        <w:t xml:space="preserve">the grant of an interest in, or licence to occupy, land is normally exempt, but there are exceptions, such as the freehold sale of new commercial buildings, and parking facilities</w:t>
      </w:r>
      <w:r>
        <w:t xml:space="preserve"> </w:t>
      </w:r>
      <w:r>
        <w:t xml:space="preserve">(</w:t>
      </w:r>
      <w:hyperlink w:anchor="ref-hmrc_n742">
        <w:r>
          <w:rPr>
            <w:rStyle w:val="Hyperlink"/>
          </w:rPr>
          <w:t xml:space="preserve">HMRC, 2020a, para. 3.1</w:t>
        </w:r>
      </w:hyperlink>
      <w:r>
        <w:t xml:space="preserve">;</w:t>
      </w:r>
      <w:r>
        <w:t xml:space="preserve"> </w:t>
      </w:r>
      <w:hyperlink w:anchor="ref-hmrc_n742">
        <w:r>
          <w:rPr>
            <w:rStyle w:val="Hyperlink"/>
          </w:rPr>
          <w:t xml:space="preserve">2020a, para. 4.1</w:t>
        </w:r>
      </w:hyperlink>
      <w:r>
        <w:t xml:space="preserve">)</w:t>
      </w:r>
      <w:r>
        <w:t xml:space="preserve">. A landlord can choose to</w:t>
      </w:r>
      <w:r>
        <w:t xml:space="preserve"> </w:t>
      </w:r>
      <w:r>
        <w:t xml:space="preserve">“</w:t>
      </w:r>
      <w:r>
        <w:t xml:space="preserve">opt to tax</w:t>
      </w:r>
      <w:r>
        <w:t xml:space="preserve">”</w:t>
      </w:r>
      <w:r>
        <w:t xml:space="preserve"> </w:t>
      </w:r>
      <w:r>
        <w:t xml:space="preserve">commercial property, which makes the rent standard-rated</w:t>
      </w:r>
      <w:r>
        <w:t xml:space="preserve"> </w:t>
      </w:r>
      <w:r>
        <w:t xml:space="preserve">(</w:t>
      </w:r>
      <w:hyperlink w:anchor="ref-hmrc_exemption">
        <w:r>
          <w:rPr>
            <w:rStyle w:val="Hyperlink"/>
          </w:rPr>
          <w:t xml:space="preserve">HMRC, 2022a</w:t>
        </w:r>
      </w:hyperlink>
      <w:r>
        <w:t xml:space="preserve">)</w:t>
      </w:r>
      <w:r>
        <w:t xml:space="preserve">.</w:t>
      </w:r>
    </w:p>
    <w:p>
      <w:pPr>
        <w:pStyle w:val="Compact"/>
        <w:numPr>
          <w:ilvl w:val="0"/>
          <w:numId w:val="1144"/>
        </w:numPr>
      </w:pPr>
      <w:r>
        <w:rPr>
          <w:b/>
          <w:bCs/>
        </w:rPr>
        <w:t xml:space="preserve">Postal services:</w:t>
      </w:r>
      <w:r>
        <w:t xml:space="preserve"> </w:t>
      </w:r>
      <w:r>
        <w:t xml:space="preserve">only the universal service is exempt. Other postal services are standard-rated</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144"/>
        </w:numPr>
      </w:pPr>
      <w:r>
        <w:rPr>
          <w:b/>
          <w:bCs/>
        </w:rPr>
        <w:t xml:space="preserve">Education:</w:t>
      </w:r>
      <w:r>
        <w:t xml:space="preserve"> </w:t>
      </w:r>
      <w:r>
        <w:t xml:space="preserve">“</w:t>
      </w:r>
      <w:r>
        <w:t xml:space="preserve">eligible bodies</w:t>
      </w:r>
      <w:r>
        <w:t xml:space="preserve">”</w:t>
      </w:r>
      <w:r>
        <w:t xml:space="preserve"> </w:t>
      </w:r>
      <w:r>
        <w:t xml:space="preserve">include schools, colleges, universities, and government departments and executive agencies</w:t>
      </w:r>
      <w:r>
        <w:t xml:space="preserve"> </w:t>
      </w:r>
      <w:r>
        <w:t xml:space="preserve">(</w:t>
      </w:r>
      <w:hyperlink w:anchor="ref-hmrc_n70130">
        <w:r>
          <w:rPr>
            <w:rStyle w:val="Hyperlink"/>
          </w:rPr>
          <w:t xml:space="preserve">HMRC, 2025d, para. 4.1</w:t>
        </w:r>
      </w:hyperlink>
      <w:r>
        <w:t xml:space="preserve">)</w:t>
      </w:r>
      <w:r>
        <w:t xml:space="preserve">. Commercial training companies are unlikely to be eligible bodies</w:t>
      </w:r>
      <w:r>
        <w:t xml:space="preserve"> </w:t>
      </w:r>
      <w:r>
        <w:t xml:space="preserve">(</w:t>
      </w:r>
      <w:hyperlink w:anchor="ref-hmrc_n70130">
        <w:r>
          <w:rPr>
            <w:rStyle w:val="Hyperlink"/>
          </w:rPr>
          <w:t xml:space="preserve">HMRC, 2025d, para. 4.2</w:t>
        </w:r>
      </w:hyperlink>
      <w:r>
        <w:t xml:space="preserve">)</w:t>
      </w:r>
      <w:r>
        <w:t xml:space="preserve">.</w:t>
      </w:r>
    </w:p>
    <w:p>
      <w:pPr>
        <w:pStyle w:val="Compact"/>
        <w:numPr>
          <w:ilvl w:val="0"/>
          <w:numId w:val="1144"/>
        </w:numPr>
      </w:pPr>
      <w:r>
        <w:rPr>
          <w:b/>
          <w:bCs/>
        </w:rPr>
        <w:t xml:space="preserve">Sport:</w:t>
      </w:r>
      <w:r>
        <w:t xml:space="preserve"> </w:t>
      </w:r>
      <w:r>
        <w:t xml:space="preserve">the exemption only applies to eligible bodies that are non-profit-making</w:t>
      </w:r>
      <w:r>
        <w:t xml:space="preserve"> </w:t>
      </w:r>
      <w:r>
        <w:t xml:space="preserve">(</w:t>
      </w:r>
      <w:hyperlink w:anchor="ref-hmrc_n70145">
        <w:r>
          <w:rPr>
            <w:rStyle w:val="Hyperlink"/>
          </w:rPr>
          <w:t xml:space="preserve">HMRC, 2011, para. 2.2</w:t>
        </w:r>
      </w:hyperlink>
      <w:r>
        <w:t xml:space="preserve">)</w:t>
      </w:r>
      <w:r>
        <w:t xml:space="preserve">.</w:t>
      </w:r>
      <w:r>
        <w:t xml:space="preserve"> </w:t>
      </w:r>
      <w:r>
        <w:rPr>
          <w:b/>
          <w:bCs/>
        </w:rPr>
        <w:t xml:space="preserve">Check first:</w:t>
      </w:r>
      <w:r>
        <w:t xml:space="preserve"> </w:t>
      </w:r>
      <w:r>
        <w:t xml:space="preserve">when an organisation books a golf day or similar for its own purposes, such as for its staff, the supply is to the organisation, not to the individuals taking part, so a members’ sports club’s supply is standard-rated</w:t>
      </w:r>
      <w:r>
        <w:t xml:space="preserve"> </w:t>
      </w:r>
      <w:r>
        <w:t xml:space="preserve">(</w:t>
      </w:r>
      <w:hyperlink w:anchor="ref-hmrc_n70145">
        <w:r>
          <w:rPr>
            <w:rStyle w:val="Hyperlink"/>
          </w:rPr>
          <w:t xml:space="preserve">HMRC, 2011, para. 3.4.1</w:t>
        </w:r>
      </w:hyperlink>
      <w:r>
        <w:t xml:space="preserve">)</w:t>
      </w:r>
      <w:r>
        <w:t xml:space="preserve">.</w:t>
      </w:r>
    </w:p>
    <w:p>
      <w:pPr>
        <w:pStyle w:val="Compact"/>
        <w:numPr>
          <w:ilvl w:val="0"/>
          <w:numId w:val="1144"/>
        </w:numPr>
      </w:pPr>
      <w:r>
        <w:rPr>
          <w:b/>
          <w:bCs/>
        </w:rPr>
        <w:t xml:space="preserve">Subscriptions:</w:t>
      </w:r>
      <w:r>
        <w:t xml:space="preserve"> </w:t>
      </w:r>
      <w:r>
        <w:rPr>
          <w:b/>
          <w:bCs/>
        </w:rPr>
        <w:t xml:space="preserve">Check first</w:t>
      </w:r>
      <w:r>
        <w:t xml:space="preserve"> </w:t>
      </w:r>
      <w:r>
        <w:t xml:space="preserve">that the body qualifies, as the exemption only covers certain bodies</w:t>
      </w:r>
      <w:r>
        <w:t xml:space="preserve"> </w:t>
      </w:r>
      <w:r>
        <w:t xml:space="preserve">(</w:t>
      </w:r>
      <w:hyperlink w:anchor="ref-hmrc_n700">
        <w:r>
          <w:rPr>
            <w:rStyle w:val="Hyperlink"/>
          </w:rPr>
          <w:t xml:space="preserve">HMRC, 2026o, para. 29.4.18</w:t>
        </w:r>
      </w:hyperlink>
      <w:r>
        <w:t xml:space="preserve">)</w:t>
      </w:r>
      <w:r>
        <w:t xml:space="preserve">.</w:t>
      </w:r>
    </w:p>
    <w:p>
      <w:pPr>
        <w:pStyle w:val="Compact"/>
        <w:numPr>
          <w:ilvl w:val="0"/>
          <w:numId w:val="1144"/>
        </w:numPr>
      </w:pPr>
      <w:r>
        <w:rPr>
          <w:b/>
          <w:bCs/>
        </w:rPr>
        <w:t xml:space="preserve">Group 14</w:t>
      </w:r>
      <w:r>
        <w:t xml:space="preserve"> </w:t>
      </w:r>
      <w:r>
        <w:t xml:space="preserve">(Value Added Tax Act 1994, Schedule 9, Group 14) is a technical group for certain goods on which the seller could not recover input tax. It is rarely relevant to purchasing.</w:t>
      </w:r>
    </w:p>
    <w:bookmarkEnd w:id="127"/>
    <w:bookmarkStart w:id="128" w:name="what-partial-exemption-means"/>
    <w:p>
      <w:pPr>
        <w:pStyle w:val="Heading4"/>
      </w:pPr>
      <w:r>
        <w:t xml:space="preserve">What partial exemption means</w:t>
      </w:r>
    </w:p>
    <w:p>
      <w:pPr>
        <w:pStyle w:val="FirstParagraph"/>
      </w:pPr>
      <w:r>
        <w:t xml:space="preserve">A business is</w:t>
      </w:r>
      <w:r>
        <w:t xml:space="preserve"> </w:t>
      </w:r>
      <w:r>
        <w:rPr>
          <w:b/>
          <w:bCs/>
        </w:rPr>
        <w:t xml:space="preserve">partly exempt</w:t>
      </w:r>
      <w:r>
        <w:t xml:space="preserve"> </w:t>
      </w:r>
      <w:r>
        <w:t xml:space="preserve">if it makes both taxable and exempt supplies and pays VAT on costs that relate to both. It cannot then recover all its input tax</w:t>
      </w:r>
      <w:r>
        <w:t xml:space="preserve"> </w:t>
      </w:r>
      <w:r>
        <w:t xml:space="preserve">(</w:t>
      </w:r>
      <w:hyperlink w:anchor="ref-hmrc_n706">
        <w:r>
          <w:rPr>
            <w:rStyle w:val="Hyperlink"/>
          </w:rPr>
          <w:t xml:space="preserve">HMRC, 2025h, para. 2.1</w:t>
        </w:r>
      </w:hyperlink>
      <w:r>
        <w:t xml:space="preserve">)</w:t>
      </w:r>
      <w:r>
        <w:t xml:space="preserve">. The law is in sections 24 to 26 of the Value Added Tax Act 1994 and regulations 99 to 110 of the Value Added Tax Regulations 1995</w:t>
      </w:r>
      <w:r>
        <w:t xml:space="preserve"> </w:t>
      </w:r>
      <w:r>
        <w:t xml:space="preserve">(</w:t>
      </w:r>
      <w:hyperlink w:anchor="ref-hmrc_n706">
        <w:r>
          <w:rPr>
            <w:rStyle w:val="Hyperlink"/>
          </w:rPr>
          <w:t xml:space="preserve">HMRC, 2025h, para. 1.2</w:t>
        </w:r>
      </w:hyperlink>
      <w:r>
        <w:t xml:space="preserve">)</w:t>
      </w:r>
      <w:r>
        <w:t xml:space="preserve">.</w:t>
      </w:r>
    </w:p>
    <w:p>
      <w:pPr>
        <w:pStyle w:val="BodyText"/>
      </w:pPr>
      <w:r>
        <w:t xml:space="preserve">Before doing any partial exemption calculation, take out</w:t>
      </w:r>
      <w:r>
        <w:t xml:space="preserve"> </w:t>
      </w:r>
      <w:r>
        <w:t xml:space="preserve">(</w:t>
      </w:r>
      <w:hyperlink w:anchor="ref-hmrc_n706">
        <w:r>
          <w:rPr>
            <w:rStyle w:val="Hyperlink"/>
          </w:rPr>
          <w:t xml:space="preserve">HMRC, 2025h, para. 4.9</w:t>
        </w:r>
      </w:hyperlink>
      <w:r>
        <w:t xml:space="preserve">)</w:t>
      </w:r>
      <w:r>
        <w:t xml:space="preserve">:</w:t>
      </w:r>
    </w:p>
    <w:p>
      <w:pPr>
        <w:pStyle w:val="Compact"/>
        <w:numPr>
          <w:ilvl w:val="0"/>
          <w:numId w:val="1145"/>
        </w:numPr>
      </w:pPr>
      <w:r>
        <w:rPr>
          <w:b/>
          <w:bCs/>
        </w:rPr>
        <w:t xml:space="preserve">non-business VAT:</w:t>
      </w:r>
      <w:r>
        <w:t xml:space="preserve"> </w:t>
      </w:r>
      <w:r>
        <w:t xml:space="preserve">VAT on purchases used only for non-business purposes is not input tax at all. VAT on purchases used for both must be split between business and non-business first</w:t>
      </w:r>
      <w:r>
        <w:t xml:space="preserve"> </w:t>
      </w:r>
      <w:r>
        <w:t xml:space="preserve">(</w:t>
      </w:r>
      <w:hyperlink w:anchor="ref-hmrc_n706">
        <w:r>
          <w:rPr>
            <w:rStyle w:val="Hyperlink"/>
          </w:rPr>
          <w:t xml:space="preserve">HMRC, 2025h, para. 2.2</w:t>
        </w:r>
      </w:hyperlink>
      <w:r>
        <w:t xml:space="preserve">)</w:t>
      </w:r>
    </w:p>
    <w:p>
      <w:pPr>
        <w:pStyle w:val="Compact"/>
        <w:numPr>
          <w:ilvl w:val="0"/>
          <w:numId w:val="1145"/>
        </w:numPr>
      </w:pPr>
      <w:r>
        <w:rPr>
          <w:b/>
          <w:bCs/>
        </w:rPr>
        <w:t xml:space="preserve">blocked input tax:</w:t>
      </w:r>
      <w:r>
        <w:t xml:space="preserve"> </w:t>
      </w:r>
      <w:r>
        <w:t xml:space="preserve">VAT that is never recoverable, for example on certain cars, and on business entertainment of anyone other than employees or overseas customers</w:t>
      </w:r>
      <w:r>
        <w:t xml:space="preserve"> </w:t>
      </w:r>
      <w:r>
        <w:t xml:space="preserve">(</w:t>
      </w:r>
      <w:hyperlink w:anchor="ref-hmrc_n706">
        <w:r>
          <w:rPr>
            <w:rStyle w:val="Hyperlink"/>
          </w:rPr>
          <w:t xml:space="preserve">HMRC, 2025h, para. 2.4</w:t>
        </w:r>
      </w:hyperlink>
      <w:r>
        <w:t xml:space="preserve">)</w:t>
      </w:r>
    </w:p>
    <w:p>
      <w:pPr>
        <w:pStyle w:val="FirstParagraph"/>
      </w:pPr>
      <w:r>
        <w:t xml:space="preserve">The calculation then has 3 steps</w:t>
      </w:r>
      <w:r>
        <w:t xml:space="preserve"> </w:t>
      </w:r>
      <w:r>
        <w:t xml:space="preserve">(</w:t>
      </w:r>
      <w:hyperlink w:anchor="ref-hmrc_n706">
        <w:r>
          <w:rPr>
            <w:rStyle w:val="Hyperlink"/>
          </w:rPr>
          <w:t xml:space="preserve">HMRC, 2025h, para. 3.1</w:t>
        </w:r>
      </w:hyperlink>
      <w:r>
        <w:t xml:space="preserve">)</w:t>
      </w:r>
      <w:r>
        <w:t xml:space="preserve">:</w:t>
      </w:r>
    </w:p>
    <w:p>
      <w:pPr>
        <w:pStyle w:val="Compact"/>
        <w:numPr>
          <w:ilvl w:val="0"/>
          <w:numId w:val="1146"/>
        </w:numPr>
      </w:pPr>
      <w:r>
        <w:rPr>
          <w:b/>
          <w:bCs/>
        </w:rPr>
        <w:t xml:space="preserve">Direct attribution:</w:t>
      </w:r>
      <w:r>
        <w:t xml:space="preserve"> </w:t>
      </w:r>
      <w:r>
        <w:t xml:space="preserve">VAT on costs used only for taxable supplies is recoverable in full. VAT on costs used only for exempt supplies is</w:t>
      </w:r>
      <w:r>
        <w:t xml:space="preserve"> </w:t>
      </w:r>
      <w:r>
        <w:rPr>
          <w:b/>
          <w:bCs/>
        </w:rPr>
        <w:t xml:space="preserve">exempt input tax</w:t>
      </w:r>
      <w:r>
        <w:t xml:space="preserve"> </w:t>
      </w:r>
      <w:r>
        <w:t xml:space="preserve">and is not normally recoverable</w:t>
      </w:r>
      <w:r>
        <w:t xml:space="preserve"> </w:t>
      </w:r>
      <w:r>
        <w:t xml:space="preserve">(</w:t>
      </w:r>
      <w:hyperlink w:anchor="ref-hmrc_n706">
        <w:r>
          <w:rPr>
            <w:rStyle w:val="Hyperlink"/>
          </w:rPr>
          <w:t xml:space="preserve">HMRC, 2025h, para. 3.3</w:t>
        </w:r>
      </w:hyperlink>
      <w:r>
        <w:t xml:space="preserve">)</w:t>
      </w:r>
      <w:r>
        <w:t xml:space="preserve">.</w:t>
      </w:r>
    </w:p>
    <w:p>
      <w:pPr>
        <w:pStyle w:val="Compact"/>
        <w:numPr>
          <w:ilvl w:val="0"/>
          <w:numId w:val="1146"/>
        </w:numPr>
      </w:pPr>
      <w:r>
        <w:rPr>
          <w:b/>
          <w:bCs/>
        </w:rPr>
        <w:t xml:space="preserve">Apportion residual input tax:</w:t>
      </w:r>
      <w:r>
        <w:t xml:space="preserve"> </w:t>
      </w:r>
      <w:r>
        <w:rPr>
          <w:b/>
          <w:bCs/>
        </w:rPr>
        <w:t xml:space="preserve">residual input tax</w:t>
      </w:r>
      <w:r>
        <w:t xml:space="preserve"> </w:t>
      </w:r>
      <w:r>
        <w:t xml:space="preserve">is VAT on costs used for both, such as general overheads. Only the taxable share is recoverable</w:t>
      </w:r>
      <w:r>
        <w:t xml:space="preserve"> </w:t>
      </w:r>
      <w:r>
        <w:t xml:space="preserve">(</w:t>
      </w:r>
      <w:hyperlink w:anchor="ref-hmrc_n706">
        <w:r>
          <w:rPr>
            <w:rStyle w:val="Hyperlink"/>
          </w:rPr>
          <w:t xml:space="preserve">HMRC, 2025h, para. 3.4</w:t>
        </w:r>
      </w:hyperlink>
      <w:r>
        <w:t xml:space="preserve">;</w:t>
      </w:r>
      <w:r>
        <w:t xml:space="preserve"> </w:t>
      </w:r>
      <w:hyperlink w:anchor="ref-hmrc_n706">
        <w:r>
          <w:rPr>
            <w:rStyle w:val="Hyperlink"/>
          </w:rPr>
          <w:t xml:space="preserve">2025h, para. 3.5</w:t>
        </w:r>
      </w:hyperlink>
      <w:r>
        <w:t xml:space="preserve">)</w:t>
      </w:r>
      <w:r>
        <w:t xml:space="preserve">.</w:t>
      </w:r>
    </w:p>
    <w:p>
      <w:pPr>
        <w:pStyle w:val="Compact"/>
        <w:numPr>
          <w:ilvl w:val="0"/>
          <w:numId w:val="1146"/>
        </w:numPr>
      </w:pPr>
      <w:r>
        <w:rPr>
          <w:b/>
          <w:bCs/>
        </w:rPr>
        <w:t xml:space="preserve">Annual adjustment:</w:t>
      </w:r>
      <w:r>
        <w:t xml:space="preserve"> </w:t>
      </w:r>
      <w:r>
        <w:t xml:space="preserve">recalculate at the end of the partial exemption year</w:t>
      </w:r>
      <w:r>
        <w:t xml:space="preserve"> </w:t>
      </w:r>
      <w:r>
        <w:t xml:space="preserve">(</w:t>
      </w:r>
      <w:hyperlink w:anchor="ref-hmrc_n706">
        <w:r>
          <w:rPr>
            <w:rStyle w:val="Hyperlink"/>
          </w:rPr>
          <w:t xml:space="preserve">HMRC, 2025h, para. 3.8</w:t>
        </w:r>
      </w:hyperlink>
      <w:r>
        <w:t xml:space="preserve">)</w:t>
      </w:r>
      <w:r>
        <w:t xml:space="preserve">.</w:t>
      </w:r>
    </w:p>
    <w:bookmarkEnd w:id="128"/>
    <w:bookmarkStart w:id="129" w:name="the-standard-method"/>
    <w:p>
      <w:pPr>
        <w:pStyle w:val="Heading4"/>
      </w:pPr>
      <w:r>
        <w:t xml:space="preserve">The standard method</w:t>
      </w:r>
    </w:p>
    <w:p>
      <w:pPr>
        <w:pStyle w:val="FirstParagraph"/>
      </w:pPr>
      <w:r>
        <w:t xml:space="preserve">The</w:t>
      </w:r>
      <w:r>
        <w:t xml:space="preserve"> </w:t>
      </w:r>
      <w:r>
        <w:rPr>
          <w:b/>
          <w:bCs/>
        </w:rPr>
        <w:t xml:space="preserve">standard method</w:t>
      </w:r>
      <w:r>
        <w:t xml:space="preserve"> </w:t>
      </w:r>
      <w:r>
        <w:t xml:space="preserve">is the default way to split residual input tax. A business must use it unless HMRC has approved a special method</w:t>
      </w:r>
      <w:r>
        <w:t xml:space="preserve"> </w:t>
      </w:r>
      <w:r>
        <w:t xml:space="preserve">(</w:t>
      </w:r>
      <w:hyperlink w:anchor="ref-hmrc_n706">
        <w:r>
          <w:rPr>
            <w:rStyle w:val="Hyperlink"/>
          </w:rPr>
          <w:t xml:space="preserve">HMRC, 2025h, para. 4.1</w:t>
        </w:r>
      </w:hyperlink>
      <w:r>
        <w:t xml:space="preserve">)</w:t>
      </w:r>
      <w:r>
        <w:t xml:space="preserve">. The formula is</w:t>
      </w:r>
      <w:r>
        <w:t xml:space="preserve"> </w:t>
      </w:r>
      <w:r>
        <w:t xml:space="preserve">(</w:t>
      </w:r>
      <w:hyperlink w:anchor="ref-hmrc_n706">
        <w:r>
          <w:rPr>
            <w:rStyle w:val="Hyperlink"/>
          </w:rPr>
          <w:t xml:space="preserve">HMRC, 2025h, para. 4.3</w:t>
        </w:r>
      </w:hyperlink>
      <w:r>
        <w:t xml:space="preserve">)</w:t>
      </w:r>
      <w:r>
        <w:t xml:space="preserve">:</w:t>
      </w:r>
    </w:p>
    <w:p>
      <w:pPr>
        <w:pStyle w:val="BlockText"/>
      </w:pPr>
      <w:r>
        <w:t xml:space="preserve">value of taxable supplies (excluding VAT) ÷ total value of supplies (excluding VAT) × 100 = recoverable percentage of residual input tax</w:t>
      </w:r>
    </w:p>
    <w:p>
      <w:pPr>
        <w:pStyle w:val="FirstParagraph"/>
      </w:pPr>
      <w:r>
        <w:t xml:space="preserve">The percentage is rounded up to the next whole number, unless residual input tax is more than £400,000 a month on average, when it is rounded to 2 decimal places</w:t>
      </w:r>
      <w:r>
        <w:t xml:space="preserve"> </w:t>
      </w:r>
      <w:r>
        <w:t xml:space="preserve">(</w:t>
      </w:r>
      <w:hyperlink w:anchor="ref-hmrc_n706">
        <w:r>
          <w:rPr>
            <w:rStyle w:val="Hyperlink"/>
          </w:rPr>
          <w:t xml:space="preserve">HMRC, 2025h, para. 4.7</w:t>
        </w:r>
      </w:hyperlink>
      <w:r>
        <w:t xml:space="preserve">)</w:t>
      </w:r>
      <w:r>
        <w:t xml:space="preserve">. Some values are left out of the calculation because they distort it, such as sales of capital assets, incidental financial transactions and transfers of a going concern</w:t>
      </w:r>
      <w:r>
        <w:t xml:space="preserve"> </w:t>
      </w:r>
      <w:r>
        <w:t xml:space="preserve">(</w:t>
      </w:r>
      <w:hyperlink w:anchor="ref-hmrc_n706">
        <w:r>
          <w:rPr>
            <w:rStyle w:val="Hyperlink"/>
          </w:rPr>
          <w:t xml:space="preserve">HMRC, 2025h, para. 4.8</w:t>
        </w:r>
      </w:hyperlink>
      <w:r>
        <w:t xml:space="preserve">)</w:t>
      </w:r>
      <w:r>
        <w:t xml:space="preserve">.</w:t>
      </w:r>
    </w:p>
    <w:bookmarkEnd w:id="129"/>
    <w:bookmarkStart w:id="130" w:name="the-de-minimis-tests"/>
    <w:p>
      <w:pPr>
        <w:pStyle w:val="Heading4"/>
      </w:pPr>
      <w:r>
        <w:t xml:space="preserve">The de minimis tests</w:t>
      </w:r>
    </w:p>
    <w:p>
      <w:pPr>
        <w:pStyle w:val="FirstParagraph"/>
      </w:pPr>
      <w:r>
        <w:t xml:space="preserve">If exempt input tax is small (</w:t>
      </w:r>
      <w:r>
        <w:t xml:space="preserve">“</w:t>
      </w:r>
      <w:r>
        <w:t xml:space="preserve">de minimis</w:t>
      </w:r>
      <w:r>
        <w:t xml:space="preserve">”</w:t>
      </w:r>
      <w:r>
        <w:t xml:space="preserve">), the business can treat itself as fully taxable and recover it all. The main (</w:t>
      </w:r>
      <w:r>
        <w:t xml:space="preserve">“</w:t>
      </w:r>
      <w:r>
        <w:t xml:space="preserve">original</w:t>
      </w:r>
      <w:r>
        <w:t xml:space="preserve">”</w:t>
      </w:r>
      <w:r>
        <w:t xml:space="preserve">) test is passed if exempt input tax is both</w:t>
      </w:r>
      <w:r>
        <w:t xml:space="preserve"> </w:t>
      </w:r>
      <w:r>
        <w:t xml:space="preserve">(</w:t>
      </w:r>
      <w:hyperlink w:anchor="ref-hmrc_n706">
        <w:r>
          <w:rPr>
            <w:rStyle w:val="Hyperlink"/>
          </w:rPr>
          <w:t xml:space="preserve">HMRC, 2025h, para. 11.2</w:t>
        </w:r>
      </w:hyperlink>
      <w:r>
        <w:t xml:space="preserve">)</w:t>
      </w:r>
      <w:r>
        <w:t xml:space="preserve">:</w:t>
      </w:r>
    </w:p>
    <w:p>
      <w:pPr>
        <w:pStyle w:val="Compact"/>
        <w:numPr>
          <w:ilvl w:val="0"/>
          <w:numId w:val="1147"/>
        </w:numPr>
      </w:pPr>
      <w:r>
        <w:rPr>
          <w:b/>
          <w:bCs/>
        </w:rPr>
        <w:t xml:space="preserve">not more than £625 a month on average,</w:t>
      </w:r>
      <w:r>
        <w:t xml:space="preserve"> </w:t>
      </w:r>
      <w:r>
        <w:t xml:space="preserve">and</w:t>
      </w:r>
    </w:p>
    <w:p>
      <w:pPr>
        <w:pStyle w:val="Compact"/>
        <w:numPr>
          <w:ilvl w:val="0"/>
          <w:numId w:val="1147"/>
        </w:numPr>
      </w:pPr>
      <w:r>
        <w:rPr>
          <w:b/>
          <w:bCs/>
        </w:rPr>
        <w:t xml:space="preserve">not more than half (50%) of total input tax</w:t>
      </w:r>
      <w:r>
        <w:t xml:space="preserve"> </w:t>
      </w:r>
      <w:r>
        <w:t xml:space="preserve">for the period.</w:t>
      </w:r>
    </w:p>
    <w:p>
      <w:pPr>
        <w:pStyle w:val="FirstParagraph"/>
      </w:pPr>
      <w:r>
        <w:t xml:space="preserve">Both conditions must be met</w:t>
      </w:r>
      <w:r>
        <w:t xml:space="preserve"> </w:t>
      </w:r>
      <w:r>
        <w:t xml:space="preserve">(</w:t>
      </w:r>
      <w:hyperlink w:anchor="ref-hmrc_n706">
        <w:r>
          <w:rPr>
            <w:rStyle w:val="Hyperlink"/>
          </w:rPr>
          <w:t xml:space="preserve">HMRC, 2025h, para. 11.6</w:t>
        </w:r>
      </w:hyperlink>
      <w:r>
        <w:t xml:space="preserve">)</w:t>
      </w:r>
      <w:r>
        <w:t xml:space="preserve">.</w:t>
      </w:r>
      <w:r>
        <w:t xml:space="preserve"> </w:t>
      </w:r>
      <w:r>
        <w:t xml:space="preserve">“</w:t>
      </w:r>
      <w:r>
        <w:t xml:space="preserve">Total input tax</w:t>
      </w:r>
      <w:r>
        <w:t xml:space="preserve">”</w:t>
      </w:r>
      <w:r>
        <w:t xml:space="preserve"> </w:t>
      </w:r>
      <w:r>
        <w:t xml:space="preserve">excludes blocked input tax</w:t>
      </w:r>
      <w:r>
        <w:t xml:space="preserve"> </w:t>
      </w:r>
      <w:r>
        <w:t xml:space="preserve">(</w:t>
      </w:r>
      <w:hyperlink w:anchor="ref-hmrc_n706">
        <w:r>
          <w:rPr>
            <w:rStyle w:val="Hyperlink"/>
          </w:rPr>
          <w:t xml:space="preserve">HMRC, 2025h, para. 11.2</w:t>
        </w:r>
      </w:hyperlink>
      <w:r>
        <w:t xml:space="preserve">)</w:t>
      </w:r>
      <w:r>
        <w:t xml:space="preserve">.</w:t>
      </w:r>
    </w:p>
    <w:p>
      <w:pPr>
        <w:pStyle w:val="BodyText"/>
      </w:pPr>
      <w:r>
        <w:t xml:space="preserve">There are also two simplified tests. Passing either one means the business can treat itself as de minimis without a full calculation</w:t>
      </w:r>
      <w:r>
        <w:t xml:space="preserve"> </w:t>
      </w:r>
      <w:r>
        <w:t xml:space="preserve">(</w:t>
      </w:r>
      <w:hyperlink w:anchor="ref-hmrc_n706">
        <w:r>
          <w:rPr>
            <w:rStyle w:val="Hyperlink"/>
          </w:rPr>
          <w:t xml:space="preserve">HMRC, 2025h, para. 11.7</w:t>
        </w:r>
      </w:hyperlink>
      <w:r>
        <w:t xml:space="preserve">)</w:t>
      </w:r>
      <w:r>
        <w:t xml:space="preserve">:</w:t>
      </w:r>
    </w:p>
    <w:p>
      <w:pPr>
        <w:pStyle w:val="Compact"/>
        <w:numPr>
          <w:ilvl w:val="0"/>
          <w:numId w:val="1148"/>
        </w:numPr>
      </w:pPr>
      <w:r>
        <w:rPr>
          <w:b/>
          <w:bCs/>
        </w:rPr>
        <w:t xml:space="preserve">Test One:</w:t>
      </w:r>
      <w:r>
        <w:t xml:space="preserve"> </w:t>
      </w:r>
      <w:r>
        <w:t xml:space="preserve">total input tax is not more than £625 a month on average, and exempt supplies are not more than 50% of all supplies.</w:t>
      </w:r>
    </w:p>
    <w:p>
      <w:pPr>
        <w:pStyle w:val="Compact"/>
        <w:numPr>
          <w:ilvl w:val="0"/>
          <w:numId w:val="1148"/>
        </w:numPr>
      </w:pPr>
      <w:r>
        <w:rPr>
          <w:b/>
          <w:bCs/>
        </w:rPr>
        <w:t xml:space="preserve">Test Two:</w:t>
      </w:r>
      <w:r>
        <w:t xml:space="preserve"> </w:t>
      </w:r>
      <w:r>
        <w:t xml:space="preserve">total input tax, minus input tax directly attributable to taxable supplies, is not more than £625 a month on average, and exempt supplies are not more than 50% of all supplies.</w:t>
      </w:r>
    </w:p>
    <w:p>
      <w:pPr>
        <w:pStyle w:val="FirstParagraph"/>
      </w:pPr>
      <w:r>
        <w:t xml:space="preserve">A business that was de minimis last year can choose to apply the test once a year instead of every VAT period</w:t>
      </w:r>
      <w:r>
        <w:t xml:space="preserve"> </w:t>
      </w:r>
      <w:r>
        <w:t xml:space="preserve">(</w:t>
      </w:r>
      <w:hyperlink w:anchor="ref-hmrc_n706">
        <w:r>
          <w:rPr>
            <w:rStyle w:val="Hyperlink"/>
          </w:rPr>
          <w:t xml:space="preserve">HMRC, 2025h, para. 11.11</w:t>
        </w:r>
      </w:hyperlink>
      <w:r>
        <w:t xml:space="preserve">)</w:t>
      </w:r>
      <w:r>
        <w:t xml:space="preserve">. It must apply this consistently and have reasonable grounds for not expecting more than £1 million of input tax in the year</w:t>
      </w:r>
      <w:r>
        <w:t xml:space="preserve"> </w:t>
      </w:r>
      <w:r>
        <w:t xml:space="preserve">(</w:t>
      </w:r>
      <w:hyperlink w:anchor="ref-hmrc_n706">
        <w:r>
          <w:rPr>
            <w:rStyle w:val="Hyperlink"/>
          </w:rPr>
          <w:t xml:space="preserve">HMRC, 2025h, para. 11.12</w:t>
        </w:r>
      </w:hyperlink>
      <w:r>
        <w:t xml:space="preserve">)</w:t>
      </w:r>
      <w:r>
        <w:t xml:space="preserve">. There is no de minimis limit for non-business VAT</w:t>
      </w:r>
      <w:r>
        <w:t xml:space="preserve"> </w:t>
      </w:r>
      <w:r>
        <w:t xml:space="preserve">(</w:t>
      </w:r>
      <w:hyperlink w:anchor="ref-hmrc_n706">
        <w:r>
          <w:rPr>
            <w:rStyle w:val="Hyperlink"/>
          </w:rPr>
          <w:t xml:space="preserve">HMRC, 2025h, para. 11.1</w:t>
        </w:r>
      </w:hyperlink>
      <w:r>
        <w:t xml:space="preserve">)</w:t>
      </w:r>
      <w:r>
        <w:t xml:space="preserve">.</w:t>
      </w:r>
    </w:p>
    <w:bookmarkEnd w:id="130"/>
    <w:bookmarkStart w:id="131" w:name="X50f90cd4e8e558855bf7a3e1a306efe9321533a"/>
    <w:p>
      <w:pPr>
        <w:pStyle w:val="Heading4"/>
      </w:pPr>
      <w:r>
        <w:t xml:space="preserve">Worked example: standard method and de minimis</w:t>
      </w:r>
    </w:p>
    <w:p>
      <w:pPr>
        <w:pStyle w:val="FirstParagraph"/>
      </w:pPr>
      <w:r>
        <w:t xml:space="preserve">A business has one VAT quarter (3 months) with these figures:</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5781"/>
        <w:gridCol w:w="3244"/>
      </w:tblGrid>
      <w:tr>
        <w:trPr>
          <w:tblHeader w:val="true"/>
          <w:cantSplit w:val="true"/>
        </w:trPr>
        <w:tc>
          <w:tcPr>
            <w:tcW w:w="5781" w:type="dxa"/>
            <w:shd w:val="clear" w:color="auto" w:fill="1B3A5C"/>
          </w:tcPr>
          <w:p>
            <w:pPr>
              <w:pStyle w:val="Compact"/>
              <w:spacing w:after="40" w:before="40"/>
              <w:jc w:val="left"/>
            </w:pPr>
            <w:r>
              <w:rPr>
                <w:rFonts w:ascii="Tahoma" w:hAnsi="Tahoma"/>
                <w:b/>
                <w:color w:val="FFFFFF"/>
                <w:sz w:val="22"/>
              </w:rPr>
              <w:t xml:space="preserve">Item</w:t>
            </w:r>
          </w:p>
        </w:tc>
        <w:tc>
          <w:tcPr>
            <w:tcW w:w="3244" w:type="dxa"/>
            <w:shd w:val="clear" w:color="auto" w:fill="1B3A5C"/>
          </w:tcPr>
          <w:p>
            <w:pPr>
              <w:pStyle w:val="Compact"/>
              <w:spacing w:after="40" w:before="40"/>
              <w:jc w:val="left"/>
            </w:pPr>
            <w:r>
              <w:rPr>
                <w:rFonts w:ascii="Tahoma" w:hAnsi="Tahoma"/>
                <w:b/>
                <w:color w:val="FFFFFF"/>
                <w:sz w:val="22"/>
              </w:rPr>
              <w:t xml:space="preserve">Amount</w:t>
            </w:r>
          </w:p>
        </w:tc>
      </w:tr>
      <w:tr>
        <w:trPr>
          <w:cantSplit w:val="true"/>
        </w:trPr>
        <w:tc>
          <w:tcPr>
            <w:tcW w:w="5781" w:type="dxa"/>
            <w:shd w:val="clear" w:color="auto" w:fill="EAF3FA"/>
          </w:tcPr>
          <w:p>
            <w:pPr>
              <w:pStyle w:val="Compact"/>
              <w:spacing w:after="40" w:before="40"/>
              <w:jc w:val="left"/>
            </w:pPr>
            <w:r>
              <w:rPr>
                <w:rFonts w:ascii="Tahoma" w:hAnsi="Tahoma"/>
                <w:sz w:val="22"/>
              </w:rPr>
              <w:t xml:space="preserve">Input tax on costs used only for taxable supplies</w:t>
            </w:r>
          </w:p>
        </w:tc>
        <w:tc>
          <w:tcPr>
            <w:tcW w:w="3244" w:type="dxa"/>
            <w:shd w:val="clear" w:color="auto" w:fill="EAF3FA"/>
          </w:tcPr>
          <w:p>
            <w:pPr>
              <w:pStyle w:val="Compact"/>
              <w:spacing w:after="40" w:before="40"/>
              <w:jc w:val="left"/>
            </w:pPr>
            <w:r>
              <w:rPr>
                <w:rFonts w:ascii="Tahoma" w:hAnsi="Tahoma"/>
                <w:sz w:val="22"/>
              </w:rPr>
              <w:t xml:space="preserve">£6,000</w:t>
            </w:r>
          </w:p>
        </w:tc>
      </w:tr>
      <w:tr>
        <w:trPr>
          <w:cantSplit w:val="true"/>
        </w:trPr>
        <w:tc>
          <w:tcPr>
            <w:tcW w:w="5781" w:type="dxa"/>
            <w:shd w:val="clear" w:color="auto" w:fill="FFFFFF"/>
          </w:tcPr>
          <w:p>
            <w:pPr>
              <w:pStyle w:val="Compact"/>
              <w:spacing w:after="40" w:before="40"/>
              <w:jc w:val="left"/>
            </w:pPr>
            <w:r>
              <w:rPr>
                <w:rFonts w:ascii="Tahoma" w:hAnsi="Tahoma"/>
                <w:sz w:val="22"/>
              </w:rPr>
              <w:t xml:space="preserve">Input tax on costs used only for exempt supplies</w:t>
            </w:r>
          </w:p>
        </w:tc>
        <w:tc>
          <w:tcPr>
            <w:tcW w:w="3244" w:type="dxa"/>
            <w:shd w:val="clear" w:color="auto" w:fill="FFFFFF"/>
          </w:tcPr>
          <w:p>
            <w:pPr>
              <w:pStyle w:val="Compact"/>
              <w:spacing w:after="40" w:before="40"/>
              <w:jc w:val="left"/>
            </w:pPr>
            <w:r>
              <w:rPr>
                <w:rFonts w:ascii="Tahoma" w:hAnsi="Tahoma"/>
                <w:sz w:val="22"/>
              </w:rPr>
              <w:t xml:space="preserve">£300</w:t>
            </w:r>
          </w:p>
        </w:tc>
      </w:tr>
      <w:tr>
        <w:trPr>
          <w:cantSplit w:val="true"/>
        </w:trPr>
        <w:tc>
          <w:tcPr>
            <w:tcW w:w="5781" w:type="dxa"/>
            <w:shd w:val="clear" w:color="auto" w:fill="FBEAF1"/>
          </w:tcPr>
          <w:p>
            <w:pPr>
              <w:pStyle w:val="Compact"/>
              <w:spacing w:after="40" w:before="40"/>
              <w:jc w:val="left"/>
            </w:pPr>
            <w:r>
              <w:rPr>
                <w:rFonts w:ascii="Tahoma" w:hAnsi="Tahoma"/>
                <w:sz w:val="22"/>
              </w:rPr>
              <w:t xml:space="preserve">Residual input tax (shared overheads)</w:t>
            </w:r>
          </w:p>
        </w:tc>
        <w:tc>
          <w:tcPr>
            <w:tcW w:w="3244" w:type="dxa"/>
            <w:shd w:val="clear" w:color="auto" w:fill="FBEAF1"/>
          </w:tcPr>
          <w:p>
            <w:pPr>
              <w:pStyle w:val="Compact"/>
              <w:spacing w:after="40" w:before="40"/>
              <w:jc w:val="left"/>
            </w:pPr>
            <w:r>
              <w:rPr>
                <w:rFonts w:ascii="Tahoma" w:hAnsi="Tahoma"/>
                <w:sz w:val="22"/>
              </w:rPr>
              <w:t xml:space="preserve">£2,000</w:t>
            </w:r>
          </w:p>
        </w:tc>
      </w:tr>
      <w:tr>
        <w:trPr>
          <w:cantSplit w:val="true"/>
        </w:trPr>
        <w:tc>
          <w:tcPr>
            <w:tcW w:w="5781" w:type="dxa"/>
            <w:shd w:val="clear" w:color="auto" w:fill="EAF3FA"/>
          </w:tcPr>
          <w:p>
            <w:pPr>
              <w:pStyle w:val="Compact"/>
              <w:spacing w:after="40" w:before="40"/>
              <w:jc w:val="left"/>
            </w:pPr>
            <w:r>
              <w:rPr>
                <w:rFonts w:ascii="Tahoma" w:hAnsi="Tahoma"/>
                <w:sz w:val="22"/>
              </w:rPr>
              <w:t xml:space="preserve">Total input tax</w:t>
            </w:r>
          </w:p>
        </w:tc>
        <w:tc>
          <w:tcPr>
            <w:tcW w:w="3244" w:type="dxa"/>
            <w:shd w:val="clear" w:color="auto" w:fill="EAF3FA"/>
          </w:tcPr>
          <w:p>
            <w:pPr>
              <w:pStyle w:val="Compact"/>
              <w:spacing w:after="40" w:before="40"/>
              <w:jc w:val="left"/>
            </w:pPr>
            <w:r>
              <w:rPr>
                <w:rFonts w:ascii="Tahoma" w:hAnsi="Tahoma"/>
                <w:sz w:val="22"/>
              </w:rPr>
              <w:t xml:space="preserve">£8,300</w:t>
            </w:r>
          </w:p>
        </w:tc>
      </w:tr>
      <w:tr>
        <w:trPr>
          <w:cantSplit w:val="true"/>
        </w:trPr>
        <w:tc>
          <w:tcPr>
            <w:tcW w:w="5781" w:type="dxa"/>
            <w:shd w:val="clear" w:color="auto" w:fill="FFFFFF"/>
          </w:tcPr>
          <w:p>
            <w:pPr>
              <w:pStyle w:val="Compact"/>
              <w:spacing w:after="40" w:before="40"/>
              <w:jc w:val="left"/>
            </w:pPr>
            <w:r>
              <w:rPr>
                <w:rFonts w:ascii="Tahoma" w:hAnsi="Tahoma"/>
                <w:sz w:val="22"/>
              </w:rPr>
              <w:t xml:space="preserve">Taxable supplies (excluding VAT)</w:t>
            </w:r>
          </w:p>
        </w:tc>
        <w:tc>
          <w:tcPr>
            <w:tcW w:w="3244" w:type="dxa"/>
            <w:shd w:val="clear" w:color="auto" w:fill="FFFFFF"/>
          </w:tcPr>
          <w:p>
            <w:pPr>
              <w:pStyle w:val="Compact"/>
              <w:spacing w:after="40" w:before="40"/>
              <w:jc w:val="left"/>
            </w:pPr>
            <w:r>
              <w:rPr>
                <w:rFonts w:ascii="Tahoma" w:hAnsi="Tahoma"/>
                <w:sz w:val="22"/>
              </w:rPr>
              <w:t xml:space="preserve">£90,000</w:t>
            </w:r>
          </w:p>
        </w:tc>
      </w:tr>
      <w:tr>
        <w:trPr>
          <w:cantSplit w:val="true"/>
        </w:trPr>
        <w:tc>
          <w:tcPr>
            <w:tcW w:w="5781" w:type="dxa"/>
            <w:shd w:val="clear" w:color="auto" w:fill="FBEAF1"/>
          </w:tcPr>
          <w:p>
            <w:pPr>
              <w:pStyle w:val="Compact"/>
              <w:spacing w:after="40" w:before="40"/>
              <w:jc w:val="left"/>
            </w:pPr>
            <w:r>
              <w:rPr>
                <w:rFonts w:ascii="Tahoma" w:hAnsi="Tahoma"/>
                <w:sz w:val="22"/>
              </w:rPr>
              <w:t xml:space="preserve">Exempt supplies</w:t>
            </w:r>
          </w:p>
        </w:tc>
        <w:tc>
          <w:tcPr>
            <w:tcW w:w="3244" w:type="dxa"/>
            <w:shd w:val="clear" w:color="auto" w:fill="FBEAF1"/>
          </w:tcPr>
          <w:p>
            <w:pPr>
              <w:pStyle w:val="Compact"/>
              <w:spacing w:after="40" w:before="40"/>
              <w:jc w:val="left"/>
            </w:pPr>
            <w:r>
              <w:rPr>
                <w:rFonts w:ascii="Tahoma" w:hAnsi="Tahoma"/>
                <w:sz w:val="22"/>
              </w:rPr>
              <w:t xml:space="preserve">£10,000</w:t>
            </w:r>
          </w:p>
        </w:tc>
      </w:tr>
    </w:tbl>
    <w:p>
      <w:pPr>
        <w:pStyle w:val="BodyText"/>
        <w:spacing w:before="200"/>
      </w:pPr>
      <w:r>
        <w:t xml:space="preserve">The calculation, applying the rules in Notice 706</w:t>
      </w:r>
      <w:r>
        <w:t xml:space="preserve"> </w:t>
      </w:r>
      <w:r>
        <w:t xml:space="preserve">(</w:t>
      </w:r>
      <w:hyperlink w:anchor="ref-hmrc_n706">
        <w:r>
          <w:rPr>
            <w:rStyle w:val="Hyperlink"/>
          </w:rPr>
          <w:t xml:space="preserve">HMRC, 2025h, para. 4.9</w:t>
        </w:r>
      </w:hyperlink>
      <w:r>
        <w:t xml:space="preserve">)</w:t>
      </w:r>
      <w:r>
        <w:t xml:space="preserve">:</w:t>
      </w:r>
    </w:p>
    <w:p>
      <w:pPr>
        <w:pStyle w:val="Compact"/>
        <w:numPr>
          <w:ilvl w:val="0"/>
          <w:numId w:val="1149"/>
        </w:numPr>
      </w:pPr>
      <w:r>
        <w:t xml:space="preserve">Recovery percentage: £90,000 ÷ (£90,000 + £10,000) × 100 = 90%.</w:t>
      </w:r>
    </w:p>
    <w:p>
      <w:pPr>
        <w:pStyle w:val="Compact"/>
        <w:numPr>
          <w:ilvl w:val="0"/>
          <w:numId w:val="1149"/>
        </w:numPr>
      </w:pPr>
      <w:r>
        <w:t xml:space="preserve">Recoverable residual input tax: £2,000 × 90% = £1,800. The exempt share is £2,000 − £1,800 = £200.</w:t>
      </w:r>
    </w:p>
    <w:p>
      <w:pPr>
        <w:pStyle w:val="Compact"/>
        <w:numPr>
          <w:ilvl w:val="0"/>
          <w:numId w:val="1149"/>
        </w:numPr>
      </w:pPr>
      <w:r>
        <w:t xml:space="preserve">Exempt input tax: £300 + £200 = £500.</w:t>
      </w:r>
    </w:p>
    <w:p>
      <w:pPr>
        <w:pStyle w:val="Compact"/>
        <w:numPr>
          <w:ilvl w:val="0"/>
          <w:numId w:val="1149"/>
        </w:numPr>
      </w:pPr>
      <w:r>
        <w:t xml:space="preserve">Simplified tests: Test One fails, because total input tax is £8,300 ÷ 3 = £2,766.67 a month. Test Two fails, because (£8,300 − £6,000) ÷ 3 = £766.67 a month.</w:t>
      </w:r>
    </w:p>
    <w:p>
      <w:pPr>
        <w:pStyle w:val="Compact"/>
        <w:numPr>
          <w:ilvl w:val="0"/>
          <w:numId w:val="1149"/>
        </w:numPr>
      </w:pPr>
      <w:r>
        <w:t xml:space="preserve">Original test: £500 ÷ 3 = £166.67 a month, which is not more than £625. And £500 ÷ £8,300 = 6.0%, which is not more than 50%.</w:t>
      </w:r>
      <w:r>
        <w:t xml:space="preserve"> </w:t>
      </w:r>
      <w:r>
        <w:rPr>
          <w:b/>
          <w:bCs/>
        </w:rPr>
        <w:t xml:space="preserve">Both conditions are met.</w:t>
      </w:r>
    </w:p>
    <w:p>
      <w:pPr>
        <w:pStyle w:val="FirstParagraph"/>
      </w:pPr>
      <w:r>
        <w:rPr>
          <w:b/>
          <w:bCs/>
        </w:rPr>
        <w:t xml:space="preserve">Recoverable:</w:t>
      </w:r>
      <w:r>
        <w:t xml:space="preserve"> </w:t>
      </w:r>
      <w:r>
        <w:t xml:space="preserve">all £8,300, subject to the annual adjustment.</w:t>
      </w:r>
    </w:p>
    <w:p>
      <w:pPr>
        <w:pStyle w:val="BodyText"/>
      </w:pPr>
      <w:r>
        <w:t xml:space="preserve">Now change one figure. Suppose input tax on costs used only for exempt supplies is £2,000 instead of £300:</w:t>
      </w:r>
    </w:p>
    <w:p>
      <w:pPr>
        <w:pStyle w:val="Compact"/>
        <w:numPr>
          <w:ilvl w:val="0"/>
          <w:numId w:val="1150"/>
        </w:numPr>
      </w:pPr>
      <w:r>
        <w:t xml:space="preserve">Total input tax: £6,000 + £2,000 + £2,000 = £10,000.</w:t>
      </w:r>
    </w:p>
    <w:p>
      <w:pPr>
        <w:pStyle w:val="Compact"/>
        <w:numPr>
          <w:ilvl w:val="0"/>
          <w:numId w:val="1150"/>
        </w:numPr>
      </w:pPr>
      <w:r>
        <w:t xml:space="preserve">Exempt input tax: £2,000 + £200 = £2,200, which is £733.33 a month. That is more than £625, so the test fails, even though £2,200 is only 22% of total input tax.</w:t>
      </w:r>
    </w:p>
    <w:p>
      <w:pPr>
        <w:pStyle w:val="Compact"/>
        <w:numPr>
          <w:ilvl w:val="0"/>
          <w:numId w:val="1150"/>
        </w:numPr>
      </w:pPr>
      <w:r>
        <w:rPr>
          <w:b/>
          <w:bCs/>
        </w:rPr>
        <w:t xml:space="preserve">Partly recoverable:</w:t>
      </w:r>
      <w:r>
        <w:t xml:space="preserve"> </w:t>
      </w:r>
      <w:r>
        <w:t xml:space="preserve">£6,000 + £1,800 = £7,800 is recoverable.</w:t>
      </w:r>
    </w:p>
    <w:p>
      <w:pPr>
        <w:pStyle w:val="Compact"/>
        <w:numPr>
          <w:ilvl w:val="0"/>
          <w:numId w:val="1150"/>
        </w:numPr>
      </w:pPr>
      <w:r>
        <w:rPr>
          <w:b/>
          <w:bCs/>
        </w:rPr>
        <w:t xml:space="preserve">Not recoverable:</w:t>
      </w:r>
      <w:r>
        <w:t xml:space="preserve"> </w:t>
      </w:r>
      <w:r>
        <w:t xml:space="preserve">£2,200.</w:t>
      </w:r>
    </w:p>
    <w:bookmarkEnd w:id="131"/>
    <w:bookmarkStart w:id="132" w:name="X1c61daacaf0110594ca0c54029057a93bfca583"/>
    <w:p>
      <w:pPr>
        <w:pStyle w:val="Heading4"/>
      </w:pPr>
      <w:r>
        <w:t xml:space="preserve">How partial exemption applies to government departments</w:t>
      </w:r>
    </w:p>
    <w:p>
      <w:pPr>
        <w:pStyle w:val="Compact"/>
        <w:numPr>
          <w:ilvl w:val="0"/>
          <w:numId w:val="1151"/>
        </w:numPr>
      </w:pPr>
      <w:r>
        <w:t xml:space="preserve">A government department can use the standard method without HMRC approval. It can apply to HMRC for a special method if the standard method does not give a fair and reasonable result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51"/>
        </w:numPr>
      </w:pPr>
      <w:r>
        <w:t xml:space="preserve">HMRC can approve a</w:t>
      </w:r>
      <w:r>
        <w:t xml:space="preserve"> </w:t>
      </w:r>
      <w:r>
        <w:rPr>
          <w:b/>
          <w:bCs/>
        </w:rPr>
        <w:t xml:space="preserve">combined method</w:t>
      </w:r>
      <w:r>
        <w:t xml:space="preserve"> </w:t>
      </w:r>
      <w:r>
        <w:t xml:space="preserve">that covers both the business/non-business split and partial exemption. The de minimis tests do not apply under a combined method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51"/>
        </w:numPr>
      </w:pPr>
      <w:r>
        <w:t xml:space="preserve">The de minimis limits apply to the department’s VAT registration as a whole, not to separate divisions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51"/>
        </w:numPr>
      </w:pPr>
      <w:r>
        <w:t xml:space="preserve">Examples of exempt business activities for a department include supplies of land that have not been opted to tax, education by an eligible body, and financial services such as loans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t xml:space="preserve">Part 5 explains how business and non-business activities interact with COS refunds (see Part 5, Business vs non-business: the key test).</w:t>
      </w:r>
    </w:p>
    <w:bookmarkEnd w:id="132"/>
    <w:bookmarkEnd w:id="133"/>
    <w:bookmarkStart w:id="137" w:name="Xcf6b7ea6e97797d03b6aa93a4f7a7ac8e3a0d0b"/>
    <w:p>
      <w:pPr>
        <w:pStyle w:val="Heading3"/>
      </w:pPr>
      <w:r>
        <w:t xml:space="preserve">Zero-rated versus exempt: the key difference</w:t>
      </w:r>
    </w:p>
    <w:p>
      <w:pPr>
        <w:pStyle w:val="FirstParagraph"/>
      </w:pPr>
      <w:r>
        <w:t xml:space="preserve">Zero-rated and exempt supplies look the same to the customer, because neither has VAT added. The difference is for the</w:t>
      </w:r>
      <w:r>
        <w:t xml:space="preserve"> </w:t>
      </w:r>
      <w:r>
        <w:rPr>
          <w:b/>
          <w:bCs/>
        </w:rPr>
        <w:t xml:space="preserve">supplier</w:t>
      </w:r>
      <w:r>
        <w:t xml:space="preserve">: a zero-rated supplier can recover VAT on its costs, but an exempt supplier cannot</w:t>
      </w:r>
      <w:r>
        <w:t xml:space="preserve"> </w:t>
      </w:r>
      <w:r>
        <w:t xml:space="preserve">(</w:t>
      </w:r>
      <w:hyperlink w:anchor="ref-hmrc_exemption">
        <w:r>
          <w:rPr>
            <w:rStyle w:val="Hyperlink"/>
          </w:rPr>
          <w:t xml:space="preserve">HMRC, 2022a</w:t>
        </w:r>
      </w:hyperlink>
      <w:r>
        <w:t xml:space="preserve">)</w:t>
      </w:r>
      <w:r>
        <w:t xml:space="preserve">.</w:t>
      </w:r>
    </w:p>
    <w:bookmarkStart w:id="134" w:name="X058946a11e2da9d13ad3ed22a20891ac80899ec"/>
    <w:p>
      <w:pPr>
        <w:pStyle w:val="Heading4"/>
      </w:pPr>
      <w:r>
        <w:t xml:space="preserve">Worked example: bookseller and insurance broker</w:t>
      </w:r>
    </w:p>
    <w:p>
      <w:pPr>
        <w:pStyle w:val="FirstParagraph"/>
      </w:pPr>
      <w:r>
        <w:t xml:space="preserve">A bookseller makes only zero-rated sales of books</w:t>
      </w:r>
      <w:r>
        <w:t xml:space="preserve"> </w:t>
      </w:r>
      <w:r>
        <w:t xml:space="preserve">(</w:t>
      </w:r>
      <w:hyperlink w:anchor="ref-hmrc_n70110">
        <w:r>
          <w:rPr>
            <w:rStyle w:val="Hyperlink"/>
          </w:rPr>
          <w:t xml:space="preserve">HMRC, 2020f, para. 1.2</w:t>
        </w:r>
      </w:hyperlink>
      <w:r>
        <w:t xml:space="preserve">)</w:t>
      </w:r>
      <w:r>
        <w:t xml:space="preserve">. An insurance broker makes only exempt sales of insurance broking services</w:t>
      </w:r>
      <w:r>
        <w:t xml:space="preserve"> </w:t>
      </w:r>
      <w:r>
        <w:t xml:space="preserve">(</w:t>
      </w:r>
      <w:hyperlink w:anchor="ref-hmrc_vat_rates">
        <w:r>
          <w:rPr>
            <w:rStyle w:val="Hyperlink"/>
          </w:rPr>
          <w:t xml:space="preserve">HMRC, 2026r</w:t>
        </w:r>
      </w:hyperlink>
      <w:r>
        <w:t xml:space="preserve">)</w:t>
      </w:r>
      <w:r>
        <w:t xml:space="preserve">. Each spends £12,000 on costs, including £2,000 VAT, and each makes £30,000 of sales.</w:t>
      </w:r>
    </w:p>
    <w:p>
      <w:pPr>
        <w:pStyle w:val="BodyText"/>
      </w:pPr>
      <w:r>
        <w:t xml:space="preserve">This table compares the two businesses side by side.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606"/>
        <w:gridCol w:w="2746"/>
        <w:gridCol w:w="2673"/>
      </w:tblGrid>
      <w:tr>
        <w:trPr>
          <w:tblHeader w:val="true"/>
          <w:cantSplit w:val="true"/>
        </w:trPr>
        <w:tc>
          <w:tcPr>
            <w:tcW w:w="3606" w:type="dxa"/>
            <w:shd w:val="clear" w:color="auto" w:fill="1B3A5C"/>
          </w:tcPr>
          <w:p>
            <w:pPr>
              <w:pStyle w:val="Compact"/>
              <w:spacing w:after="40" w:before="40"/>
              <w:jc w:val="left"/>
            </w:pPr>
            <w:r>
              <w:rPr>
                <w:rFonts w:ascii="Tahoma" w:hAnsi="Tahoma"/>
                <w:b/>
                <w:color w:val="FFFFFF"/>
                <w:sz w:val="22"/>
              </w:rPr>
              <w:t xml:space="preserve">Line</w:t>
            </w:r>
          </w:p>
        </w:tc>
        <w:tc>
          <w:tcPr>
            <w:tcW w:w="2746" w:type="dxa"/>
            <w:shd w:val="clear" w:color="auto" w:fill="1B3A5C"/>
          </w:tcPr>
          <w:p>
            <w:pPr>
              <w:pStyle w:val="Compact"/>
              <w:spacing w:after="40" w:before="40"/>
              <w:jc w:val="left"/>
            </w:pPr>
            <w:r>
              <w:rPr>
                <w:rFonts w:ascii="Tahoma" w:hAnsi="Tahoma"/>
                <w:b/>
                <w:color w:val="FFFFFF"/>
                <w:sz w:val="22"/>
              </w:rPr>
              <w:t xml:space="preserve">Zero-rated bookseller</w:t>
            </w:r>
          </w:p>
        </w:tc>
        <w:tc>
          <w:tcPr>
            <w:tcW w:w="2673" w:type="dxa"/>
            <w:shd w:val="clear" w:color="auto" w:fill="1B3A5C"/>
          </w:tcPr>
          <w:p>
            <w:pPr>
              <w:pStyle w:val="Compact"/>
              <w:spacing w:after="40" w:before="40"/>
              <w:jc w:val="left"/>
            </w:pPr>
            <w:r>
              <w:rPr>
                <w:rFonts w:ascii="Tahoma" w:hAnsi="Tahoma"/>
                <w:b/>
                <w:color w:val="FFFFFF"/>
                <w:sz w:val="22"/>
              </w:rPr>
              <w:t xml:space="preserve">Exempt insurance broker</w:t>
            </w:r>
          </w:p>
        </w:tc>
      </w:tr>
      <w:tr>
        <w:trPr>
          <w:cantSplit w:val="true"/>
        </w:trPr>
        <w:tc>
          <w:tcPr>
            <w:tcW w:w="3606" w:type="dxa"/>
            <w:shd w:val="clear" w:color="auto" w:fill="EAF3FA"/>
          </w:tcPr>
          <w:p>
            <w:pPr>
              <w:pStyle w:val="Compact"/>
              <w:spacing w:after="40" w:before="40"/>
              <w:jc w:val="left"/>
            </w:pPr>
            <w:r>
              <w:rPr>
                <w:rFonts w:ascii="Tahoma" w:hAnsi="Tahoma"/>
                <w:sz w:val="22"/>
              </w:rPr>
              <w:t xml:space="preserve">Costs paid, including VAT</w:t>
            </w:r>
          </w:p>
        </w:tc>
        <w:tc>
          <w:tcPr>
            <w:tcW w:w="2746" w:type="dxa"/>
            <w:shd w:val="clear" w:color="auto" w:fill="EAF3FA"/>
          </w:tcPr>
          <w:p>
            <w:pPr>
              <w:pStyle w:val="Compact"/>
              <w:spacing w:after="40" w:before="40"/>
              <w:jc w:val="left"/>
            </w:pPr>
            <w:r>
              <w:rPr>
                <w:rFonts w:ascii="Tahoma" w:hAnsi="Tahoma"/>
                <w:sz w:val="22"/>
              </w:rPr>
              <w:t xml:space="preserve">£12,000</w:t>
            </w:r>
          </w:p>
        </w:tc>
        <w:tc>
          <w:tcPr>
            <w:tcW w:w="2673" w:type="dxa"/>
            <w:shd w:val="clear" w:color="auto" w:fill="EAF3FA"/>
          </w:tcPr>
          <w:p>
            <w:pPr>
              <w:pStyle w:val="Compact"/>
              <w:spacing w:after="40" w:before="40"/>
              <w:jc w:val="left"/>
            </w:pPr>
            <w:r>
              <w:rPr>
                <w:rFonts w:ascii="Tahoma" w:hAnsi="Tahoma"/>
                <w:sz w:val="22"/>
              </w:rPr>
              <w:t xml:space="preserve">£12,000</w:t>
            </w:r>
          </w:p>
        </w:tc>
      </w:tr>
      <w:tr>
        <w:trPr>
          <w:cantSplit w:val="true"/>
        </w:trPr>
        <w:tc>
          <w:tcPr>
            <w:tcW w:w="3606" w:type="dxa"/>
            <w:shd w:val="clear" w:color="auto" w:fill="FFFFFF"/>
          </w:tcPr>
          <w:p>
            <w:pPr>
              <w:pStyle w:val="Compact"/>
              <w:spacing w:after="40" w:before="40"/>
              <w:jc w:val="left"/>
            </w:pPr>
            <w:r>
              <w:rPr>
                <w:rFonts w:ascii="Tahoma" w:hAnsi="Tahoma"/>
                <w:sz w:val="22"/>
              </w:rPr>
              <w:t xml:space="preserve">VAT included in those costs</w:t>
            </w:r>
          </w:p>
        </w:tc>
        <w:tc>
          <w:tcPr>
            <w:tcW w:w="2746" w:type="dxa"/>
            <w:shd w:val="clear" w:color="auto" w:fill="FFFFFF"/>
          </w:tcPr>
          <w:p>
            <w:pPr>
              <w:pStyle w:val="Compact"/>
              <w:spacing w:after="40" w:before="40"/>
              <w:jc w:val="left"/>
            </w:pPr>
            <w:r>
              <w:rPr>
                <w:rFonts w:ascii="Tahoma" w:hAnsi="Tahoma"/>
                <w:sz w:val="22"/>
              </w:rPr>
              <w:t xml:space="preserve">£2,000</w:t>
            </w:r>
          </w:p>
        </w:tc>
        <w:tc>
          <w:tcPr>
            <w:tcW w:w="2673" w:type="dxa"/>
            <w:shd w:val="clear" w:color="auto" w:fill="FFFFFF"/>
          </w:tcPr>
          <w:p>
            <w:pPr>
              <w:pStyle w:val="Compact"/>
              <w:spacing w:after="40" w:before="40"/>
              <w:jc w:val="left"/>
            </w:pPr>
            <w:r>
              <w:rPr>
                <w:rFonts w:ascii="Tahoma" w:hAnsi="Tahoma"/>
                <w:sz w:val="22"/>
              </w:rPr>
              <w:t xml:space="preserve">£2,000</w:t>
            </w:r>
          </w:p>
        </w:tc>
      </w:tr>
      <w:tr>
        <w:trPr>
          <w:cantSplit w:val="true"/>
        </w:trPr>
        <w:tc>
          <w:tcPr>
            <w:tcW w:w="3606" w:type="dxa"/>
            <w:shd w:val="clear" w:color="auto" w:fill="FBEAF1"/>
          </w:tcPr>
          <w:p>
            <w:pPr>
              <w:pStyle w:val="Compact"/>
              <w:spacing w:after="40" w:before="40"/>
              <w:jc w:val="left"/>
            </w:pPr>
            <w:r>
              <w:rPr>
                <w:rFonts w:ascii="Tahoma" w:hAnsi="Tahoma"/>
                <w:sz w:val="22"/>
              </w:rPr>
              <w:t xml:space="preserve">VAT charged on sales</w:t>
            </w:r>
          </w:p>
        </w:tc>
        <w:tc>
          <w:tcPr>
            <w:tcW w:w="2746" w:type="dxa"/>
            <w:shd w:val="clear" w:color="auto" w:fill="FBEAF1"/>
          </w:tcPr>
          <w:p>
            <w:pPr>
              <w:pStyle w:val="Compact"/>
              <w:spacing w:after="40" w:before="40"/>
              <w:jc w:val="left"/>
            </w:pPr>
            <w:r>
              <w:rPr>
                <w:rFonts w:ascii="Tahoma" w:hAnsi="Tahoma"/>
                <w:sz w:val="22"/>
              </w:rPr>
              <w:t xml:space="preserve">£0 (zero-rated)</w:t>
            </w:r>
          </w:p>
        </w:tc>
        <w:tc>
          <w:tcPr>
            <w:tcW w:w="2673" w:type="dxa"/>
            <w:shd w:val="clear" w:color="auto" w:fill="FBEAF1"/>
          </w:tcPr>
          <w:p>
            <w:pPr>
              <w:pStyle w:val="Compact"/>
              <w:spacing w:after="40" w:before="40"/>
              <w:jc w:val="left"/>
            </w:pPr>
            <w:r>
              <w:rPr>
                <w:rFonts w:ascii="Tahoma" w:hAnsi="Tahoma"/>
                <w:sz w:val="22"/>
              </w:rPr>
              <w:t xml:space="preserve">None (exempt)</w:t>
            </w:r>
          </w:p>
        </w:tc>
      </w:tr>
      <w:tr>
        <w:trPr>
          <w:cantSplit w:val="true"/>
        </w:trPr>
        <w:tc>
          <w:tcPr>
            <w:tcW w:w="3606" w:type="dxa"/>
            <w:shd w:val="clear" w:color="auto" w:fill="EAF3FA"/>
          </w:tcPr>
          <w:p>
            <w:pPr>
              <w:pStyle w:val="Compact"/>
              <w:spacing w:after="40" w:before="40"/>
              <w:jc w:val="left"/>
            </w:pPr>
            <w:r>
              <w:rPr>
                <w:rFonts w:ascii="Tahoma" w:hAnsi="Tahoma"/>
                <w:sz w:val="22"/>
              </w:rPr>
              <w:t xml:space="preserve">Input tax recovered</w:t>
            </w:r>
          </w:p>
        </w:tc>
        <w:tc>
          <w:tcPr>
            <w:tcW w:w="2746" w:type="dxa"/>
            <w:shd w:val="clear" w:color="auto" w:fill="EAF3FA"/>
          </w:tcPr>
          <w:p>
            <w:pPr>
              <w:pStyle w:val="Compact"/>
              <w:spacing w:after="40" w:before="40"/>
              <w:jc w:val="left"/>
            </w:pPr>
            <w:r>
              <w:rPr>
                <w:rFonts w:ascii="Tahoma" w:hAnsi="Tahoma"/>
                <w:sz w:val="22"/>
              </w:rPr>
              <w:t xml:space="preserve">£2,000</w:t>
            </w:r>
          </w:p>
        </w:tc>
        <w:tc>
          <w:tcPr>
            <w:tcW w:w="2673" w:type="dxa"/>
            <w:shd w:val="clear" w:color="auto" w:fill="EAF3FA"/>
          </w:tcPr>
          <w:p>
            <w:pPr>
              <w:pStyle w:val="Compact"/>
              <w:spacing w:after="40" w:before="40"/>
              <w:jc w:val="left"/>
            </w:pPr>
            <w:r>
              <w:rPr>
                <w:rFonts w:ascii="Tahoma" w:hAnsi="Tahoma"/>
                <w:sz w:val="22"/>
              </w:rPr>
              <w:t xml:space="preserve">£0</w:t>
            </w:r>
          </w:p>
        </w:tc>
      </w:tr>
      <w:tr>
        <w:trPr>
          <w:cantSplit w:val="true"/>
        </w:trPr>
        <w:tc>
          <w:tcPr>
            <w:tcW w:w="3606" w:type="dxa"/>
            <w:shd w:val="clear" w:color="auto" w:fill="FFFFFF"/>
          </w:tcPr>
          <w:p>
            <w:pPr>
              <w:pStyle w:val="Compact"/>
              <w:spacing w:after="40" w:before="40"/>
              <w:jc w:val="left"/>
            </w:pPr>
            <w:r>
              <w:rPr>
                <w:rFonts w:ascii="Tahoma" w:hAnsi="Tahoma"/>
                <w:sz w:val="22"/>
              </w:rPr>
              <w:t xml:space="preserve">Real cost to the business</w:t>
            </w:r>
          </w:p>
        </w:tc>
        <w:tc>
          <w:tcPr>
            <w:tcW w:w="2746" w:type="dxa"/>
            <w:shd w:val="clear" w:color="auto" w:fill="FFFFFF"/>
          </w:tcPr>
          <w:p>
            <w:pPr>
              <w:pStyle w:val="Compact"/>
              <w:spacing w:after="40" w:before="40"/>
              <w:jc w:val="left"/>
            </w:pPr>
            <w:r>
              <w:rPr>
                <w:rFonts w:ascii="Tahoma" w:hAnsi="Tahoma"/>
                <w:sz w:val="22"/>
              </w:rPr>
              <w:t xml:space="preserve">£10,000</w:t>
            </w:r>
          </w:p>
        </w:tc>
        <w:tc>
          <w:tcPr>
            <w:tcW w:w="2673" w:type="dxa"/>
            <w:shd w:val="clear" w:color="auto" w:fill="FFFFFF"/>
          </w:tcPr>
          <w:p>
            <w:pPr>
              <w:pStyle w:val="Compact"/>
              <w:spacing w:after="40" w:before="40"/>
              <w:jc w:val="left"/>
            </w:pPr>
            <w:r>
              <w:rPr>
                <w:rFonts w:ascii="Tahoma" w:hAnsi="Tahoma"/>
                <w:sz w:val="22"/>
              </w:rPr>
              <w:t xml:space="preserve">£12,000</w:t>
            </w:r>
          </w:p>
        </w:tc>
      </w:tr>
      <w:tr>
        <w:trPr>
          <w:cantSplit w:val="true"/>
        </w:trPr>
        <w:tc>
          <w:tcPr>
            <w:tcW w:w="3606" w:type="dxa"/>
            <w:shd w:val="clear" w:color="auto" w:fill="FBEAF1"/>
          </w:tcPr>
          <w:p>
            <w:pPr>
              <w:pStyle w:val="Compact"/>
              <w:spacing w:after="40" w:before="40"/>
              <w:jc w:val="left"/>
            </w:pPr>
            <w:r>
              <w:rPr>
                <w:rFonts w:ascii="Tahoma" w:hAnsi="Tahoma"/>
                <w:sz w:val="22"/>
              </w:rPr>
              <w:t xml:space="preserve">Sales</w:t>
            </w:r>
          </w:p>
        </w:tc>
        <w:tc>
          <w:tcPr>
            <w:tcW w:w="2746" w:type="dxa"/>
            <w:shd w:val="clear" w:color="auto" w:fill="FBEAF1"/>
          </w:tcPr>
          <w:p>
            <w:pPr>
              <w:pStyle w:val="Compact"/>
              <w:spacing w:after="40" w:before="40"/>
              <w:jc w:val="left"/>
            </w:pPr>
            <w:r>
              <w:rPr>
                <w:rFonts w:ascii="Tahoma" w:hAnsi="Tahoma"/>
                <w:sz w:val="22"/>
              </w:rPr>
              <w:t xml:space="preserve">£30,000</w:t>
            </w:r>
          </w:p>
        </w:tc>
        <w:tc>
          <w:tcPr>
            <w:tcW w:w="2673" w:type="dxa"/>
            <w:shd w:val="clear" w:color="auto" w:fill="FBEAF1"/>
          </w:tcPr>
          <w:p>
            <w:pPr>
              <w:pStyle w:val="Compact"/>
              <w:spacing w:after="40" w:before="40"/>
              <w:jc w:val="left"/>
            </w:pPr>
            <w:r>
              <w:rPr>
                <w:rFonts w:ascii="Tahoma" w:hAnsi="Tahoma"/>
                <w:sz w:val="22"/>
              </w:rPr>
              <w:t xml:space="preserve">£30,000</w:t>
            </w:r>
          </w:p>
        </w:tc>
      </w:tr>
      <w:tr>
        <w:trPr>
          <w:cantSplit w:val="true"/>
        </w:trPr>
        <w:tc>
          <w:tcPr>
            <w:tcW w:w="3606" w:type="dxa"/>
            <w:shd w:val="clear" w:color="auto" w:fill="EAF3FA"/>
          </w:tcPr>
          <w:p>
            <w:pPr>
              <w:pStyle w:val="Compact"/>
              <w:spacing w:after="40" w:before="40"/>
              <w:jc w:val="left"/>
            </w:pPr>
            <w:r>
              <w:rPr>
                <w:rFonts w:ascii="Tahoma" w:hAnsi="Tahoma"/>
                <w:sz w:val="22"/>
              </w:rPr>
              <w:t xml:space="preserve">Profit</w:t>
            </w:r>
          </w:p>
        </w:tc>
        <w:tc>
          <w:tcPr>
            <w:tcW w:w="2746" w:type="dxa"/>
            <w:shd w:val="clear" w:color="auto" w:fill="EAF3FA"/>
          </w:tcPr>
          <w:p>
            <w:pPr>
              <w:pStyle w:val="Compact"/>
              <w:spacing w:after="40" w:before="40"/>
              <w:jc w:val="left"/>
            </w:pPr>
            <w:r>
              <w:rPr>
                <w:rFonts w:ascii="Tahoma" w:hAnsi="Tahoma"/>
                <w:sz w:val="22"/>
              </w:rPr>
              <w:t xml:space="preserve">£20,000</w:t>
            </w:r>
          </w:p>
        </w:tc>
        <w:tc>
          <w:tcPr>
            <w:tcW w:w="2673" w:type="dxa"/>
            <w:shd w:val="clear" w:color="auto" w:fill="EAF3FA"/>
          </w:tcPr>
          <w:p>
            <w:pPr>
              <w:pStyle w:val="Compact"/>
              <w:spacing w:after="40" w:before="40"/>
              <w:jc w:val="left"/>
            </w:pPr>
            <w:r>
              <w:rPr>
                <w:rFonts w:ascii="Tahoma" w:hAnsi="Tahoma"/>
                <w:sz w:val="22"/>
              </w:rPr>
              <w:t xml:space="preserve">£18,000</w:t>
            </w:r>
          </w:p>
        </w:tc>
      </w:tr>
    </w:tbl>
    <w:p>
      <w:pPr>
        <w:pStyle w:val="BodyText"/>
        <w:spacing w:before="200"/>
      </w:pPr>
      <w:r>
        <w:t xml:space="preserve">The arithmetic:</w:t>
      </w:r>
    </w:p>
    <w:p>
      <w:pPr>
        <w:pStyle w:val="Compact"/>
        <w:numPr>
          <w:ilvl w:val="0"/>
          <w:numId w:val="1152"/>
        </w:numPr>
      </w:pPr>
      <w:r>
        <w:rPr>
          <w:b/>
          <w:bCs/>
        </w:rPr>
        <w:t xml:space="preserve">Bookseller:</w:t>
      </w:r>
      <w:r>
        <w:t xml:space="preserve"> </w:t>
      </w:r>
      <w:r>
        <w:t xml:space="preserve">£12,000 − £2,000 recovered = £10,000 real cost. £30,000 − £10,000 = £20,000 profit.</w:t>
      </w:r>
      <w:r>
        <w:t xml:space="preserve"> </w:t>
      </w:r>
      <w:r>
        <w:rPr>
          <w:b/>
          <w:bCs/>
        </w:rPr>
        <w:t xml:space="preserve">Recoverable:</w:t>
      </w:r>
      <w:r>
        <w:t xml:space="preserve"> </w:t>
      </w:r>
      <w:r>
        <w:t xml:space="preserve">£2,000.</w:t>
      </w:r>
    </w:p>
    <w:p>
      <w:pPr>
        <w:pStyle w:val="Compact"/>
        <w:numPr>
          <w:ilvl w:val="0"/>
          <w:numId w:val="1152"/>
        </w:numPr>
      </w:pPr>
      <w:r>
        <w:rPr>
          <w:b/>
          <w:bCs/>
        </w:rPr>
        <w:t xml:space="preserve">Broker:</w:t>
      </w:r>
      <w:r>
        <w:t xml:space="preserve"> </w:t>
      </w:r>
      <w:r>
        <w:t xml:space="preserve">£12,000 − £0 recovered = £12,000 real cost. £30,000 − £12,000 = £18,000 profit.</w:t>
      </w:r>
      <w:r>
        <w:t xml:space="preserve"> </w:t>
      </w:r>
      <w:r>
        <w:rPr>
          <w:b/>
          <w:bCs/>
        </w:rPr>
        <w:t xml:space="preserve">Not recoverable:</w:t>
      </w:r>
      <w:r>
        <w:t xml:space="preserve"> </w:t>
      </w:r>
      <w:r>
        <w:t xml:space="preserve">£2,000.</w:t>
      </w:r>
    </w:p>
    <w:p>
      <w:pPr>
        <w:pStyle w:val="FirstParagraph"/>
      </w:pPr>
      <w:r>
        <w:t xml:space="preserve">The £2,000 difference is the broker’s irrecoverable VAT. Because a business making only exempt supplies cannot register for VAT, it has no way to reclaim it</w:t>
      </w:r>
      <w:r>
        <w:t xml:space="preserve"> </w:t>
      </w:r>
      <w:r>
        <w:t xml:space="preserve">(</w:t>
      </w:r>
      <w:hyperlink w:anchor="ref-hmrc_exemption">
        <w:r>
          <w:rPr>
            <w:rStyle w:val="Hyperlink"/>
          </w:rPr>
          <w:t xml:space="preserve">HMRC, 2022a</w:t>
        </w:r>
      </w:hyperlink>
      <w:r>
        <w:t xml:space="preserve">)</w:t>
      </w:r>
      <w:r>
        <w:t xml:space="preserve">. If the broker also made some taxable supplies, it would be partly exempt and might pass the de minimis tests (see</w:t>
      </w:r>
      <w:r>
        <w:t xml:space="preserve"> </w:t>
      </w:r>
      <w:r>
        <w:t xml:space="preserve">“</w:t>
      </w:r>
      <w:r>
        <w:t xml:space="preserve">Exempt supplies</w:t>
      </w:r>
      <w:r>
        <w:t xml:space="preserve">”</w:t>
      </w:r>
      <w:r>
        <w:t xml:space="preserve"> </w:t>
      </w:r>
      <w:r>
        <w:t xml:space="preserve">above).</w:t>
      </w:r>
    </w:p>
    <w:bookmarkEnd w:id="134"/>
    <w:bookmarkStart w:id="135" w:name="why-this-matters-to-a-buyer"/>
    <w:p>
      <w:pPr>
        <w:pStyle w:val="Heading4"/>
      </w:pPr>
      <w:r>
        <w:t xml:space="preserve">Why this matters to a buyer</w:t>
      </w:r>
    </w:p>
    <w:p>
      <w:pPr>
        <w:pStyle w:val="FirstParagraph"/>
      </w:pPr>
      <w:r>
        <w:t xml:space="preserve">When the Department buys from an exempt supplier, the invoice shows no VAT. But the supplier cannot recover the VAT on its own costs</w:t>
      </w:r>
      <w:r>
        <w:t xml:space="preserve"> </w:t>
      </w:r>
      <w:r>
        <w:t xml:space="preserve">(</w:t>
      </w:r>
      <w:hyperlink w:anchor="ref-hmrc_exemption">
        <w:r>
          <w:rPr>
            <w:rStyle w:val="Hyperlink"/>
          </w:rPr>
          <w:t xml:space="preserve">HMRC, 2022a</w:t>
        </w:r>
      </w:hyperlink>
      <w:r>
        <w:t xml:space="preserve">)</w:t>
      </w:r>
      <w:r>
        <w:t xml:space="preserve">, so that VAT is a real cost to the supplier and is likely to be reflected in its prices. It is not shown on the invoice, so the Department cannot reclaim it.</w:t>
      </w:r>
    </w:p>
    <w:bookmarkEnd w:id="135"/>
    <w:bookmarkStart w:id="136" w:name="X102889e032a0da67210ee6a2293b72e35957d25"/>
    <w:p>
      <w:pPr>
        <w:pStyle w:val="Heading4"/>
      </w:pPr>
      <w:r>
        <w:t xml:space="preserve">What this means when the Department sells</w:t>
      </w:r>
    </w:p>
    <w:p>
      <w:pPr>
        <w:pStyle w:val="FirstParagraph"/>
      </w:pPr>
      <w:r>
        <w:t xml:space="preserve">The same logic applies to the Department’s own business activities:</w:t>
      </w:r>
    </w:p>
    <w:p>
      <w:pPr>
        <w:pStyle w:val="Compact"/>
        <w:numPr>
          <w:ilvl w:val="0"/>
          <w:numId w:val="1153"/>
        </w:numPr>
      </w:pPr>
      <w:r>
        <w:rPr>
          <w:b/>
          <w:bCs/>
        </w:rPr>
        <w:t xml:space="preserve">Zero-rated sales keep VAT recovery.</w:t>
      </w:r>
      <w:r>
        <w:t xml:space="preserve"> </w:t>
      </w:r>
      <w:r>
        <w:t xml:space="preserve">For example, goods exported from the UK are zero-rated if the conditions are met</w:t>
      </w:r>
      <w:r>
        <w:t xml:space="preserve"> </w:t>
      </w:r>
      <w:r>
        <w:t xml:space="preserve">(</w:t>
      </w:r>
      <w:hyperlink w:anchor="ref-hmrc_n703">
        <w:r>
          <w:rPr>
            <w:rStyle w:val="Hyperlink"/>
          </w:rPr>
          <w:t xml:space="preserve">HMRC, 2026p, para. 2.1</w:t>
        </w:r>
      </w:hyperlink>
      <w:r>
        <w:t xml:space="preserve">)</w:t>
      </w:r>
      <w:r>
        <w:t xml:space="preserve"> </w:t>
      </w:r>
      <w:r>
        <w:t xml:space="preserve">(see Part 4, and Part 6, Selling items abroad).</w:t>
      </w:r>
    </w:p>
    <w:p>
      <w:pPr>
        <w:pStyle w:val="Compact"/>
        <w:numPr>
          <w:ilvl w:val="0"/>
          <w:numId w:val="1153"/>
        </w:numPr>
      </w:pPr>
      <w:r>
        <w:rPr>
          <w:b/>
          <w:bCs/>
        </w:rPr>
        <w:t xml:space="preserve">Exempt sales lose VAT recovery.</w:t>
      </w:r>
      <w:r>
        <w:t xml:space="preserve"> </w:t>
      </w:r>
      <w:r>
        <w:t xml:space="preserve">For example, letting surplus office space without an option to tax is exempt, so VAT on related costs is exempt input tax</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53"/>
        </w:numPr>
      </w:pPr>
      <w:r>
        <w:rPr>
          <w:b/>
          <w:bCs/>
        </w:rPr>
        <w:t xml:space="preserve">Check first:</w:t>
      </w:r>
      <w:r>
        <w:t xml:space="preserve"> </w:t>
      </w:r>
      <w:r>
        <w:t xml:space="preserve">HMRC’s framework lists</w:t>
      </w:r>
      <w:r>
        <w:t xml:space="preserve"> </w:t>
      </w:r>
      <w:r>
        <w:t xml:space="preserve">“</w:t>
      </w:r>
      <w:r>
        <w:t xml:space="preserve">publications</w:t>
      </w:r>
      <w:r>
        <w:t xml:space="preserve">”</w:t>
      </w:r>
      <w:r>
        <w:t xml:space="preserve"> </w:t>
      </w:r>
      <w:r>
        <w:t xml:space="preserve">as an example of a standard-rated supply by a government department</w:t>
      </w:r>
      <w:r>
        <w:t xml:space="preserve"> </w:t>
      </w:r>
      <w:r>
        <w:t xml:space="preserve">(</w:t>
      </w:r>
      <w:hyperlink w:anchor="ref-hmrc_gdpef">
        <w:r>
          <w:rPr>
            <w:rStyle w:val="Hyperlink"/>
          </w:rPr>
          <w:t xml:space="preserve">HMRC, 2023c</w:t>
        </w:r>
      </w:hyperlink>
      <w:r>
        <w:t xml:space="preserve">)</w:t>
      </w:r>
      <w:r>
        <w:t xml:space="preserve">, but printed books, leaflets and most e-publications are zero-rated</w:t>
      </w:r>
      <w:r>
        <w:t xml:space="preserve"> </w:t>
      </w:r>
      <w:r>
        <w:t xml:space="preserve">(</w:t>
      </w:r>
      <w:hyperlink w:anchor="ref-hmrc_n70110">
        <w:r>
          <w:rPr>
            <w:rStyle w:val="Hyperlink"/>
          </w:rPr>
          <w:t xml:space="preserve">HMRC, 2020f, para. 1.2</w:t>
        </w:r>
      </w:hyperlink>
      <w:r>
        <w:t xml:space="preserve">;</w:t>
      </w:r>
      <w:r>
        <w:t xml:space="preserve"> </w:t>
      </w:r>
      <w:hyperlink w:anchor="ref-hmrc_n70110">
        <w:r>
          <w:rPr>
            <w:rStyle w:val="Hyperlink"/>
          </w:rPr>
          <w:t xml:space="preserve">2020f, sec. 9</w:t>
        </w:r>
      </w:hyperlink>
      <w:r>
        <w:t xml:space="preserve">)</w:t>
      </w:r>
      <w:r>
        <w:t xml:space="preserve">. Check the liability of each publication on its own facts.</w:t>
      </w:r>
    </w:p>
    <w:bookmarkEnd w:id="136"/>
    <w:bookmarkEnd w:id="137"/>
    <w:bookmarkStart w:id="140" w:name="outside-the-scope-of-vat"/>
    <w:p>
      <w:pPr>
        <w:pStyle w:val="Heading3"/>
      </w:pPr>
      <w:r>
        <w:t xml:space="preserve">Outside the scope of VAT</w:t>
      </w:r>
    </w:p>
    <w:p>
      <w:pPr>
        <w:pStyle w:val="FirstParagraph"/>
      </w:pPr>
      <w:r>
        <w:t xml:space="preserve">“</w:t>
      </w:r>
      <w:r>
        <w:t xml:space="preserve">Outside the scope</w:t>
      </w:r>
      <w:r>
        <w:t xml:space="preserve">”</w:t>
      </w:r>
      <w:r>
        <w:t xml:space="preserve"> </w:t>
      </w:r>
      <w:r>
        <w:t xml:space="preserve">means the transaction is not within UK VAT at all. It is different from exempt: an exempt supply is within UK VAT but has no VAT charged because the law exempts it, while an outside-the-scope transaction is either not a supply for VAT purposes or not a UK supply</w:t>
      </w:r>
      <w:r>
        <w:t xml:space="preserve"> </w:t>
      </w:r>
      <w:r>
        <w:t xml:space="preserve">(</w:t>
      </w:r>
      <w:hyperlink w:anchor="ref-hmrc_n700">
        <w:r>
          <w:rPr>
            <w:rStyle w:val="Hyperlink"/>
          </w:rPr>
          <w:t xml:space="preserve">HMRC, 2026o, para. 3.2</w:t>
        </w:r>
      </w:hyperlink>
      <w:r>
        <w:t xml:space="preserve">;</w:t>
      </w:r>
      <w:r>
        <w:t xml:space="preserve"> </w:t>
      </w:r>
      <w:hyperlink w:anchor="ref-hmrc_n700">
        <w:r>
          <w:rPr>
            <w:rStyle w:val="Hyperlink"/>
          </w:rPr>
          <w:t xml:space="preserve">2026o, para. 3.6</w:t>
        </w:r>
      </w:hyperlink>
      <w:r>
        <w:t xml:space="preserve">)</w:t>
      </w:r>
      <w:r>
        <w:t xml:space="preserve">.</w:t>
      </w:r>
    </w:p>
    <w:p>
      <w:pPr>
        <w:pStyle w:val="BodyText"/>
      </w:pPr>
      <w:r>
        <w:t xml:space="preserve">A supply is outside the scope of UK VAT if any of these apply</w:t>
      </w:r>
      <w:r>
        <w:t xml:space="preserve"> </w:t>
      </w:r>
      <w:r>
        <w:t xml:space="preserve">(</w:t>
      </w:r>
      <w:hyperlink w:anchor="ref-hmrc_n700">
        <w:r>
          <w:rPr>
            <w:rStyle w:val="Hyperlink"/>
          </w:rPr>
          <w:t xml:space="preserve">HMRC, 2026o, para. 3.2</w:t>
        </w:r>
      </w:hyperlink>
      <w:r>
        <w:t xml:space="preserve">)</w:t>
      </w:r>
      <w:r>
        <w:t xml:space="preserve">:</w:t>
      </w:r>
    </w:p>
    <w:p>
      <w:pPr>
        <w:pStyle w:val="Compact"/>
        <w:numPr>
          <w:ilvl w:val="0"/>
          <w:numId w:val="1154"/>
        </w:numPr>
      </w:pPr>
      <w:r>
        <w:t xml:space="preserve">it is made by someone who is not a taxable person</w:t>
      </w:r>
    </w:p>
    <w:p>
      <w:pPr>
        <w:pStyle w:val="Compact"/>
        <w:numPr>
          <w:ilvl w:val="0"/>
          <w:numId w:val="1154"/>
        </w:numPr>
      </w:pPr>
      <w:r>
        <w:t xml:space="preserve">it is made outside the UK and the Isle of Man</w:t>
      </w:r>
    </w:p>
    <w:p>
      <w:pPr>
        <w:pStyle w:val="Compact"/>
        <w:numPr>
          <w:ilvl w:val="0"/>
          <w:numId w:val="1154"/>
        </w:numPr>
      </w:pPr>
      <w:r>
        <w:t xml:space="preserve">it is not made in the course or furtherance of business</w:t>
      </w:r>
    </w:p>
    <w:bookmarkStart w:id="138" w:name="common-outside-the-scope-transactions"/>
    <w:p>
      <w:pPr>
        <w:pStyle w:val="Heading4"/>
      </w:pPr>
      <w:r>
        <w:t xml:space="preserve">Common outside-the-scope transactions</w:t>
      </w:r>
    </w:p>
    <w:p>
      <w:pPr>
        <w:pStyle w:val="Compact"/>
        <w:numPr>
          <w:ilvl w:val="0"/>
          <w:numId w:val="1155"/>
        </w:numPr>
      </w:pPr>
      <w:r>
        <w:rPr>
          <w:b/>
          <w:bCs/>
        </w:rPr>
        <w:t xml:space="preserve">Non-business activities.</w:t>
      </w:r>
      <w:r>
        <w:t xml:space="preserve"> </w:t>
      </w:r>
      <w:r>
        <w:t xml:space="preserve">A government department’s main activities are mostly carried out for no charge, under statute, to deliver public services. They are non-business and outside the scope of VAT</w:t>
      </w:r>
      <w:r>
        <w:t xml:space="preserve"> </w:t>
      </w:r>
      <w:r>
        <w:t xml:space="preserve">(</w:t>
      </w:r>
      <w:hyperlink w:anchor="ref-hmrc_gdpef">
        <w:r>
          <w:rPr>
            <w:rStyle w:val="Hyperlink"/>
          </w:rPr>
          <w:t xml:space="preserve">HMRC, 2023c</w:t>
        </w:r>
      </w:hyperlink>
      <w:r>
        <w:t xml:space="preserve">)</w:t>
      </w:r>
      <w:r>
        <w:t xml:space="preserve">. Even where a public body charges for an activity, it can still be outside the scope under section 41A of the Value Added Tax Act 1994. Broadly, this applies where all of the following are true</w:t>
      </w:r>
      <w:r>
        <w:t xml:space="preserve"> </w:t>
      </w:r>
      <w:r>
        <w:t xml:space="preserve">(</w:t>
      </w:r>
      <w:hyperlink w:anchor="ref-hmrc_vatgpb">
        <w:r>
          <w:rPr>
            <w:rStyle w:val="Hyperlink"/>
          </w:rPr>
          <w:t xml:space="preserve">HMRC, 2026n, sec. VATGPB3100</w:t>
        </w:r>
      </w:hyperlink>
      <w:r>
        <w:t xml:space="preserve">)</w:t>
      </w:r>
      <w:r>
        <w:t xml:space="preserve"> </w:t>
      </w:r>
      <w:r>
        <w:t xml:space="preserve">(see Part 5, Business vs non-business: the key test):</w:t>
      </w:r>
    </w:p>
    <w:p>
      <w:pPr>
        <w:pStyle w:val="Compact"/>
        <w:numPr>
          <w:ilvl w:val="1"/>
          <w:numId w:val="1156"/>
        </w:numPr>
      </w:pPr>
      <w:r>
        <w:t xml:space="preserve">the body acts as a public authority, under legislation that does not apply to private bodies;</w:t>
      </w:r>
    </w:p>
    <w:p>
      <w:pPr>
        <w:pStyle w:val="Compact"/>
        <w:numPr>
          <w:ilvl w:val="1"/>
          <w:numId w:val="1156"/>
        </w:numPr>
      </w:pPr>
      <w:r>
        <w:t xml:space="preserve">the activity is not one listed in section 41A(2), such as passenger transport or running a staff canteen; and</w:t>
      </w:r>
    </w:p>
    <w:p>
      <w:pPr>
        <w:pStyle w:val="Compact"/>
        <w:numPr>
          <w:ilvl w:val="1"/>
          <w:numId w:val="1156"/>
        </w:numPr>
      </w:pPr>
      <w:r>
        <w:t xml:space="preserve">treating it as non-business would not significantly distort competition.</w:t>
      </w:r>
    </w:p>
    <w:p>
      <w:pPr>
        <w:pStyle w:val="Compact"/>
        <w:numPr>
          <w:ilvl w:val="0"/>
          <w:numId w:val="1155"/>
        </w:numPr>
      </w:pPr>
      <w:r>
        <w:rPr>
          <w:b/>
          <w:bCs/>
        </w:rPr>
        <w:t xml:space="preserve">Supplies whose place of supply is outside the UK.</w:t>
      </w:r>
      <w:r>
        <w:t xml:space="preserve"> </w:t>
      </w:r>
      <w:r>
        <w:t xml:space="preserve">If the place of supply of a service is outside the UK, it is outside the scope of UK VAT</w:t>
      </w:r>
      <w:r>
        <w:t xml:space="preserve"> </w:t>
      </w:r>
      <w:r>
        <w:t xml:space="preserve">(</w:t>
      </w:r>
      <w:hyperlink w:anchor="ref-hmrc_n741a">
        <w:r>
          <w:rPr>
            <w:rStyle w:val="Hyperlink"/>
          </w:rPr>
          <w:t xml:space="preserve">HMRC, 2022d, para. 2.1</w:t>
        </w:r>
      </w:hyperlink>
      <w:r>
        <w:t xml:space="preserve">)</w:t>
      </w:r>
      <w:r>
        <w:t xml:space="preserve">. For example, hotel accommodation is a land-related service, supplied where the hotel is</w:t>
      </w:r>
      <w:r>
        <w:t xml:space="preserve"> </w:t>
      </w:r>
      <w:r>
        <w:t xml:space="preserve">(</w:t>
      </w:r>
      <w:hyperlink w:anchor="ref-hmrc_n741a">
        <w:r>
          <w:rPr>
            <w:rStyle w:val="Hyperlink"/>
          </w:rPr>
          <w:t xml:space="preserve">HMRC, 2022d, para. 7.1</w:t>
        </w:r>
      </w:hyperlink>
      <w:r>
        <w:t xml:space="preserve">;</w:t>
      </w:r>
      <w:r>
        <w:t xml:space="preserve"> </w:t>
      </w:r>
      <w:hyperlink w:anchor="ref-hmrc_n741a">
        <w:r>
          <w:rPr>
            <w:rStyle w:val="Hyperlink"/>
          </w:rPr>
          <w:t xml:space="preserve">2022d, para. 7.4</w:t>
        </w:r>
      </w:hyperlink>
      <w:r>
        <w:t xml:space="preserve">)</w:t>
      </w:r>
      <w:r>
        <w:t xml:space="preserve">. So a hotel room abroad has no UK VAT, but it may carry that country’s VAT</w:t>
      </w:r>
      <w:r>
        <w:t xml:space="preserve"> </w:t>
      </w:r>
      <w:r>
        <w:t xml:space="preserve">(</w:t>
      </w:r>
      <w:hyperlink w:anchor="ref-hmrc_vatposs">
        <w:r>
          <w:rPr>
            <w:rStyle w:val="Hyperlink"/>
          </w:rPr>
          <w:t xml:space="preserve">HMRC, 2022j, sec. VATPOSS03100</w:t>
        </w:r>
      </w:hyperlink>
      <w:r>
        <w:t xml:space="preserve">)</w:t>
      </w:r>
      <w:r>
        <w:t xml:space="preserve">. HMRC cannot advise on other countries’ VAT</w:t>
      </w:r>
      <w:r>
        <w:t xml:space="preserve"> </w:t>
      </w:r>
      <w:r>
        <w:t xml:space="preserve">(</w:t>
      </w:r>
      <w:hyperlink w:anchor="ref-hmrc_vatposs">
        <w:r>
          <w:rPr>
            <w:rStyle w:val="Hyperlink"/>
          </w:rPr>
          <w:t xml:space="preserve">HMRC, 2022j, sec. VATPOSS03100</w:t>
        </w:r>
      </w:hyperlink>
      <w:r>
        <w:t xml:space="preserve">)</w:t>
      </w:r>
      <w:r>
        <w:t xml:space="preserve">. Foreign VAT is never refundable through COS (see Part 1, Foreign VAT, and Part 4).</w:t>
      </w:r>
    </w:p>
    <w:p>
      <w:pPr>
        <w:pStyle w:val="Compact"/>
        <w:numPr>
          <w:ilvl w:val="0"/>
          <w:numId w:val="1155"/>
        </w:numPr>
      </w:pPr>
      <w:r>
        <w:rPr>
          <w:b/>
          <w:bCs/>
        </w:rPr>
        <w:t xml:space="preserve">Wages and salaries.</w:t>
      </w:r>
      <w:r>
        <w:t xml:space="preserve"> </w:t>
      </w:r>
      <w:r>
        <w:t xml:space="preserve">Services provided by an employee to their employer are outside the scope of VAT. But if another employer lends (seconds) staff to the Department for a charge, that can be a taxable supply of staff</w:t>
      </w:r>
      <w:r>
        <w:t xml:space="preserve"> </w:t>
      </w:r>
      <w:r>
        <w:t xml:space="preserve">(</w:t>
      </w:r>
      <w:hyperlink w:anchor="ref-hmrc_vatsc">
        <w:r>
          <w:rPr>
            <w:rStyle w:val="Hyperlink"/>
          </w:rPr>
          <w:t xml:space="preserve">HMRC, 2025l, sec. VATSC03540</w:t>
        </w:r>
      </w:hyperlink>
      <w:r>
        <w:t xml:space="preserve">)</w:t>
      </w:r>
      <w:r>
        <w:t xml:space="preserve">.</w:t>
      </w:r>
    </w:p>
    <w:p>
      <w:pPr>
        <w:pStyle w:val="Compact"/>
        <w:numPr>
          <w:ilvl w:val="0"/>
          <w:numId w:val="1155"/>
        </w:numPr>
      </w:pPr>
      <w:r>
        <w:rPr>
          <w:b/>
          <w:bCs/>
        </w:rPr>
        <w:t xml:space="preserve">Genuine statutory fees and charges.</w:t>
      </w:r>
      <w:r>
        <w:t xml:space="preserve"> </w:t>
      </w:r>
      <w:r>
        <w:t xml:space="preserve">When government departments or agencies charge a fee for issuing a certificate of approval or compliance as part of their regulatory role, this is outside the scope of VAT. If the same work is done by a private business, its fees are taxable</w:t>
      </w:r>
      <w:r>
        <w:t xml:space="preserve"> </w:t>
      </w:r>
      <w:r>
        <w:t xml:space="preserve">(</w:t>
      </w:r>
      <w:hyperlink w:anchor="ref-hmrc_vatsc">
        <w:r>
          <w:rPr>
            <w:rStyle w:val="Hyperlink"/>
          </w:rPr>
          <w:t xml:space="preserve">HMRC, 2025l, sec. VATSC03610</w:t>
        </w:r>
      </w:hyperlink>
      <w:r>
        <w:t xml:space="preserve">)</w:t>
      </w:r>
      <w:r>
        <w:t xml:space="preserve">. Similarly, tolls for bridges, tunnels and roads operated by public authorities are outside the scope, but privately operated tolls are standard-rated</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155"/>
        </w:numPr>
      </w:pPr>
      <w:r>
        <w:rPr>
          <w:b/>
          <w:bCs/>
        </w:rPr>
        <w:t xml:space="preserve">Grants and donations with nothing in return.</w:t>
      </w:r>
      <w:r>
        <w:t xml:space="preserve"> </w:t>
      </w:r>
      <w:r>
        <w:t xml:space="preserve">If the person giving a grant or donation receives no direct benefit in return, it is not payment for a supply and is outside the scope of VAT</w:t>
      </w:r>
      <w:r>
        <w:t xml:space="preserve"> </w:t>
      </w:r>
      <w:r>
        <w:t xml:space="preserve">(</w:t>
      </w:r>
      <w:hyperlink w:anchor="ref-hmrc_n700">
        <w:r>
          <w:rPr>
            <w:rStyle w:val="Hyperlink"/>
          </w:rPr>
          <w:t xml:space="preserve">HMRC, 2026o, para. 4.6.5</w:t>
        </w:r>
      </w:hyperlink>
      <w:r>
        <w:t xml:space="preserve">)</w:t>
      </w:r>
      <w:r>
        <w:t xml:space="preserve">.</w:t>
      </w:r>
    </w:p>
    <w:p>
      <w:pPr>
        <w:pStyle w:val="Compact"/>
        <w:numPr>
          <w:ilvl w:val="0"/>
          <w:numId w:val="1155"/>
        </w:numPr>
      </w:pPr>
      <w:r>
        <w:rPr>
          <w:b/>
          <w:bCs/>
        </w:rPr>
        <w:t xml:space="preserve">Transfers of a going concern (TOGC).</w:t>
      </w:r>
      <w:r>
        <w:t xml:space="preserve"> </w:t>
      </w:r>
      <w:r>
        <w:t xml:space="preserve">If a business, or part of one, is sold as a going concern and the conditions are met, no supply takes place for VAT purposes and no VAT is charged</w:t>
      </w:r>
      <w:r>
        <w:t xml:space="preserve"> </w:t>
      </w:r>
      <w:r>
        <w:t xml:space="preserve">(</w:t>
      </w:r>
      <w:hyperlink w:anchor="ref-hmrc_n7009">
        <w:r>
          <w:rPr>
            <w:rStyle w:val="Hyperlink"/>
          </w:rPr>
          <w:t xml:space="preserve">HMRC, 2025i, para. 1.4</w:t>
        </w:r>
      </w:hyperlink>
      <w:r>
        <w:t xml:space="preserve">)</w:t>
      </w:r>
      <w:r>
        <w:t xml:space="preserve">. The rule is in article 5 of the Value Added Tax (Special Provisions) Order 1995.</w:t>
      </w:r>
    </w:p>
    <w:bookmarkEnd w:id="138"/>
    <w:bookmarkStart w:id="139" w:name="X632251521693ec5b95118caeb8ced8ed6218546"/>
    <w:p>
      <w:pPr>
        <w:pStyle w:val="Heading4"/>
      </w:pPr>
      <w:r>
        <w:t xml:space="preserve">Outside the scope with and without the right of recovery</w:t>
      </w:r>
    </w:p>
    <w:p>
      <w:pPr>
        <w:pStyle w:val="FirstParagraph"/>
      </w:pPr>
      <w:r>
        <w:t xml:space="preserve">Some outside-the-scope supplies still let the supplier recover VAT on related costs. Others do not. A supplier can recover input tax related to</w:t>
      </w:r>
      <w:r>
        <w:t xml:space="preserve"> </w:t>
      </w:r>
      <w:r>
        <w:t xml:space="preserve">(</w:t>
      </w:r>
      <w:hyperlink w:anchor="ref-hmrc_vatposs">
        <w:r>
          <w:rPr>
            <w:rStyle w:val="Hyperlink"/>
          </w:rPr>
          <w:t xml:space="preserve">HMRC, 2022j, sec. VATPOSS03200</w:t>
        </w:r>
      </w:hyperlink>
      <w:r>
        <w:t xml:space="preserve">;</w:t>
      </w:r>
      <w:r>
        <w:t xml:space="preserve"> </w:t>
      </w:r>
      <w:hyperlink w:anchor="ref-hmrc_n741a">
        <w:r>
          <w:rPr>
            <w:rStyle w:val="Hyperlink"/>
          </w:rPr>
          <w:t xml:space="preserve">2022d, para. 2.7</w:t>
        </w:r>
      </w:hyperlink>
      <w:r>
        <w:t xml:space="preserve">)</w:t>
      </w:r>
      <w:r>
        <w:t xml:space="preserve">:</w:t>
      </w:r>
    </w:p>
    <w:p>
      <w:pPr>
        <w:pStyle w:val="Compact"/>
        <w:numPr>
          <w:ilvl w:val="0"/>
          <w:numId w:val="1157"/>
        </w:numPr>
      </w:pPr>
      <w:r>
        <w:t xml:space="preserve">taxable supplies (Value Added Tax Act 1994, s. 26(2)(a))</w:t>
      </w:r>
    </w:p>
    <w:p>
      <w:pPr>
        <w:pStyle w:val="Compact"/>
        <w:numPr>
          <w:ilvl w:val="0"/>
          <w:numId w:val="1157"/>
        </w:numPr>
      </w:pPr>
      <w:r>
        <w:t xml:space="preserve">supplies made outside the UK that would be taxable if made in the UK (s. 26(2)(b))</w:t>
      </w:r>
    </w:p>
    <w:p>
      <w:pPr>
        <w:pStyle w:val="Compact"/>
        <w:numPr>
          <w:ilvl w:val="0"/>
          <w:numId w:val="1157"/>
        </w:numPr>
      </w:pPr>
      <w:r>
        <w:t xml:space="preserve">certain exempt financial and insurance services supplied to people who belong outside the UK, or directly linked to exports of goods, known as</w:t>
      </w:r>
      <w:r>
        <w:t xml:space="preserve"> </w:t>
      </w:r>
      <w:r>
        <w:rPr>
          <w:b/>
          <w:bCs/>
        </w:rPr>
        <w:t xml:space="preserve">specified supplies</w:t>
      </w:r>
      <w:r>
        <w:t xml:space="preserve"> </w:t>
      </w:r>
      <w:r>
        <w:t xml:space="preserve">(s. 26(2)(c) and the Value Added Tax (Input Tax) (Specified Supplies) Order 1999)</w:t>
      </w:r>
    </w:p>
    <w:p>
      <w:pPr>
        <w:pStyle w:val="FirstParagraph"/>
      </w:pPr>
      <w:r>
        <w:t xml:space="preserve">Input tax on supplies made outside the UK that would be exempt if made in the UK, and are not specified supplies, is exempt input tax</w:t>
      </w:r>
      <w:r>
        <w:t xml:space="preserve"> </w:t>
      </w:r>
      <w:r>
        <w:t xml:space="preserve">(</w:t>
      </w:r>
      <w:hyperlink w:anchor="ref-hmrc_n706">
        <w:r>
          <w:rPr>
            <w:rStyle w:val="Hyperlink"/>
          </w:rPr>
          <w:t xml:space="preserve">HMRC, 2025h, para. 2.3</w:t>
        </w:r>
      </w:hyperlink>
      <w:r>
        <w:t xml:space="preserve">)</w:t>
      </w:r>
      <w:r>
        <w:t xml:space="preserve">.</w:t>
      </w:r>
    </w:p>
    <w:p>
      <w:pPr>
        <w:pStyle w:val="BodyText"/>
      </w:pPr>
      <w:r>
        <w:t xml:space="preserve">This table shows which kinds of outside-the-scope transaction allow recovery of related VAT.</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676"/>
        <w:gridCol w:w="2113"/>
        <w:gridCol w:w="3236"/>
      </w:tblGrid>
      <w:tr>
        <w:trPr>
          <w:tblHeader w:val="true"/>
          <w:cantSplit w:val="true"/>
        </w:trPr>
        <w:tc>
          <w:tcPr>
            <w:tcW w:w="3676" w:type="dxa"/>
            <w:shd w:val="clear" w:color="auto" w:fill="1B3A5C"/>
          </w:tcPr>
          <w:p>
            <w:pPr>
              <w:pStyle w:val="Compact"/>
              <w:spacing w:after="40" w:before="40"/>
              <w:jc w:val="left"/>
            </w:pPr>
            <w:r>
              <w:rPr>
                <w:rFonts w:ascii="Tahoma" w:hAnsi="Tahoma"/>
                <w:b/>
                <w:color w:val="FFFFFF"/>
                <w:sz w:val="22"/>
              </w:rPr>
              <w:t xml:space="preserve">Type of outside-the-scope transaction</w:t>
            </w:r>
          </w:p>
        </w:tc>
        <w:tc>
          <w:tcPr>
            <w:tcW w:w="2113" w:type="dxa"/>
            <w:shd w:val="clear" w:color="auto" w:fill="1B3A5C"/>
          </w:tcPr>
          <w:p>
            <w:pPr>
              <w:pStyle w:val="Compact"/>
              <w:spacing w:after="40" w:before="40"/>
              <w:jc w:val="left"/>
            </w:pPr>
            <w:r>
              <w:rPr>
                <w:rFonts w:ascii="Tahoma" w:hAnsi="Tahoma"/>
                <w:b/>
                <w:color w:val="FFFFFF"/>
                <w:sz w:val="22"/>
              </w:rPr>
              <w:t xml:space="preserve">Recover related VAT?</w:t>
            </w:r>
          </w:p>
        </w:tc>
        <w:tc>
          <w:tcPr>
            <w:tcW w:w="3236" w:type="dxa"/>
            <w:shd w:val="clear" w:color="auto" w:fill="1B3A5C"/>
          </w:tcPr>
          <w:p>
            <w:pPr>
              <w:pStyle w:val="Compact"/>
              <w:spacing w:after="40" w:before="40"/>
              <w:jc w:val="left"/>
            </w:pPr>
            <w:r>
              <w:rPr>
                <w:rFonts w:ascii="Tahoma" w:hAnsi="Tahoma"/>
                <w:b/>
                <w:color w:val="FFFFFF"/>
                <w:sz w:val="22"/>
              </w:rPr>
              <w:t xml:space="preserve">Example</w:t>
            </w:r>
          </w:p>
        </w:tc>
      </w:tr>
      <w:tr>
        <w:trPr>
          <w:cantSplit w:val="true"/>
        </w:trPr>
        <w:tc>
          <w:tcPr>
            <w:tcW w:w="3676" w:type="dxa"/>
            <w:shd w:val="clear" w:color="auto" w:fill="EAF3FA"/>
          </w:tcPr>
          <w:p>
            <w:pPr>
              <w:pStyle w:val="Compact"/>
              <w:spacing w:after="40" w:before="40"/>
              <w:jc w:val="left"/>
            </w:pPr>
            <w:r>
              <w:rPr>
                <w:rFonts w:ascii="Tahoma" w:hAnsi="Tahoma"/>
                <w:sz w:val="22"/>
              </w:rPr>
              <w:t xml:space="preserve">Services supplied abroad that would be taxable in the UK</w:t>
            </w:r>
          </w:p>
        </w:tc>
        <w:tc>
          <w:tcPr>
            <w:tcW w:w="2113" w:type="dxa"/>
            <w:shd w:val="clear" w:color="auto" w:fill="EAF3FA"/>
          </w:tcPr>
          <w:p>
            <w:pPr>
              <w:pStyle w:val="Compact"/>
              <w:spacing w:after="40" w:before="40"/>
              <w:jc w:val="left"/>
            </w:pPr>
            <w:r>
              <w:rPr>
                <w:rFonts w:ascii="Tahoma" w:hAnsi="Tahoma"/>
                <w:sz w:val="22"/>
              </w:rPr>
              <w:t xml:space="preserve">Yes</w:t>
            </w:r>
          </w:p>
        </w:tc>
        <w:tc>
          <w:tcPr>
            <w:tcW w:w="3236" w:type="dxa"/>
            <w:shd w:val="clear" w:color="auto" w:fill="EAF3FA"/>
          </w:tcPr>
          <w:p>
            <w:pPr>
              <w:pStyle w:val="Compact"/>
              <w:spacing w:after="40" w:before="40"/>
              <w:jc w:val="left"/>
            </w:pPr>
            <w:r>
              <w:rPr>
                <w:rFonts w:ascii="Tahoma" w:hAnsi="Tahoma"/>
                <w:sz w:val="22"/>
              </w:rPr>
              <w:t xml:space="preserve">Data licence sold to an overseas company</w:t>
            </w:r>
          </w:p>
        </w:tc>
      </w:tr>
      <w:tr>
        <w:trPr>
          <w:cantSplit w:val="true"/>
        </w:trPr>
        <w:tc>
          <w:tcPr>
            <w:tcW w:w="3676" w:type="dxa"/>
            <w:shd w:val="clear" w:color="auto" w:fill="FFFFFF"/>
          </w:tcPr>
          <w:p>
            <w:pPr>
              <w:pStyle w:val="Compact"/>
              <w:spacing w:after="40" w:before="40"/>
              <w:jc w:val="left"/>
            </w:pPr>
            <w:r>
              <w:rPr>
                <w:rFonts w:ascii="Tahoma" w:hAnsi="Tahoma"/>
                <w:sz w:val="22"/>
              </w:rPr>
              <w:t xml:space="preserve">Specified supplies to customers outside the UK</w:t>
            </w:r>
          </w:p>
        </w:tc>
        <w:tc>
          <w:tcPr>
            <w:tcW w:w="2113" w:type="dxa"/>
            <w:shd w:val="clear" w:color="auto" w:fill="FFFFFF"/>
          </w:tcPr>
          <w:p>
            <w:pPr>
              <w:pStyle w:val="Compact"/>
              <w:spacing w:after="40" w:before="40"/>
              <w:jc w:val="left"/>
            </w:pPr>
            <w:r>
              <w:rPr>
                <w:rFonts w:ascii="Tahoma" w:hAnsi="Tahoma"/>
                <w:sz w:val="22"/>
              </w:rPr>
              <w:t xml:space="preserve">Yes</w:t>
            </w:r>
          </w:p>
        </w:tc>
        <w:tc>
          <w:tcPr>
            <w:tcW w:w="3236" w:type="dxa"/>
            <w:shd w:val="clear" w:color="auto" w:fill="FFFFFF"/>
          </w:tcPr>
          <w:p>
            <w:pPr>
              <w:pStyle w:val="Compact"/>
              <w:spacing w:after="40" w:before="40"/>
              <w:jc w:val="left"/>
            </w:pPr>
            <w:r>
              <w:rPr>
                <w:rFonts w:ascii="Tahoma" w:hAnsi="Tahoma"/>
                <w:sz w:val="22"/>
              </w:rPr>
              <w:t xml:space="preserve">Insurance services for a customer abroad</w:t>
            </w:r>
          </w:p>
        </w:tc>
      </w:tr>
      <w:tr>
        <w:trPr>
          <w:cantSplit w:val="true"/>
        </w:trPr>
        <w:tc>
          <w:tcPr>
            <w:tcW w:w="3676" w:type="dxa"/>
            <w:shd w:val="clear" w:color="auto" w:fill="FBEAF1"/>
          </w:tcPr>
          <w:p>
            <w:pPr>
              <w:pStyle w:val="Compact"/>
              <w:spacing w:after="40" w:before="40"/>
              <w:jc w:val="left"/>
            </w:pPr>
            <w:r>
              <w:rPr>
                <w:rFonts w:ascii="Tahoma" w:hAnsi="Tahoma"/>
                <w:sz w:val="22"/>
              </w:rPr>
              <w:t xml:space="preserve">Supplies abroad that would be exempt in the UK</w:t>
            </w:r>
          </w:p>
        </w:tc>
        <w:tc>
          <w:tcPr>
            <w:tcW w:w="2113" w:type="dxa"/>
            <w:shd w:val="clear" w:color="auto" w:fill="FBEAF1"/>
          </w:tcPr>
          <w:p>
            <w:pPr>
              <w:pStyle w:val="Compact"/>
              <w:spacing w:after="40" w:before="40"/>
              <w:jc w:val="left"/>
            </w:pPr>
            <w:r>
              <w:rPr>
                <w:rFonts w:ascii="Tahoma" w:hAnsi="Tahoma"/>
                <w:sz w:val="22"/>
              </w:rPr>
              <w:t xml:space="preserve">No</w:t>
            </w:r>
          </w:p>
        </w:tc>
        <w:tc>
          <w:tcPr>
            <w:tcW w:w="3236" w:type="dxa"/>
            <w:shd w:val="clear" w:color="auto" w:fill="FBEAF1"/>
          </w:tcPr>
          <w:p>
            <w:pPr>
              <w:pStyle w:val="Compact"/>
              <w:spacing w:after="40" w:before="40"/>
              <w:jc w:val="left"/>
            </w:pPr>
            <w:r>
              <w:rPr>
                <w:rFonts w:ascii="Tahoma" w:hAnsi="Tahoma"/>
                <w:sz w:val="22"/>
              </w:rPr>
              <w:t xml:space="preserve">Letting a building located abroad</w:t>
            </w:r>
          </w:p>
        </w:tc>
      </w:tr>
      <w:tr>
        <w:trPr>
          <w:cantSplit w:val="true"/>
        </w:trPr>
        <w:tc>
          <w:tcPr>
            <w:tcW w:w="3676" w:type="dxa"/>
            <w:shd w:val="clear" w:color="auto" w:fill="EAF3FA"/>
          </w:tcPr>
          <w:p>
            <w:pPr>
              <w:pStyle w:val="Compact"/>
              <w:spacing w:after="40" w:before="40"/>
              <w:jc w:val="left"/>
            </w:pPr>
            <w:r>
              <w:rPr>
                <w:rFonts w:ascii="Tahoma" w:hAnsi="Tahoma"/>
                <w:sz w:val="22"/>
              </w:rPr>
              <w:t xml:space="preserve">Non-business activities</w:t>
            </w:r>
          </w:p>
        </w:tc>
        <w:tc>
          <w:tcPr>
            <w:tcW w:w="2113" w:type="dxa"/>
            <w:shd w:val="clear" w:color="auto" w:fill="EAF3FA"/>
          </w:tcPr>
          <w:p>
            <w:pPr>
              <w:pStyle w:val="Compact"/>
              <w:spacing w:after="40" w:before="40"/>
              <w:jc w:val="left"/>
            </w:pPr>
            <w:r>
              <w:rPr>
                <w:rFonts w:ascii="Tahoma" w:hAnsi="Tahoma"/>
                <w:sz w:val="22"/>
              </w:rPr>
              <w:t xml:space="preserve">No (Department: only through COS)</w:t>
            </w:r>
          </w:p>
        </w:tc>
        <w:tc>
          <w:tcPr>
            <w:tcW w:w="3236" w:type="dxa"/>
            <w:shd w:val="clear" w:color="auto" w:fill="EAF3FA"/>
          </w:tcPr>
          <w:p>
            <w:pPr>
              <w:pStyle w:val="Compact"/>
              <w:spacing w:after="40" w:before="40"/>
              <w:jc w:val="left"/>
            </w:pPr>
            <w:r>
              <w:rPr>
                <w:rFonts w:ascii="Tahoma" w:hAnsi="Tahoma"/>
                <w:sz w:val="22"/>
              </w:rPr>
              <w:t xml:space="preserve">Free policy advice to the public</w:t>
            </w:r>
          </w:p>
        </w:tc>
      </w:tr>
      <w:tr>
        <w:trPr>
          <w:cantSplit w:val="true"/>
        </w:trPr>
        <w:tc>
          <w:tcPr>
            <w:tcW w:w="3676" w:type="dxa"/>
            <w:shd w:val="clear" w:color="auto" w:fill="FFFFFF"/>
          </w:tcPr>
          <w:p>
            <w:pPr>
              <w:pStyle w:val="Compact"/>
              <w:spacing w:after="40" w:before="40"/>
              <w:jc w:val="left"/>
            </w:pPr>
            <w:r>
              <w:rPr>
                <w:rFonts w:ascii="Tahoma" w:hAnsi="Tahoma"/>
                <w:sz w:val="22"/>
              </w:rPr>
              <w:t xml:space="preserve">Not a supply at all</w:t>
            </w:r>
          </w:p>
        </w:tc>
        <w:tc>
          <w:tcPr>
            <w:tcW w:w="2113" w:type="dxa"/>
            <w:shd w:val="clear" w:color="auto" w:fill="FFFFFF"/>
          </w:tcPr>
          <w:p>
            <w:pPr>
              <w:pStyle w:val="Compact"/>
              <w:spacing w:after="40" w:before="40"/>
              <w:jc w:val="left"/>
            </w:pPr>
            <w:r>
              <w:rPr>
                <w:rFonts w:ascii="Tahoma" w:hAnsi="Tahoma"/>
                <w:sz w:val="22"/>
              </w:rPr>
              <w:t xml:space="preserve">Not applicable</w:t>
            </w:r>
          </w:p>
        </w:tc>
        <w:tc>
          <w:tcPr>
            <w:tcW w:w="3236" w:type="dxa"/>
            <w:shd w:val="clear" w:color="auto" w:fill="FFFFFF"/>
          </w:tcPr>
          <w:p>
            <w:pPr>
              <w:pStyle w:val="Compact"/>
              <w:spacing w:after="40" w:before="40"/>
              <w:jc w:val="left"/>
            </w:pPr>
            <w:r>
              <w:rPr>
                <w:rFonts w:ascii="Tahoma" w:hAnsi="Tahoma"/>
                <w:sz w:val="22"/>
              </w:rPr>
              <w:t xml:space="preserve">Wages, grants, donations</w:t>
            </w:r>
          </w:p>
        </w:tc>
      </w:tr>
    </w:tbl>
    <w:p>
      <w:pPr>
        <w:pStyle w:val="BodyText"/>
        <w:spacing w:before="200"/>
      </w:pPr>
      <w:r>
        <w:t xml:space="preserve">For the building example: services directly related to land are supplied where the land is</w:t>
      </w:r>
      <w:r>
        <w:t xml:space="preserve"> </w:t>
      </w:r>
      <w:r>
        <w:t xml:space="preserve">(</w:t>
      </w:r>
      <w:hyperlink w:anchor="ref-hmrc_n741a">
        <w:r>
          <w:rPr>
            <w:rStyle w:val="Hyperlink"/>
          </w:rPr>
          <w:t xml:space="preserve">HMRC, 2022d, para. 7.1</w:t>
        </w:r>
      </w:hyperlink>
      <w:r>
        <w:t xml:space="preserve">)</w:t>
      </w:r>
      <w:r>
        <w:t xml:space="preserve">. Letting land would be exempt in the UK, so VAT on related costs is exempt input tax</w:t>
      </w:r>
      <w:r>
        <w:t xml:space="preserve"> </w:t>
      </w:r>
      <w:r>
        <w:t xml:space="preserve">(</w:t>
      </w:r>
      <w:hyperlink w:anchor="ref-hmrc_n706">
        <w:r>
          <w:rPr>
            <w:rStyle w:val="Hyperlink"/>
          </w:rPr>
          <w:t xml:space="preserve">HMRC, 2025h, para. 2.3</w:t>
        </w:r>
      </w:hyperlink>
      <w:r>
        <w:t xml:space="preserve">)</w:t>
      </w:r>
      <w:r>
        <w:t xml:space="preserve">.</w:t>
      </w:r>
    </w:p>
    <w:p>
      <w:pPr>
        <w:pStyle w:val="BodyText"/>
      </w:pPr>
      <w:r>
        <w:t xml:space="preserve">For the data licence example: under the general business-to-business rule, a service is supplied where the business customer belongs</w:t>
      </w:r>
      <w:r>
        <w:t xml:space="preserve"> </w:t>
      </w:r>
      <w:r>
        <w:t xml:space="preserve">(</w:t>
      </w:r>
      <w:hyperlink w:anchor="ref-hmrc_n741a">
        <w:r>
          <w:rPr>
            <w:rStyle w:val="Hyperlink"/>
          </w:rPr>
          <w:t xml:space="preserve">HMRC, 2022d, para. 6.3</w:t>
        </w:r>
      </w:hyperlink>
      <w:r>
        <w:t xml:space="preserve">)</w:t>
      </w:r>
      <w:r>
        <w:t xml:space="preserve">. So a licence sold to an overseas company is outside the scope of UK VAT, but the Department keeps the right to recover related input tax because the supply would be taxable in the UK</w:t>
      </w:r>
      <w:r>
        <w:t xml:space="preserve"> </w:t>
      </w:r>
      <w:r>
        <w:t xml:space="preserve">(</w:t>
      </w:r>
      <w:hyperlink w:anchor="ref-hmrc_n741a">
        <w:r>
          <w:rPr>
            <w:rStyle w:val="Hyperlink"/>
          </w:rPr>
          <w:t xml:space="preserve">HMRC, 2022d, para. 2.7</w:t>
        </w:r>
      </w:hyperlink>
      <w:r>
        <w:t xml:space="preserve">)</w:t>
      </w:r>
      <w:r>
        <w:t xml:space="preserve"> </w:t>
      </w:r>
      <w:r>
        <w:t xml:space="preserve">(see Part 4, and Part 6, Selling items abroad).</w:t>
      </w:r>
    </w:p>
    <w:p>
      <w:pPr>
        <w:pStyle w:val="BodyText"/>
      </w:pPr>
      <w:r>
        <w:t xml:space="preserve">For non-business activities, VAT on costs is not input tax and cannot be reclaimed</w:t>
      </w:r>
      <w:r>
        <w:t xml:space="preserve"> </w:t>
      </w:r>
      <w:r>
        <w:t xml:space="preserve">(</w:t>
      </w:r>
      <w:hyperlink w:anchor="ref-hmrc_n700">
        <w:r>
          <w:rPr>
            <w:rStyle w:val="Hyperlink"/>
          </w:rPr>
          <w:t xml:space="preserve">HMRC, 2026o, para. 4.6.3</w:t>
        </w:r>
      </w:hyperlink>
      <w:r>
        <w:t xml:space="preserve">)</w:t>
      </w:r>
      <w:r>
        <w:t xml:space="preserve">. For a government department, VAT on non-business costs is only refundable under section 41(3) of the Value Added Tax Act 1994 if the cost falls under a COS heading</w:t>
      </w:r>
      <w:r>
        <w:t xml:space="preserve"> </w:t>
      </w:r>
      <w:r>
        <w:t xml:space="preserve">(</w:t>
      </w:r>
      <w:hyperlink w:anchor="ref-hmrc_gdpef">
        <w:r>
          <w:rPr>
            <w:rStyle w:val="Hyperlink"/>
          </w:rPr>
          <w:t xml:space="preserve">HMRC, 2023c</w:t>
        </w:r>
      </w:hyperlink>
      <w:r>
        <w:t xml:space="preserve">)</w:t>
      </w:r>
      <w:r>
        <w:t xml:space="preserve"> </w:t>
      </w:r>
      <w:r>
        <w:t xml:space="preserve">(see Part 5, What are COS headings?).</w:t>
      </w:r>
    </w:p>
    <w:bookmarkEnd w:id="139"/>
    <w:bookmarkEnd w:id="140"/>
    <w:bookmarkStart w:id="143" w:name="X51e0d2b700a2e67e174ea41f601ce062d61de73"/>
    <w:p>
      <w:pPr>
        <w:pStyle w:val="Heading3"/>
      </w:pPr>
      <w:r>
        <w:t xml:space="preserve">Single and multiple supplies; disbursements</w:t>
      </w:r>
    </w:p>
    <w:bookmarkStart w:id="141" w:name="single-and-multiple-supplies"/>
    <w:p>
      <w:pPr>
        <w:pStyle w:val="Heading4"/>
      </w:pPr>
      <w:r>
        <w:t xml:space="preserve">Single and multiple supplies</w:t>
      </w:r>
    </w:p>
    <w:p>
      <w:pPr>
        <w:pStyle w:val="FirstParagraph"/>
      </w:pPr>
      <w:r>
        <w:t xml:space="preserve">When one price covers several elements, you must decide whether there is one supply or several, because the elements may have different liabilities</w:t>
      </w:r>
      <w:r>
        <w:t xml:space="preserve"> </w:t>
      </w:r>
      <w:r>
        <w:t xml:space="preserve">(</w:t>
      </w:r>
      <w:hyperlink w:anchor="ref-hmrc_n700">
        <w:r>
          <w:rPr>
            <w:rStyle w:val="Hyperlink"/>
          </w:rPr>
          <w:t xml:space="preserve">HMRC, 2026o, para. 8.1</w:t>
        </w:r>
      </w:hyperlink>
      <w:r>
        <w:t xml:space="preserve">)</w:t>
      </w:r>
      <w:r>
        <w:t xml:space="preserve">.</w:t>
      </w:r>
    </w:p>
    <w:p>
      <w:pPr>
        <w:pStyle w:val="Compact"/>
        <w:numPr>
          <w:ilvl w:val="0"/>
          <w:numId w:val="1158"/>
        </w:numPr>
      </w:pPr>
      <w:r>
        <w:rPr>
          <w:b/>
          <w:bCs/>
        </w:rPr>
        <w:t xml:space="preserve">Single supply:</w:t>
      </w:r>
      <w:r>
        <w:t xml:space="preserve"> </w:t>
      </w:r>
      <w:r>
        <w:t xml:space="preserve">either one element is the main supply and the others are ancillary to it, or the elements are so closely linked that splitting them would be artificial. One liability applies to the whole</w:t>
      </w:r>
      <w:r>
        <w:t xml:space="preserve"> </w:t>
      </w:r>
      <w:r>
        <w:t xml:space="preserve">(</w:t>
      </w:r>
      <w:hyperlink w:anchor="ref-hmrc_vatsc">
        <w:r>
          <w:rPr>
            <w:rStyle w:val="Hyperlink"/>
          </w:rPr>
          <w:t xml:space="preserve">HMRC, 2025l, sec. VATSC11113</w:t>
        </w:r>
      </w:hyperlink>
      <w:r>
        <w:t xml:space="preserve">)</w:t>
      </w:r>
      <w:r>
        <w:t xml:space="preserve">.</w:t>
      </w:r>
    </w:p>
    <w:p>
      <w:pPr>
        <w:pStyle w:val="Compact"/>
        <w:numPr>
          <w:ilvl w:val="0"/>
          <w:numId w:val="1158"/>
        </w:numPr>
      </w:pPr>
      <w:r>
        <w:rPr>
          <w:b/>
          <w:bCs/>
        </w:rPr>
        <w:t xml:space="preserve">Multiple supply:</w:t>
      </w:r>
      <w:r>
        <w:t xml:space="preserve"> </w:t>
      </w:r>
      <w:r>
        <w:t xml:space="preserve">the elements are separate supplies. If they have different liabilities, the supplier splits the price fairly between them (apportionment)</w:t>
      </w:r>
      <w:r>
        <w:t xml:space="preserve"> </w:t>
      </w:r>
      <w:r>
        <w:t xml:space="preserve">(</w:t>
      </w:r>
      <w:hyperlink w:anchor="ref-hmrc_n700">
        <w:r>
          <w:rPr>
            <w:rStyle w:val="Hyperlink"/>
          </w:rPr>
          <w:t xml:space="preserve">HMRC, 2026o, para. 8.1</w:t>
        </w:r>
      </w:hyperlink>
      <w:r>
        <w:t xml:space="preserve">;</w:t>
      </w:r>
      <w:r>
        <w:t xml:space="preserve"> </w:t>
      </w:r>
      <w:hyperlink w:anchor="ref-hmrc_n700">
        <w:r>
          <w:rPr>
            <w:rStyle w:val="Hyperlink"/>
          </w:rPr>
          <w:t xml:space="preserve">2026o, para. 8.1.1</w:t>
        </w:r>
      </w:hyperlink>
      <w:r>
        <w:t xml:space="preserve">)</w:t>
      </w:r>
      <w:r>
        <w:t xml:space="preserve">.</w:t>
      </w:r>
    </w:p>
    <w:p>
      <w:pPr>
        <w:pStyle w:val="Compact"/>
        <w:numPr>
          <w:ilvl w:val="0"/>
          <w:numId w:val="1158"/>
        </w:numPr>
      </w:pPr>
      <w:r>
        <w:t xml:space="preserve">A single supply must not be split. For example, a launderette makes one standard-rated supply of washing clothes, not separate supplies of water, heat and machine use</w:t>
      </w:r>
      <w:r>
        <w:t xml:space="preserve"> </w:t>
      </w:r>
      <w:r>
        <w:t xml:space="preserve">(</w:t>
      </w:r>
      <w:hyperlink w:anchor="ref-hmrc_n700">
        <w:r>
          <w:rPr>
            <w:rStyle w:val="Hyperlink"/>
          </w:rPr>
          <w:t xml:space="preserve">HMRC, 2026o, para. 8.1.3</w:t>
        </w:r>
      </w:hyperlink>
      <w:r>
        <w:t xml:space="preserve">)</w:t>
      </w:r>
      <w:r>
        <w:t xml:space="preserve">.</w:t>
      </w:r>
    </w:p>
    <w:p>
      <w:pPr>
        <w:pStyle w:val="FirstParagraph"/>
      </w:pPr>
      <w:r>
        <w:rPr>
          <w:b/>
          <w:bCs/>
        </w:rPr>
        <w:t xml:space="preserve">Check first:</w:t>
      </w:r>
      <w:r>
        <w:t xml:space="preserve"> </w:t>
      </w:r>
      <w:r>
        <w:t xml:space="preserve">a training course that comes with a course book is a common borderline case. HMRC notes that disputes have arisen over zero-rated books supplied with standard-rated tuition</w:t>
      </w:r>
      <w:r>
        <w:t xml:space="preserve"> </w:t>
      </w:r>
      <w:r>
        <w:t xml:space="preserve">(</w:t>
      </w:r>
      <w:hyperlink w:anchor="ref-hmrc_vatsc">
        <w:r>
          <w:rPr>
            <w:rStyle w:val="Hyperlink"/>
          </w:rPr>
          <w:t xml:space="preserve">HMRC, 2025l, sec. VATSC11112</w:t>
        </w:r>
      </w:hyperlink>
      <w:r>
        <w:t xml:space="preserve">)</w:t>
      </w:r>
      <w:r>
        <w:t xml:space="preserve">, and the answer always depends on the facts</w:t>
      </w:r>
      <w:r>
        <w:t xml:space="preserve"> </w:t>
      </w:r>
      <w:r>
        <w:t xml:space="preserve">(</w:t>
      </w:r>
      <w:hyperlink w:anchor="ref-hmrc_vatsc">
        <w:r>
          <w:rPr>
            <w:rStyle w:val="Hyperlink"/>
          </w:rPr>
          <w:t xml:space="preserve">HMRC, 2025l, sec. VATSC11113</w:t>
        </w:r>
      </w:hyperlink>
      <w:r>
        <w:t xml:space="preserve">)</w:t>
      </w:r>
      <w:r>
        <w:t xml:space="preserve">.</w:t>
      </w:r>
    </w:p>
    <w:p>
      <w:pPr>
        <w:pStyle w:val="BodyText"/>
      </w:pPr>
      <w:r>
        <w:t xml:space="preserve">The same idea applies to COS: if a supply is a single supply, its main nature decides whether it falls under one COS heading. You cannot carve out parts of a single supply to claim under different headings</w:t>
      </w:r>
      <w:r>
        <w:t xml:space="preserve"> </w:t>
      </w:r>
      <w:r>
        <w:t xml:space="preserve">(</w:t>
      </w:r>
      <w:hyperlink w:anchor="ref-hmrc_vatgpb">
        <w:r>
          <w:rPr>
            <w:rStyle w:val="Hyperlink"/>
          </w:rPr>
          <w:t xml:space="preserve">HMRC, 2026n, sec. VATGPB9720</w:t>
        </w:r>
      </w:hyperlink>
      <w:r>
        <w:t xml:space="preserve">)</w:t>
      </w:r>
      <w:r>
        <w:t xml:space="preserve"> </w:t>
      </w:r>
      <w:r>
        <w:t xml:space="preserve">(see Part 5, Single or multiple supply?).</w:t>
      </w:r>
    </w:p>
    <w:bookmarkEnd w:id="141"/>
    <w:bookmarkStart w:id="142" w:name="disbursements"/>
    <w:p>
      <w:pPr>
        <w:pStyle w:val="Heading4"/>
      </w:pPr>
      <w:r>
        <w:t xml:space="preserve">Disbursements</w:t>
      </w:r>
    </w:p>
    <w:p>
      <w:pPr>
        <w:pStyle w:val="FirstParagraph"/>
      </w:pPr>
      <w:r>
        <w:t xml:space="preserve">A</w:t>
      </w:r>
      <w:r>
        <w:t xml:space="preserve"> </w:t>
      </w:r>
      <w:r>
        <w:rPr>
          <w:b/>
          <w:bCs/>
        </w:rPr>
        <w:t xml:space="preserve">disbursement</w:t>
      </w:r>
      <w:r>
        <w:t xml:space="preserve"> </w:t>
      </w:r>
      <w:r>
        <w:t xml:space="preserve">is a payment a supplier makes to a third party as the customer’s agent, which it passes on at exact cost without adding VAT. A payment can only be treated as a disbursement if all of these conditions are met</w:t>
      </w:r>
      <w:r>
        <w:t xml:space="preserve"> </w:t>
      </w:r>
      <w:r>
        <w:t xml:space="preserve">(</w:t>
      </w:r>
      <w:hyperlink w:anchor="ref-hmrc_n700">
        <w:r>
          <w:rPr>
            <w:rStyle w:val="Hyperlink"/>
          </w:rPr>
          <w:t xml:space="preserve">HMRC, 2026o, para. 25.1.1</w:t>
        </w:r>
      </w:hyperlink>
      <w:r>
        <w:t xml:space="preserve">)</w:t>
      </w:r>
      <w:r>
        <w:t xml:space="preserve">:</w:t>
      </w:r>
    </w:p>
    <w:p>
      <w:pPr>
        <w:pStyle w:val="Compact"/>
        <w:numPr>
          <w:ilvl w:val="0"/>
          <w:numId w:val="1159"/>
        </w:numPr>
      </w:pPr>
      <w:r>
        <w:t xml:space="preserve">the supplier acted as the customer’s agent when paying the third party</w:t>
      </w:r>
    </w:p>
    <w:p>
      <w:pPr>
        <w:pStyle w:val="Compact"/>
        <w:numPr>
          <w:ilvl w:val="0"/>
          <w:numId w:val="1159"/>
        </w:numPr>
      </w:pPr>
      <w:r>
        <w:t xml:space="preserve">the customer actually received and used the goods or services</w:t>
      </w:r>
    </w:p>
    <w:p>
      <w:pPr>
        <w:pStyle w:val="Compact"/>
        <w:numPr>
          <w:ilvl w:val="0"/>
          <w:numId w:val="1159"/>
        </w:numPr>
      </w:pPr>
      <w:r>
        <w:t xml:space="preserve">the customer was responsible for paying the third party</w:t>
      </w:r>
    </w:p>
    <w:p>
      <w:pPr>
        <w:pStyle w:val="Compact"/>
        <w:numPr>
          <w:ilvl w:val="0"/>
          <w:numId w:val="1159"/>
        </w:numPr>
      </w:pPr>
      <w:r>
        <w:t xml:space="preserve">the customer authorised the payment</w:t>
      </w:r>
    </w:p>
    <w:p>
      <w:pPr>
        <w:pStyle w:val="Compact"/>
        <w:numPr>
          <w:ilvl w:val="0"/>
          <w:numId w:val="1159"/>
        </w:numPr>
      </w:pPr>
      <w:r>
        <w:t xml:space="preserve">the customer knew a third party would provide the goods or services</w:t>
      </w:r>
    </w:p>
    <w:p>
      <w:pPr>
        <w:pStyle w:val="Compact"/>
        <w:numPr>
          <w:ilvl w:val="0"/>
          <w:numId w:val="1159"/>
        </w:numPr>
      </w:pPr>
      <w:r>
        <w:t xml:space="preserve">the payment is itemised separately on the invoice</w:t>
      </w:r>
    </w:p>
    <w:p>
      <w:pPr>
        <w:pStyle w:val="Compact"/>
        <w:numPr>
          <w:ilvl w:val="0"/>
          <w:numId w:val="1159"/>
        </w:numPr>
      </w:pPr>
      <w:r>
        <w:t xml:space="preserve">the supplier recovers only the exact amount paid</w:t>
      </w:r>
    </w:p>
    <w:p>
      <w:pPr>
        <w:pStyle w:val="Compact"/>
        <w:numPr>
          <w:ilvl w:val="0"/>
          <w:numId w:val="1159"/>
        </w:numPr>
      </w:pPr>
      <w:r>
        <w:t xml:space="preserve">the goods or services are clearly additional to the supplier’s own supply</w:t>
      </w:r>
    </w:p>
    <w:p>
      <w:pPr>
        <w:pStyle w:val="FirstParagraph"/>
      </w:pPr>
      <w:r>
        <w:t xml:space="preserve">Costs a supplier incurs in making its own supply, such as its staff’s travel, are</w:t>
      </w:r>
      <w:r>
        <w:t xml:space="preserve"> </w:t>
      </w:r>
      <w:r>
        <w:rPr>
          <w:b/>
          <w:bCs/>
        </w:rPr>
        <w:t xml:space="preserve">not</w:t>
      </w:r>
      <w:r>
        <w:t xml:space="preserve"> </w:t>
      </w:r>
      <w:r>
        <w:t xml:space="preserve">disbursements. They are part of the supplier’s fee and VAT is charged on them</w:t>
      </w:r>
      <w:r>
        <w:t xml:space="preserve"> </w:t>
      </w:r>
      <w:r>
        <w:t xml:space="preserve">(</w:t>
      </w:r>
      <w:hyperlink w:anchor="ref-hmrc_n700">
        <w:r>
          <w:rPr>
            <w:rStyle w:val="Hyperlink"/>
          </w:rPr>
          <w:t xml:space="preserve">HMRC, 2026o, para. 25.1.1</w:t>
        </w:r>
      </w:hyperlink>
      <w:r>
        <w:t xml:space="preserve">)</w:t>
      </w:r>
      <w:r>
        <w:t xml:space="preserve">.</w:t>
      </w:r>
    </w:p>
    <w:p>
      <w:pPr>
        <w:pStyle w:val="BodyText"/>
      </w:pPr>
      <w:r>
        <w:t xml:space="preserve">HMRC’s example invoice shows the difference. A supplier charges a £80 fee, £20 of expenses that are not disbursements, and £50 that qualifies as a disbursement</w:t>
      </w:r>
      <w:r>
        <w:t xml:space="preserve"> </w:t>
      </w:r>
      <w:r>
        <w:t xml:space="preserve">(</w:t>
      </w:r>
      <w:hyperlink w:anchor="ref-hmrc_n700">
        <w:r>
          <w:rPr>
            <w:rStyle w:val="Hyperlink"/>
          </w:rPr>
          <w:t xml:space="preserve">HMRC, 2026o, para. 25.1.2</w:t>
        </w:r>
      </w:hyperlink>
      <w:r>
        <w:t xml:space="preserve">)</w:t>
      </w:r>
      <w:r>
        <w:t xml:space="preserve">:</w:t>
      </w:r>
    </w:p>
    <w:p>
      <w:pPr>
        <w:pStyle w:val="Compact"/>
        <w:numPr>
          <w:ilvl w:val="0"/>
          <w:numId w:val="1160"/>
        </w:numPr>
      </w:pPr>
      <w:r>
        <w:t xml:space="preserve">value for VAT: £80 + £20 = £100</w:t>
      </w:r>
    </w:p>
    <w:p>
      <w:pPr>
        <w:pStyle w:val="Compact"/>
        <w:numPr>
          <w:ilvl w:val="0"/>
          <w:numId w:val="1160"/>
        </w:numPr>
      </w:pPr>
      <w:r>
        <w:t xml:space="preserve">VAT: £100 × 20% = £20</w:t>
      </w:r>
    </w:p>
    <w:p>
      <w:pPr>
        <w:pStyle w:val="Compact"/>
        <w:numPr>
          <w:ilvl w:val="0"/>
          <w:numId w:val="1160"/>
        </w:numPr>
      </w:pPr>
      <w:r>
        <w:t xml:space="preserve">disbursement (no VAT): £50</w:t>
      </w:r>
    </w:p>
    <w:p>
      <w:pPr>
        <w:pStyle w:val="Compact"/>
        <w:numPr>
          <w:ilvl w:val="0"/>
          <w:numId w:val="1160"/>
        </w:numPr>
      </w:pPr>
      <w:r>
        <w:t xml:space="preserve">total: £100 + £20 + £50 = £170</w:t>
      </w:r>
    </w:p>
    <w:p>
      <w:pPr>
        <w:pStyle w:val="FirstParagraph"/>
      </w:pPr>
      <w:r>
        <w:rPr>
          <w:b/>
          <w:bCs/>
        </w:rPr>
        <w:t xml:space="preserve">Check first:</w:t>
      </w:r>
      <w:r>
        <w:t xml:space="preserve"> </w:t>
      </w:r>
      <w:r>
        <w:t xml:space="preserve">if a VAT-registered consultant re-charges train fares as</w:t>
      </w:r>
      <w:r>
        <w:t xml:space="preserve"> </w:t>
      </w:r>
      <w:r>
        <w:t xml:space="preserve">“</w:t>
      </w:r>
      <w:r>
        <w:t xml:space="preserve">expenses</w:t>
      </w:r>
      <w:r>
        <w:t xml:space="preserve">”</w:t>
      </w:r>
      <w:r>
        <w:t xml:space="preserve">, the fares become part of the consultant’s standard-rated fee, even though the fares were zero-rated when the consultant bought them. HMRC gives a similar example of a consultant’s air fare</w:t>
      </w:r>
      <w:r>
        <w:t xml:space="preserve"> </w:t>
      </w:r>
      <w:r>
        <w:t xml:space="preserve">(</w:t>
      </w:r>
      <w:hyperlink w:anchor="ref-hmrc_n700">
        <w:r>
          <w:rPr>
            <w:rStyle w:val="Hyperlink"/>
          </w:rPr>
          <w:t xml:space="preserve">HMRC, 2026o, para. 25.1.3</w:t>
        </w:r>
      </w:hyperlink>
      <w:r>
        <w:t xml:space="preserve">)</w:t>
      </w:r>
      <w:r>
        <w:t xml:space="preserve">. For example, £500 of re-charged fares adds £500 × 20% = £100 VAT to the consultant’s invoice.</w:t>
      </w:r>
    </w:p>
    <w:bookmarkEnd w:id="142"/>
    <w:bookmarkEnd w:id="143"/>
    <w:bookmarkStart w:id="146" w:name="X128db7b337f9f0910eb20907d1280516b761d8e"/>
    <w:p>
      <w:pPr>
        <w:pStyle w:val="Heading3"/>
      </w:pPr>
      <w:r>
        <w:t xml:space="preserve">What liability means for a government department as a buyer</w:t>
      </w:r>
    </w:p>
    <w:p>
      <w:pPr>
        <w:pStyle w:val="FirstParagraph"/>
      </w:pPr>
      <w:r>
        <w:t xml:space="preserve">Suppliers charge VAT to government departments in the usual way</w:t>
      </w:r>
      <w:r>
        <w:t xml:space="preserve"> </w:t>
      </w:r>
      <w:r>
        <w:t xml:space="preserve">(</w:t>
      </w:r>
      <w:hyperlink w:anchor="ref-hmrc_n700">
        <w:r>
          <w:rPr>
            <w:rStyle w:val="Hyperlink"/>
          </w:rPr>
          <w:t xml:space="preserve">HMRC, 2026o, para. 8.15</w:t>
        </w:r>
      </w:hyperlink>
      <w:r>
        <w:t xml:space="preserve">)</w:t>
      </w:r>
      <w:r>
        <w:t xml:space="preserve">. So the supplier’s liability decides what the Department pays. The outcome then depends on what the Department uses the purchase for:</w:t>
      </w:r>
    </w:p>
    <w:p>
      <w:pPr>
        <w:pStyle w:val="Compact"/>
        <w:numPr>
          <w:ilvl w:val="0"/>
          <w:numId w:val="1161"/>
        </w:numPr>
      </w:pPr>
      <w:r>
        <w:rPr>
          <w:b/>
          <w:bCs/>
        </w:rPr>
        <w:t xml:space="preserve">Zero-rated or exempt purchase:</w:t>
      </w:r>
      <w:r>
        <w:t xml:space="preserve"> </w:t>
      </w:r>
      <w:r>
        <w:t xml:space="preserve">there is no VAT on the invoice, so there is nothing to recover (although an exempt supplier’s own irrecoverable VAT may be reflected in its price). For example, COS Heading 47 (passenger transport) excludes public transport because it is already zero-rated</w:t>
      </w:r>
      <w:r>
        <w:t xml:space="preserve"> </w:t>
      </w:r>
      <w:r>
        <w:t xml:space="preserve">(</w:t>
      </w:r>
      <w:hyperlink w:anchor="ref-hmrc_vatgpb">
        <w:r>
          <w:rPr>
            <w:rStyle w:val="Hyperlink"/>
          </w:rPr>
          <w:t xml:space="preserve">HMRC, 2026n, sec. VATGPB10670</w:t>
        </w:r>
      </w:hyperlink>
      <w:r>
        <w:t xml:space="preserve">)</w:t>
      </w:r>
      <w:r>
        <w:t xml:space="preserve">.</w:t>
      </w:r>
    </w:p>
    <w:p>
      <w:pPr>
        <w:pStyle w:val="Compact"/>
        <w:numPr>
          <w:ilvl w:val="0"/>
          <w:numId w:val="1161"/>
        </w:numPr>
      </w:pPr>
      <w:r>
        <w:rPr>
          <w:b/>
          <w:bCs/>
        </w:rPr>
        <w:t xml:space="preserve">Standard-rated or reduced-rated purchase used for business activities:</w:t>
      </w:r>
      <w:r>
        <w:t xml:space="preserve"> </w:t>
      </w:r>
      <w:r>
        <w:t xml:space="preserve">the VAT is input tax and is recovered under the normal rules, subject to partial exemption</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61"/>
        </w:numPr>
      </w:pPr>
      <w:r>
        <w:rPr>
          <w:b/>
          <w:bCs/>
        </w:rPr>
        <w:t xml:space="preserve">Standard-rated or reduced-rated purchase used for non-business activities:</w:t>
      </w:r>
      <w:r>
        <w:t xml:space="preserve"> </w:t>
      </w:r>
      <w:r>
        <w:t xml:space="preserve">the VAT is a cost unless the service falls under a COS heading. VAT on goods, certain utilities, or any other service not under a COS heading is not refundable under section 41(3)</w:t>
      </w:r>
      <w:r>
        <w:t xml:space="preserve"> </w:t>
      </w:r>
      <w:r>
        <w:t xml:space="preserve">(</w:t>
      </w:r>
      <w:hyperlink w:anchor="ref-hmrc_gdpef">
        <w:r>
          <w:rPr>
            <w:rStyle w:val="Hyperlink"/>
          </w:rPr>
          <w:t xml:space="preserve">HMRC, 2023c</w:t>
        </w:r>
      </w:hyperlink>
      <w:r>
        <w:t xml:space="preserve">)</w:t>
      </w:r>
      <w:r>
        <w:t xml:space="preserve">. Goods bought on their own are not covered by any COS heading available to the Department</w:t>
      </w:r>
      <w:r>
        <w:t xml:space="preserve"> </w:t>
      </w:r>
      <w:r>
        <w:t xml:space="preserve">(</w:t>
      </w:r>
      <w:hyperlink w:anchor="ref-hmrc_vatgpb">
        <w:r>
          <w:rPr>
            <w:rStyle w:val="Hyperlink"/>
          </w:rPr>
          <w:t xml:space="preserve">HMRC, 2026n, sec. VATGPB11370</w:t>
        </w:r>
      </w:hyperlink>
      <w:r>
        <w:t xml:space="preserve">)</w:t>
      </w:r>
      <w:r>
        <w:t xml:space="preserve"> </w:t>
      </w:r>
      <w:r>
        <w:t xml:space="preserve">(see Part 5, What are COS headings?).</w:t>
      </w:r>
    </w:p>
    <w:p>
      <w:pPr>
        <w:pStyle w:val="Compact"/>
        <w:numPr>
          <w:ilvl w:val="0"/>
          <w:numId w:val="1161"/>
        </w:numPr>
      </w:pPr>
      <w:r>
        <w:rPr>
          <w:b/>
          <w:bCs/>
        </w:rPr>
        <w:t xml:space="preserve">Mixed use:</w:t>
      </w:r>
      <w:r>
        <w:t xml:space="preserve"> </w:t>
      </w:r>
      <w:r>
        <w:t xml:space="preserve">split the VAT between business and non-business use first, using a fair and reasonable method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61"/>
        </w:numPr>
      </w:pPr>
      <w:r>
        <w:rPr>
          <w:b/>
          <w:bCs/>
        </w:rPr>
        <w:t xml:space="preserve">Wrongly charged VAT:</w:t>
      </w:r>
      <w:r>
        <w:t xml:space="preserve"> </w:t>
      </w:r>
      <w:r>
        <w:t xml:space="preserve">you cannot normally reclaim VAT that was charged incorrectly</w:t>
      </w:r>
      <w:r>
        <w:t xml:space="preserve"> </w:t>
      </w:r>
      <w:r>
        <w:t xml:space="preserve">(</w:t>
      </w:r>
      <w:hyperlink w:anchor="ref-hmrc_n700">
        <w:r>
          <w:rPr>
            <w:rStyle w:val="Hyperlink"/>
          </w:rPr>
          <w:t xml:space="preserve">HMRC, 2026o, para. 10.3</w:t>
        </w:r>
      </w:hyperlink>
      <w:r>
        <w:t xml:space="preserve">)</w:t>
      </w:r>
      <w:r>
        <w:t xml:space="preserve">. Ask the supplier for a corrected invoice or credit note.</w:t>
      </w:r>
    </w:p>
    <w:bookmarkStart w:id="144" w:name="insurance-premium-tax-is-not-vat"/>
    <w:p>
      <w:pPr>
        <w:pStyle w:val="Heading4"/>
      </w:pPr>
      <w:r>
        <w:t xml:space="preserve">Insurance Premium Tax is not VAT</w:t>
      </w:r>
    </w:p>
    <w:p>
      <w:pPr>
        <w:pStyle w:val="FirstParagraph"/>
      </w:pPr>
      <w:r>
        <w:t xml:space="preserve">Insurance is exempt from VAT</w:t>
      </w:r>
      <w:r>
        <w:t xml:space="preserve"> </w:t>
      </w:r>
      <w:r>
        <w:t xml:space="preserve">(</w:t>
      </w:r>
      <w:hyperlink w:anchor="ref-hmrc_vat_rates">
        <w:r>
          <w:rPr>
            <w:rStyle w:val="Hyperlink"/>
          </w:rPr>
          <w:t xml:space="preserve">HMRC, 2026r</w:t>
        </w:r>
      </w:hyperlink>
      <w:r>
        <w:t xml:space="preserve">)</w:t>
      </w:r>
      <w:r>
        <w:t xml:space="preserve">. Instead, most general insurance premiums carry</w:t>
      </w:r>
      <w:r>
        <w:t xml:space="preserve"> </w:t>
      </w:r>
      <w:r>
        <w:rPr>
          <w:b/>
          <w:bCs/>
        </w:rPr>
        <w:t xml:space="preserve">Insurance Premium Tax (IPT)</w:t>
      </w:r>
      <w:r>
        <w:t xml:space="preserve">, a separate tax on premiums. The standard rate is 12%. The higher rate of 20% applies to travel insurance and to some insurance sold by suppliers of cars and domestic appliances</w:t>
      </w:r>
      <w:r>
        <w:t xml:space="preserve"> </w:t>
      </w:r>
      <w:r>
        <w:t xml:space="preserve">(</w:t>
      </w:r>
      <w:hyperlink w:anchor="ref-hmrc_ipt1">
        <w:r>
          <w:rPr>
            <w:rStyle w:val="Hyperlink"/>
          </w:rPr>
          <w:t xml:space="preserve">HMRC, 2026j, para. 2.1</w:t>
        </w:r>
      </w:hyperlink>
      <w:r>
        <w:t xml:space="preserve">;</w:t>
      </w:r>
      <w:r>
        <w:t xml:space="preserve"> </w:t>
      </w:r>
      <w:hyperlink w:anchor="ref-hmrc_ipt1">
        <w:r>
          <w:rPr>
            <w:rStyle w:val="Hyperlink"/>
          </w:rPr>
          <w:t xml:space="preserve">2026j, para. 2.4.1</w:t>
        </w:r>
      </w:hyperlink>
      <w:r>
        <w:t xml:space="preserve">)</w:t>
      </w:r>
      <w:r>
        <w:t xml:space="preserve">. IPT is charged under the Finance Act 1994, not the Value Added Tax Act 1994</w:t>
      </w:r>
      <w:r>
        <w:t xml:space="preserve"> </w:t>
      </w:r>
      <w:r>
        <w:t xml:space="preserve">(</w:t>
      </w:r>
      <w:hyperlink w:anchor="ref-hmrc_ipt1">
        <w:r>
          <w:rPr>
            <w:rStyle w:val="Hyperlink"/>
          </w:rPr>
          <w:t xml:space="preserve">HMRC, 2026j, para. 1.3</w:t>
        </w:r>
      </w:hyperlink>
      <w:r>
        <w:t xml:space="preserve">)</w:t>
      </w:r>
      <w:r>
        <w:t xml:space="preserve">.</w:t>
      </w:r>
    </w:p>
    <w:p>
      <w:pPr>
        <w:pStyle w:val="Compact"/>
        <w:numPr>
          <w:ilvl w:val="0"/>
          <w:numId w:val="1162"/>
        </w:numPr>
      </w:pPr>
      <w:r>
        <w:rPr>
          <w:b/>
          <w:bCs/>
        </w:rPr>
        <w:t xml:space="preserve">Not recoverable:</w:t>
      </w:r>
      <w:r>
        <w:t xml:space="preserve"> </w:t>
      </w:r>
      <w:r>
        <w:t xml:space="preserve">IPT is not VAT. Input tax is the VAT charged on purchases</w:t>
      </w:r>
      <w:r>
        <w:t xml:space="preserve"> </w:t>
      </w:r>
      <w:r>
        <w:t xml:space="preserve">(</w:t>
      </w:r>
      <w:hyperlink w:anchor="ref-hmrc_n700">
        <w:r>
          <w:rPr>
            <w:rStyle w:val="Hyperlink"/>
          </w:rPr>
          <w:t xml:space="preserve">HMRC, 2026o, para. 10.1</w:t>
        </w:r>
      </w:hyperlink>
      <w:r>
        <w:t xml:space="preserve">)</w:t>
      </w:r>
      <w:r>
        <w:t xml:space="preserve">, so IPT is never input tax. COS refunds only cover VAT (Value Added Tax Act 1994, s. 41(3)), so IPT cannot be refunded under a COS heading either.</w:t>
      </w:r>
    </w:p>
    <w:p>
      <w:pPr>
        <w:pStyle w:val="Compact"/>
        <w:numPr>
          <w:ilvl w:val="0"/>
          <w:numId w:val="1162"/>
        </w:numPr>
      </w:pPr>
      <w:r>
        <w:t xml:space="preserve">Central government organisations should not normally buy commercial insurance, because it is generally cheaper for government to carry its own risks</w:t>
      </w:r>
      <w:r>
        <w:t xml:space="preserve"> </w:t>
      </w:r>
      <w:r>
        <w:t xml:space="preserve">(</w:t>
      </w:r>
      <w:hyperlink w:anchor="ref-hmt_mpm">
        <w:r>
          <w:rPr>
            <w:rStyle w:val="Hyperlink"/>
          </w:rPr>
          <w:t xml:space="preserve">HM Treasury, 2026, para. 4.4.1</w:t>
        </w:r>
      </w:hyperlink>
      <w:r>
        <w:t xml:space="preserve">;</w:t>
      </w:r>
      <w:r>
        <w:t xml:space="preserve"> </w:t>
      </w:r>
      <w:hyperlink w:anchor="ref-hmt_mpm">
        <w:r>
          <w:rPr>
            <w:rStyle w:val="Hyperlink"/>
          </w:rPr>
          <w:t xml:space="preserve">2026, para. A4.4.1</w:t>
        </w:r>
      </w:hyperlink>
      <w:r>
        <w:t xml:space="preserve">)</w:t>
      </w:r>
      <w:r>
        <w:t xml:space="preserve">. Any decision to buy it must follow a cost-benefit analysis</w:t>
      </w:r>
      <w:r>
        <w:t xml:space="preserve"> </w:t>
      </w:r>
      <w:r>
        <w:t xml:space="preserve">(</w:t>
      </w:r>
      <w:hyperlink w:anchor="ref-hmt_mpm">
        <w:r>
          <w:rPr>
            <w:rStyle w:val="Hyperlink"/>
          </w:rPr>
          <w:t xml:space="preserve">HM Treasury, 2026, para. A4.4.2</w:t>
        </w:r>
      </w:hyperlink>
      <w:r>
        <w:t xml:space="preserve">)</w:t>
      </w:r>
      <w:r>
        <w:t xml:space="preserve">. HM Treasury’s examples of where it may be justified include insurance required by law (such as for vehicles) and insurance of commercial initiatives</w:t>
      </w:r>
      <w:r>
        <w:t xml:space="preserve"> </w:t>
      </w:r>
      <w:r>
        <w:t xml:space="preserve">(</w:t>
      </w:r>
      <w:hyperlink w:anchor="ref-hmt_mpm">
        <w:r>
          <w:rPr>
            <w:rStyle w:val="Hyperlink"/>
          </w:rPr>
          <w:t xml:space="preserve">HM Treasury, 2026, sec. A4.4</w:t>
        </w:r>
      </w:hyperlink>
      <w:r>
        <w:t xml:space="preserve">)</w:t>
      </w:r>
      <w:r>
        <w:t xml:space="preserve">.</w:t>
      </w:r>
    </w:p>
    <w:bookmarkEnd w:id="144"/>
    <w:bookmarkStart w:id="145" w:name="worked-examples-2"/>
    <w:p>
      <w:pPr>
        <w:pStyle w:val="Heading4"/>
      </w:pPr>
      <w:r>
        <w:t xml:space="preserve">Worked examples</w:t>
      </w:r>
    </w:p>
    <w:p>
      <w:pPr>
        <w:pStyle w:val="FirstParagraph"/>
      </w:pPr>
      <w:r>
        <w:t xml:space="preserve">All examples assume the purchase is used wholly for the Department’s non-business activities, unless stated.</w:t>
      </w:r>
    </w:p>
    <w:p>
      <w:pPr>
        <w:pStyle w:val="BodyText"/>
      </w:pPr>
      <w:r>
        <w:rPr>
          <w:b/>
          <w:bCs/>
        </w:rPr>
        <w:t xml:space="preserve">Example 1: leaflets for a public information campaign.</w:t>
      </w:r>
      <w:r>
        <w:t xml:space="preserve"> </w:t>
      </w:r>
      <w:r>
        <w:t xml:space="preserve">The Department orders printed leaflets for £5,000.</w:t>
      </w:r>
    </w:p>
    <w:p>
      <w:pPr>
        <w:pStyle w:val="Compact"/>
        <w:numPr>
          <w:ilvl w:val="0"/>
          <w:numId w:val="1163"/>
        </w:numPr>
      </w:pPr>
      <w:r>
        <w:t xml:space="preserve">Liability: zero-rated, because leaflets are zero-rated printed matter</w:t>
      </w:r>
      <w:r>
        <w:t xml:space="preserve"> </w:t>
      </w:r>
      <w:r>
        <w:t xml:space="preserve">(</w:t>
      </w:r>
      <w:hyperlink w:anchor="ref-hmrc_n70110">
        <w:r>
          <w:rPr>
            <w:rStyle w:val="Hyperlink"/>
          </w:rPr>
          <w:t xml:space="preserve">HMRC, 2020f, para. 1.2</w:t>
        </w:r>
      </w:hyperlink>
      <w:r>
        <w:t xml:space="preserve">)</w:t>
      </w:r>
      <w:r>
        <w:t xml:space="preserve">.</w:t>
      </w:r>
    </w:p>
    <w:p>
      <w:pPr>
        <w:pStyle w:val="Compact"/>
        <w:numPr>
          <w:ilvl w:val="0"/>
          <w:numId w:val="1163"/>
        </w:numPr>
      </w:pPr>
      <w:r>
        <w:t xml:space="preserve">VAT: £5,000 × 0% = £0.</w:t>
      </w:r>
    </w:p>
    <w:p>
      <w:pPr>
        <w:pStyle w:val="Compact"/>
        <w:numPr>
          <w:ilvl w:val="0"/>
          <w:numId w:val="1163"/>
        </w:numPr>
      </w:pPr>
      <w:r>
        <w:t xml:space="preserve">Nothing to claim and nothing lost.</w:t>
      </w:r>
    </w:p>
    <w:p>
      <w:pPr>
        <w:pStyle w:val="FirstParagraph"/>
      </w:pPr>
      <w:r>
        <w:rPr>
          <w:b/>
          <w:bCs/>
        </w:rPr>
        <w:t xml:space="preserve">Example 2: laptops for a policy team.</w:t>
      </w:r>
      <w:r>
        <w:t xml:space="preserve"> </w:t>
      </w:r>
      <w:r>
        <w:t xml:space="preserve">The Department buys laptops for £10,000 plus VAT.</w:t>
      </w:r>
    </w:p>
    <w:p>
      <w:pPr>
        <w:pStyle w:val="Compact"/>
        <w:numPr>
          <w:ilvl w:val="0"/>
          <w:numId w:val="1164"/>
        </w:numPr>
      </w:pPr>
      <w:r>
        <w:t xml:space="preserve">Liability: standard-rated. VAT: £10,000 × 20% = £2,000. Total £12,000.</w:t>
      </w:r>
    </w:p>
    <w:p>
      <w:pPr>
        <w:pStyle w:val="Compact"/>
        <w:numPr>
          <w:ilvl w:val="0"/>
          <w:numId w:val="1164"/>
        </w:numPr>
      </w:pPr>
      <w:r>
        <w:rPr>
          <w:b/>
          <w:bCs/>
        </w:rPr>
        <w:t xml:space="preserve">Not claimable:</w:t>
      </w:r>
      <w:r>
        <w:t xml:space="preserve"> </w:t>
      </w:r>
      <w:r>
        <w:t xml:space="preserve">laptops are goods bought on their own, not part of a contracted-out service, so the £2,000 is not refundable under section 41(3)</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VATGPB11370</w:t>
        </w:r>
      </w:hyperlink>
      <w:r>
        <w:t xml:space="preserve">)</w:t>
      </w:r>
      <w:r>
        <w:t xml:space="preserve">.</w:t>
      </w:r>
    </w:p>
    <w:p>
      <w:pPr>
        <w:pStyle w:val="Compact"/>
        <w:numPr>
          <w:ilvl w:val="0"/>
          <w:numId w:val="1164"/>
        </w:numPr>
      </w:pPr>
      <w:r>
        <w:t xml:space="preserve">If a fair method showed 25% business use (for example, for selling publications), £2,000 × 25% = £500 would be input tax, subject to partial exemption. The other £1,500 would still be a cost</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Example 3: office cleaning contract.</w:t>
      </w:r>
      <w:r>
        <w:t xml:space="preserve"> </w:t>
      </w:r>
      <w:r>
        <w:t xml:space="preserve">A cleaning company charges £24,000 plus VAT a year.</w:t>
      </w:r>
    </w:p>
    <w:p>
      <w:pPr>
        <w:pStyle w:val="Compact"/>
        <w:numPr>
          <w:ilvl w:val="0"/>
          <w:numId w:val="1165"/>
        </w:numPr>
      </w:pPr>
      <w:r>
        <w:t xml:space="preserve">Liability: standard-rated. VAT: £24,000 × 20% = £4,800.</w:t>
      </w:r>
    </w:p>
    <w:p>
      <w:pPr>
        <w:pStyle w:val="Compact"/>
        <w:numPr>
          <w:ilvl w:val="0"/>
          <w:numId w:val="1165"/>
        </w:numPr>
      </w:pPr>
      <w:r>
        <w:rPr>
          <w:b/>
          <w:bCs/>
        </w:rPr>
        <w:t xml:space="preserve">Claimable:</w:t>
      </w:r>
      <w:r>
        <w:t xml:space="preserve"> </w:t>
      </w:r>
      <w:r>
        <w:t xml:space="preserve">cleaning of buildings falls under COS Heading 35</w:t>
      </w:r>
      <w:r>
        <w:t xml:space="preserve"> </w:t>
      </w:r>
      <w:r>
        <w:t xml:space="preserve">(</w:t>
      </w:r>
      <w:hyperlink w:anchor="ref-hmrc_vatgpb">
        <w:r>
          <w:rPr>
            <w:rStyle w:val="Hyperlink"/>
          </w:rPr>
          <w:t xml:space="preserve">HMRC, 2026n, sec. VATGPB10430</w:t>
        </w:r>
      </w:hyperlink>
      <w:r>
        <w:t xml:space="preserve">)</w:t>
      </w:r>
      <w:r>
        <w:t xml:space="preserve"> </w:t>
      </w:r>
      <w:r>
        <w:t xml:space="preserve">(see Part 8, Heading 35: Maintenance, repair and cleaning of buildings).</w:t>
      </w:r>
    </w:p>
    <w:p>
      <w:pPr>
        <w:pStyle w:val="FirstParagraph"/>
      </w:pPr>
      <w:r>
        <w:rPr>
          <w:b/>
          <w:bCs/>
        </w:rPr>
        <w:t xml:space="preserve">Example 4: office lease from a commercial landlord.</w:t>
      </w:r>
      <w:r>
        <w:t xml:space="preserve"> </w:t>
      </w:r>
      <w:r>
        <w:t xml:space="preserve">Annual rent is £100,000.</w:t>
      </w:r>
    </w:p>
    <w:p>
      <w:pPr>
        <w:pStyle w:val="Compact"/>
        <w:numPr>
          <w:ilvl w:val="0"/>
          <w:numId w:val="1166"/>
        </w:numPr>
      </w:pPr>
      <w:r>
        <w:t xml:space="preserve">If the landlord has</w:t>
      </w:r>
      <w:r>
        <w:t xml:space="preserve"> </w:t>
      </w:r>
      <w:r>
        <w:rPr>
          <w:b/>
          <w:bCs/>
        </w:rPr>
        <w:t xml:space="preserve">not</w:t>
      </w:r>
      <w:r>
        <w:t xml:space="preserve"> </w:t>
      </w:r>
      <w:r>
        <w:t xml:space="preserve">opted to tax: exempt</w:t>
      </w:r>
      <w:r>
        <w:t xml:space="preserve"> </w:t>
      </w:r>
      <w:r>
        <w:t xml:space="preserve">(</w:t>
      </w:r>
      <w:hyperlink w:anchor="ref-hmrc_n742">
        <w:r>
          <w:rPr>
            <w:rStyle w:val="Hyperlink"/>
          </w:rPr>
          <w:t xml:space="preserve">HMRC, 2020a, para. 3.1</w:t>
        </w:r>
      </w:hyperlink>
      <w:r>
        <w:t xml:space="preserve">)</w:t>
      </w:r>
      <w:r>
        <w:t xml:space="preserve">. VAT £0. Nothing to claim.</w:t>
      </w:r>
    </w:p>
    <w:p>
      <w:pPr>
        <w:pStyle w:val="Compact"/>
        <w:numPr>
          <w:ilvl w:val="0"/>
          <w:numId w:val="1166"/>
        </w:numPr>
      </w:pPr>
      <w:r>
        <w:t xml:space="preserve">If the landlord</w:t>
      </w:r>
      <w:r>
        <w:t xml:space="preserve"> </w:t>
      </w:r>
      <w:r>
        <w:rPr>
          <w:b/>
          <w:bCs/>
        </w:rPr>
        <w:t xml:space="preserve">has</w:t>
      </w:r>
      <w:r>
        <w:t xml:space="preserve"> </w:t>
      </w:r>
      <w:r>
        <w:t xml:space="preserve">opted to tax: standard-rated</w:t>
      </w:r>
      <w:r>
        <w:t xml:space="preserve"> </w:t>
      </w:r>
      <w:r>
        <w:t xml:space="preserve">(</w:t>
      </w:r>
      <w:hyperlink w:anchor="ref-hmrc_exemption">
        <w:r>
          <w:rPr>
            <w:rStyle w:val="Hyperlink"/>
          </w:rPr>
          <w:t xml:space="preserve">HMRC, 2022a</w:t>
        </w:r>
      </w:hyperlink>
      <w:r>
        <w:t xml:space="preserve">)</w:t>
      </w:r>
      <w:r>
        <w:t xml:space="preserve">. VAT: £100,000 × 20% = £20,000.</w:t>
      </w:r>
    </w:p>
    <w:p>
      <w:pPr>
        <w:pStyle w:val="Compact"/>
        <w:numPr>
          <w:ilvl w:val="0"/>
          <w:numId w:val="1166"/>
        </w:numPr>
      </w:pPr>
      <w:r>
        <w:rPr>
          <w:b/>
          <w:bCs/>
        </w:rPr>
        <w:t xml:space="preserve">Not claimable</w:t>
      </w:r>
      <w:r>
        <w:t xml:space="preserve"> </w:t>
      </w:r>
      <w:r>
        <w:t xml:space="preserve">under COS for non-business use: Heading 53 does not cover leases from commercial landlords</w:t>
      </w:r>
      <w:r>
        <w:t xml:space="preserve"> </w:t>
      </w:r>
      <w:r>
        <w:t xml:space="preserve">(</w:t>
      </w:r>
      <w:hyperlink w:anchor="ref-hmrc_vatgpb">
        <w:r>
          <w:rPr>
            <w:rStyle w:val="Hyperlink"/>
          </w:rPr>
          <w:t xml:space="preserve">HMRC, 2026n, sec. VATGPB10790</w:t>
        </w:r>
      </w:hyperlink>
      <w:r>
        <w:t xml:space="preserve">)</w:t>
      </w:r>
      <w:r>
        <w:t xml:space="preserve">, and Heading 35 does not cover service charges under a lease, which are treated as extra rent</w:t>
      </w:r>
      <w:r>
        <w:t xml:space="preserve"> </w:t>
      </w:r>
      <w:r>
        <w:t xml:space="preserve">(</w:t>
      </w:r>
      <w:hyperlink w:anchor="ref-hmrc_vatgpb">
        <w:r>
          <w:rPr>
            <w:rStyle w:val="Hyperlink"/>
          </w:rPr>
          <w:t xml:space="preserve">HMRC, 2026n, sec. VATGPB10430</w:t>
        </w:r>
      </w:hyperlink>
      <w:r>
        <w:t xml:space="preserve">)</w:t>
      </w:r>
      <w:r>
        <w:t xml:space="preserve">.</w:t>
      </w:r>
    </w:p>
    <w:p>
      <w:pPr>
        <w:pStyle w:val="FirstParagraph"/>
      </w:pPr>
      <w:r>
        <w:rPr>
          <w:b/>
          <w:bCs/>
        </w:rPr>
        <w:t xml:space="preserve">Example 5: staff travel in the UK.</w:t>
      </w:r>
      <w:r>
        <w:t xml:space="preserve"> </w:t>
      </w:r>
      <w:r>
        <w:t xml:space="preserve">A member of staff buys a £240 rail ticket and takes a £36 taxi from a taxi rank.</w:t>
      </w:r>
    </w:p>
    <w:p>
      <w:pPr>
        <w:pStyle w:val="Compact"/>
        <w:numPr>
          <w:ilvl w:val="0"/>
          <w:numId w:val="1167"/>
        </w:numPr>
      </w:pPr>
      <w:r>
        <w:t xml:space="preserve">Rail fare: zero-rated, because trains carry 10 or more passengers</w:t>
      </w:r>
      <w:r>
        <w:t xml:space="preserve"> </w:t>
      </w:r>
      <w:r>
        <w:t xml:space="preserve">(</w:t>
      </w:r>
      <w:hyperlink w:anchor="ref-hmrc_n744a">
        <w:r>
          <w:rPr>
            <w:rStyle w:val="Hyperlink"/>
          </w:rPr>
          <w:t xml:space="preserve">HMRC, 2022g, para. 2.1</w:t>
        </w:r>
      </w:hyperlink>
      <w:r>
        <w:t xml:space="preserve">)</w:t>
      </w:r>
      <w:r>
        <w:t xml:space="preserve">. VAT £0.</w:t>
      </w:r>
    </w:p>
    <w:p>
      <w:pPr>
        <w:pStyle w:val="Compact"/>
        <w:numPr>
          <w:ilvl w:val="0"/>
          <w:numId w:val="1167"/>
        </w:numPr>
      </w:pPr>
      <w:r>
        <w:t xml:space="preserve">Taxi: standard-rated</w:t>
      </w:r>
      <w:r>
        <w:t xml:space="preserve"> </w:t>
      </w:r>
      <w:r>
        <w:t xml:space="preserve">(</w:t>
      </w:r>
      <w:hyperlink w:anchor="ref-hmrc_n744a">
        <w:r>
          <w:rPr>
            <w:rStyle w:val="Hyperlink"/>
          </w:rPr>
          <w:t xml:space="preserve">HMRC, 2022g, para. 4.7</w:t>
        </w:r>
      </w:hyperlink>
      <w:r>
        <w:t xml:space="preserve">)</w:t>
      </w:r>
      <w:r>
        <w:t xml:space="preserve">. If the driver is VAT-registered, VAT is £36 × 1/6 = £6 and the net fare is £30. A driver who is not a taxable person charges no VAT at all</w:t>
      </w:r>
      <w:r>
        <w:t xml:space="preserve"> </w:t>
      </w:r>
      <w:r>
        <w:t xml:space="preserve">(</w:t>
      </w:r>
      <w:hyperlink w:anchor="ref-hmrc_n700">
        <w:r>
          <w:rPr>
            <w:rStyle w:val="Hyperlink"/>
          </w:rPr>
          <w:t xml:space="preserve">HMRC, 2026o, para. 3.2</w:t>
        </w:r>
      </w:hyperlink>
      <w:r>
        <w:t xml:space="preserve">)</w:t>
      </w:r>
      <w:r>
        <w:t xml:space="preserve">.</w:t>
      </w:r>
    </w:p>
    <w:p>
      <w:pPr>
        <w:pStyle w:val="Compact"/>
        <w:numPr>
          <w:ilvl w:val="0"/>
          <w:numId w:val="1167"/>
        </w:numPr>
      </w:pPr>
      <w:r>
        <w:rPr>
          <w:b/>
          <w:bCs/>
        </w:rPr>
        <w:t xml:space="preserve">Not claimable:</w:t>
      </w:r>
      <w:r>
        <w:t xml:space="preserve"> </w:t>
      </w:r>
      <w:r>
        <w:t xml:space="preserve">Heading 47 excludes taxis hailed in the street or taken from a rank</w:t>
      </w:r>
      <w:r>
        <w:t xml:space="preserve"> </w:t>
      </w:r>
      <w:r>
        <w:t xml:space="preserve">(</w:t>
      </w:r>
      <w:hyperlink w:anchor="ref-hmrc_vatgpb">
        <w:r>
          <w:rPr>
            <w:rStyle w:val="Hyperlink"/>
          </w:rPr>
          <w:t xml:space="preserve">HMRC, 2026n, sec. VATGPB10670</w:t>
        </w:r>
      </w:hyperlink>
      <w:r>
        <w:t xml:space="preserve">)</w:t>
      </w:r>
      <w:r>
        <w:t xml:space="preserve">.</w:t>
      </w:r>
    </w:p>
    <w:p>
      <w:pPr>
        <w:pStyle w:val="Compact"/>
        <w:numPr>
          <w:ilvl w:val="0"/>
          <w:numId w:val="1167"/>
        </w:numPr>
      </w:pPr>
      <w:r>
        <w:rPr>
          <w:b/>
          <w:bCs/>
        </w:rPr>
        <w:t xml:space="preserve">Claimable:</w:t>
      </w:r>
      <w:r>
        <w:t xml:space="preserve"> </w:t>
      </w:r>
      <w:r>
        <w:t xml:space="preserve">if instead the Department has a contract with a taxi firm and receives a VAT invoice, Heading 47 can apply</w:t>
      </w:r>
      <w:r>
        <w:t xml:space="preserve"> </w:t>
      </w:r>
      <w:r>
        <w:t xml:space="preserve">(</w:t>
      </w:r>
      <w:hyperlink w:anchor="ref-hmrc_vatgpb">
        <w:r>
          <w:rPr>
            <w:rStyle w:val="Hyperlink"/>
          </w:rPr>
          <w:t xml:space="preserve">HMRC, 2026n, sec. VATGPB10670</w:t>
        </w:r>
      </w:hyperlink>
      <w:r>
        <w:t xml:space="preserve">)</w:t>
      </w:r>
      <w:r>
        <w:t xml:space="preserve">.</w:t>
      </w:r>
    </w:p>
    <w:p>
      <w:pPr>
        <w:pStyle w:val="FirstParagraph"/>
      </w:pPr>
      <w:r>
        <w:rPr>
          <w:b/>
          <w:bCs/>
        </w:rPr>
        <w:t xml:space="preserve">Example 6: safety boots for warehouse staff.</w:t>
      </w:r>
      <w:r>
        <w:t xml:space="preserve"> </w:t>
      </w:r>
      <w:r>
        <w:t xml:space="preserve">The Department buys 30 pairs of boots for £1,500 plus VAT.</w:t>
      </w:r>
    </w:p>
    <w:p>
      <w:pPr>
        <w:pStyle w:val="Compact"/>
        <w:numPr>
          <w:ilvl w:val="0"/>
          <w:numId w:val="1168"/>
        </w:numPr>
      </w:pPr>
      <w:r>
        <w:t xml:space="preserve">Liability: standard-rated. Zero rating does not apply to boots sold to an employer for its employees</w:t>
      </w:r>
      <w:r>
        <w:t xml:space="preserve"> </w:t>
      </w:r>
      <w:r>
        <w:t xml:space="preserve">(</w:t>
      </w:r>
      <w:hyperlink w:anchor="ref-hmrc_n70123">
        <w:r>
          <w:rPr>
            <w:rStyle w:val="Hyperlink"/>
          </w:rPr>
          <w:t xml:space="preserve">HMRC, 2022f, para. 2.5</w:t>
        </w:r>
      </w:hyperlink>
      <w:r>
        <w:t xml:space="preserve">)</w:t>
      </w:r>
      <w:r>
        <w:t xml:space="preserve">. VAT: £1,500 × 20% = £300.</w:t>
      </w:r>
    </w:p>
    <w:p>
      <w:pPr>
        <w:pStyle w:val="Compact"/>
        <w:numPr>
          <w:ilvl w:val="0"/>
          <w:numId w:val="1168"/>
        </w:numPr>
      </w:pPr>
      <w:r>
        <w:rPr>
          <w:b/>
          <w:bCs/>
        </w:rPr>
        <w:t xml:space="preserve">Not claimable:</w:t>
      </w:r>
      <w:r>
        <w:t xml:space="preserve"> </w:t>
      </w:r>
      <w:r>
        <w:t xml:space="preserve">these are goods bought on their own</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VATGPB11370</w:t>
        </w:r>
      </w:hyperlink>
      <w:r>
        <w:t xml:space="preserve">)</w:t>
      </w:r>
      <w:r>
        <w:t xml:space="preserve">.</w:t>
      </w:r>
    </w:p>
    <w:p>
      <w:pPr>
        <w:pStyle w:val="FirstParagraph"/>
      </w:pPr>
      <w:r>
        <w:rPr>
          <w:b/>
          <w:bCs/>
        </w:rPr>
        <w:t xml:space="preserve">Example 7: travel insurance for staff working abroad.</w:t>
      </w:r>
      <w:r>
        <w:t xml:space="preserve"> </w:t>
      </w:r>
      <w:r>
        <w:t xml:space="preserve">Suppose the Department decided commercial travel insurance was justified, and the insurer’s charge before IPT (the chargeable amount) is £800:</w:t>
      </w:r>
    </w:p>
    <w:p>
      <w:pPr>
        <w:pStyle w:val="Compact"/>
        <w:numPr>
          <w:ilvl w:val="0"/>
          <w:numId w:val="1169"/>
        </w:numPr>
      </w:pPr>
      <w:r>
        <w:t xml:space="preserve">VAT: none, because insurance is exempt</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169"/>
        </w:numPr>
      </w:pPr>
      <w:r>
        <w:t xml:space="preserve">IPT applies even though the staff travel abroad: a travel policy of up to 4 months taken out in the UK covers a UK risk</w:t>
      </w:r>
      <w:r>
        <w:t xml:space="preserve"> </w:t>
      </w:r>
      <w:r>
        <w:t xml:space="preserve">(</w:t>
      </w:r>
      <w:hyperlink w:anchor="ref-hmrc_ipt1">
        <w:r>
          <w:rPr>
            <w:rStyle w:val="Hyperlink"/>
          </w:rPr>
          <w:t xml:space="preserve">HMRC, 2026j, para. 5.2.1</w:t>
        </w:r>
      </w:hyperlink>
      <w:r>
        <w:t xml:space="preserve">)</w:t>
      </w:r>
      <w:r>
        <w:t xml:space="preserve">.</w:t>
      </w:r>
    </w:p>
    <w:p>
      <w:pPr>
        <w:pStyle w:val="Compact"/>
        <w:numPr>
          <w:ilvl w:val="0"/>
          <w:numId w:val="1169"/>
        </w:numPr>
      </w:pPr>
      <w:r>
        <w:t xml:space="preserve">IPT at the higher rate: £800 × 20% = £160</w:t>
      </w:r>
      <w:r>
        <w:t xml:space="preserve"> </w:t>
      </w:r>
      <w:r>
        <w:t xml:space="preserve">(</w:t>
      </w:r>
      <w:hyperlink w:anchor="ref-hmrc_ipt1">
        <w:r>
          <w:rPr>
            <w:rStyle w:val="Hyperlink"/>
          </w:rPr>
          <w:t xml:space="preserve">HMRC, 2026j, para. 2.4.1</w:t>
        </w:r>
      </w:hyperlink>
      <w:r>
        <w:t xml:space="preserve">;</w:t>
      </w:r>
      <w:r>
        <w:t xml:space="preserve"> </w:t>
      </w:r>
      <w:hyperlink w:anchor="ref-hmrc_ipt1">
        <w:r>
          <w:rPr>
            <w:rStyle w:val="Hyperlink"/>
          </w:rPr>
          <w:t xml:space="preserve">2026j, para. 3.2</w:t>
        </w:r>
      </w:hyperlink>
      <w:r>
        <w:t xml:space="preserve">)</w:t>
      </w:r>
      <w:r>
        <w:t xml:space="preserve">. Total premium payable: £800 + £160 = £960.</w:t>
      </w:r>
    </w:p>
    <w:p>
      <w:pPr>
        <w:pStyle w:val="Compact"/>
        <w:numPr>
          <w:ilvl w:val="0"/>
          <w:numId w:val="1169"/>
        </w:numPr>
      </w:pPr>
      <w:r>
        <w:rPr>
          <w:b/>
          <w:bCs/>
        </w:rPr>
        <w:t xml:space="preserve">Not claimable:</w:t>
      </w:r>
      <w:r>
        <w:t xml:space="preserve"> </w:t>
      </w:r>
      <w:r>
        <w:t xml:space="preserve">IPT is not VAT.</w:t>
      </w:r>
    </w:p>
    <w:p>
      <w:pPr>
        <w:pStyle w:val="Compact"/>
        <w:numPr>
          <w:ilvl w:val="0"/>
          <w:numId w:val="1169"/>
        </w:numPr>
      </w:pPr>
      <w:r>
        <w:rPr>
          <w:b/>
          <w:bCs/>
        </w:rPr>
        <w:t xml:space="preserve">Check first:</w:t>
      </w:r>
      <w:r>
        <w:t xml:space="preserve"> </w:t>
      </w:r>
      <w:r>
        <w:t xml:space="preserve">whether commercial insurance is justified under Managing Public Money</w:t>
      </w:r>
      <w:r>
        <w:t xml:space="preserve"> </w:t>
      </w:r>
      <w:r>
        <w:t xml:space="preserve">(</w:t>
      </w:r>
      <w:hyperlink w:anchor="ref-hmt_mpm">
        <w:r>
          <w:rPr>
            <w:rStyle w:val="Hyperlink"/>
          </w:rPr>
          <w:t xml:space="preserve">HM Treasury, 2026, para. A4.4.2</w:t>
        </w:r>
      </w:hyperlink>
      <w:r>
        <w:t xml:space="preserve">)</w:t>
      </w:r>
      <w:r>
        <w:t xml:space="preserve">.</w:t>
      </w:r>
    </w:p>
    <w:p>
      <w:pPr>
        <w:pStyle w:val="FirstParagraph"/>
      </w:pPr>
      <w:r>
        <w:rPr>
          <w:b/>
          <w:bCs/>
        </w:rPr>
        <w:t xml:space="preserve">Example 8: electricity.</w:t>
      </w:r>
      <w:r>
        <w:t xml:space="preserve"> </w:t>
      </w:r>
      <w:r>
        <w:t xml:space="preserve">The main office uses far more than 1,000 kilowatt hours a month. A small storage unit uses about 600 kilowatt hours a month.</w:t>
      </w:r>
    </w:p>
    <w:p>
      <w:pPr>
        <w:pStyle w:val="Compact"/>
        <w:numPr>
          <w:ilvl w:val="0"/>
          <w:numId w:val="1170"/>
        </w:numPr>
      </w:pPr>
      <w:r>
        <w:t xml:space="preserve">Main office: standard-rated</w:t>
      </w:r>
      <w:r>
        <w:t xml:space="preserve"> </w:t>
      </w:r>
      <w:r>
        <w:t xml:space="preserve">(</w:t>
      </w:r>
      <w:hyperlink w:anchor="ref-hmrc_n70119">
        <w:r>
          <w:rPr>
            <w:rStyle w:val="Hyperlink"/>
          </w:rPr>
          <w:t xml:space="preserve">HMRC, 2026e, para. 5.3</w:t>
        </w:r>
      </w:hyperlink>
      <w:r>
        <w:t xml:space="preserve">)</w:t>
      </w:r>
      <w:r>
        <w:t xml:space="preserve">. On a £3,000 net bill, VAT is £3,000 × 20% = £600.</w:t>
      </w:r>
    </w:p>
    <w:p>
      <w:pPr>
        <w:pStyle w:val="Compact"/>
        <w:numPr>
          <w:ilvl w:val="0"/>
          <w:numId w:val="1170"/>
        </w:numPr>
      </w:pPr>
      <w:r>
        <w:t xml:space="preserve">Storage unit: within the de minimis limit, so 5%</w:t>
      </w:r>
      <w:r>
        <w:t xml:space="preserve"> </w:t>
      </w:r>
      <w:r>
        <w:t xml:space="preserve">(</w:t>
      </w:r>
      <w:hyperlink w:anchor="ref-hmrc_n70119">
        <w:r>
          <w:rPr>
            <w:rStyle w:val="Hyperlink"/>
          </w:rPr>
          <w:t xml:space="preserve">HMRC, 2026e, para. 5.2</w:t>
        </w:r>
      </w:hyperlink>
      <w:r>
        <w:t xml:space="preserve">)</w:t>
      </w:r>
      <w:r>
        <w:t xml:space="preserve">. On a £150 net bill, VAT is £150 × 5% = £7.50.</w:t>
      </w:r>
    </w:p>
    <w:p>
      <w:pPr>
        <w:pStyle w:val="Compact"/>
        <w:numPr>
          <w:ilvl w:val="0"/>
          <w:numId w:val="1170"/>
        </w:numPr>
      </w:pPr>
      <w:r>
        <w:rPr>
          <w:b/>
          <w:bCs/>
        </w:rPr>
        <w:t xml:space="preserve">Not claimable</w:t>
      </w:r>
      <w:r>
        <w:t xml:space="preserve"> </w:t>
      </w:r>
      <w:r>
        <w:t xml:space="preserve">for non-business use: electricity is a supply of goods</w:t>
      </w:r>
      <w:r>
        <w:t xml:space="preserve"> </w:t>
      </w:r>
      <w:r>
        <w:t xml:space="preserve">(</w:t>
      </w:r>
      <w:hyperlink w:anchor="ref-hmrc_n700">
        <w:r>
          <w:rPr>
            <w:rStyle w:val="Hyperlink"/>
          </w:rPr>
          <w:t xml:space="preserve">HMRC, 2026o, para. 4.4</w:t>
        </w:r>
      </w:hyperlink>
      <w:r>
        <w:t xml:space="preserve">)</w:t>
      </w:r>
      <w:r>
        <w:t xml:space="preserve">, and HMRC’s framework says VAT on goods and certain utilities used for non-business activities is not refundable under section 41(3)</w:t>
      </w:r>
      <w:r>
        <w:t xml:space="preserve"> </w:t>
      </w:r>
      <w:r>
        <w:t xml:space="preserve">(</w:t>
      </w:r>
      <w:hyperlink w:anchor="ref-hmrc_gdpef">
        <w:r>
          <w:rPr>
            <w:rStyle w:val="Hyperlink"/>
          </w:rPr>
          <w:t xml:space="preserve">HMRC, 2023c</w:t>
        </w:r>
      </w:hyperlink>
      <w:r>
        <w:t xml:space="preserve">)</w:t>
      </w:r>
      <w:r>
        <w:t xml:space="preserve">. The only exception is utilities included in the single unitary charge for accommodation provided under a private finance initiative (PFI) agreement, under Heading 53</w:t>
      </w:r>
      <w:r>
        <w:t xml:space="preserve"> </w:t>
      </w:r>
      <w:r>
        <w:t xml:space="preserve">(</w:t>
      </w:r>
      <w:hyperlink w:anchor="ref-hmrc_vatgpb">
        <w:r>
          <w:rPr>
            <w:rStyle w:val="Hyperlink"/>
          </w:rPr>
          <w:t xml:space="preserve">HMRC, 2026n, sec. VATGPB10790</w:t>
        </w:r>
      </w:hyperlink>
      <w:r>
        <w:t xml:space="preserve">)</w:t>
      </w:r>
      <w:r>
        <w:t xml:space="preserve">.</w:t>
      </w:r>
    </w:p>
    <w:p>
      <w:pPr>
        <w:pStyle w:val="FirstParagraph"/>
      </w:pPr>
      <w:r>
        <w:t xml:space="preserve">Part 7 has more worked examples of buying goods and other items.</w:t>
      </w:r>
    </w:p>
    <w:bookmarkEnd w:id="145"/>
    <w:bookmarkEnd w:id="146"/>
    <w:bookmarkStart w:id="148" w:name="summary-table"/>
    <w:p>
      <w:pPr>
        <w:pStyle w:val="Heading3"/>
      </w:pPr>
      <w:r>
        <w:t xml:space="preserve">Summary table</w:t>
      </w:r>
    </w:p>
    <w:p>
      <w:pPr>
        <w:pStyle w:val="FirstParagraph"/>
      </w:pPr>
      <w:r>
        <w:t xml:space="preserve">This table summarises the six outcomes, based on the rules cited earlier in this Part</w:t>
      </w:r>
      <w:r>
        <w:t xml:space="preserve"> </w:t>
      </w:r>
      <w:r>
        <w:t xml:space="preserve">(</w:t>
      </w:r>
      <w:hyperlink w:anchor="ref-hmrc_n741a">
        <w:r>
          <w:rPr>
            <w:rStyle w:val="Hyperlink"/>
          </w:rPr>
          <w:t xml:space="preserve">HMRC, 2022d, para. 2.7</w:t>
        </w:r>
      </w:hyperlink>
      <w:r>
        <w:t xml:space="preserve">;</w:t>
      </w:r>
      <w:r>
        <w:t xml:space="preserve"> </w:t>
      </w:r>
      <w:hyperlink w:anchor="ref-hmrc_n700">
        <w:r>
          <w:rPr>
            <w:rStyle w:val="Hyperlink"/>
          </w:rPr>
          <w:t xml:space="preserve">2026o, para. 3.4</w:t>
        </w:r>
      </w:hyperlink>
      <w:r>
        <w:t xml:space="preserve">;</w:t>
      </w:r>
      <w:r>
        <w:t xml:space="preserve"> </w:t>
      </w:r>
      <w:hyperlink w:anchor="ref-hmrc_n700">
        <w:r>
          <w:rPr>
            <w:rStyle w:val="Hyperlink"/>
          </w:rPr>
          <w:t xml:space="preserve">2026o, para. 3.5</w:t>
        </w:r>
      </w:hyperlink>
      <w:r>
        <w:t xml:space="preserve">;</w:t>
      </w:r>
      <w:r>
        <w:t xml:space="preserve"> </w:t>
      </w:r>
      <w:hyperlink w:anchor="ref-hmrc_n700">
        <w:r>
          <w:rPr>
            <w:rStyle w:val="Hyperlink"/>
          </w:rPr>
          <w:t xml:space="preserve">2026o, para. 3.6</w:t>
        </w:r>
      </w:hyperlink>
      <w:r>
        <w:t xml:space="preserve">;</w:t>
      </w:r>
      <w:r>
        <w:t xml:space="preserve"> </w:t>
      </w:r>
      <w:hyperlink w:anchor="ref-hmrc_n700">
        <w:r>
          <w:rPr>
            <w:rStyle w:val="Hyperlink"/>
          </w:rPr>
          <w:t xml:space="preserve">2026o, para. 4.6.3</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263"/>
        <w:gridCol w:w="1653"/>
        <w:gridCol w:w="1768"/>
        <w:gridCol w:w="3340"/>
      </w:tblGrid>
      <w:tr>
        <w:trPr>
          <w:tblHeader w:val="true"/>
          <w:cantSplit w:val="true"/>
        </w:trPr>
        <w:tc>
          <w:tcPr>
            <w:tcW w:w="2263" w:type="dxa"/>
            <w:shd w:val="clear" w:color="auto" w:fill="1B3A5C"/>
          </w:tcPr>
          <w:p>
            <w:pPr>
              <w:pStyle w:val="Compact"/>
              <w:spacing w:after="40" w:before="40"/>
              <w:jc w:val="left"/>
            </w:pPr>
            <w:r>
              <w:rPr>
                <w:rFonts w:ascii="Tahoma" w:hAnsi="Tahoma"/>
                <w:b/>
                <w:color w:val="FFFFFF"/>
                <w:sz w:val="22"/>
              </w:rPr>
              <w:t xml:space="preserve">Category</w:t>
            </w:r>
          </w:p>
        </w:tc>
        <w:tc>
          <w:tcPr>
            <w:tcW w:w="1653" w:type="dxa"/>
            <w:shd w:val="clear" w:color="auto" w:fill="1B3A5C"/>
          </w:tcPr>
          <w:p>
            <w:pPr>
              <w:pStyle w:val="Compact"/>
              <w:spacing w:after="40" w:before="40"/>
              <w:jc w:val="left"/>
            </w:pPr>
            <w:r>
              <w:rPr>
                <w:rFonts w:ascii="Tahoma" w:hAnsi="Tahoma"/>
                <w:b/>
                <w:color w:val="FFFFFF"/>
                <w:sz w:val="22"/>
              </w:rPr>
              <w:t xml:space="preserve">VAT on the sale?</w:t>
            </w:r>
          </w:p>
        </w:tc>
        <w:tc>
          <w:tcPr>
            <w:tcW w:w="1768" w:type="dxa"/>
            <w:shd w:val="clear" w:color="auto" w:fill="1B3A5C"/>
          </w:tcPr>
          <w:p>
            <w:pPr>
              <w:pStyle w:val="Compact"/>
              <w:spacing w:after="40" w:before="40"/>
              <w:jc w:val="left"/>
            </w:pPr>
            <w:r>
              <w:rPr>
                <w:rFonts w:ascii="Tahoma" w:hAnsi="Tahoma"/>
                <w:b/>
                <w:color w:val="FFFFFF"/>
                <w:sz w:val="22"/>
              </w:rPr>
              <w:t xml:space="preserve">Supplier recovers related input tax?</w:t>
            </w:r>
          </w:p>
        </w:tc>
        <w:tc>
          <w:tcPr>
            <w:tcW w:w="3340" w:type="dxa"/>
            <w:shd w:val="clear" w:color="auto" w:fill="1B3A5C"/>
          </w:tcPr>
          <w:p>
            <w:pPr>
              <w:pStyle w:val="Compact"/>
              <w:spacing w:after="40" w:before="40"/>
              <w:jc w:val="left"/>
            </w:pPr>
            <w:r>
              <w:rPr>
                <w:rFonts w:ascii="Tahoma" w:hAnsi="Tahoma"/>
                <w:b/>
                <w:color w:val="FFFFFF"/>
                <w:sz w:val="22"/>
              </w:rPr>
              <w:t xml:space="preserve">Examples</w:t>
            </w:r>
          </w:p>
        </w:tc>
      </w:tr>
      <w:tr>
        <w:trPr>
          <w:cantSplit w:val="true"/>
        </w:trPr>
        <w:tc>
          <w:tcPr>
            <w:tcW w:w="2263" w:type="dxa"/>
            <w:shd w:val="clear" w:color="auto" w:fill="EAF3FA"/>
          </w:tcPr>
          <w:p>
            <w:pPr>
              <w:pStyle w:val="Compact"/>
              <w:spacing w:after="40" w:before="40"/>
              <w:jc w:val="left"/>
            </w:pPr>
            <w:r>
              <w:rPr>
                <w:rFonts w:ascii="Tahoma" w:hAnsi="Tahoma"/>
                <w:sz w:val="22"/>
              </w:rPr>
              <w:t xml:space="preserve">Standard-rated</w:t>
            </w:r>
          </w:p>
        </w:tc>
        <w:tc>
          <w:tcPr>
            <w:tcW w:w="1653" w:type="dxa"/>
            <w:shd w:val="clear" w:color="auto" w:fill="EAF3FA"/>
          </w:tcPr>
          <w:p>
            <w:pPr>
              <w:pStyle w:val="Compact"/>
              <w:spacing w:after="40" w:before="40"/>
              <w:jc w:val="left"/>
            </w:pPr>
            <w:r>
              <w:rPr>
                <w:rFonts w:ascii="Tahoma" w:hAnsi="Tahoma"/>
                <w:sz w:val="22"/>
              </w:rPr>
              <w:t xml:space="preserve">Yes, 20%</w:t>
            </w:r>
          </w:p>
        </w:tc>
        <w:tc>
          <w:tcPr>
            <w:tcW w:w="1768" w:type="dxa"/>
            <w:shd w:val="clear" w:color="auto" w:fill="EAF3FA"/>
          </w:tcPr>
          <w:p>
            <w:pPr>
              <w:pStyle w:val="Compact"/>
              <w:spacing w:after="40" w:before="40"/>
              <w:jc w:val="left"/>
            </w:pPr>
            <w:r>
              <w:rPr>
                <w:rFonts w:ascii="Tahoma" w:hAnsi="Tahoma"/>
                <w:sz w:val="22"/>
              </w:rPr>
              <w:t xml:space="preserve">Yes</w:t>
            </w:r>
          </w:p>
        </w:tc>
        <w:tc>
          <w:tcPr>
            <w:tcW w:w="3340" w:type="dxa"/>
            <w:shd w:val="clear" w:color="auto" w:fill="EAF3FA"/>
          </w:tcPr>
          <w:p>
            <w:pPr>
              <w:pStyle w:val="Compact"/>
              <w:spacing w:after="40" w:before="40"/>
              <w:jc w:val="left"/>
            </w:pPr>
            <w:r>
              <w:rPr>
                <w:rFonts w:ascii="Tahoma" w:hAnsi="Tahoma"/>
                <w:sz w:val="22"/>
              </w:rPr>
              <w:t xml:space="preserve">Laptops, furniture, consultancy, UK hotels</w:t>
            </w:r>
          </w:p>
        </w:tc>
      </w:tr>
      <w:tr>
        <w:trPr>
          <w:cantSplit w:val="true"/>
        </w:trPr>
        <w:tc>
          <w:tcPr>
            <w:tcW w:w="2263" w:type="dxa"/>
            <w:shd w:val="clear" w:color="auto" w:fill="FFFFFF"/>
          </w:tcPr>
          <w:p>
            <w:pPr>
              <w:pStyle w:val="Compact"/>
              <w:spacing w:after="40" w:before="40"/>
              <w:jc w:val="left"/>
            </w:pPr>
            <w:r>
              <w:rPr>
                <w:rFonts w:ascii="Tahoma" w:hAnsi="Tahoma"/>
                <w:sz w:val="22"/>
              </w:rPr>
              <w:t xml:space="preserve">Reduced-rated</w:t>
            </w:r>
          </w:p>
        </w:tc>
        <w:tc>
          <w:tcPr>
            <w:tcW w:w="1653" w:type="dxa"/>
            <w:shd w:val="clear" w:color="auto" w:fill="FFFFFF"/>
          </w:tcPr>
          <w:p>
            <w:pPr>
              <w:pStyle w:val="Compact"/>
              <w:spacing w:after="40" w:before="40"/>
              <w:jc w:val="left"/>
            </w:pPr>
            <w:r>
              <w:rPr>
                <w:rFonts w:ascii="Tahoma" w:hAnsi="Tahoma"/>
                <w:sz w:val="22"/>
              </w:rPr>
              <w:t xml:space="preserve">Yes, 5%</w:t>
            </w:r>
          </w:p>
        </w:tc>
        <w:tc>
          <w:tcPr>
            <w:tcW w:w="1768" w:type="dxa"/>
            <w:shd w:val="clear" w:color="auto" w:fill="FFFFFF"/>
          </w:tcPr>
          <w:p>
            <w:pPr>
              <w:pStyle w:val="Compact"/>
              <w:spacing w:after="40" w:before="40"/>
              <w:jc w:val="left"/>
            </w:pPr>
            <w:r>
              <w:rPr>
                <w:rFonts w:ascii="Tahoma" w:hAnsi="Tahoma"/>
                <w:sz w:val="22"/>
              </w:rPr>
              <w:t xml:space="preserve">Yes</w:t>
            </w:r>
          </w:p>
        </w:tc>
        <w:tc>
          <w:tcPr>
            <w:tcW w:w="3340" w:type="dxa"/>
            <w:shd w:val="clear" w:color="auto" w:fill="FFFFFF"/>
          </w:tcPr>
          <w:p>
            <w:pPr>
              <w:pStyle w:val="Compact"/>
              <w:spacing w:after="40" w:before="40"/>
              <w:jc w:val="left"/>
            </w:pPr>
            <w:r>
              <w:rPr>
                <w:rFonts w:ascii="Tahoma" w:hAnsi="Tahoma"/>
                <w:sz w:val="22"/>
              </w:rPr>
              <w:t xml:space="preserve">Domestic fuel and power, children’s car seats</w:t>
            </w:r>
          </w:p>
        </w:tc>
      </w:tr>
      <w:tr>
        <w:trPr>
          <w:cantSplit w:val="true"/>
        </w:trPr>
        <w:tc>
          <w:tcPr>
            <w:tcW w:w="2263" w:type="dxa"/>
            <w:shd w:val="clear" w:color="auto" w:fill="FBEAF1"/>
          </w:tcPr>
          <w:p>
            <w:pPr>
              <w:pStyle w:val="Compact"/>
              <w:spacing w:after="40" w:before="40"/>
              <w:jc w:val="left"/>
            </w:pPr>
            <w:r>
              <w:rPr>
                <w:rFonts w:ascii="Tahoma" w:hAnsi="Tahoma"/>
                <w:sz w:val="22"/>
              </w:rPr>
              <w:t xml:space="preserve">Zero-rated</w:t>
            </w:r>
          </w:p>
        </w:tc>
        <w:tc>
          <w:tcPr>
            <w:tcW w:w="1653" w:type="dxa"/>
            <w:shd w:val="clear" w:color="auto" w:fill="FBEAF1"/>
          </w:tcPr>
          <w:p>
            <w:pPr>
              <w:pStyle w:val="Compact"/>
              <w:spacing w:after="40" w:before="40"/>
              <w:jc w:val="left"/>
            </w:pPr>
            <w:r>
              <w:rPr>
                <w:rFonts w:ascii="Tahoma" w:hAnsi="Tahoma"/>
                <w:sz w:val="22"/>
              </w:rPr>
              <w:t xml:space="preserve">0% (no VAT charged)</w:t>
            </w:r>
          </w:p>
        </w:tc>
        <w:tc>
          <w:tcPr>
            <w:tcW w:w="1768" w:type="dxa"/>
            <w:shd w:val="clear" w:color="auto" w:fill="FBEAF1"/>
          </w:tcPr>
          <w:p>
            <w:pPr>
              <w:pStyle w:val="Compact"/>
              <w:spacing w:after="40" w:before="40"/>
              <w:jc w:val="left"/>
            </w:pPr>
            <w:r>
              <w:rPr>
                <w:rFonts w:ascii="Tahoma" w:hAnsi="Tahoma"/>
                <w:sz w:val="22"/>
              </w:rPr>
              <w:t xml:space="preserve">Yes</w:t>
            </w:r>
          </w:p>
        </w:tc>
        <w:tc>
          <w:tcPr>
            <w:tcW w:w="3340" w:type="dxa"/>
            <w:shd w:val="clear" w:color="auto" w:fill="FBEAF1"/>
          </w:tcPr>
          <w:p>
            <w:pPr>
              <w:pStyle w:val="Compact"/>
              <w:spacing w:after="40" w:before="40"/>
              <w:jc w:val="left"/>
            </w:pPr>
            <w:r>
              <w:rPr>
                <w:rFonts w:ascii="Tahoma" w:hAnsi="Tahoma"/>
                <w:sz w:val="22"/>
              </w:rPr>
              <w:t xml:space="preserve">Most food, books, exports, rail fares</w:t>
            </w:r>
          </w:p>
        </w:tc>
      </w:tr>
      <w:tr>
        <w:trPr>
          <w:cantSplit w:val="true"/>
        </w:trPr>
        <w:tc>
          <w:tcPr>
            <w:tcW w:w="2263" w:type="dxa"/>
            <w:shd w:val="clear" w:color="auto" w:fill="EAF3FA"/>
          </w:tcPr>
          <w:p>
            <w:pPr>
              <w:pStyle w:val="Compact"/>
              <w:spacing w:after="40" w:before="40"/>
              <w:jc w:val="left"/>
            </w:pPr>
            <w:r>
              <w:rPr>
                <w:rFonts w:ascii="Tahoma" w:hAnsi="Tahoma"/>
                <w:sz w:val="22"/>
              </w:rPr>
              <w:t xml:space="preserve">Exempt</w:t>
            </w:r>
          </w:p>
        </w:tc>
        <w:tc>
          <w:tcPr>
            <w:tcW w:w="1653" w:type="dxa"/>
            <w:shd w:val="clear" w:color="auto" w:fill="EAF3FA"/>
          </w:tcPr>
          <w:p>
            <w:pPr>
              <w:pStyle w:val="Compact"/>
              <w:spacing w:after="40" w:before="40"/>
              <w:jc w:val="left"/>
            </w:pPr>
            <w:r>
              <w:rPr>
                <w:rFonts w:ascii="Tahoma" w:hAnsi="Tahoma"/>
                <w:sz w:val="22"/>
              </w:rPr>
              <w:t xml:space="preserve">No</w:t>
            </w:r>
          </w:p>
        </w:tc>
        <w:tc>
          <w:tcPr>
            <w:tcW w:w="1768" w:type="dxa"/>
            <w:shd w:val="clear" w:color="auto" w:fill="EAF3FA"/>
          </w:tcPr>
          <w:p>
            <w:pPr>
              <w:pStyle w:val="Compact"/>
              <w:spacing w:after="40" w:before="40"/>
              <w:jc w:val="left"/>
            </w:pPr>
            <w:r>
              <w:rPr>
                <w:rFonts w:ascii="Tahoma" w:hAnsi="Tahoma"/>
                <w:sz w:val="22"/>
              </w:rPr>
              <w:t xml:space="preserve">No (unless de minimis)</w:t>
            </w:r>
          </w:p>
        </w:tc>
        <w:tc>
          <w:tcPr>
            <w:tcW w:w="3340" w:type="dxa"/>
            <w:shd w:val="clear" w:color="auto" w:fill="EAF3FA"/>
          </w:tcPr>
          <w:p>
            <w:pPr>
              <w:pStyle w:val="Compact"/>
              <w:spacing w:after="40" w:before="40"/>
              <w:jc w:val="left"/>
            </w:pPr>
            <w:r>
              <w:rPr>
                <w:rFonts w:ascii="Tahoma" w:hAnsi="Tahoma"/>
                <w:sz w:val="22"/>
              </w:rPr>
              <w:t xml:space="preserve">Insurance, bank charges, rent with no option to tax</w:t>
            </w:r>
          </w:p>
        </w:tc>
      </w:tr>
      <w:tr>
        <w:trPr>
          <w:cantSplit w:val="true"/>
        </w:trPr>
        <w:tc>
          <w:tcPr>
            <w:tcW w:w="2263" w:type="dxa"/>
            <w:shd w:val="clear" w:color="auto" w:fill="FFFFFF"/>
          </w:tcPr>
          <w:p>
            <w:pPr>
              <w:pStyle w:val="Compact"/>
              <w:spacing w:after="40" w:before="40"/>
              <w:jc w:val="left"/>
            </w:pPr>
            <w:r>
              <w:rPr>
                <w:rFonts w:ascii="Tahoma" w:hAnsi="Tahoma"/>
                <w:sz w:val="22"/>
              </w:rPr>
              <w:t xml:space="preserve">Outside the scope, with recovery</w:t>
            </w:r>
          </w:p>
        </w:tc>
        <w:tc>
          <w:tcPr>
            <w:tcW w:w="1653" w:type="dxa"/>
            <w:shd w:val="clear" w:color="auto" w:fill="FFFFFF"/>
          </w:tcPr>
          <w:p>
            <w:pPr>
              <w:pStyle w:val="Compact"/>
              <w:spacing w:after="40" w:before="40"/>
              <w:jc w:val="left"/>
            </w:pPr>
            <w:r>
              <w:rPr>
                <w:rFonts w:ascii="Tahoma" w:hAnsi="Tahoma"/>
                <w:sz w:val="22"/>
              </w:rPr>
              <w:t xml:space="preserve">No UK VAT</w:t>
            </w:r>
          </w:p>
        </w:tc>
        <w:tc>
          <w:tcPr>
            <w:tcW w:w="1768" w:type="dxa"/>
            <w:shd w:val="clear" w:color="auto" w:fill="FFFFFF"/>
          </w:tcPr>
          <w:p>
            <w:pPr>
              <w:pStyle w:val="Compact"/>
              <w:spacing w:after="40" w:before="40"/>
              <w:jc w:val="left"/>
            </w:pPr>
            <w:r>
              <w:rPr>
                <w:rFonts w:ascii="Tahoma" w:hAnsi="Tahoma"/>
                <w:sz w:val="22"/>
              </w:rPr>
              <w:t xml:space="preserve">Yes</w:t>
            </w:r>
          </w:p>
        </w:tc>
        <w:tc>
          <w:tcPr>
            <w:tcW w:w="3340" w:type="dxa"/>
            <w:shd w:val="clear" w:color="auto" w:fill="FFFFFF"/>
          </w:tcPr>
          <w:p>
            <w:pPr>
              <w:pStyle w:val="Compact"/>
              <w:spacing w:after="40" w:before="40"/>
              <w:jc w:val="left"/>
            </w:pPr>
            <w:r>
              <w:rPr>
                <w:rFonts w:ascii="Tahoma" w:hAnsi="Tahoma"/>
                <w:sz w:val="22"/>
              </w:rPr>
              <w:t xml:space="preserve">Services sold to overseas businesses</w:t>
            </w:r>
          </w:p>
        </w:tc>
      </w:tr>
      <w:tr>
        <w:trPr>
          <w:cantSplit w:val="true"/>
        </w:trPr>
        <w:tc>
          <w:tcPr>
            <w:tcW w:w="2263" w:type="dxa"/>
            <w:shd w:val="clear" w:color="auto" w:fill="FBEAF1"/>
          </w:tcPr>
          <w:p>
            <w:pPr>
              <w:pStyle w:val="Compact"/>
              <w:spacing w:after="40" w:before="40"/>
              <w:jc w:val="left"/>
            </w:pPr>
            <w:r>
              <w:rPr>
                <w:rFonts w:ascii="Tahoma" w:hAnsi="Tahoma"/>
                <w:sz w:val="22"/>
              </w:rPr>
              <w:t xml:space="preserve">Outside the scope, without recovery</w:t>
            </w:r>
          </w:p>
        </w:tc>
        <w:tc>
          <w:tcPr>
            <w:tcW w:w="1653" w:type="dxa"/>
            <w:shd w:val="clear" w:color="auto" w:fill="FBEAF1"/>
          </w:tcPr>
          <w:p>
            <w:pPr>
              <w:pStyle w:val="Compact"/>
              <w:spacing w:after="40" w:before="40"/>
              <w:jc w:val="left"/>
            </w:pPr>
            <w:r>
              <w:rPr>
                <w:rFonts w:ascii="Tahoma" w:hAnsi="Tahoma"/>
                <w:sz w:val="22"/>
              </w:rPr>
              <w:t xml:space="preserve">No</w:t>
            </w:r>
          </w:p>
        </w:tc>
        <w:tc>
          <w:tcPr>
            <w:tcW w:w="1768" w:type="dxa"/>
            <w:shd w:val="clear" w:color="auto" w:fill="FBEAF1"/>
          </w:tcPr>
          <w:p>
            <w:pPr>
              <w:pStyle w:val="Compact"/>
              <w:spacing w:after="40" w:before="40"/>
              <w:jc w:val="left"/>
            </w:pPr>
            <w:r>
              <w:rPr>
                <w:rFonts w:ascii="Tahoma" w:hAnsi="Tahoma"/>
                <w:sz w:val="22"/>
              </w:rPr>
              <w:t xml:space="preserve">No</w:t>
            </w:r>
          </w:p>
        </w:tc>
        <w:tc>
          <w:tcPr>
            <w:tcW w:w="3340" w:type="dxa"/>
            <w:shd w:val="clear" w:color="auto" w:fill="FBEAF1"/>
          </w:tcPr>
          <w:p>
            <w:pPr>
              <w:pStyle w:val="Compact"/>
              <w:spacing w:after="40" w:before="40"/>
              <w:jc w:val="left"/>
            </w:pPr>
            <w:r>
              <w:rPr>
                <w:rFonts w:ascii="Tahoma" w:hAnsi="Tahoma"/>
                <w:sz w:val="22"/>
              </w:rPr>
              <w:t xml:space="preserve">Non-business activities, wages, grants</w:t>
            </w:r>
          </w:p>
        </w:tc>
      </w:tr>
    </w:tbl>
    <w:bookmarkStart w:id="147" w:name="X81f95d3d800c25ba708bd6e9606c0ca31f314a8"/>
    <w:p>
      <w:pPr>
        <w:pStyle w:val="Heading4"/>
      </w:pPr>
      <w:r>
        <w:t xml:space="preserve">Common purchases and their usual liability</w:t>
      </w:r>
    </w:p>
    <w:p>
      <w:pPr>
        <w:pStyle w:val="FirstParagraph"/>
      </w:pPr>
      <w:r>
        <w:t xml:space="preserve">This table shows the usual liability of 20 purchases the Department is likely to make. It is based on HMRC’s VAT rates page and the HMRC notices cited earlier in this Part</w:t>
      </w:r>
      <w:r>
        <w:t xml:space="preserve"> </w:t>
      </w:r>
      <w:r>
        <w:t xml:space="preserve">(</w:t>
      </w:r>
      <w:hyperlink w:anchor="ref-hmrc_n70110">
        <w:r>
          <w:rPr>
            <w:rStyle w:val="Hyperlink"/>
          </w:rPr>
          <w:t xml:space="preserve">HMRC, 2020f</w:t>
        </w:r>
      </w:hyperlink>
      <w:r>
        <w:t xml:space="preserve">,</w:t>
      </w:r>
      <w:r>
        <w:t xml:space="preserve"> </w:t>
      </w:r>
      <w:hyperlink w:anchor="ref-hmrc_n742">
        <w:r>
          <w:rPr>
            <w:rStyle w:val="Hyperlink"/>
          </w:rPr>
          <w:t xml:space="preserve">2020a</w:t>
        </w:r>
      </w:hyperlink>
      <w:r>
        <w:t xml:space="preserve">,</w:t>
      </w:r>
      <w:r>
        <w:t xml:space="preserve"> </w:t>
      </w:r>
      <w:hyperlink w:anchor="ref-hmrc_n70123">
        <w:r>
          <w:rPr>
            <w:rStyle w:val="Hyperlink"/>
          </w:rPr>
          <w:t xml:space="preserve">2022f</w:t>
        </w:r>
      </w:hyperlink>
      <w:r>
        <w:t xml:space="preserve">,</w:t>
      </w:r>
      <w:r>
        <w:t xml:space="preserve"> </w:t>
      </w:r>
      <w:hyperlink w:anchor="ref-hmrc_n744a">
        <w:r>
          <w:rPr>
            <w:rStyle w:val="Hyperlink"/>
          </w:rPr>
          <w:t xml:space="preserve">2022g</w:t>
        </w:r>
      </w:hyperlink>
      <w:r>
        <w:t xml:space="preserve">,</w:t>
      </w:r>
      <w:r>
        <w:t xml:space="preserve"> </w:t>
      </w:r>
      <w:hyperlink w:anchor="ref-hmrc_n70130">
        <w:r>
          <w:rPr>
            <w:rStyle w:val="Hyperlink"/>
          </w:rPr>
          <w:t xml:space="preserve">2025d</w:t>
        </w:r>
      </w:hyperlink>
      <w:r>
        <w:t xml:space="preserve">,</w:t>
      </w:r>
      <w:r>
        <w:t xml:space="preserve"> </w:t>
      </w:r>
      <w:hyperlink w:anchor="ref-hmrc_vat_rates">
        <w:r>
          <w:rPr>
            <w:rStyle w:val="Hyperlink"/>
          </w:rPr>
          <w:t xml:space="preserve">2026r</w:t>
        </w:r>
      </w:hyperlink>
      <w:r>
        <w:t xml:space="preserve">,</w:t>
      </w:r>
      <w:r>
        <w:t xml:space="preserve"> </w:t>
      </w:r>
      <w:hyperlink w:anchor="ref-hmrc_n70114">
        <w:r>
          <w:rPr>
            <w:rStyle w:val="Hyperlink"/>
          </w:rPr>
          <w:t xml:space="preserve">2026d</w:t>
        </w:r>
      </w:hyperlink>
      <w:r>
        <w:t xml:space="preserve">,</w:t>
      </w:r>
      <w:r>
        <w:t xml:space="preserve"> </w:t>
      </w:r>
      <w:hyperlink w:anchor="ref-hmrc_n70119">
        <w:r>
          <w:rPr>
            <w:rStyle w:val="Hyperlink"/>
          </w:rPr>
          <w:t xml:space="preserve">2026e</w:t>
        </w:r>
      </w:hyperlink>
      <w:r>
        <w:t xml:space="preserve">,</w:t>
      </w:r>
      <w:r>
        <w:t xml:space="preserve"> </w:t>
      </w:r>
      <w:hyperlink w:anchor="ref-hmrc_ipt1">
        <w:r>
          <w:rPr>
            <w:rStyle w:val="Hyperlink"/>
          </w:rPr>
          <w:t xml:space="preserve">2026j</w:t>
        </w:r>
      </w:hyperlink>
      <w:r>
        <w:t xml:space="preserve">)</w:t>
      </w:r>
      <w:r>
        <w:t xml:space="preserve">. Always check the supplier’s invoice and the specific HMRC notice.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155"/>
        <w:gridCol w:w="2053"/>
        <w:gridCol w:w="3816"/>
      </w:tblGrid>
      <w:tr>
        <w:trPr>
          <w:tblHeader w:val="true"/>
          <w:cantSplit w:val="true"/>
        </w:trPr>
        <w:tc>
          <w:tcPr>
            <w:tcW w:w="3155" w:type="dxa"/>
            <w:shd w:val="clear" w:color="auto" w:fill="1B3A5C"/>
          </w:tcPr>
          <w:p>
            <w:pPr>
              <w:pStyle w:val="Compact"/>
              <w:spacing w:after="40" w:before="40"/>
              <w:jc w:val="left"/>
            </w:pPr>
            <w:r>
              <w:rPr>
                <w:rFonts w:ascii="Tahoma" w:hAnsi="Tahoma"/>
                <w:b/>
                <w:color w:val="FFFFFF"/>
                <w:sz w:val="22"/>
              </w:rPr>
              <w:t xml:space="preserve">Purchase</w:t>
            </w:r>
          </w:p>
        </w:tc>
        <w:tc>
          <w:tcPr>
            <w:tcW w:w="2053" w:type="dxa"/>
            <w:shd w:val="clear" w:color="auto" w:fill="1B3A5C"/>
          </w:tcPr>
          <w:p>
            <w:pPr>
              <w:pStyle w:val="Compact"/>
              <w:spacing w:after="40" w:before="40"/>
              <w:jc w:val="left"/>
            </w:pPr>
            <w:r>
              <w:rPr>
                <w:rFonts w:ascii="Tahoma" w:hAnsi="Tahoma"/>
                <w:b/>
                <w:color w:val="FFFFFF"/>
                <w:sz w:val="22"/>
              </w:rPr>
              <w:t xml:space="preserve">Usual liability</w:t>
            </w:r>
          </w:p>
        </w:tc>
        <w:tc>
          <w:tcPr>
            <w:tcW w:w="3816" w:type="dxa"/>
            <w:shd w:val="clear" w:color="auto" w:fill="1B3A5C"/>
          </w:tcPr>
          <w:p>
            <w:pPr>
              <w:pStyle w:val="Compact"/>
              <w:spacing w:after="40" w:before="40"/>
              <w:jc w:val="left"/>
            </w:pPr>
            <w:r>
              <w:rPr>
                <w:rFonts w:ascii="Tahoma" w:hAnsi="Tahoma"/>
                <w:b/>
                <w:color w:val="FFFFFF"/>
                <w:sz w:val="22"/>
              </w:rPr>
              <w:t xml:space="preserve">Point to check</w:t>
            </w:r>
          </w:p>
        </w:tc>
      </w:tr>
      <w:tr>
        <w:trPr>
          <w:cantSplit w:val="true"/>
        </w:trPr>
        <w:tc>
          <w:tcPr>
            <w:tcW w:w="3155" w:type="dxa"/>
            <w:shd w:val="clear" w:color="auto" w:fill="EAF3FA"/>
          </w:tcPr>
          <w:p>
            <w:pPr>
              <w:pStyle w:val="Compact"/>
              <w:spacing w:after="40" w:before="40"/>
              <w:jc w:val="left"/>
            </w:pPr>
            <w:r>
              <w:rPr>
                <w:rFonts w:ascii="Tahoma" w:hAnsi="Tahoma"/>
                <w:sz w:val="22"/>
              </w:rPr>
              <w:t xml:space="preserve">Laptops, printers and IT equipment</w:t>
            </w:r>
          </w:p>
        </w:tc>
        <w:tc>
          <w:tcPr>
            <w:tcW w:w="2053" w:type="dxa"/>
            <w:shd w:val="clear" w:color="auto" w:fill="EAF3FA"/>
          </w:tcPr>
          <w:p>
            <w:pPr>
              <w:pStyle w:val="Compact"/>
              <w:spacing w:after="40" w:before="40"/>
              <w:jc w:val="left"/>
            </w:pPr>
            <w:r>
              <w:rPr>
                <w:rFonts w:ascii="Tahoma" w:hAnsi="Tahoma"/>
                <w:sz w:val="22"/>
              </w:rPr>
              <w:t xml:space="preserve">Standard (20%)</w:t>
            </w:r>
          </w:p>
        </w:tc>
        <w:tc>
          <w:tcPr>
            <w:tcW w:w="3816" w:type="dxa"/>
            <w:shd w:val="clear" w:color="auto" w:fill="EAF3FA"/>
          </w:tcPr>
          <w:p>
            <w:pPr>
              <w:pStyle w:val="Compact"/>
              <w:spacing w:after="40" w:before="40"/>
              <w:jc w:val="left"/>
            </w:pPr>
            <w:r>
              <w:rPr>
                <w:rFonts w:ascii="Tahoma" w:hAnsi="Tahoma"/>
                <w:sz w:val="22"/>
              </w:rPr>
              <w:t xml:space="preserve">Goods: no COS refund for non-business use</w:t>
            </w:r>
          </w:p>
        </w:tc>
      </w:tr>
      <w:tr>
        <w:trPr>
          <w:cantSplit w:val="true"/>
        </w:trPr>
        <w:tc>
          <w:tcPr>
            <w:tcW w:w="3155" w:type="dxa"/>
            <w:shd w:val="clear" w:color="auto" w:fill="FFFFFF"/>
          </w:tcPr>
          <w:p>
            <w:pPr>
              <w:pStyle w:val="Compact"/>
              <w:spacing w:after="40" w:before="40"/>
              <w:jc w:val="left"/>
            </w:pPr>
            <w:r>
              <w:rPr>
                <w:rFonts w:ascii="Tahoma" w:hAnsi="Tahoma"/>
                <w:sz w:val="22"/>
              </w:rPr>
              <w:t xml:space="preserve">Office furniture</w:t>
            </w:r>
          </w:p>
        </w:tc>
        <w:tc>
          <w:tcPr>
            <w:tcW w:w="2053" w:type="dxa"/>
            <w:shd w:val="clear" w:color="auto" w:fill="FFFFFF"/>
          </w:tcPr>
          <w:p>
            <w:pPr>
              <w:pStyle w:val="Compact"/>
              <w:spacing w:after="40" w:before="40"/>
              <w:jc w:val="left"/>
            </w:pPr>
            <w:r>
              <w:rPr>
                <w:rFonts w:ascii="Tahoma" w:hAnsi="Tahoma"/>
                <w:sz w:val="22"/>
              </w:rPr>
              <w:t xml:space="preserve">Standard (20%)</w:t>
            </w:r>
          </w:p>
        </w:tc>
        <w:tc>
          <w:tcPr>
            <w:tcW w:w="3816" w:type="dxa"/>
            <w:shd w:val="clear" w:color="auto" w:fill="FFFFFF"/>
          </w:tcPr>
          <w:p>
            <w:pPr>
              <w:pStyle w:val="Compact"/>
              <w:spacing w:after="40" w:before="40"/>
              <w:jc w:val="left"/>
            </w:pPr>
            <w:r>
              <w:rPr>
                <w:rFonts w:ascii="Tahoma" w:hAnsi="Tahoma"/>
                <w:sz w:val="22"/>
              </w:rPr>
              <w:t xml:space="preserve">Goods: no COS refund for non-business use</w:t>
            </w:r>
          </w:p>
        </w:tc>
      </w:tr>
      <w:tr>
        <w:trPr>
          <w:cantSplit w:val="true"/>
        </w:trPr>
        <w:tc>
          <w:tcPr>
            <w:tcW w:w="3155" w:type="dxa"/>
            <w:shd w:val="clear" w:color="auto" w:fill="FBEAF1"/>
          </w:tcPr>
          <w:p>
            <w:pPr>
              <w:pStyle w:val="Compact"/>
              <w:spacing w:after="40" w:before="40"/>
              <w:jc w:val="left"/>
            </w:pPr>
            <w:r>
              <w:rPr>
                <w:rFonts w:ascii="Tahoma" w:hAnsi="Tahoma"/>
                <w:sz w:val="22"/>
              </w:rPr>
              <w:t xml:space="preserve">Exercise books, letterheads and posters</w:t>
            </w:r>
          </w:p>
        </w:tc>
        <w:tc>
          <w:tcPr>
            <w:tcW w:w="2053" w:type="dxa"/>
            <w:shd w:val="clear" w:color="auto" w:fill="FBEAF1"/>
          </w:tcPr>
          <w:p>
            <w:pPr>
              <w:pStyle w:val="Compact"/>
              <w:spacing w:after="40" w:before="40"/>
              <w:jc w:val="left"/>
            </w:pPr>
            <w:r>
              <w:rPr>
                <w:rFonts w:ascii="Tahoma" w:hAnsi="Tahoma"/>
                <w:sz w:val="22"/>
              </w:rPr>
              <w:t xml:space="preserve">Standard (20%)</w:t>
            </w:r>
          </w:p>
        </w:tc>
        <w:tc>
          <w:tcPr>
            <w:tcW w:w="3816" w:type="dxa"/>
            <w:shd w:val="clear" w:color="auto" w:fill="FBEAF1"/>
          </w:tcPr>
          <w:p>
            <w:pPr>
              <w:pStyle w:val="Compact"/>
              <w:spacing w:after="40" w:before="40"/>
              <w:jc w:val="left"/>
            </w:pPr>
            <w:r>
              <w:rPr>
                <w:rFonts w:ascii="Tahoma" w:hAnsi="Tahoma"/>
                <w:sz w:val="22"/>
              </w:rPr>
              <w:t xml:space="preserve">Stationery is not zero-rated printed matter</w:t>
            </w:r>
          </w:p>
        </w:tc>
      </w:tr>
      <w:tr>
        <w:trPr>
          <w:cantSplit w:val="true"/>
        </w:trPr>
        <w:tc>
          <w:tcPr>
            <w:tcW w:w="3155" w:type="dxa"/>
            <w:shd w:val="clear" w:color="auto" w:fill="EAF3FA"/>
          </w:tcPr>
          <w:p>
            <w:pPr>
              <w:pStyle w:val="Compact"/>
              <w:spacing w:after="40" w:before="40"/>
              <w:jc w:val="left"/>
            </w:pPr>
            <w:r>
              <w:rPr>
                <w:rFonts w:ascii="Tahoma" w:hAnsi="Tahoma"/>
                <w:sz w:val="22"/>
              </w:rPr>
              <w:t xml:space="preserve">Books, newspapers, journals and maps</w:t>
            </w:r>
          </w:p>
        </w:tc>
        <w:tc>
          <w:tcPr>
            <w:tcW w:w="2053" w:type="dxa"/>
            <w:shd w:val="clear" w:color="auto" w:fill="EAF3FA"/>
          </w:tcPr>
          <w:p>
            <w:pPr>
              <w:pStyle w:val="Compact"/>
              <w:spacing w:after="40" w:before="40"/>
              <w:jc w:val="left"/>
            </w:pPr>
            <w:r>
              <w:rPr>
                <w:rFonts w:ascii="Tahoma" w:hAnsi="Tahoma"/>
                <w:sz w:val="22"/>
              </w:rPr>
              <w:t xml:space="preserve">Zero (0%)</w:t>
            </w:r>
          </w:p>
        </w:tc>
        <w:tc>
          <w:tcPr>
            <w:tcW w:w="3816" w:type="dxa"/>
            <w:shd w:val="clear" w:color="auto" w:fill="EAF3FA"/>
          </w:tcPr>
          <w:p>
            <w:pPr>
              <w:pStyle w:val="Compact"/>
              <w:spacing w:after="40" w:before="40"/>
              <w:jc w:val="left"/>
            </w:pPr>
            <w:r>
              <w:rPr>
                <w:rFonts w:ascii="Tahoma" w:hAnsi="Tahoma"/>
                <w:sz w:val="22"/>
              </w:rPr>
              <w:t xml:space="preserve">Includes most e-publications</w:t>
            </w:r>
          </w:p>
        </w:tc>
      </w:tr>
      <w:tr>
        <w:trPr>
          <w:cantSplit w:val="true"/>
        </w:trPr>
        <w:tc>
          <w:tcPr>
            <w:tcW w:w="3155" w:type="dxa"/>
            <w:shd w:val="clear" w:color="auto" w:fill="FFFFFF"/>
          </w:tcPr>
          <w:p>
            <w:pPr>
              <w:pStyle w:val="Compact"/>
              <w:spacing w:after="40" w:before="40"/>
              <w:jc w:val="left"/>
            </w:pPr>
            <w:r>
              <w:rPr>
                <w:rFonts w:ascii="Tahoma" w:hAnsi="Tahoma"/>
                <w:sz w:val="22"/>
              </w:rPr>
              <w:t xml:space="preserve">Printed leaflets and brochures</w:t>
            </w:r>
          </w:p>
        </w:tc>
        <w:tc>
          <w:tcPr>
            <w:tcW w:w="2053" w:type="dxa"/>
            <w:shd w:val="clear" w:color="auto" w:fill="FFFFFF"/>
          </w:tcPr>
          <w:p>
            <w:pPr>
              <w:pStyle w:val="Compact"/>
              <w:spacing w:after="40" w:before="40"/>
              <w:jc w:val="left"/>
            </w:pPr>
            <w:r>
              <w:rPr>
                <w:rFonts w:ascii="Tahoma" w:hAnsi="Tahoma"/>
                <w:sz w:val="22"/>
              </w:rPr>
              <w:t xml:space="preserve">Zero (0%)</w:t>
            </w:r>
          </w:p>
        </w:tc>
        <w:tc>
          <w:tcPr>
            <w:tcW w:w="3816" w:type="dxa"/>
            <w:shd w:val="clear" w:color="auto" w:fill="FFFFFF"/>
          </w:tcPr>
          <w:p>
            <w:pPr>
              <w:pStyle w:val="Compact"/>
              <w:spacing w:after="40" w:before="40"/>
              <w:jc w:val="left"/>
            </w:pPr>
            <w:r>
              <w:rPr>
                <w:rFonts w:ascii="Tahoma" w:hAnsi="Tahoma"/>
                <w:sz w:val="22"/>
              </w:rPr>
              <w:t xml:space="preserve">Posters are standard-rated</w:t>
            </w:r>
          </w:p>
        </w:tc>
      </w:tr>
      <w:tr>
        <w:trPr>
          <w:cantSplit w:val="true"/>
        </w:trPr>
        <w:tc>
          <w:tcPr>
            <w:tcW w:w="3155" w:type="dxa"/>
            <w:shd w:val="clear" w:color="auto" w:fill="FBEAF1"/>
          </w:tcPr>
          <w:p>
            <w:pPr>
              <w:pStyle w:val="Compact"/>
              <w:spacing w:after="40" w:before="40"/>
              <w:jc w:val="left"/>
            </w:pPr>
            <w:r>
              <w:rPr>
                <w:rFonts w:ascii="Tahoma" w:hAnsi="Tahoma"/>
                <w:sz w:val="22"/>
              </w:rPr>
              <w:t xml:space="preserve">Online news or journal subscription</w:t>
            </w:r>
          </w:p>
        </w:tc>
        <w:tc>
          <w:tcPr>
            <w:tcW w:w="2053" w:type="dxa"/>
            <w:shd w:val="clear" w:color="auto" w:fill="FBEAF1"/>
          </w:tcPr>
          <w:p>
            <w:pPr>
              <w:pStyle w:val="Compact"/>
              <w:spacing w:after="40" w:before="40"/>
              <w:jc w:val="left"/>
            </w:pPr>
            <w:r>
              <w:rPr>
                <w:rFonts w:ascii="Tahoma" w:hAnsi="Tahoma"/>
                <w:sz w:val="22"/>
              </w:rPr>
              <w:t xml:space="preserve">Zero (0%)</w:t>
            </w:r>
          </w:p>
        </w:tc>
        <w:tc>
          <w:tcPr>
            <w:tcW w:w="3816" w:type="dxa"/>
            <w:shd w:val="clear" w:color="auto" w:fill="FBEAF1"/>
          </w:tcPr>
          <w:p>
            <w:pPr>
              <w:pStyle w:val="Compact"/>
              <w:spacing w:after="40" w:before="40"/>
              <w:jc w:val="left"/>
            </w:pPr>
            <w:r>
              <w:rPr>
                <w:rFonts w:ascii="Tahoma" w:hAnsi="Tahoma"/>
                <w:sz w:val="22"/>
              </w:rPr>
              <w:t xml:space="preserve">Standard if mainly audio, video or adverts</w:t>
            </w:r>
          </w:p>
        </w:tc>
      </w:tr>
      <w:tr>
        <w:trPr>
          <w:cantSplit w:val="true"/>
        </w:trPr>
        <w:tc>
          <w:tcPr>
            <w:tcW w:w="3155" w:type="dxa"/>
            <w:shd w:val="clear" w:color="auto" w:fill="EAF3FA"/>
          </w:tcPr>
          <w:p>
            <w:pPr>
              <w:pStyle w:val="Compact"/>
              <w:spacing w:after="40" w:before="40"/>
              <w:jc w:val="left"/>
            </w:pPr>
            <w:r>
              <w:rPr>
                <w:rFonts w:ascii="Tahoma" w:hAnsi="Tahoma"/>
                <w:sz w:val="22"/>
              </w:rPr>
              <w:t xml:space="preserve">Software and apps</w:t>
            </w:r>
          </w:p>
        </w:tc>
        <w:tc>
          <w:tcPr>
            <w:tcW w:w="2053" w:type="dxa"/>
            <w:shd w:val="clear" w:color="auto" w:fill="EAF3FA"/>
          </w:tcPr>
          <w:p>
            <w:pPr>
              <w:pStyle w:val="Compact"/>
              <w:spacing w:after="40" w:before="40"/>
              <w:jc w:val="left"/>
            </w:pPr>
            <w:r>
              <w:rPr>
                <w:rFonts w:ascii="Tahoma" w:hAnsi="Tahoma"/>
                <w:sz w:val="22"/>
              </w:rPr>
              <w:t xml:space="preserve">Standard (20%)</w:t>
            </w:r>
          </w:p>
        </w:tc>
        <w:tc>
          <w:tcPr>
            <w:tcW w:w="3816" w:type="dxa"/>
            <w:shd w:val="clear" w:color="auto" w:fill="EAF3FA"/>
          </w:tcPr>
          <w:p>
            <w:pPr>
              <w:pStyle w:val="Compact"/>
              <w:spacing w:after="40" w:before="40"/>
              <w:jc w:val="left"/>
            </w:pPr>
            <w:r>
              <w:rPr>
                <w:rFonts w:ascii="Tahoma" w:hAnsi="Tahoma"/>
                <w:sz w:val="22"/>
              </w:rPr>
              <w:t xml:space="preserve">Even if used to read e-books</w:t>
            </w:r>
          </w:p>
        </w:tc>
      </w:tr>
      <w:tr>
        <w:trPr>
          <w:cantSplit w:val="true"/>
        </w:trPr>
        <w:tc>
          <w:tcPr>
            <w:tcW w:w="3155" w:type="dxa"/>
            <w:shd w:val="clear" w:color="auto" w:fill="FFFFFF"/>
          </w:tcPr>
          <w:p>
            <w:pPr>
              <w:pStyle w:val="Compact"/>
              <w:spacing w:after="40" w:before="40"/>
              <w:jc w:val="left"/>
            </w:pPr>
            <w:r>
              <w:rPr>
                <w:rFonts w:ascii="Tahoma" w:hAnsi="Tahoma"/>
                <w:sz w:val="22"/>
              </w:rPr>
              <w:t xml:space="preserve">Tea, coffee and milk for the office</w:t>
            </w:r>
          </w:p>
        </w:tc>
        <w:tc>
          <w:tcPr>
            <w:tcW w:w="2053" w:type="dxa"/>
            <w:shd w:val="clear" w:color="auto" w:fill="FFFFFF"/>
          </w:tcPr>
          <w:p>
            <w:pPr>
              <w:pStyle w:val="Compact"/>
              <w:spacing w:after="40" w:before="40"/>
              <w:jc w:val="left"/>
            </w:pPr>
            <w:r>
              <w:rPr>
                <w:rFonts w:ascii="Tahoma" w:hAnsi="Tahoma"/>
                <w:sz w:val="22"/>
              </w:rPr>
              <w:t xml:space="preserve">Zero (0%)</w:t>
            </w:r>
          </w:p>
        </w:tc>
        <w:tc>
          <w:tcPr>
            <w:tcW w:w="3816" w:type="dxa"/>
            <w:shd w:val="clear" w:color="auto" w:fill="FFFFFF"/>
          </w:tcPr>
          <w:p>
            <w:pPr>
              <w:pStyle w:val="Compact"/>
              <w:spacing w:after="40" w:before="40"/>
              <w:jc w:val="left"/>
            </w:pPr>
            <w:r>
              <w:rPr>
                <w:rFonts w:ascii="Tahoma" w:hAnsi="Tahoma"/>
                <w:sz w:val="22"/>
              </w:rPr>
              <w:t xml:space="preserve">Chocolate biscuits and soft drinks are 20%</w:t>
            </w:r>
          </w:p>
        </w:tc>
      </w:tr>
      <w:tr>
        <w:trPr>
          <w:cantSplit w:val="true"/>
        </w:trPr>
        <w:tc>
          <w:tcPr>
            <w:tcW w:w="3155" w:type="dxa"/>
            <w:shd w:val="clear" w:color="auto" w:fill="FBEAF1"/>
          </w:tcPr>
          <w:p>
            <w:pPr>
              <w:pStyle w:val="Compact"/>
              <w:spacing w:after="40" w:before="40"/>
              <w:jc w:val="left"/>
            </w:pPr>
            <w:r>
              <w:rPr>
                <w:rFonts w:ascii="Tahoma" w:hAnsi="Tahoma"/>
                <w:sz w:val="22"/>
              </w:rPr>
              <w:t xml:space="preserve">Catering for an event</w:t>
            </w:r>
          </w:p>
        </w:tc>
        <w:tc>
          <w:tcPr>
            <w:tcW w:w="2053" w:type="dxa"/>
            <w:shd w:val="clear" w:color="auto" w:fill="FBEAF1"/>
          </w:tcPr>
          <w:p>
            <w:pPr>
              <w:pStyle w:val="Compact"/>
              <w:spacing w:after="40" w:before="40"/>
              <w:jc w:val="left"/>
            </w:pPr>
            <w:r>
              <w:rPr>
                <w:rFonts w:ascii="Tahoma" w:hAnsi="Tahoma"/>
                <w:sz w:val="22"/>
              </w:rPr>
              <w:t xml:space="preserve">Standard (20%)</w:t>
            </w:r>
          </w:p>
        </w:tc>
        <w:tc>
          <w:tcPr>
            <w:tcW w:w="3816" w:type="dxa"/>
            <w:shd w:val="clear" w:color="auto" w:fill="FBEAF1"/>
          </w:tcPr>
          <w:p>
            <w:pPr>
              <w:pStyle w:val="Compact"/>
              <w:spacing w:after="40" w:before="40"/>
              <w:jc w:val="left"/>
            </w:pPr>
            <w:r>
              <w:rPr>
                <w:rFonts w:ascii="Tahoma" w:hAnsi="Tahoma"/>
                <w:sz w:val="22"/>
              </w:rPr>
              <w:t xml:space="preserve">Food supplied as catering is standard-rated</w:t>
            </w:r>
          </w:p>
        </w:tc>
      </w:tr>
      <w:tr>
        <w:trPr>
          <w:cantSplit w:val="true"/>
        </w:trPr>
        <w:tc>
          <w:tcPr>
            <w:tcW w:w="3155" w:type="dxa"/>
            <w:shd w:val="clear" w:color="auto" w:fill="EAF3FA"/>
          </w:tcPr>
          <w:p>
            <w:pPr>
              <w:pStyle w:val="Compact"/>
              <w:spacing w:after="40" w:before="40"/>
              <w:jc w:val="left"/>
            </w:pPr>
            <w:r>
              <w:rPr>
                <w:rFonts w:ascii="Tahoma" w:hAnsi="Tahoma"/>
                <w:sz w:val="22"/>
              </w:rPr>
              <w:t xml:space="preserve">UK hotel room</w:t>
            </w:r>
          </w:p>
        </w:tc>
        <w:tc>
          <w:tcPr>
            <w:tcW w:w="2053" w:type="dxa"/>
            <w:shd w:val="clear" w:color="auto" w:fill="EAF3FA"/>
          </w:tcPr>
          <w:p>
            <w:pPr>
              <w:pStyle w:val="Compact"/>
              <w:spacing w:after="40" w:before="40"/>
              <w:jc w:val="left"/>
            </w:pPr>
            <w:r>
              <w:rPr>
                <w:rFonts w:ascii="Tahoma" w:hAnsi="Tahoma"/>
                <w:sz w:val="22"/>
              </w:rPr>
              <w:t xml:space="preserve">Standard (20%)</w:t>
            </w:r>
          </w:p>
        </w:tc>
        <w:tc>
          <w:tcPr>
            <w:tcW w:w="3816" w:type="dxa"/>
            <w:shd w:val="clear" w:color="auto" w:fill="EAF3FA"/>
          </w:tcPr>
          <w:p>
            <w:pPr>
              <w:pStyle w:val="Compact"/>
              <w:spacing w:after="40" w:before="40"/>
              <w:jc w:val="left"/>
            </w:pPr>
            <w:r>
              <w:rPr>
                <w:rFonts w:ascii="Tahoma" w:hAnsi="Tahoma"/>
                <w:sz w:val="22"/>
              </w:rPr>
              <w:t xml:space="preserve">Overseas hotels may charge foreign VAT (Part 4)</w:t>
            </w:r>
          </w:p>
        </w:tc>
      </w:tr>
      <w:tr>
        <w:trPr>
          <w:cantSplit w:val="true"/>
        </w:trPr>
        <w:tc>
          <w:tcPr>
            <w:tcW w:w="3155" w:type="dxa"/>
            <w:shd w:val="clear" w:color="auto" w:fill="FFFFFF"/>
          </w:tcPr>
          <w:p>
            <w:pPr>
              <w:pStyle w:val="Compact"/>
              <w:spacing w:after="40" w:before="40"/>
              <w:jc w:val="left"/>
            </w:pPr>
            <w:r>
              <w:rPr>
                <w:rFonts w:ascii="Tahoma" w:hAnsi="Tahoma"/>
                <w:sz w:val="22"/>
              </w:rPr>
              <w:t xml:space="preserve">Rail, bus and scheduled air fares</w:t>
            </w:r>
          </w:p>
        </w:tc>
        <w:tc>
          <w:tcPr>
            <w:tcW w:w="2053" w:type="dxa"/>
            <w:shd w:val="clear" w:color="auto" w:fill="FFFFFF"/>
          </w:tcPr>
          <w:p>
            <w:pPr>
              <w:pStyle w:val="Compact"/>
              <w:spacing w:after="40" w:before="40"/>
              <w:jc w:val="left"/>
            </w:pPr>
            <w:r>
              <w:rPr>
                <w:rFonts w:ascii="Tahoma" w:hAnsi="Tahoma"/>
                <w:sz w:val="22"/>
              </w:rPr>
              <w:t xml:space="preserve">Zero (0%)</w:t>
            </w:r>
          </w:p>
        </w:tc>
        <w:tc>
          <w:tcPr>
            <w:tcW w:w="3816" w:type="dxa"/>
            <w:shd w:val="clear" w:color="auto" w:fill="FFFFFF"/>
          </w:tcPr>
          <w:p>
            <w:pPr>
              <w:pStyle w:val="Compact"/>
              <w:spacing w:after="40" w:before="40"/>
              <w:jc w:val="left"/>
            </w:pPr>
            <w:r>
              <w:rPr>
                <w:rFonts w:ascii="Tahoma" w:hAnsi="Tahoma"/>
                <w:sz w:val="22"/>
              </w:rPr>
              <w:t xml:space="preserve">Taxis under 10 seats are 20%</w:t>
            </w:r>
          </w:p>
        </w:tc>
      </w:tr>
      <w:tr>
        <w:trPr>
          <w:cantSplit w:val="true"/>
        </w:trPr>
        <w:tc>
          <w:tcPr>
            <w:tcW w:w="3155" w:type="dxa"/>
            <w:shd w:val="clear" w:color="auto" w:fill="FBEAF1"/>
          </w:tcPr>
          <w:p>
            <w:pPr>
              <w:pStyle w:val="Compact"/>
              <w:spacing w:after="40" w:before="40"/>
              <w:jc w:val="left"/>
            </w:pPr>
            <w:r>
              <w:rPr>
                <w:rFonts w:ascii="Tahoma" w:hAnsi="Tahoma"/>
                <w:sz w:val="22"/>
              </w:rPr>
              <w:t xml:space="preserve">Car park charges</w:t>
            </w:r>
          </w:p>
        </w:tc>
        <w:tc>
          <w:tcPr>
            <w:tcW w:w="2053" w:type="dxa"/>
            <w:shd w:val="clear" w:color="auto" w:fill="FBEAF1"/>
          </w:tcPr>
          <w:p>
            <w:pPr>
              <w:pStyle w:val="Compact"/>
              <w:spacing w:after="40" w:before="40"/>
              <w:jc w:val="left"/>
            </w:pPr>
            <w:r>
              <w:rPr>
                <w:rFonts w:ascii="Tahoma" w:hAnsi="Tahoma"/>
                <w:sz w:val="22"/>
              </w:rPr>
              <w:t xml:space="preserve">Standard (20%)</w:t>
            </w:r>
          </w:p>
        </w:tc>
        <w:tc>
          <w:tcPr>
            <w:tcW w:w="3816" w:type="dxa"/>
            <w:shd w:val="clear" w:color="auto" w:fill="FBEAF1"/>
          </w:tcPr>
          <w:p>
            <w:pPr>
              <w:pStyle w:val="Compact"/>
              <w:spacing w:after="40" w:before="40"/>
              <w:jc w:val="left"/>
            </w:pPr>
            <w:r>
              <w:rPr>
                <w:rFonts w:ascii="Tahoma" w:hAnsi="Tahoma"/>
                <w:sz w:val="22"/>
              </w:rPr>
              <w:t xml:space="preserve">Parking let with an office follows the rent</w:t>
            </w:r>
          </w:p>
        </w:tc>
      </w:tr>
      <w:tr>
        <w:trPr>
          <w:cantSplit w:val="true"/>
        </w:trPr>
        <w:tc>
          <w:tcPr>
            <w:tcW w:w="3155" w:type="dxa"/>
            <w:shd w:val="clear" w:color="auto" w:fill="EAF3FA"/>
          </w:tcPr>
          <w:p>
            <w:pPr>
              <w:pStyle w:val="Compact"/>
              <w:spacing w:after="40" w:before="40"/>
              <w:jc w:val="left"/>
            </w:pPr>
            <w:r>
              <w:rPr>
                <w:rFonts w:ascii="Tahoma" w:hAnsi="Tahoma"/>
                <w:sz w:val="22"/>
              </w:rPr>
              <w:t xml:space="preserve">Office electricity and gas</w:t>
            </w:r>
          </w:p>
        </w:tc>
        <w:tc>
          <w:tcPr>
            <w:tcW w:w="2053" w:type="dxa"/>
            <w:shd w:val="clear" w:color="auto" w:fill="EAF3FA"/>
          </w:tcPr>
          <w:p>
            <w:pPr>
              <w:pStyle w:val="Compact"/>
              <w:spacing w:after="40" w:before="40"/>
              <w:jc w:val="left"/>
            </w:pPr>
            <w:r>
              <w:rPr>
                <w:rFonts w:ascii="Tahoma" w:hAnsi="Tahoma"/>
                <w:sz w:val="22"/>
              </w:rPr>
              <w:t xml:space="preserve">Standard (20%)</w:t>
            </w:r>
          </w:p>
        </w:tc>
        <w:tc>
          <w:tcPr>
            <w:tcW w:w="3816" w:type="dxa"/>
            <w:shd w:val="clear" w:color="auto" w:fill="EAF3FA"/>
          </w:tcPr>
          <w:p>
            <w:pPr>
              <w:pStyle w:val="Compact"/>
              <w:spacing w:after="40" w:before="40"/>
              <w:jc w:val="left"/>
            </w:pPr>
            <w:r>
              <w:rPr>
                <w:rFonts w:ascii="Tahoma" w:hAnsi="Tahoma"/>
                <w:sz w:val="22"/>
              </w:rPr>
              <w:t xml:space="preserve">5% only for small (de minimis) quantities</w:t>
            </w:r>
          </w:p>
        </w:tc>
      </w:tr>
      <w:tr>
        <w:trPr>
          <w:cantSplit w:val="true"/>
        </w:trPr>
        <w:tc>
          <w:tcPr>
            <w:tcW w:w="3155" w:type="dxa"/>
            <w:shd w:val="clear" w:color="auto" w:fill="FFFFFF"/>
          </w:tcPr>
          <w:p>
            <w:pPr>
              <w:pStyle w:val="Compact"/>
              <w:spacing w:after="40" w:before="40"/>
              <w:jc w:val="left"/>
            </w:pPr>
            <w:r>
              <w:rPr>
                <w:rFonts w:ascii="Tahoma" w:hAnsi="Tahoma"/>
                <w:sz w:val="22"/>
              </w:rPr>
              <w:t xml:space="preserve">Safety boots and helmets for staff</w:t>
            </w:r>
          </w:p>
        </w:tc>
        <w:tc>
          <w:tcPr>
            <w:tcW w:w="2053" w:type="dxa"/>
            <w:shd w:val="clear" w:color="auto" w:fill="FFFFFF"/>
          </w:tcPr>
          <w:p>
            <w:pPr>
              <w:pStyle w:val="Compact"/>
              <w:spacing w:after="40" w:before="40"/>
              <w:jc w:val="left"/>
            </w:pPr>
            <w:r>
              <w:rPr>
                <w:rFonts w:ascii="Tahoma" w:hAnsi="Tahoma"/>
                <w:sz w:val="22"/>
              </w:rPr>
              <w:t xml:space="preserve">Standard (20%)</w:t>
            </w:r>
          </w:p>
        </w:tc>
        <w:tc>
          <w:tcPr>
            <w:tcW w:w="3816" w:type="dxa"/>
            <w:shd w:val="clear" w:color="auto" w:fill="FFFFFF"/>
          </w:tcPr>
          <w:p>
            <w:pPr>
              <w:pStyle w:val="Compact"/>
              <w:spacing w:after="40" w:before="40"/>
              <w:jc w:val="left"/>
            </w:pPr>
            <w:r>
              <w:rPr>
                <w:rFonts w:ascii="Tahoma" w:hAnsi="Tahoma"/>
                <w:sz w:val="22"/>
              </w:rPr>
              <w:t xml:space="preserve">No zero rate when an employer buys for staff</w:t>
            </w:r>
          </w:p>
        </w:tc>
      </w:tr>
      <w:tr>
        <w:trPr>
          <w:cantSplit w:val="true"/>
        </w:trPr>
        <w:tc>
          <w:tcPr>
            <w:tcW w:w="3155" w:type="dxa"/>
            <w:shd w:val="clear" w:color="auto" w:fill="FBEAF1"/>
          </w:tcPr>
          <w:p>
            <w:pPr>
              <w:pStyle w:val="Compact"/>
              <w:spacing w:after="40" w:before="40"/>
              <w:jc w:val="left"/>
            </w:pPr>
            <w:r>
              <w:rPr>
                <w:rFonts w:ascii="Tahoma" w:hAnsi="Tahoma"/>
                <w:sz w:val="22"/>
              </w:rPr>
              <w:t xml:space="preserve">Training from a university or college</w:t>
            </w:r>
          </w:p>
        </w:tc>
        <w:tc>
          <w:tcPr>
            <w:tcW w:w="2053" w:type="dxa"/>
            <w:shd w:val="clear" w:color="auto" w:fill="FBEAF1"/>
          </w:tcPr>
          <w:p>
            <w:pPr>
              <w:pStyle w:val="Compact"/>
              <w:spacing w:after="40" w:before="40"/>
              <w:jc w:val="left"/>
            </w:pPr>
            <w:r>
              <w:rPr>
                <w:rFonts w:ascii="Tahoma" w:hAnsi="Tahoma"/>
                <w:sz w:val="22"/>
              </w:rPr>
              <w:t xml:space="preserve">Exempt</w:t>
            </w:r>
          </w:p>
        </w:tc>
        <w:tc>
          <w:tcPr>
            <w:tcW w:w="3816" w:type="dxa"/>
            <w:shd w:val="clear" w:color="auto" w:fill="FBEAF1"/>
          </w:tcPr>
          <w:p>
            <w:pPr>
              <w:pStyle w:val="Compact"/>
              <w:spacing w:after="40" w:before="40"/>
              <w:jc w:val="left"/>
            </w:pPr>
            <w:r>
              <w:rPr>
                <w:rFonts w:ascii="Tahoma" w:hAnsi="Tahoma"/>
                <w:sz w:val="22"/>
              </w:rPr>
              <w:t xml:space="preserve">Commercial training firms usually charge 20%</w:t>
            </w:r>
          </w:p>
        </w:tc>
      </w:tr>
      <w:tr>
        <w:trPr>
          <w:cantSplit w:val="true"/>
        </w:trPr>
        <w:tc>
          <w:tcPr>
            <w:tcW w:w="3155" w:type="dxa"/>
            <w:shd w:val="clear" w:color="auto" w:fill="EAF3FA"/>
          </w:tcPr>
          <w:p>
            <w:pPr>
              <w:pStyle w:val="Compact"/>
              <w:spacing w:after="40" w:before="40"/>
              <w:jc w:val="left"/>
            </w:pPr>
            <w:r>
              <w:rPr>
                <w:rFonts w:ascii="Tahoma" w:hAnsi="Tahoma"/>
                <w:sz w:val="22"/>
              </w:rPr>
              <w:t xml:space="preserve">Office rent</w:t>
            </w:r>
          </w:p>
        </w:tc>
        <w:tc>
          <w:tcPr>
            <w:tcW w:w="2053" w:type="dxa"/>
            <w:shd w:val="clear" w:color="auto" w:fill="EAF3FA"/>
          </w:tcPr>
          <w:p>
            <w:pPr>
              <w:pStyle w:val="Compact"/>
              <w:spacing w:after="40" w:before="40"/>
              <w:jc w:val="left"/>
            </w:pPr>
            <w:r>
              <w:rPr>
                <w:rFonts w:ascii="Tahoma" w:hAnsi="Tahoma"/>
                <w:sz w:val="22"/>
              </w:rPr>
              <w:t xml:space="preserve">Exempt</w:t>
            </w:r>
          </w:p>
        </w:tc>
        <w:tc>
          <w:tcPr>
            <w:tcW w:w="3816" w:type="dxa"/>
            <w:shd w:val="clear" w:color="auto" w:fill="EAF3FA"/>
          </w:tcPr>
          <w:p>
            <w:pPr>
              <w:pStyle w:val="Compact"/>
              <w:spacing w:after="40" w:before="40"/>
              <w:jc w:val="left"/>
            </w:pPr>
            <w:r>
              <w:rPr>
                <w:rFonts w:ascii="Tahoma" w:hAnsi="Tahoma"/>
                <w:sz w:val="22"/>
              </w:rPr>
              <w:t xml:space="preserve">Standard-rated if the landlord opted to tax</w:t>
            </w:r>
          </w:p>
        </w:tc>
      </w:tr>
      <w:tr>
        <w:trPr>
          <w:cantSplit w:val="true"/>
        </w:trPr>
        <w:tc>
          <w:tcPr>
            <w:tcW w:w="3155" w:type="dxa"/>
            <w:shd w:val="clear" w:color="auto" w:fill="FFFFFF"/>
          </w:tcPr>
          <w:p>
            <w:pPr>
              <w:pStyle w:val="Compact"/>
              <w:spacing w:after="40" w:before="40"/>
              <w:jc w:val="left"/>
            </w:pPr>
            <w:r>
              <w:rPr>
                <w:rFonts w:ascii="Tahoma" w:hAnsi="Tahoma"/>
                <w:sz w:val="22"/>
              </w:rPr>
              <w:t xml:space="preserve">Insurance premium</w:t>
            </w:r>
          </w:p>
        </w:tc>
        <w:tc>
          <w:tcPr>
            <w:tcW w:w="2053" w:type="dxa"/>
            <w:shd w:val="clear" w:color="auto" w:fill="FFFFFF"/>
          </w:tcPr>
          <w:p>
            <w:pPr>
              <w:pStyle w:val="Compact"/>
              <w:spacing w:after="40" w:before="40"/>
              <w:jc w:val="left"/>
            </w:pPr>
            <w:r>
              <w:rPr>
                <w:rFonts w:ascii="Tahoma" w:hAnsi="Tahoma"/>
                <w:sz w:val="22"/>
              </w:rPr>
              <w:t xml:space="preserve">Exempt</w:t>
            </w:r>
          </w:p>
        </w:tc>
        <w:tc>
          <w:tcPr>
            <w:tcW w:w="3816" w:type="dxa"/>
            <w:shd w:val="clear" w:color="auto" w:fill="FFFFFF"/>
          </w:tcPr>
          <w:p>
            <w:pPr>
              <w:pStyle w:val="Compact"/>
              <w:spacing w:after="40" w:before="40"/>
              <w:jc w:val="left"/>
            </w:pPr>
            <w:r>
              <w:rPr>
                <w:rFonts w:ascii="Tahoma" w:hAnsi="Tahoma"/>
                <w:sz w:val="22"/>
              </w:rPr>
              <w:t xml:space="preserve">Insurance Premium Tax at 12% or 20% instead</w:t>
            </w:r>
          </w:p>
        </w:tc>
      </w:tr>
      <w:tr>
        <w:trPr>
          <w:cantSplit w:val="true"/>
        </w:trPr>
        <w:tc>
          <w:tcPr>
            <w:tcW w:w="3155" w:type="dxa"/>
            <w:shd w:val="clear" w:color="auto" w:fill="FBEAF1"/>
          </w:tcPr>
          <w:p>
            <w:pPr>
              <w:pStyle w:val="Compact"/>
              <w:spacing w:after="40" w:before="40"/>
              <w:jc w:val="left"/>
            </w:pPr>
            <w:r>
              <w:rPr>
                <w:rFonts w:ascii="Tahoma" w:hAnsi="Tahoma"/>
                <w:sz w:val="22"/>
              </w:rPr>
              <w:t xml:space="preserve">Bank charges</w:t>
            </w:r>
          </w:p>
        </w:tc>
        <w:tc>
          <w:tcPr>
            <w:tcW w:w="2053" w:type="dxa"/>
            <w:shd w:val="clear" w:color="auto" w:fill="FBEAF1"/>
          </w:tcPr>
          <w:p>
            <w:pPr>
              <w:pStyle w:val="Compact"/>
              <w:spacing w:after="40" w:before="40"/>
              <w:jc w:val="left"/>
            </w:pPr>
            <w:r>
              <w:rPr>
                <w:rFonts w:ascii="Tahoma" w:hAnsi="Tahoma"/>
                <w:sz w:val="22"/>
              </w:rPr>
              <w:t xml:space="preserve">Exempt</w:t>
            </w:r>
          </w:p>
        </w:tc>
        <w:tc>
          <w:tcPr>
            <w:tcW w:w="3816" w:type="dxa"/>
            <w:shd w:val="clear" w:color="auto" w:fill="FBEAF1"/>
          </w:tcPr>
          <w:p>
            <w:pPr>
              <w:pStyle w:val="Compact"/>
              <w:spacing w:after="40" w:before="40"/>
              <w:jc w:val="left"/>
            </w:pPr>
            <w:r>
              <w:rPr>
                <w:rFonts w:ascii="Tahoma" w:hAnsi="Tahoma"/>
                <w:sz w:val="22"/>
              </w:rPr>
              <w:t xml:space="preserve">Financial services are exempt</w:t>
            </w:r>
          </w:p>
        </w:tc>
      </w:tr>
      <w:tr>
        <w:trPr>
          <w:cantSplit w:val="true"/>
        </w:trPr>
        <w:tc>
          <w:tcPr>
            <w:tcW w:w="3155" w:type="dxa"/>
            <w:shd w:val="clear" w:color="auto" w:fill="EAF3FA"/>
          </w:tcPr>
          <w:p>
            <w:pPr>
              <w:pStyle w:val="Compact"/>
              <w:spacing w:after="40" w:before="40"/>
              <w:jc w:val="left"/>
            </w:pPr>
            <w:r>
              <w:rPr>
                <w:rFonts w:ascii="Tahoma" w:hAnsi="Tahoma"/>
                <w:sz w:val="22"/>
              </w:rPr>
              <w:t xml:space="preserve">Royal Mail first and second class stamps</w:t>
            </w:r>
          </w:p>
        </w:tc>
        <w:tc>
          <w:tcPr>
            <w:tcW w:w="2053" w:type="dxa"/>
            <w:shd w:val="clear" w:color="auto" w:fill="EAF3FA"/>
          </w:tcPr>
          <w:p>
            <w:pPr>
              <w:pStyle w:val="Compact"/>
              <w:spacing w:after="40" w:before="40"/>
              <w:jc w:val="left"/>
            </w:pPr>
            <w:r>
              <w:rPr>
                <w:rFonts w:ascii="Tahoma" w:hAnsi="Tahoma"/>
                <w:sz w:val="22"/>
              </w:rPr>
              <w:t xml:space="preserve">Exempt</w:t>
            </w:r>
          </w:p>
        </w:tc>
        <w:tc>
          <w:tcPr>
            <w:tcW w:w="3816" w:type="dxa"/>
            <w:shd w:val="clear" w:color="auto" w:fill="EAF3FA"/>
          </w:tcPr>
          <w:p>
            <w:pPr>
              <w:pStyle w:val="Compact"/>
              <w:spacing w:after="40" w:before="40"/>
              <w:jc w:val="left"/>
            </w:pPr>
            <w:r>
              <w:rPr>
                <w:rFonts w:ascii="Tahoma" w:hAnsi="Tahoma"/>
                <w:sz w:val="22"/>
              </w:rPr>
              <w:t xml:space="preserve">Non-universal postal services are 20%</w:t>
            </w:r>
          </w:p>
        </w:tc>
      </w:tr>
      <w:tr>
        <w:trPr>
          <w:cantSplit w:val="true"/>
        </w:trPr>
        <w:tc>
          <w:tcPr>
            <w:tcW w:w="3155" w:type="dxa"/>
            <w:shd w:val="clear" w:color="auto" w:fill="FFFFFF"/>
          </w:tcPr>
          <w:p>
            <w:pPr>
              <w:pStyle w:val="Compact"/>
              <w:spacing w:after="40" w:before="40"/>
              <w:jc w:val="left"/>
            </w:pPr>
            <w:r>
              <w:rPr>
                <w:rFonts w:ascii="Tahoma" w:hAnsi="Tahoma"/>
                <w:sz w:val="22"/>
              </w:rPr>
              <w:t xml:space="preserve">International freight</w:t>
            </w:r>
          </w:p>
        </w:tc>
        <w:tc>
          <w:tcPr>
            <w:tcW w:w="2053" w:type="dxa"/>
            <w:shd w:val="clear" w:color="auto" w:fill="FFFFFF"/>
          </w:tcPr>
          <w:p>
            <w:pPr>
              <w:pStyle w:val="Compact"/>
              <w:spacing w:after="40" w:before="40"/>
              <w:jc w:val="left"/>
            </w:pPr>
            <w:r>
              <w:rPr>
                <w:rFonts w:ascii="Tahoma" w:hAnsi="Tahoma"/>
                <w:sz w:val="22"/>
              </w:rPr>
              <w:t xml:space="preserve">Zero (0%)</w:t>
            </w:r>
          </w:p>
        </w:tc>
        <w:tc>
          <w:tcPr>
            <w:tcW w:w="3816" w:type="dxa"/>
            <w:shd w:val="clear" w:color="auto" w:fill="FFFFFF"/>
          </w:tcPr>
          <w:p>
            <w:pPr>
              <w:pStyle w:val="Compact"/>
              <w:spacing w:after="40" w:before="40"/>
              <w:jc w:val="left"/>
            </w:pPr>
            <w:r>
              <w:rPr>
                <w:rFonts w:ascii="Tahoma" w:hAnsi="Tahoma"/>
                <w:sz w:val="22"/>
              </w:rPr>
              <w:t xml:space="preserve">Purely domestic freight is 20%</w:t>
            </w:r>
          </w:p>
        </w:tc>
      </w:tr>
    </w:tbl>
    <w:bookmarkEnd w:id="147"/>
    <w:bookmarkEnd w:id="148"/>
    <w:bookmarkStart w:id="149" w:name="key-points-to-remember-2"/>
    <w:p>
      <w:pPr>
        <w:pStyle w:val="Heading3"/>
      </w:pPr>
      <w:r>
        <w:t xml:space="preserve">Key points to remember</w:t>
      </w:r>
    </w:p>
    <w:p>
      <w:pPr>
        <w:pStyle w:val="Compact"/>
        <w:numPr>
          <w:ilvl w:val="0"/>
          <w:numId w:val="1171"/>
        </w:numPr>
      </w:pPr>
      <w:r>
        <w:rPr>
          <w:b/>
          <w:bCs/>
        </w:rPr>
        <w:t xml:space="preserve">Liability is decided by the supplier,</w:t>
      </w:r>
      <w:r>
        <w:t xml:space="preserve"> </w:t>
      </w:r>
      <w:r>
        <w:t xml:space="preserve">based on what is supplied, to whom, where and how</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171"/>
        </w:numPr>
      </w:pPr>
      <w:r>
        <w:rPr>
          <w:b/>
          <w:bCs/>
        </w:rPr>
        <w:t xml:space="preserve">Standard rate (20%) is the default.</w:t>
      </w:r>
      <w:r>
        <w:t xml:space="preserve"> </w:t>
      </w:r>
      <w:r>
        <w:t xml:space="preserve">If nothing makes a supply zero-rated, reduced-rated or exempt, it is standard-rated</w:t>
      </w:r>
      <w:r>
        <w:t xml:space="preserve"> </w:t>
      </w:r>
      <w:r>
        <w:t xml:space="preserve">(</w:t>
      </w:r>
      <w:hyperlink w:anchor="ref-hmrc_n700">
        <w:r>
          <w:rPr>
            <w:rStyle w:val="Hyperlink"/>
          </w:rPr>
          <w:t xml:space="preserve">HMRC, 2026o, para. 29.1</w:t>
        </w:r>
      </w:hyperlink>
      <w:r>
        <w:t xml:space="preserve">)</w:t>
      </w:r>
      <w:r>
        <w:t xml:space="preserve">.</w:t>
      </w:r>
    </w:p>
    <w:p>
      <w:pPr>
        <w:pStyle w:val="Compact"/>
        <w:numPr>
          <w:ilvl w:val="0"/>
          <w:numId w:val="1171"/>
        </w:numPr>
      </w:pPr>
      <w:r>
        <w:rPr>
          <w:b/>
          <w:bCs/>
        </w:rPr>
        <w:t xml:space="preserve">Zero-rated is not the same as exempt.</w:t>
      </w:r>
      <w:r>
        <w:t xml:space="preserve"> </w:t>
      </w:r>
      <w:r>
        <w:t xml:space="preserve">Neither adds VAT, but only a zero-rated supplier recovers VAT on its costs</w:t>
      </w:r>
      <w:r>
        <w:t xml:space="preserve"> </w:t>
      </w:r>
      <w:r>
        <w:t xml:space="preserve">(</w:t>
      </w:r>
      <w:hyperlink w:anchor="ref-hmrc_exemption">
        <w:r>
          <w:rPr>
            <w:rStyle w:val="Hyperlink"/>
          </w:rPr>
          <w:t xml:space="preserve">HMRC, 2022a</w:t>
        </w:r>
      </w:hyperlink>
      <w:r>
        <w:t xml:space="preserve">)</w:t>
      </w:r>
      <w:r>
        <w:t xml:space="preserve">.</w:t>
      </w:r>
    </w:p>
    <w:p>
      <w:pPr>
        <w:pStyle w:val="Compact"/>
        <w:numPr>
          <w:ilvl w:val="0"/>
          <w:numId w:val="1171"/>
        </w:numPr>
      </w:pPr>
      <w:r>
        <w:rPr>
          <w:b/>
          <w:bCs/>
        </w:rPr>
        <w:t xml:space="preserve">Exempt suppliers lose VAT on their costs,</w:t>
      </w:r>
      <w:r>
        <w:t xml:space="preserve"> </w:t>
      </w:r>
      <w:r>
        <w:t xml:space="preserve">subject to partial exemption and the de minimis tests: not more than £625 a month on average and not more than 50% of total input tax</w:t>
      </w:r>
      <w:r>
        <w:t xml:space="preserve"> </w:t>
      </w:r>
      <w:r>
        <w:t xml:space="preserve">(</w:t>
      </w:r>
      <w:hyperlink w:anchor="ref-hmrc_n706">
        <w:r>
          <w:rPr>
            <w:rStyle w:val="Hyperlink"/>
          </w:rPr>
          <w:t xml:space="preserve">HMRC, 2025h, para. 11.2</w:t>
        </w:r>
      </w:hyperlink>
      <w:r>
        <w:t xml:space="preserve">)</w:t>
      </w:r>
      <w:r>
        <w:t xml:space="preserve">.</w:t>
      </w:r>
    </w:p>
    <w:p>
      <w:pPr>
        <w:pStyle w:val="Compact"/>
        <w:numPr>
          <w:ilvl w:val="0"/>
          <w:numId w:val="1171"/>
        </w:numPr>
      </w:pPr>
      <w:r>
        <w:rPr>
          <w:b/>
          <w:bCs/>
        </w:rPr>
        <w:t xml:space="preserve">Outside the scope is different from exempt.</w:t>
      </w:r>
      <w:r>
        <w:t xml:space="preserve"> </w:t>
      </w:r>
      <w:r>
        <w:t xml:space="preserve">Some outside-the-scope supplies, such as services sold to overseas businesses, still carry the right to recover VAT</w:t>
      </w:r>
      <w:r>
        <w:t xml:space="preserve"> </w:t>
      </w:r>
      <w:r>
        <w:t xml:space="preserve">(</w:t>
      </w:r>
      <w:hyperlink w:anchor="ref-hmrc_n741a">
        <w:r>
          <w:rPr>
            <w:rStyle w:val="Hyperlink"/>
          </w:rPr>
          <w:t xml:space="preserve">HMRC, 2022d, para. 2.7</w:t>
        </w:r>
      </w:hyperlink>
      <w:r>
        <w:t xml:space="preserve">)</w:t>
      </w:r>
      <w:r>
        <w:t xml:space="preserve">.</w:t>
      </w:r>
    </w:p>
    <w:p>
      <w:pPr>
        <w:pStyle w:val="Compact"/>
        <w:numPr>
          <w:ilvl w:val="0"/>
          <w:numId w:val="1171"/>
        </w:numPr>
      </w:pPr>
      <w:r>
        <w:rPr>
          <w:b/>
          <w:bCs/>
        </w:rPr>
        <w:t xml:space="preserve">No VAT on the invoice means nothing to claim.</w:t>
      </w:r>
      <w:r>
        <w:t xml:space="preserve"> </w:t>
      </w:r>
      <w:r>
        <w:t xml:space="preserve">Rail fares, books, most food, rent without an option to tax and insurance carry no VAT</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171"/>
        </w:numPr>
      </w:pPr>
      <w:r>
        <w:rPr>
          <w:b/>
          <w:bCs/>
        </w:rPr>
        <w:t xml:space="preserve">Standard-rated purchases for non-business use are a cost unless a COS heading applies.</w:t>
      </w:r>
      <w:r>
        <w:t xml:space="preserve"> </w:t>
      </w:r>
      <w:r>
        <w:t xml:space="preserve">Goods bought on their own and certain utilities are not refundable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71"/>
        </w:numPr>
      </w:pPr>
      <w:r>
        <w:rPr>
          <w:b/>
          <w:bCs/>
        </w:rPr>
        <w:t xml:space="preserve">Insurance Premium Tax is not VAT.</w:t>
      </w:r>
      <w:r>
        <w:t xml:space="preserve"> </w:t>
      </w:r>
      <w:r>
        <w:t xml:space="preserve">It is never input tax and never refundable under COS</w:t>
      </w:r>
      <w:r>
        <w:t xml:space="preserve"> </w:t>
      </w:r>
      <w:r>
        <w:t xml:space="preserve">(</w:t>
      </w:r>
      <w:hyperlink w:anchor="ref-hmrc_ipt1">
        <w:r>
          <w:rPr>
            <w:rStyle w:val="Hyperlink"/>
          </w:rPr>
          <w:t xml:space="preserve">HMRC, 2026j, para. 2.1</w:t>
        </w:r>
      </w:hyperlink>
      <w:r>
        <w:t xml:space="preserve">;</w:t>
      </w:r>
      <w:r>
        <w:t xml:space="preserve"> </w:t>
      </w:r>
      <w:hyperlink w:anchor="ref-hmrc_n700">
        <w:r>
          <w:rPr>
            <w:rStyle w:val="Hyperlink"/>
          </w:rPr>
          <w:t xml:space="preserve">2026o, para. 10.1</w:t>
        </w:r>
      </w:hyperlink>
      <w:r>
        <w:t xml:space="preserve">)</w:t>
      </w:r>
      <w:r>
        <w:t xml:space="preserve">.</w:t>
      </w:r>
    </w:p>
    <w:p>
      <w:pPr>
        <w:pStyle w:val="Compact"/>
        <w:numPr>
          <w:ilvl w:val="0"/>
          <w:numId w:val="1171"/>
        </w:numPr>
      </w:pPr>
      <w:r>
        <w:rPr>
          <w:b/>
          <w:bCs/>
        </w:rPr>
        <w:t xml:space="preserve">Re-charged expenses usually attract VAT.</w:t>
      </w:r>
      <w:r>
        <w:t xml:space="preserve"> </w:t>
      </w:r>
      <w:r>
        <w:t xml:space="preserve">Only true disbursements that meet all of HMRC’s conditions are passed on without VAT</w:t>
      </w:r>
      <w:r>
        <w:t xml:space="preserve"> </w:t>
      </w:r>
      <w:r>
        <w:t xml:space="preserve">(</w:t>
      </w:r>
      <w:hyperlink w:anchor="ref-hmrc_n700">
        <w:r>
          <w:rPr>
            <w:rStyle w:val="Hyperlink"/>
          </w:rPr>
          <w:t xml:space="preserve">HMRC, 2026o, para. 25.1.1</w:t>
        </w:r>
      </w:hyperlink>
      <w:r>
        <w:t xml:space="preserve">)</w:t>
      </w:r>
      <w:r>
        <w:t xml:space="preserve">.</w:t>
      </w:r>
    </w:p>
    <w:p>
      <w:pPr>
        <w:pStyle w:val="Compact"/>
        <w:numPr>
          <w:ilvl w:val="0"/>
          <w:numId w:val="1171"/>
        </w:numPr>
      </w:pPr>
      <w:r>
        <w:rPr>
          <w:b/>
          <w:bCs/>
        </w:rPr>
        <w:t xml:space="preserve">Check the tax point when rates change.</w:t>
      </w:r>
      <w:r>
        <w:t xml:space="preserve"> </w:t>
      </w:r>
      <w:r>
        <w:t xml:space="preserve">Temporary rates, such as the summer 2026 reduced rate, apply only to supplies with a tax point in the relevant period</w:t>
      </w:r>
      <w:r>
        <w:t xml:space="preserve"> </w:t>
      </w:r>
      <w:r>
        <w:t xml:space="preserve">(</w:t>
      </w:r>
      <w:hyperlink w:anchor="ref-hmrc_n700">
        <w:r>
          <w:rPr>
            <w:rStyle w:val="Hyperlink"/>
          </w:rPr>
          <w:t xml:space="preserve">HMRC, 2026o, para. 30.4</w:t>
        </w:r>
      </w:hyperlink>
      <w:r>
        <w:t xml:space="preserve">;</w:t>
      </w:r>
      <w:r>
        <w:t xml:space="preserve"> </w:t>
      </w:r>
      <w:hyperlink w:anchor="ref-hmrc_rcb5_2026">
        <w:r>
          <w:rPr>
            <w:rStyle w:val="Hyperlink"/>
          </w:rPr>
          <w:t xml:space="preserve">2026m</w:t>
        </w:r>
      </w:hyperlink>
      <w:r>
        <w:t xml:space="preserve">)</w:t>
      </w:r>
      <w:r>
        <w:t xml:space="preserve">.</w:t>
      </w:r>
    </w:p>
    <w:bookmarkEnd w:id="149"/>
    <w:bookmarkEnd w:id="150"/>
    <w:bookmarkStart w:id="188" w:name="part-4-vat-on-imports-and-exports"/>
    <w:p>
      <w:pPr>
        <w:pStyle w:val="Heading2"/>
      </w:pPr>
      <w:r>
        <w:t xml:space="preserve">Part 4: VAT on imports and exports</w:t>
      </w:r>
    </w:p>
    <w:p>
      <w:pPr>
        <w:pStyle w:val="FirstParagraph"/>
      </w:pPr>
      <w:r>
        <w:t xml:space="preserve">This part explains how VAT works when goods or services cross the UK border. It covers what the Department pays, what it can get back, and what it must do to zero-rate a sale abroad. For the basic terms (output tax, input tax, zero-rated, exempt and outside the scope), see Part 1 and Part 3.</w:t>
      </w:r>
    </w:p>
    <w:bookmarkStart w:id="151" w:name="Xf7e833e6ab16d7d0d6658e58a139008df376fcd"/>
    <w:p>
      <w:pPr>
        <w:pStyle w:val="Heading3"/>
      </w:pPr>
      <w:r>
        <w:t xml:space="preserve">Goods and services are treated differently</w:t>
      </w:r>
    </w:p>
    <w:p>
      <w:pPr>
        <w:pStyle w:val="FirstParagraph"/>
      </w:pPr>
      <w:r>
        <w:t xml:space="preserve">Goods and services follow two separate sets of rules.</w:t>
      </w:r>
    </w:p>
    <w:p>
      <w:pPr>
        <w:pStyle w:val="Compact"/>
        <w:numPr>
          <w:ilvl w:val="0"/>
          <w:numId w:val="1172"/>
        </w:numPr>
      </w:pPr>
      <w:r>
        <w:rPr>
          <w:b/>
          <w:bCs/>
        </w:rPr>
        <w:t xml:space="preserve">Goods</w:t>
      </w:r>
      <w:r>
        <w:t xml:space="preserve"> </w:t>
      </w:r>
      <w:r>
        <w:t xml:space="preserve">physically cross a border. UK VAT on goods coming in (called</w:t>
      </w:r>
      <w:r>
        <w:t xml:space="preserve"> </w:t>
      </w:r>
      <w:r>
        <w:rPr>
          <w:b/>
          <w:bCs/>
        </w:rPr>
        <w:t xml:space="preserve">import VAT</w:t>
      </w:r>
      <w:r>
        <w:t xml:space="preserve">) is due when the goods are imported</w:t>
      </w:r>
      <w:r>
        <w:t xml:space="preserve"> </w:t>
      </w:r>
      <w:r>
        <w:t xml:space="preserve">(</w:t>
      </w:r>
      <w:hyperlink w:anchor="ref-hmrc_import_vat">
        <w:r>
          <w:rPr>
            <w:rStyle w:val="Hyperlink"/>
          </w:rPr>
          <w:t xml:space="preserve">HMRC, 2020b</w:t>
        </w:r>
      </w:hyperlink>
      <w:r>
        <w:t xml:space="preserve">)</w:t>
      </w:r>
      <w:r>
        <w:t xml:space="preserve">. The law says it is charged and payable as if it were import duty (Value Added Tax Act 1994, s. 1(4)). VAT-registered importers can instead account for it on their VAT return (see Postponed VAT accounting in more detail, below)</w:t>
      </w:r>
      <w:r>
        <w:t xml:space="preserve"> </w:t>
      </w:r>
      <w:r>
        <w:t xml:space="preserve">(</w:t>
      </w:r>
      <w:hyperlink w:anchor="ref-hmrc_pva">
        <w:r>
          <w:rPr>
            <w:rStyle w:val="Hyperlink"/>
          </w:rPr>
          <w:t xml:space="preserve">HMRC, 2025c</w:t>
        </w:r>
      </w:hyperlink>
      <w:r>
        <w:t xml:space="preserve">)</w:t>
      </w:r>
      <w:r>
        <w:t xml:space="preserve">. Goods going out are zero-rated if the export conditions are met</w:t>
      </w:r>
      <w:r>
        <w:t xml:space="preserve"> </w:t>
      </w:r>
      <w:r>
        <w:t xml:space="preserve">(</w:t>
      </w:r>
      <w:hyperlink w:anchor="ref-hmrc_n703">
        <w:r>
          <w:rPr>
            <w:rStyle w:val="Hyperlink"/>
          </w:rPr>
          <w:t xml:space="preserve">HMRC, 2026p, para. 2.1</w:t>
        </w:r>
      </w:hyperlink>
      <w:r>
        <w:t xml:space="preserve">)</w:t>
      </w:r>
      <w:r>
        <w:t xml:space="preserve">.</w:t>
      </w:r>
    </w:p>
    <w:p>
      <w:pPr>
        <w:pStyle w:val="Compact"/>
        <w:numPr>
          <w:ilvl w:val="0"/>
          <w:numId w:val="1172"/>
        </w:numPr>
      </w:pPr>
      <w:r>
        <w:rPr>
          <w:b/>
          <w:bCs/>
        </w:rPr>
        <w:t xml:space="preserve">Services</w:t>
      </w:r>
      <w:r>
        <w:t xml:space="preserve"> </w:t>
      </w:r>
      <w:r>
        <w:t xml:space="preserve">do not pass through customs. Instead, the</w:t>
      </w:r>
      <w:r>
        <w:t xml:space="preserve"> </w:t>
      </w:r>
      <w:r>
        <w:rPr>
          <w:b/>
          <w:bCs/>
        </w:rPr>
        <w:t xml:space="preserve">place of supply</w:t>
      </w:r>
      <w:r>
        <w:t xml:space="preserve"> </w:t>
      </w:r>
      <w:r>
        <w:t xml:space="preserve">rules decide which country, if any, may tax the service. If the place of supply is outside the UK, the service is outside the scope of UK VAT</w:t>
      </w:r>
      <w:r>
        <w:t xml:space="preserve"> </w:t>
      </w:r>
      <w:r>
        <w:t xml:space="preserve">(</w:t>
      </w:r>
      <w:hyperlink w:anchor="ref-hmrc_n741a">
        <w:r>
          <w:rPr>
            <w:rStyle w:val="Hyperlink"/>
          </w:rPr>
          <w:t xml:space="preserve">HMRC, 2022d, para. 2.1</w:t>
        </w:r>
      </w:hyperlink>
      <w:r>
        <w:t xml:space="preserve">)</w:t>
      </w:r>
      <w:r>
        <w:t xml:space="preserve">.</w:t>
      </w:r>
    </w:p>
    <w:p>
      <w:pPr>
        <w:pStyle w:val="Compact"/>
        <w:numPr>
          <w:ilvl w:val="0"/>
          <w:numId w:val="1172"/>
        </w:numPr>
      </w:pPr>
      <w:r>
        <w:t xml:space="preserve">When a UK customer buys a service from an overseas supplier and the place of supply is the UK, the customer often has to account for the UK VAT itself under the</w:t>
      </w:r>
      <w:r>
        <w:t xml:space="preserve"> </w:t>
      </w:r>
      <w:r>
        <w:rPr>
          <w:b/>
          <w:bCs/>
        </w:rPr>
        <w:t xml:space="preserve">reverse charge</w:t>
      </w:r>
      <w:r>
        <w:t xml:space="preserve"> </w:t>
      </w:r>
      <w:r>
        <w:t xml:space="preserve">(</w:t>
      </w:r>
      <w:hyperlink w:anchor="ref-hmrc_import_vat">
        <w:r>
          <w:rPr>
            <w:rStyle w:val="Hyperlink"/>
          </w:rPr>
          <w:t xml:space="preserve">HMRC, 2020b</w:t>
        </w:r>
      </w:hyperlink>
      <w:r>
        <w:t xml:space="preserve">)</w:t>
      </w:r>
      <w:r>
        <w:t xml:space="preserve">.</w:t>
      </w:r>
    </w:p>
    <w:p>
      <w:pPr>
        <w:pStyle w:val="FirstParagraph"/>
      </w:pPr>
      <w:r>
        <w:t xml:space="preserve">Always ask first:</w:t>
      </w:r>
      <w:r>
        <w:t xml:space="preserve"> </w:t>
      </w:r>
      <w:r>
        <w:t xml:space="preserve">“</w:t>
      </w:r>
      <w:r>
        <w:t xml:space="preserve">Is this goods or a service?</w:t>
      </w:r>
      <w:r>
        <w:t xml:space="preserve">”</w:t>
      </w:r>
      <w:r>
        <w:t xml:space="preserve"> </w:t>
      </w:r>
      <w:r>
        <w:t xml:space="preserve">The answer decides which half of this part applies.</w:t>
      </w:r>
    </w:p>
    <w:bookmarkEnd w:id="151"/>
    <w:bookmarkStart w:id="159" w:name="importing-goods-into-great-britain"/>
    <w:p>
      <w:pPr>
        <w:pStyle w:val="Heading3"/>
      </w:pPr>
      <w:r>
        <w:t xml:space="preserve">Importing goods into Great Britain</w:t>
      </w:r>
    </w:p>
    <w:bookmarkStart w:id="152" w:name="what-import-vat-is"/>
    <w:p>
      <w:pPr>
        <w:pStyle w:val="Heading4"/>
      </w:pPr>
      <w:r>
        <w:t xml:space="preserve">What import VAT is</w:t>
      </w:r>
    </w:p>
    <w:p>
      <w:pPr>
        <w:pStyle w:val="FirstParagraph"/>
      </w:pPr>
      <w:r>
        <w:t xml:space="preserve">Import VAT is UK VAT charged when goods enter Great Britain (England, Scotland and Wales) from outside the UK</w:t>
      </w:r>
      <w:r>
        <w:t xml:space="preserve"> </w:t>
      </w:r>
      <w:r>
        <w:t xml:space="preserve">(</w:t>
      </w:r>
      <w:hyperlink w:anchor="ref-hmrc_import_vat">
        <w:r>
          <w:rPr>
            <w:rStyle w:val="Hyperlink"/>
          </w:rPr>
          <w:t xml:space="preserve">HMRC, 2020b</w:t>
        </w:r>
      </w:hyperlink>
      <w:r>
        <w:t xml:space="preserve">)</w:t>
      </w:r>
      <w:r>
        <w:t xml:space="preserve">. It is normally charged at the same rate as if the goods had been supplied in the UK, so goods that would be standard-rated in the UK bear 20% import VAT. Some works of art, antiques and collectors’ items get a reduced rate</w:t>
      </w:r>
      <w:r>
        <w:t xml:space="preserve"> </w:t>
      </w:r>
      <w:r>
        <w:t xml:space="preserve">(</w:t>
      </w:r>
      <w:hyperlink w:anchor="ref-hmrc_import_vat">
        <w:r>
          <w:rPr>
            <w:rStyle w:val="Hyperlink"/>
          </w:rPr>
          <w:t xml:space="preserve">HMRC, 2020b</w:t>
        </w:r>
      </w:hyperlink>
      <w:r>
        <w:t xml:space="preserve">,</w:t>
      </w:r>
      <w:r>
        <w:t xml:space="preserve"> </w:t>
      </w:r>
      <w:hyperlink w:anchor="ref-hmrc_vat_rates">
        <w:r>
          <w:rPr>
            <w:rStyle w:val="Hyperlink"/>
          </w:rPr>
          <w:t xml:space="preserve">2026r</w:t>
        </w:r>
      </w:hyperlink>
      <w:r>
        <w:t xml:space="preserve">)</w:t>
      </w:r>
      <w:r>
        <w:t xml:space="preserve">.</w:t>
      </w:r>
    </w:p>
    <w:p>
      <w:pPr>
        <w:pStyle w:val="BodyText"/>
      </w:pPr>
      <w:r>
        <w:t xml:space="preserve">The charge to VAT on imports is in section 1(1)(c) of the Value Added Tax Act 1994. Section 2(1)(c) applies the VAT rate to the value of the imported goods.</w:t>
      </w:r>
    </w:p>
    <w:p>
      <w:pPr>
        <w:pStyle w:val="BodyText"/>
      </w:pPr>
      <w:r>
        <w:t xml:space="preserve">Goods coming into Northern Ireland from outside the UK and the EU are also imports. Goods moving between Northern Ireland and the EU follow different rules (see Northern Ireland and the EU, below)</w:t>
      </w:r>
      <w:r>
        <w:t xml:space="preserve"> </w:t>
      </w:r>
      <w:r>
        <w:t xml:space="preserve">(</w:t>
      </w:r>
      <w:hyperlink w:anchor="ref-hmrc_ni_eu">
        <w:r>
          <w:rPr>
            <w:rStyle w:val="Hyperlink"/>
          </w:rPr>
          <w:t xml:space="preserve">HMRC, 2026q, para. 1.5</w:t>
        </w:r>
      </w:hyperlink>
      <w:r>
        <w:t xml:space="preserve">)</w:t>
      </w:r>
      <w:r>
        <w:t xml:space="preserve">.</w:t>
      </w:r>
    </w:p>
    <w:bookmarkEnd w:id="152"/>
    <w:bookmarkStart w:id="153" w:name="how-import-vat-is-worked-out"/>
    <w:p>
      <w:pPr>
        <w:pStyle w:val="Heading4"/>
      </w:pPr>
      <w:r>
        <w:t xml:space="preserve">How import VAT is worked out</w:t>
      </w:r>
    </w:p>
    <w:p>
      <w:pPr>
        <w:pStyle w:val="FirstParagraph"/>
      </w:pPr>
      <w:r>
        <w:t xml:space="preserve">Import VAT is not worked out on the invoice price alone. The value for VAT is the</w:t>
      </w:r>
      <w:r>
        <w:t xml:space="preserve"> </w:t>
      </w:r>
      <w:r>
        <w:rPr>
          <w:b/>
          <w:bCs/>
        </w:rPr>
        <w:t xml:space="preserve">customs value</w:t>
      </w:r>
      <w:r>
        <w:t xml:space="preserve"> </w:t>
      </w:r>
      <w:r>
        <w:t xml:space="preserve">(the value of the goods worked out under the customs valuation rules) plus:</w:t>
      </w:r>
    </w:p>
    <w:p>
      <w:pPr>
        <w:pStyle w:val="Compact"/>
        <w:numPr>
          <w:ilvl w:val="0"/>
          <w:numId w:val="1173"/>
        </w:numPr>
      </w:pPr>
      <w:r>
        <w:t xml:space="preserve">incidental expenses, such as commission, packing, transport and insurance, up to the goods’ first destination in the UK</w:t>
      </w:r>
    </w:p>
    <w:p>
      <w:pPr>
        <w:pStyle w:val="Compact"/>
        <w:numPr>
          <w:ilvl w:val="0"/>
          <w:numId w:val="1173"/>
        </w:numPr>
      </w:pPr>
      <w:r>
        <w:t xml:space="preserve">any customs duty or levy payable on import</w:t>
      </w:r>
    </w:p>
    <w:p>
      <w:pPr>
        <w:pStyle w:val="Compact"/>
        <w:numPr>
          <w:ilvl w:val="0"/>
          <w:numId w:val="1173"/>
        </w:numPr>
      </w:pPr>
      <w:r>
        <w:t xml:space="preserve">any excise duty or other import charges, except the VAT itself</w:t>
      </w:r>
      <w:r>
        <w:t xml:space="preserve"> </w:t>
      </w:r>
      <w:r>
        <w:t xml:space="preserve">(</w:t>
      </w:r>
      <w:hyperlink w:anchor="ref-hmrc_import_vat">
        <w:r>
          <w:rPr>
            <w:rStyle w:val="Hyperlink"/>
          </w:rPr>
          <w:t xml:space="preserve">HMRC, 2020b</w:t>
        </w:r>
      </w:hyperlink>
      <w:r>
        <w:t xml:space="preserve">)</w:t>
      </w:r>
    </w:p>
    <w:p>
      <w:pPr>
        <w:pStyle w:val="FirstParagraph"/>
      </w:pPr>
      <w:r>
        <w:t xml:space="preserve">If a further destination in the UK is known when the goods are imported, the incidental expenses of getting them there are added too. This rule is set out in section 21 of the Value Added Tax Act 1994 (s. 21(2)). The rate of customs duty depends on the goods’</w:t>
      </w:r>
      <w:r>
        <w:t xml:space="preserve"> </w:t>
      </w:r>
      <w:r>
        <w:rPr>
          <w:b/>
          <w:bCs/>
        </w:rPr>
        <w:t xml:space="preserve">commodity code</w:t>
      </w:r>
      <w:r>
        <w:t xml:space="preserve"> </w:t>
      </w:r>
      <w:r>
        <w:t xml:space="preserve">(the classification number that goes on the import declaration)</w:t>
      </w:r>
      <w:r>
        <w:t xml:space="preserve"> </w:t>
      </w:r>
      <w:r>
        <w:t xml:space="preserve">(</w:t>
      </w:r>
      <w:hyperlink w:anchor="ref-govuk_import_goods">
        <w:r>
          <w:rPr>
            <w:rStyle w:val="Hyperlink"/>
          </w:rPr>
          <w:t xml:space="preserve">GOV.UK, 2026</w:t>
        </w:r>
      </w:hyperlink>
      <w:r>
        <w:t xml:space="preserve">)</w:t>
      </w:r>
      <w:r>
        <w:t xml:space="preserve">.</w:t>
      </w:r>
    </w:p>
    <w:p>
      <w:pPr>
        <w:pStyle w:val="BodyText"/>
      </w:pPr>
      <w:r>
        <w:t xml:space="preserve">The short calculation below shows how duty increases the VAT.</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238"/>
        <w:gridCol w:w="4549"/>
        <w:gridCol w:w="2238"/>
      </w:tblGrid>
      <w:tr>
        <w:trPr>
          <w:tblHeader w:val="true"/>
          <w:cantSplit w:val="true"/>
        </w:trPr>
        <w:tc>
          <w:tcPr>
            <w:tcW w:w="2238" w:type="dxa"/>
            <w:shd w:val="clear" w:color="auto" w:fill="1B3A5C"/>
          </w:tcPr>
          <w:p>
            <w:pPr>
              <w:pStyle w:val="Compact"/>
              <w:spacing w:after="40" w:before="40"/>
              <w:jc w:val="left"/>
            </w:pPr>
            <w:r>
              <w:rPr>
                <w:rFonts w:ascii="Tahoma" w:hAnsi="Tahoma"/>
                <w:b/>
                <w:color w:val="FFFFFF"/>
                <w:sz w:val="22"/>
              </w:rPr>
              <w:t xml:space="preserve">Step</w:t>
            </w:r>
          </w:p>
        </w:tc>
        <w:tc>
          <w:tcPr>
            <w:tcW w:w="4549" w:type="dxa"/>
            <w:shd w:val="clear" w:color="auto" w:fill="1B3A5C"/>
          </w:tcPr>
          <w:p>
            <w:pPr>
              <w:pStyle w:val="Compact"/>
              <w:spacing w:after="40" w:before="40"/>
              <w:jc w:val="left"/>
            </w:pPr>
            <w:r>
              <w:rPr>
                <w:rFonts w:ascii="Tahoma" w:hAnsi="Tahoma"/>
                <w:b/>
                <w:color w:val="FFFFFF"/>
                <w:sz w:val="22"/>
              </w:rPr>
              <w:t xml:space="preserve">Item</w:t>
            </w:r>
          </w:p>
        </w:tc>
        <w:tc>
          <w:tcPr>
            <w:tcW w:w="2238" w:type="dxa"/>
            <w:shd w:val="clear" w:color="auto" w:fill="1B3A5C"/>
          </w:tcPr>
          <w:p>
            <w:pPr>
              <w:pStyle w:val="Compact"/>
              <w:spacing w:after="40" w:before="40"/>
              <w:jc w:val="left"/>
            </w:pPr>
            <w:r>
              <w:rPr>
                <w:rFonts w:ascii="Tahoma" w:hAnsi="Tahoma"/>
                <w:b/>
                <w:color w:val="FFFFFF"/>
                <w:sz w:val="22"/>
              </w:rPr>
              <w:t xml:space="preserve">Amount</w:t>
            </w:r>
          </w:p>
        </w:tc>
      </w:tr>
      <w:tr>
        <w:trPr>
          <w:cantSplit w:val="true"/>
        </w:trPr>
        <w:tc>
          <w:tcPr>
            <w:tcW w:w="2238" w:type="dxa"/>
            <w:shd w:val="clear" w:color="auto" w:fill="EAF3FA"/>
          </w:tcPr>
          <w:p>
            <w:pPr>
              <w:pStyle w:val="Compact"/>
              <w:spacing w:after="40" w:before="40"/>
              <w:jc w:val="left"/>
            </w:pPr>
            <w:r>
              <w:rPr>
                <w:rFonts w:ascii="Tahoma" w:hAnsi="Tahoma"/>
                <w:sz w:val="22"/>
              </w:rPr>
              <w:t xml:space="preserve">1</w:t>
            </w:r>
          </w:p>
        </w:tc>
        <w:tc>
          <w:tcPr>
            <w:tcW w:w="4549" w:type="dxa"/>
            <w:shd w:val="clear" w:color="auto" w:fill="EAF3FA"/>
          </w:tcPr>
          <w:p>
            <w:pPr>
              <w:pStyle w:val="Compact"/>
              <w:spacing w:after="40" w:before="40"/>
              <w:jc w:val="left"/>
            </w:pPr>
            <w:r>
              <w:rPr>
                <w:rFonts w:ascii="Tahoma" w:hAnsi="Tahoma"/>
                <w:sz w:val="22"/>
              </w:rPr>
              <w:t xml:space="preserve">Customs value, including transport and insurance to the UK</w:t>
            </w:r>
          </w:p>
        </w:tc>
        <w:tc>
          <w:tcPr>
            <w:tcW w:w="2238" w:type="dxa"/>
            <w:shd w:val="clear" w:color="auto" w:fill="EAF3FA"/>
          </w:tcPr>
          <w:p>
            <w:pPr>
              <w:pStyle w:val="Compact"/>
              <w:spacing w:after="40" w:before="40"/>
              <w:jc w:val="left"/>
            </w:pPr>
            <w:r>
              <w:rPr>
                <w:rFonts w:ascii="Tahoma" w:hAnsi="Tahoma"/>
                <w:sz w:val="22"/>
              </w:rPr>
              <w:t xml:space="preserve">£10,000</w:t>
            </w:r>
          </w:p>
        </w:tc>
      </w:tr>
      <w:tr>
        <w:trPr>
          <w:cantSplit w:val="true"/>
        </w:trPr>
        <w:tc>
          <w:tcPr>
            <w:tcW w:w="2238" w:type="dxa"/>
            <w:shd w:val="clear" w:color="auto" w:fill="FFFFFF"/>
          </w:tcPr>
          <w:p>
            <w:pPr>
              <w:pStyle w:val="Compact"/>
              <w:spacing w:after="40" w:before="40"/>
              <w:jc w:val="left"/>
            </w:pPr>
            <w:r>
              <w:rPr>
                <w:rFonts w:ascii="Tahoma" w:hAnsi="Tahoma"/>
                <w:sz w:val="22"/>
              </w:rPr>
              <w:t xml:space="preserve">2</w:t>
            </w:r>
          </w:p>
        </w:tc>
        <w:tc>
          <w:tcPr>
            <w:tcW w:w="4549" w:type="dxa"/>
            <w:shd w:val="clear" w:color="auto" w:fill="FFFFFF"/>
          </w:tcPr>
          <w:p>
            <w:pPr>
              <w:pStyle w:val="Compact"/>
              <w:spacing w:after="40" w:before="40"/>
              <w:jc w:val="left"/>
            </w:pPr>
            <w:r>
              <w:rPr>
                <w:rFonts w:ascii="Tahoma" w:hAnsi="Tahoma"/>
                <w:sz w:val="22"/>
              </w:rPr>
              <w:t xml:space="preserve">Customs duty (assumed at 2% for this illustration)</w:t>
            </w:r>
          </w:p>
        </w:tc>
        <w:tc>
          <w:tcPr>
            <w:tcW w:w="2238" w:type="dxa"/>
            <w:shd w:val="clear" w:color="auto" w:fill="FFFFFF"/>
          </w:tcPr>
          <w:p>
            <w:pPr>
              <w:pStyle w:val="Compact"/>
              <w:spacing w:after="40" w:before="40"/>
              <w:jc w:val="left"/>
            </w:pPr>
            <w:r>
              <w:rPr>
                <w:rFonts w:ascii="Tahoma" w:hAnsi="Tahoma"/>
                <w:sz w:val="22"/>
              </w:rPr>
              <w:t xml:space="preserve">£200</w:t>
            </w:r>
          </w:p>
        </w:tc>
      </w:tr>
      <w:tr>
        <w:trPr>
          <w:cantSplit w:val="true"/>
        </w:trPr>
        <w:tc>
          <w:tcPr>
            <w:tcW w:w="2238" w:type="dxa"/>
            <w:shd w:val="clear" w:color="auto" w:fill="FBEAF1"/>
          </w:tcPr>
          <w:p>
            <w:pPr>
              <w:pStyle w:val="Compact"/>
              <w:spacing w:after="40" w:before="40"/>
              <w:jc w:val="left"/>
            </w:pPr>
            <w:r>
              <w:rPr>
                <w:rFonts w:ascii="Tahoma" w:hAnsi="Tahoma"/>
                <w:sz w:val="22"/>
              </w:rPr>
              <w:t xml:space="preserve">3</w:t>
            </w:r>
          </w:p>
        </w:tc>
        <w:tc>
          <w:tcPr>
            <w:tcW w:w="4549" w:type="dxa"/>
            <w:shd w:val="clear" w:color="auto" w:fill="FBEAF1"/>
          </w:tcPr>
          <w:p>
            <w:pPr>
              <w:pStyle w:val="Compact"/>
              <w:spacing w:after="40" w:before="40"/>
              <w:jc w:val="left"/>
            </w:pPr>
            <w:r>
              <w:rPr>
                <w:rFonts w:ascii="Tahoma" w:hAnsi="Tahoma"/>
                <w:sz w:val="22"/>
              </w:rPr>
              <w:t xml:space="preserve">Value for import VAT (step 1 plus step 2)</w:t>
            </w:r>
          </w:p>
        </w:tc>
        <w:tc>
          <w:tcPr>
            <w:tcW w:w="2238" w:type="dxa"/>
            <w:shd w:val="clear" w:color="auto" w:fill="FBEAF1"/>
          </w:tcPr>
          <w:p>
            <w:pPr>
              <w:pStyle w:val="Compact"/>
              <w:spacing w:after="40" w:before="40"/>
              <w:jc w:val="left"/>
            </w:pPr>
            <w:r>
              <w:rPr>
                <w:rFonts w:ascii="Tahoma" w:hAnsi="Tahoma"/>
                <w:sz w:val="22"/>
              </w:rPr>
              <w:t xml:space="preserve">£10,200</w:t>
            </w:r>
          </w:p>
        </w:tc>
      </w:tr>
      <w:tr>
        <w:trPr>
          <w:cantSplit w:val="true"/>
        </w:trPr>
        <w:tc>
          <w:tcPr>
            <w:tcW w:w="2238" w:type="dxa"/>
            <w:shd w:val="clear" w:color="auto" w:fill="EAF3FA"/>
          </w:tcPr>
          <w:p>
            <w:pPr>
              <w:pStyle w:val="Compact"/>
              <w:spacing w:after="40" w:before="40"/>
              <w:jc w:val="left"/>
            </w:pPr>
            <w:r>
              <w:rPr>
                <w:rFonts w:ascii="Tahoma" w:hAnsi="Tahoma"/>
                <w:sz w:val="22"/>
              </w:rPr>
              <w:t xml:space="preserve">4</w:t>
            </w:r>
          </w:p>
        </w:tc>
        <w:tc>
          <w:tcPr>
            <w:tcW w:w="4549" w:type="dxa"/>
            <w:shd w:val="clear" w:color="auto" w:fill="EAF3FA"/>
          </w:tcPr>
          <w:p>
            <w:pPr>
              <w:pStyle w:val="Compact"/>
              <w:spacing w:after="40" w:before="40"/>
              <w:jc w:val="left"/>
            </w:pPr>
            <w:r>
              <w:rPr>
                <w:rFonts w:ascii="Tahoma" w:hAnsi="Tahoma"/>
                <w:sz w:val="22"/>
              </w:rPr>
              <w:t xml:space="preserve">Import VAT at 20% (£10,200 × 20%)</w:t>
            </w:r>
          </w:p>
        </w:tc>
        <w:tc>
          <w:tcPr>
            <w:tcW w:w="2238" w:type="dxa"/>
            <w:shd w:val="clear" w:color="auto" w:fill="EAF3FA"/>
          </w:tcPr>
          <w:p>
            <w:pPr>
              <w:pStyle w:val="Compact"/>
              <w:spacing w:after="40" w:before="40"/>
              <w:jc w:val="left"/>
            </w:pPr>
            <w:r>
              <w:rPr>
                <w:rFonts w:ascii="Tahoma" w:hAnsi="Tahoma"/>
                <w:sz w:val="22"/>
              </w:rPr>
              <w:t xml:space="preserve">£2,040</w:t>
            </w:r>
          </w:p>
        </w:tc>
      </w:tr>
    </w:tbl>
    <w:p>
      <w:pPr>
        <w:pStyle w:val="BodyText"/>
        <w:spacing w:before="200"/>
      </w:pPr>
      <w:r>
        <w:t xml:space="preserve">Customs duty is a separate charge from VAT. It is not input tax, because input tax means VAT on supplies to you or on your imports (Value Added Tax Act 1994, s. 24(1)). Duty therefore never goes in Box 4 of the VAT return.</w:t>
      </w:r>
    </w:p>
    <w:bookmarkEnd w:id="153"/>
    <w:bookmarkStart w:id="154" w:name="who-pays-and-how"/>
    <w:p>
      <w:pPr>
        <w:pStyle w:val="Heading4"/>
      </w:pPr>
      <w:r>
        <w:t xml:space="preserve">Who pays, and how</w:t>
      </w:r>
    </w:p>
    <w:p>
      <w:pPr>
        <w:pStyle w:val="FirstParagraph"/>
      </w:pPr>
      <w:r>
        <w:t xml:space="preserve">The importer must tell HMRC about the goods and pay any VAT and duty due</w:t>
      </w:r>
      <w:r>
        <w:t xml:space="preserve"> </w:t>
      </w:r>
      <w:r>
        <w:t xml:space="preserve">(</w:t>
      </w:r>
      <w:hyperlink w:anchor="ref-hmrc_import_vat">
        <w:r>
          <w:rPr>
            <w:rStyle w:val="Hyperlink"/>
          </w:rPr>
          <w:t xml:space="preserve">HMRC, 2020b</w:t>
        </w:r>
      </w:hyperlink>
      <w:r>
        <w:t xml:space="preserve">)</w:t>
      </w:r>
      <w:r>
        <w:t xml:space="preserve">. In practice:</w:t>
      </w:r>
    </w:p>
    <w:p>
      <w:pPr>
        <w:pStyle w:val="Compact"/>
        <w:numPr>
          <w:ilvl w:val="0"/>
          <w:numId w:val="1174"/>
        </w:numPr>
      </w:pPr>
      <w:r>
        <w:rPr>
          <w:b/>
          <w:bCs/>
        </w:rPr>
        <w:t xml:space="preserve">EORI number:</w:t>
      </w:r>
      <w:r>
        <w:t xml:space="preserve"> </w:t>
      </w:r>
      <w:r>
        <w:t xml:space="preserve">an importer needs an Economic Operators Registration and Identification (EORI) number starting with GB to import into Great Britain</w:t>
      </w:r>
      <w:r>
        <w:t xml:space="preserve"> </w:t>
      </w:r>
      <w:r>
        <w:t xml:space="preserve">(</w:t>
      </w:r>
      <w:hyperlink w:anchor="ref-govuk_import_goods">
        <w:r>
          <w:rPr>
            <w:rStyle w:val="Hyperlink"/>
          </w:rPr>
          <w:t xml:space="preserve">GOV.UK, 2026</w:t>
        </w:r>
      </w:hyperlink>
      <w:r>
        <w:t xml:space="preserve">)</w:t>
      </w:r>
      <w:r>
        <w:t xml:space="preserve">.</w:t>
      </w:r>
    </w:p>
    <w:p>
      <w:pPr>
        <w:pStyle w:val="Compact"/>
        <w:numPr>
          <w:ilvl w:val="0"/>
          <w:numId w:val="1174"/>
        </w:numPr>
      </w:pPr>
      <w:r>
        <w:rPr>
          <w:b/>
          <w:bCs/>
        </w:rPr>
        <w:t xml:space="preserve">Import declaration:</w:t>
      </w:r>
      <w:r>
        <w:t xml:space="preserve"> </w:t>
      </w:r>
      <w:r>
        <w:t xml:space="preserve">an importer can make the declaration itself or hire someone to do it. Most importing businesses use a transporter or customs agent</w:t>
      </w:r>
      <w:r>
        <w:t xml:space="preserve"> </w:t>
      </w:r>
      <w:r>
        <w:t xml:space="preserve">(</w:t>
      </w:r>
      <w:hyperlink w:anchor="ref-govuk_import_goods">
        <w:r>
          <w:rPr>
            <w:rStyle w:val="Hyperlink"/>
          </w:rPr>
          <w:t xml:space="preserve">GOV.UK, 2026</w:t>
        </w:r>
      </w:hyperlink>
      <w:r>
        <w:t xml:space="preserve">)</w:t>
      </w:r>
      <w:r>
        <w:t xml:space="preserve">.</w:t>
      </w:r>
    </w:p>
    <w:p>
      <w:pPr>
        <w:pStyle w:val="Compact"/>
        <w:numPr>
          <w:ilvl w:val="0"/>
          <w:numId w:val="1174"/>
        </w:numPr>
      </w:pPr>
      <w:r>
        <w:rPr>
          <w:b/>
          <w:bCs/>
        </w:rPr>
        <w:t xml:space="preserve">Customs Declaration Service (CDS):</w:t>
      </w:r>
      <w:r>
        <w:t xml:space="preserve"> </w:t>
      </w:r>
      <w:r>
        <w:t xml:space="preserve">this is HMRC’s online customs system. Payments, payment accounts and the authority for an agent to use them are managed through it</w:t>
      </w:r>
      <w:r>
        <w:t xml:space="preserve"> </w:t>
      </w:r>
      <w:r>
        <w:t xml:space="preserve">(</w:t>
      </w:r>
      <w:hyperlink w:anchor="ref-hmrc_pay_import_duties">
        <w:r>
          <w:rPr>
            <w:rStyle w:val="Hyperlink"/>
          </w:rPr>
          <w:t xml:space="preserve">HMRC, 2024b</w:t>
        </w:r>
      </w:hyperlink>
      <w:r>
        <w:t xml:space="preserve">)</w:t>
      </w:r>
      <w:r>
        <w:t xml:space="preserve">.</w:t>
      </w:r>
    </w:p>
    <w:p>
      <w:pPr>
        <w:pStyle w:val="FirstParagraph"/>
      </w:pPr>
      <w:r>
        <w:t xml:space="preserve">The table below compares the three main ways to pay import VAT</w:t>
      </w:r>
      <w:r>
        <w:t xml:space="preserve"> </w:t>
      </w:r>
      <w:r>
        <w:t xml:space="preserve">(</w:t>
      </w:r>
      <w:hyperlink w:anchor="ref-hmrc_pay_import_duties">
        <w:r>
          <w:rPr>
            <w:rStyle w:val="Hyperlink"/>
          </w:rPr>
          <w:t xml:space="preserve">HMRC, 2024b</w:t>
        </w:r>
      </w:hyperlink>
      <w:r>
        <w:t xml:space="preserve">,</w:t>
      </w:r>
      <w:r>
        <w:t xml:space="preserve"> </w:t>
      </w:r>
      <w:hyperlink w:anchor="ref-hmrc_pva_statement">
        <w:r>
          <w:rPr>
            <w:rStyle w:val="Hyperlink"/>
          </w:rPr>
          <w:t xml:space="preserve">2024a</w:t>
        </w:r>
      </w:hyperlink>
      <w:r>
        <w:t xml:space="preserve">,</w:t>
      </w:r>
      <w:r>
        <w:t xml:space="preserve"> </w:t>
      </w:r>
      <w:hyperlink w:anchor="ref-hmrc_c79">
        <w:r>
          <w:rPr>
            <w:rStyle w:val="Hyperlink"/>
          </w:rPr>
          <w:t xml:space="preserve">2026f</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741"/>
        <w:gridCol w:w="3232"/>
        <w:gridCol w:w="3052"/>
      </w:tblGrid>
      <w:tr>
        <w:trPr>
          <w:tblHeader w:val="true"/>
          <w:cantSplit w:val="true"/>
        </w:trPr>
        <w:tc>
          <w:tcPr>
            <w:tcW w:w="2741" w:type="dxa"/>
            <w:shd w:val="clear" w:color="auto" w:fill="1B3A5C"/>
          </w:tcPr>
          <w:p>
            <w:pPr>
              <w:pStyle w:val="Compact"/>
              <w:spacing w:after="40" w:before="40"/>
              <w:jc w:val="left"/>
            </w:pPr>
            <w:r>
              <w:rPr>
                <w:rFonts w:ascii="Tahoma" w:hAnsi="Tahoma"/>
                <w:b/>
                <w:color w:val="FFFFFF"/>
                <w:sz w:val="22"/>
              </w:rPr>
              <w:t xml:space="preserve">Method</w:t>
            </w:r>
          </w:p>
        </w:tc>
        <w:tc>
          <w:tcPr>
            <w:tcW w:w="3232" w:type="dxa"/>
            <w:shd w:val="clear" w:color="auto" w:fill="1B3A5C"/>
          </w:tcPr>
          <w:p>
            <w:pPr>
              <w:pStyle w:val="Compact"/>
              <w:spacing w:after="40" w:before="40"/>
              <w:jc w:val="left"/>
            </w:pPr>
            <w:r>
              <w:rPr>
                <w:rFonts w:ascii="Tahoma" w:hAnsi="Tahoma"/>
                <w:b/>
                <w:color w:val="FFFFFF"/>
                <w:sz w:val="22"/>
              </w:rPr>
              <w:t xml:space="preserve">When the VAT is paid</w:t>
            </w:r>
          </w:p>
        </w:tc>
        <w:tc>
          <w:tcPr>
            <w:tcW w:w="3052" w:type="dxa"/>
            <w:shd w:val="clear" w:color="auto" w:fill="1B3A5C"/>
          </w:tcPr>
          <w:p>
            <w:pPr>
              <w:pStyle w:val="Compact"/>
              <w:spacing w:after="40" w:before="40"/>
              <w:jc w:val="left"/>
            </w:pPr>
            <w:r>
              <w:rPr>
                <w:rFonts w:ascii="Tahoma" w:hAnsi="Tahoma"/>
                <w:b/>
                <w:color w:val="FFFFFF"/>
                <w:sz w:val="22"/>
              </w:rPr>
              <w:t xml:space="preserve">Evidence to keep for input tax</w:t>
            </w:r>
          </w:p>
        </w:tc>
      </w:tr>
      <w:tr>
        <w:trPr>
          <w:cantSplit w:val="true"/>
        </w:trPr>
        <w:tc>
          <w:tcPr>
            <w:tcW w:w="2741" w:type="dxa"/>
            <w:shd w:val="clear" w:color="auto" w:fill="EAF3FA"/>
          </w:tcPr>
          <w:p>
            <w:pPr>
              <w:pStyle w:val="Compact"/>
              <w:spacing w:after="40" w:before="40"/>
              <w:jc w:val="left"/>
            </w:pPr>
            <w:r>
              <w:rPr>
                <w:rFonts w:ascii="Tahoma" w:hAnsi="Tahoma"/>
                <w:sz w:val="22"/>
              </w:rPr>
              <w:t xml:space="preserve">Immediate payment (including a CDS cash account)</w:t>
            </w:r>
          </w:p>
        </w:tc>
        <w:tc>
          <w:tcPr>
            <w:tcW w:w="3232" w:type="dxa"/>
            <w:shd w:val="clear" w:color="auto" w:fill="EAF3FA"/>
          </w:tcPr>
          <w:p>
            <w:pPr>
              <w:pStyle w:val="Compact"/>
              <w:spacing w:after="40" w:before="40"/>
              <w:jc w:val="left"/>
            </w:pPr>
            <w:r>
              <w:rPr>
                <w:rFonts w:ascii="Tahoma" w:hAnsi="Tahoma"/>
                <w:sz w:val="22"/>
              </w:rPr>
              <w:t xml:space="preserve">When the goods are declared</w:t>
            </w:r>
          </w:p>
        </w:tc>
        <w:tc>
          <w:tcPr>
            <w:tcW w:w="3052" w:type="dxa"/>
            <w:shd w:val="clear" w:color="auto" w:fill="EAF3FA"/>
          </w:tcPr>
          <w:p>
            <w:pPr>
              <w:pStyle w:val="Compact"/>
              <w:spacing w:after="40" w:before="40"/>
              <w:jc w:val="left"/>
            </w:pPr>
            <w:r>
              <w:rPr>
                <w:rFonts w:ascii="Tahoma" w:hAnsi="Tahoma"/>
                <w:sz w:val="22"/>
              </w:rPr>
              <w:t xml:space="preserve">Import VAT certificate (C79)</w:t>
            </w:r>
          </w:p>
        </w:tc>
      </w:tr>
      <w:tr>
        <w:trPr>
          <w:cantSplit w:val="true"/>
        </w:trPr>
        <w:tc>
          <w:tcPr>
            <w:tcW w:w="2741" w:type="dxa"/>
            <w:shd w:val="clear" w:color="auto" w:fill="FFFFFF"/>
          </w:tcPr>
          <w:p>
            <w:pPr>
              <w:pStyle w:val="Compact"/>
              <w:spacing w:after="40" w:before="40"/>
              <w:jc w:val="left"/>
            </w:pPr>
            <w:r>
              <w:rPr>
                <w:rFonts w:ascii="Tahoma" w:hAnsi="Tahoma"/>
                <w:sz w:val="22"/>
              </w:rPr>
              <w:t xml:space="preserve">Duty deferment account</w:t>
            </w:r>
          </w:p>
        </w:tc>
        <w:tc>
          <w:tcPr>
            <w:tcW w:w="3232" w:type="dxa"/>
            <w:shd w:val="clear" w:color="auto" w:fill="FFFFFF"/>
          </w:tcPr>
          <w:p>
            <w:pPr>
              <w:pStyle w:val="Compact"/>
              <w:spacing w:after="40" w:before="40"/>
              <w:jc w:val="left"/>
            </w:pPr>
            <w:r>
              <w:rPr>
                <w:rFonts w:ascii="Tahoma" w:hAnsi="Tahoma"/>
                <w:sz w:val="22"/>
              </w:rPr>
              <w:t xml:space="preserve">One monthly Direct Debit, on average 30 days later</w:t>
            </w:r>
          </w:p>
        </w:tc>
        <w:tc>
          <w:tcPr>
            <w:tcW w:w="3052" w:type="dxa"/>
            <w:shd w:val="clear" w:color="auto" w:fill="FFFFFF"/>
          </w:tcPr>
          <w:p>
            <w:pPr>
              <w:pStyle w:val="Compact"/>
              <w:spacing w:after="40" w:before="40"/>
              <w:jc w:val="left"/>
            </w:pPr>
            <w:r>
              <w:rPr>
                <w:rFonts w:ascii="Tahoma" w:hAnsi="Tahoma"/>
                <w:sz w:val="22"/>
              </w:rPr>
              <w:t xml:space="preserve">Import VAT certificate (C79)</w:t>
            </w:r>
          </w:p>
        </w:tc>
      </w:tr>
      <w:tr>
        <w:trPr>
          <w:cantSplit w:val="true"/>
        </w:trPr>
        <w:tc>
          <w:tcPr>
            <w:tcW w:w="2741" w:type="dxa"/>
            <w:shd w:val="clear" w:color="auto" w:fill="FBEAF1"/>
          </w:tcPr>
          <w:p>
            <w:pPr>
              <w:pStyle w:val="Compact"/>
              <w:spacing w:after="40" w:before="40"/>
              <w:jc w:val="left"/>
            </w:pPr>
            <w:r>
              <w:rPr>
                <w:rFonts w:ascii="Tahoma" w:hAnsi="Tahoma"/>
                <w:sz w:val="22"/>
              </w:rPr>
              <w:t xml:space="preserve">Postponed VAT accounting</w:t>
            </w:r>
          </w:p>
        </w:tc>
        <w:tc>
          <w:tcPr>
            <w:tcW w:w="3232" w:type="dxa"/>
            <w:shd w:val="clear" w:color="auto" w:fill="FBEAF1"/>
          </w:tcPr>
          <w:p>
            <w:pPr>
              <w:pStyle w:val="Compact"/>
              <w:spacing w:after="40" w:before="40"/>
              <w:jc w:val="left"/>
            </w:pPr>
            <w:r>
              <w:rPr>
                <w:rFonts w:ascii="Tahoma" w:hAnsi="Tahoma"/>
                <w:sz w:val="22"/>
              </w:rPr>
              <w:t xml:space="preserve">On the VAT return for the period of import</w:t>
            </w:r>
          </w:p>
        </w:tc>
        <w:tc>
          <w:tcPr>
            <w:tcW w:w="3052" w:type="dxa"/>
            <w:shd w:val="clear" w:color="auto" w:fill="FBEAF1"/>
          </w:tcPr>
          <w:p>
            <w:pPr>
              <w:pStyle w:val="Compact"/>
              <w:spacing w:after="40" w:before="40"/>
              <w:jc w:val="left"/>
            </w:pPr>
            <w:r>
              <w:rPr>
                <w:rFonts w:ascii="Tahoma" w:hAnsi="Tahoma"/>
                <w:sz w:val="22"/>
              </w:rPr>
              <w:t xml:space="preserve">Monthly postponed import VAT statement</w:t>
            </w:r>
          </w:p>
        </w:tc>
      </w:tr>
    </w:tbl>
    <w:p>
      <w:pPr>
        <w:pStyle w:val="Compact"/>
        <w:numPr>
          <w:ilvl w:val="0"/>
          <w:numId w:val="1175"/>
        </w:numPr>
        <w:spacing w:before="200"/>
      </w:pPr>
      <w:r>
        <w:rPr>
          <w:b/>
          <w:bCs/>
        </w:rPr>
        <w:t xml:space="preserve">Duty deferment account:</w:t>
      </w:r>
      <w:r>
        <w:t xml:space="preserve"> </w:t>
      </w:r>
      <w:r>
        <w:t xml:space="preserve">an importer can set up an account with HMRC so that duty and import VAT are paid by one Direct Debit a month instead of for each consignment</w:t>
      </w:r>
      <w:r>
        <w:t xml:space="preserve"> </w:t>
      </w:r>
      <w:r>
        <w:t xml:space="preserve">(</w:t>
      </w:r>
      <w:hyperlink w:anchor="ref-hmrc_pay_import_duties">
        <w:r>
          <w:rPr>
            <w:rStyle w:val="Hyperlink"/>
          </w:rPr>
          <w:t xml:space="preserve">HMRC, 2024b</w:t>
        </w:r>
      </w:hyperlink>
      <w:r>
        <w:t xml:space="preserve">)</w:t>
      </w:r>
      <w:r>
        <w:t xml:space="preserve">. HMRC does not charge for setting one up</w:t>
      </w:r>
      <w:r>
        <w:t xml:space="preserve"> </w:t>
      </w:r>
      <w:r>
        <w:t xml:space="preserve">(</w:t>
      </w:r>
      <w:hyperlink w:anchor="ref-hmrc_import_vat">
        <w:r>
          <w:rPr>
            <w:rStyle w:val="Hyperlink"/>
          </w:rPr>
          <w:t xml:space="preserve">HMRC, 2020b</w:t>
        </w:r>
      </w:hyperlink>
      <w:r>
        <w:t xml:space="preserve">)</w:t>
      </w:r>
      <w:r>
        <w:t xml:space="preserve">. A guarantee from a UK-established financial institution regulated by the Prudential Regulation Authority is needed, unless HMRC approves a guarantee waiver</w:t>
      </w:r>
      <w:r>
        <w:t xml:space="preserve"> </w:t>
      </w:r>
      <w:r>
        <w:t xml:space="preserve">(</w:t>
      </w:r>
      <w:hyperlink w:anchor="ref-hmrc_dda_apply">
        <w:r>
          <w:rPr>
            <w:rStyle w:val="Hyperlink"/>
          </w:rPr>
          <w:t xml:space="preserve">HMRC, 2025a</w:t>
        </w:r>
      </w:hyperlink>
      <w:r>
        <w:t xml:space="preserve">)</w:t>
      </w:r>
      <w:r>
        <w:t xml:space="preserve">.</w:t>
      </w:r>
    </w:p>
    <w:p>
      <w:pPr>
        <w:pStyle w:val="Compact"/>
        <w:numPr>
          <w:ilvl w:val="0"/>
          <w:numId w:val="1175"/>
        </w:numPr>
      </w:pPr>
      <w:r>
        <w:rPr>
          <w:b/>
          <w:bCs/>
        </w:rPr>
        <w:t xml:space="preserve">Postponed VAT accounting (PVA):</w:t>
      </w:r>
      <w:r>
        <w:t xml:space="preserve"> </w:t>
      </w:r>
      <w:r>
        <w:t xml:space="preserve">a VAT-registered importer declares the import VAT and reclaims it (if allowed) on the same VAT return, instead of paying it upfront when the goods are imported</w:t>
      </w:r>
      <w:r>
        <w:t xml:space="preserve"> </w:t>
      </w:r>
      <w:r>
        <w:t xml:space="preserve">(</w:t>
      </w:r>
      <w:hyperlink w:anchor="ref-hmrc_pva">
        <w:r>
          <w:rPr>
            <w:rStyle w:val="Hyperlink"/>
          </w:rPr>
          <w:t xml:space="preserve">HMRC, 2025c</w:t>
        </w:r>
      </w:hyperlink>
      <w:r>
        <w:t xml:space="preserve">)</w:t>
      </w:r>
      <w:r>
        <w:t xml:space="preserve">.</w:t>
      </w:r>
    </w:p>
    <w:bookmarkEnd w:id="154"/>
    <w:bookmarkStart w:id="155" w:name="postponed-vat-accounting-in-more-detail"/>
    <w:p>
      <w:pPr>
        <w:pStyle w:val="Heading4"/>
      </w:pPr>
      <w:r>
        <w:t xml:space="preserve">Postponed VAT accounting in more detail</w:t>
      </w:r>
    </w:p>
    <w:p>
      <w:pPr>
        <w:pStyle w:val="FirstParagraph"/>
      </w:pPr>
      <w:r>
        <w:t xml:space="preserve">PVA is a cash-flow tool. It does not change how much VAT can be recovered:</w:t>
      </w:r>
      <w:r>
        <w:t xml:space="preserve"> </w:t>
      </w:r>
      <w:r>
        <w:t xml:space="preserve">“</w:t>
      </w:r>
      <w:r>
        <w:t xml:space="preserve">The normal rules about what VAT you can reclaim as input tax apply</w:t>
      </w:r>
      <w:r>
        <w:t xml:space="preserve">”</w:t>
      </w:r>
      <w:r>
        <w:t xml:space="preserve"> </w:t>
      </w:r>
      <w:r>
        <w:t xml:space="preserve">(</w:t>
      </w:r>
      <w:hyperlink w:anchor="ref-hmrc_pva">
        <w:r>
          <w:rPr>
            <w:rStyle w:val="Hyperlink"/>
          </w:rPr>
          <w:t xml:space="preserve">HMRC, 2025c</w:t>
        </w:r>
      </w:hyperlink>
      <w:r>
        <w:t xml:space="preserve">)</w:t>
      </w:r>
      <w:r>
        <w:t xml:space="preserve">.</w:t>
      </w:r>
    </w:p>
    <w:p>
      <w:pPr>
        <w:pStyle w:val="Compact"/>
        <w:numPr>
          <w:ilvl w:val="0"/>
          <w:numId w:val="1176"/>
        </w:numPr>
      </w:pPr>
      <w:r>
        <w:rPr>
          <w:b/>
          <w:bCs/>
        </w:rPr>
        <w:t xml:space="preserve">Who can use it:</w:t>
      </w:r>
      <w:r>
        <w:t xml:space="preserve"> </w:t>
      </w:r>
      <w:r>
        <w:t xml:space="preserve">the importer must be registered for VAT in the UK. No approval is needed</w:t>
      </w:r>
      <w:r>
        <w:t xml:space="preserve"> </w:t>
      </w:r>
      <w:r>
        <w:t xml:space="preserve">(</w:t>
      </w:r>
      <w:hyperlink w:anchor="ref-hmrc_pva">
        <w:r>
          <w:rPr>
            <w:rStyle w:val="Hyperlink"/>
          </w:rPr>
          <w:t xml:space="preserve">HMRC, 2025c</w:t>
        </w:r>
      </w:hyperlink>
      <w:r>
        <w:t xml:space="preserve">)</w:t>
      </w:r>
      <w:r>
        <w:t xml:space="preserve">.</w:t>
      </w:r>
    </w:p>
    <w:p>
      <w:pPr>
        <w:pStyle w:val="Compact"/>
        <w:numPr>
          <w:ilvl w:val="0"/>
          <w:numId w:val="1176"/>
        </w:numPr>
      </w:pPr>
      <w:r>
        <w:rPr>
          <w:b/>
          <w:bCs/>
        </w:rPr>
        <w:t xml:space="preserve">Conditions:</w:t>
      </w:r>
      <w:r>
        <w:t xml:space="preserve"> </w:t>
      </w:r>
      <w:r>
        <w:t xml:space="preserve">the goods must be for use in the importer’s business, the importer must have the right to dispose of them (usually as owner), and its VAT registration number must be on the import declaration</w:t>
      </w:r>
      <w:r>
        <w:t xml:space="preserve"> </w:t>
      </w:r>
      <w:r>
        <w:t xml:space="preserve">(</w:t>
      </w:r>
      <w:hyperlink w:anchor="ref-hmrc_pva">
        <w:r>
          <w:rPr>
            <w:rStyle w:val="Hyperlink"/>
          </w:rPr>
          <w:t xml:space="preserve">HMRC, 2025c</w:t>
        </w:r>
      </w:hyperlink>
      <w:r>
        <w:t xml:space="preserve">)</w:t>
      </w:r>
      <w:r>
        <w:t xml:space="preserve">.</w:t>
      </w:r>
    </w:p>
    <w:p>
      <w:pPr>
        <w:pStyle w:val="Compact"/>
        <w:numPr>
          <w:ilvl w:val="0"/>
          <w:numId w:val="1176"/>
        </w:numPr>
      </w:pPr>
      <w:r>
        <w:rPr>
          <w:b/>
          <w:bCs/>
        </w:rPr>
        <w:t xml:space="preserve">Agents:</w:t>
      </w:r>
      <w:r>
        <w:t xml:space="preserve"> </w:t>
      </w:r>
      <w:r>
        <w:t xml:space="preserve">if a freight forwarder, customs agent, broker or express operator makes the declaration, the importer must tell them in writing that it wants to use PVA. They must have that written confirmation before they make the declaration, and the importer should keep a record of its instructions</w:t>
      </w:r>
      <w:r>
        <w:t xml:space="preserve"> </w:t>
      </w:r>
      <w:r>
        <w:t xml:space="preserve">(</w:t>
      </w:r>
      <w:hyperlink w:anchor="ref-hmrc_pva">
        <w:r>
          <w:rPr>
            <w:rStyle w:val="Hyperlink"/>
          </w:rPr>
          <w:t xml:space="preserve">HMRC, 2025c</w:t>
        </w:r>
      </w:hyperlink>
      <w:r>
        <w:t xml:space="preserve">)</w:t>
      </w:r>
      <w:r>
        <w:t xml:space="preserve">.</w:t>
      </w:r>
    </w:p>
    <w:p>
      <w:pPr>
        <w:pStyle w:val="Compact"/>
        <w:numPr>
          <w:ilvl w:val="0"/>
          <w:numId w:val="1176"/>
        </w:numPr>
      </w:pPr>
      <w:r>
        <w:rPr>
          <w:b/>
          <w:bCs/>
        </w:rPr>
        <w:t xml:space="preserve">No changes afterwards:</w:t>
      </w:r>
      <w:r>
        <w:t xml:space="preserve"> </w:t>
      </w:r>
      <w:r>
        <w:t xml:space="preserve">the choice cannot be changed once the declaration has been submitted</w:t>
      </w:r>
      <w:r>
        <w:t xml:space="preserve"> </w:t>
      </w:r>
      <w:r>
        <w:t xml:space="preserve">(</w:t>
      </w:r>
      <w:hyperlink w:anchor="ref-hmrc_pva">
        <w:r>
          <w:rPr>
            <w:rStyle w:val="Hyperlink"/>
          </w:rPr>
          <w:t xml:space="preserve">HMRC, 2025c</w:t>
        </w:r>
      </w:hyperlink>
      <w:r>
        <w:t xml:space="preserve">)</w:t>
      </w:r>
      <w:r>
        <w:t xml:space="preserve">.</w:t>
      </w:r>
    </w:p>
    <w:p>
      <w:pPr>
        <w:pStyle w:val="Compact"/>
        <w:numPr>
          <w:ilvl w:val="0"/>
          <w:numId w:val="1176"/>
        </w:numPr>
      </w:pPr>
      <w:r>
        <w:rPr>
          <w:b/>
          <w:bCs/>
        </w:rPr>
        <w:t xml:space="preserve">Royal Mail:</w:t>
      </w:r>
      <w:r>
        <w:t xml:space="preserve"> </w:t>
      </w:r>
      <w:r>
        <w:t xml:space="preserve">goods received through the post in consignments of more than £135 using Royal Mail Group (including Parcelforce, unless it is acting as an express operator) cannot use PVA. Royal Mail Group’s commercial (non-postal) services offer PVA if the importer asks</w:t>
      </w:r>
      <w:r>
        <w:t xml:space="preserve"> </w:t>
      </w:r>
      <w:r>
        <w:t xml:space="preserve">(</w:t>
      </w:r>
      <w:hyperlink w:anchor="ref-hmrc_pva">
        <w:r>
          <w:rPr>
            <w:rStyle w:val="Hyperlink"/>
          </w:rPr>
          <w:t xml:space="preserve">HMRC, 2025c</w:t>
        </w:r>
      </w:hyperlink>
      <w:r>
        <w:t xml:space="preserve">)</w:t>
      </w:r>
      <w:r>
        <w:t xml:space="preserve">.</w:t>
      </w:r>
    </w:p>
    <w:p>
      <w:pPr>
        <w:pStyle w:val="FirstParagraph"/>
      </w:pPr>
      <w:r>
        <w:t xml:space="preserve">Each month HMRC makes a</w:t>
      </w:r>
      <w:r>
        <w:t xml:space="preserve"> </w:t>
      </w:r>
      <w:r>
        <w:rPr>
          <w:b/>
          <w:bCs/>
        </w:rPr>
        <w:t xml:space="preserve">postponed import VAT statement</w:t>
      </w:r>
      <w:r>
        <w:t xml:space="preserve"> </w:t>
      </w:r>
      <w:r>
        <w:t xml:space="preserve">available online, usually by the 10th working day. It can only be accessed for 6 months, so download and keep each one</w:t>
      </w:r>
      <w:r>
        <w:t xml:space="preserve"> </w:t>
      </w:r>
      <w:r>
        <w:t xml:space="preserve">(</w:t>
      </w:r>
      <w:hyperlink w:anchor="ref-hmrc_pva_statement">
        <w:r>
          <w:rPr>
            <w:rStyle w:val="Hyperlink"/>
          </w:rPr>
          <w:t xml:space="preserve">HMRC, 2024a</w:t>
        </w:r>
      </w:hyperlink>
      <w:r>
        <w:t xml:space="preserve">)</w:t>
      </w:r>
      <w:r>
        <w:t xml:space="preserve">.</w:t>
      </w:r>
    </w:p>
    <w:p>
      <w:pPr>
        <w:pStyle w:val="BodyText"/>
      </w:pPr>
      <w:r>
        <w:t xml:space="preserve">On the VAT return for the period that covers the date of import:</w:t>
      </w:r>
    </w:p>
    <w:p>
      <w:pPr>
        <w:pStyle w:val="Compact"/>
        <w:numPr>
          <w:ilvl w:val="0"/>
          <w:numId w:val="1177"/>
        </w:numPr>
      </w:pPr>
      <w:r>
        <w:rPr>
          <w:b/>
          <w:bCs/>
        </w:rPr>
        <w:t xml:space="preserve">Box 1:</w:t>
      </w:r>
      <w:r>
        <w:t xml:space="preserve"> </w:t>
      </w:r>
      <w:r>
        <w:t xml:space="preserve">the import VAT postponed in the period (from the monthly statement)</w:t>
      </w:r>
    </w:p>
    <w:p>
      <w:pPr>
        <w:pStyle w:val="Compact"/>
        <w:numPr>
          <w:ilvl w:val="0"/>
          <w:numId w:val="1177"/>
        </w:numPr>
      </w:pPr>
      <w:r>
        <w:rPr>
          <w:b/>
          <w:bCs/>
        </w:rPr>
        <w:t xml:space="preserve">Box 4:</w:t>
      </w:r>
      <w:r>
        <w:t xml:space="preserve"> </w:t>
      </w:r>
      <w:r>
        <w:t xml:space="preserve">the import VAT you are entitled to reclaim under the normal rules</w:t>
      </w:r>
    </w:p>
    <w:p>
      <w:pPr>
        <w:pStyle w:val="Compact"/>
        <w:numPr>
          <w:ilvl w:val="0"/>
          <w:numId w:val="1177"/>
        </w:numPr>
      </w:pPr>
      <w:r>
        <w:rPr>
          <w:b/>
          <w:bCs/>
        </w:rPr>
        <w:t xml:space="preserve">Box 7:</w:t>
      </w:r>
      <w:r>
        <w:t xml:space="preserve"> </w:t>
      </w:r>
      <w:r>
        <w:t xml:space="preserve">the value of the imports, excluding VAT</w:t>
      </w:r>
      <w:r>
        <w:t xml:space="preserve"> </w:t>
      </w:r>
      <w:r>
        <w:t xml:space="preserve">(</w:t>
      </w:r>
      <w:hyperlink w:anchor="ref-hmrc_pva_return">
        <w:r>
          <w:rPr>
            <w:rStyle w:val="Hyperlink"/>
          </w:rPr>
          <w:t xml:space="preserve">HMRC, 2023a</w:t>
        </w:r>
      </w:hyperlink>
      <w:r>
        <w:t xml:space="preserve">;</w:t>
      </w:r>
      <w:r>
        <w:t xml:space="preserve"> </w:t>
      </w:r>
      <w:hyperlink w:anchor="ref-hmrc_n70012">
        <w:r>
          <w:rPr>
            <w:rStyle w:val="Hyperlink"/>
          </w:rPr>
          <w:t xml:space="preserve">HMRC, 2025f</w:t>
        </w:r>
      </w:hyperlink>
      <w:r>
        <w:t xml:space="preserve">, paras. 3.2, 3.5 and 3.8)</w:t>
      </w:r>
    </w:p>
    <w:bookmarkEnd w:id="155"/>
    <w:bookmarkStart w:id="156" w:name="import-vat-certificates-as-evidence"/>
    <w:p>
      <w:pPr>
        <w:pStyle w:val="Heading4"/>
      </w:pPr>
      <w:r>
        <w:t xml:space="preserve">Import VAT certificates as evidence</w:t>
      </w:r>
    </w:p>
    <w:p>
      <w:pPr>
        <w:pStyle w:val="FirstParagraph"/>
      </w:pPr>
      <w:r>
        <w:t xml:space="preserve">If import VAT is paid when the goods are declared or through a duty deferment account, the evidence for reclaiming it is the</w:t>
      </w:r>
      <w:r>
        <w:t xml:space="preserve"> </w:t>
      </w:r>
      <w:r>
        <w:rPr>
          <w:b/>
          <w:bCs/>
        </w:rPr>
        <w:t xml:space="preserve">import VAT certificate (C79)</w:t>
      </w:r>
      <w:r>
        <w:t xml:space="preserve"> </w:t>
      </w:r>
      <w:r>
        <w:t xml:space="preserve">(</w:t>
      </w:r>
      <w:hyperlink w:anchor="ref-hmrc_pay_import_duties">
        <w:r>
          <w:rPr>
            <w:rStyle w:val="Hyperlink"/>
          </w:rPr>
          <w:t xml:space="preserve">HMRC, 2024b</w:t>
        </w:r>
      </w:hyperlink>
      <w:r>
        <w:t xml:space="preserve">,</w:t>
      </w:r>
      <w:r>
        <w:t xml:space="preserve"> </w:t>
      </w:r>
      <w:hyperlink w:anchor="ref-hmrc_c79">
        <w:r>
          <w:rPr>
            <w:rStyle w:val="Hyperlink"/>
          </w:rPr>
          <w:t xml:space="preserve">2026f</w:t>
        </w:r>
      </w:hyperlink>
      <w:r>
        <w:t xml:space="preserve">)</w:t>
      </w:r>
      <w:r>
        <w:t xml:space="preserve">.</w:t>
      </w:r>
    </w:p>
    <w:p>
      <w:pPr>
        <w:pStyle w:val="Compact"/>
        <w:numPr>
          <w:ilvl w:val="0"/>
          <w:numId w:val="1178"/>
        </w:numPr>
      </w:pPr>
      <w:r>
        <w:t xml:space="preserve">HMRC makes it available online every month, usually by the 10th working day</w:t>
      </w:r>
      <w:r>
        <w:t xml:space="preserve"> </w:t>
      </w:r>
      <w:r>
        <w:t xml:space="preserve">(</w:t>
      </w:r>
      <w:hyperlink w:anchor="ref-hmrc_c79">
        <w:r>
          <w:rPr>
            <w:rStyle w:val="Hyperlink"/>
          </w:rPr>
          <w:t xml:space="preserve">HMRC, 2026f</w:t>
        </w:r>
      </w:hyperlink>
      <w:r>
        <w:t xml:space="preserve">)</w:t>
      </w:r>
      <w:r>
        <w:t xml:space="preserve">.</w:t>
      </w:r>
    </w:p>
    <w:p>
      <w:pPr>
        <w:pStyle w:val="Compact"/>
        <w:numPr>
          <w:ilvl w:val="0"/>
          <w:numId w:val="1178"/>
        </w:numPr>
      </w:pPr>
      <w:r>
        <w:t xml:space="preserve">Like PVA statements, certificates can only be accessed for 6 months, so download and keep them</w:t>
      </w:r>
      <w:r>
        <w:t xml:space="preserve"> </w:t>
      </w:r>
      <w:r>
        <w:t xml:space="preserve">(</w:t>
      </w:r>
      <w:hyperlink w:anchor="ref-hmrc_c79">
        <w:r>
          <w:rPr>
            <w:rStyle w:val="Hyperlink"/>
          </w:rPr>
          <w:t xml:space="preserve">HMRC, 2026f</w:t>
        </w:r>
      </w:hyperlink>
      <w:r>
        <w:t xml:space="preserve">)</w:t>
      </w:r>
      <w:r>
        <w:t xml:space="preserve">.</w:t>
      </w:r>
    </w:p>
    <w:p>
      <w:pPr>
        <w:pStyle w:val="Compact"/>
        <w:numPr>
          <w:ilvl w:val="0"/>
          <w:numId w:val="1178"/>
        </w:numPr>
      </w:pPr>
      <w:r>
        <w:t xml:space="preserve">HMRC’s VAT return guidance says import VAT can be reclaimed in Box 4</w:t>
      </w:r>
      <w:r>
        <w:t xml:space="preserve"> </w:t>
      </w:r>
      <w:r>
        <w:t xml:space="preserve">“</w:t>
      </w:r>
      <w:r>
        <w:t xml:space="preserve">as long as you’ve got the relevant import VAT certificate</w:t>
      </w:r>
      <w:r>
        <w:t xml:space="preserve">”</w:t>
      </w:r>
      <w:r>
        <w:t xml:space="preserve"> </w:t>
      </w:r>
      <w:r>
        <w:t xml:space="preserve">(</w:t>
      </w:r>
      <w:hyperlink w:anchor="ref-hmrc_n70012">
        <w:r>
          <w:rPr>
            <w:rStyle w:val="Hyperlink"/>
          </w:rPr>
          <w:t xml:space="preserve">HMRC, 2025f, para. 3.5</w:t>
        </w:r>
      </w:hyperlink>
      <w:r>
        <w:t xml:space="preserve">)</w:t>
      </w:r>
      <w:r>
        <w:t xml:space="preserve">.</w:t>
      </w:r>
    </w:p>
    <w:p>
      <w:pPr>
        <w:pStyle w:val="Compact"/>
        <w:numPr>
          <w:ilvl w:val="0"/>
          <w:numId w:val="1178"/>
        </w:numPr>
      </w:pPr>
      <w:r>
        <w:t xml:space="preserve">Keep commercial invoices and customs paperwork as well</w:t>
      </w:r>
      <w:r>
        <w:t xml:space="preserve"> </w:t>
      </w:r>
      <w:r>
        <w:t xml:space="preserve">(</w:t>
      </w:r>
      <w:hyperlink w:anchor="ref-govuk_import_goods">
        <w:r>
          <w:rPr>
            <w:rStyle w:val="Hyperlink"/>
          </w:rPr>
          <w:t xml:space="preserve">GOV.UK, 2026</w:t>
        </w:r>
      </w:hyperlink>
      <w:r>
        <w:t xml:space="preserve">)</w:t>
      </w:r>
      <w:r>
        <w:t xml:space="preserve">.</w:t>
      </w:r>
    </w:p>
    <w:bookmarkEnd w:id="156"/>
    <w:bookmarkStart w:id="157" w:name="recovering-import-vat"/>
    <w:p>
      <w:pPr>
        <w:pStyle w:val="Heading4"/>
      </w:pPr>
      <w:r>
        <w:t xml:space="preserve">Recovering import VAT</w:t>
      </w:r>
    </w:p>
    <w:p>
      <w:pPr>
        <w:pStyle w:val="FirstParagraph"/>
      </w:pPr>
      <w:r>
        <w:t xml:space="preserve">A VAT-registered business can reclaim import VAT on goods it owns as input tax, subject to the normal rules</w:t>
      </w:r>
      <w:r>
        <w:t xml:space="preserve"> </w:t>
      </w:r>
      <w:r>
        <w:t xml:space="preserve">(</w:t>
      </w:r>
      <w:hyperlink w:anchor="ref-hmrc_import_vat">
        <w:r>
          <w:rPr>
            <w:rStyle w:val="Hyperlink"/>
          </w:rPr>
          <w:t xml:space="preserve">HMRC, 2020b</w:t>
        </w:r>
      </w:hyperlink>
      <w:r>
        <w:t xml:space="preserve">;</w:t>
      </w:r>
      <w:r>
        <w:t xml:space="preserve"> </w:t>
      </w:r>
      <w:hyperlink w:anchor="ref-hmrc_n70012">
        <w:r>
          <w:rPr>
            <w:rStyle w:val="Hyperlink"/>
          </w:rPr>
          <w:t xml:space="preserve">2025f, para. 2.7</w:t>
        </w:r>
      </w:hyperlink>
      <w:r>
        <w:t xml:space="preserve">)</w:t>
      </w:r>
      <w:r>
        <w:t xml:space="preserve">.</w:t>
      </w:r>
    </w:p>
    <w:p>
      <w:pPr>
        <w:pStyle w:val="Compact"/>
        <w:numPr>
          <w:ilvl w:val="0"/>
          <w:numId w:val="1179"/>
        </w:numPr>
      </w:pPr>
      <w:r>
        <w:rPr>
          <w:b/>
          <w:bCs/>
        </w:rPr>
        <w:t xml:space="preserve">Recoverable:</w:t>
      </w:r>
      <w:r>
        <w:t xml:space="preserve"> </w:t>
      </w:r>
      <w:r>
        <w:t xml:space="preserve">import VAT on goods used to make taxable supplies, including zero-rated supplies (Value Added Tax Act 1994, s. 26(2)(a)).</w:t>
      </w:r>
    </w:p>
    <w:p>
      <w:pPr>
        <w:pStyle w:val="Compact"/>
        <w:numPr>
          <w:ilvl w:val="0"/>
          <w:numId w:val="1179"/>
        </w:numPr>
      </w:pPr>
      <w:r>
        <w:rPr>
          <w:b/>
          <w:bCs/>
        </w:rPr>
        <w:t xml:space="preserve">Partly recoverable:</w:t>
      </w:r>
      <w:r>
        <w:t xml:space="preserve"> </w:t>
      </w:r>
      <w:r>
        <w:t xml:space="preserve">import VAT on goods used for both taxable and exempt supplies, or for both business and non-business activities, after apportionment (see Part 1, Recoverable and irrecoverable VAT)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79"/>
        </w:numPr>
      </w:pPr>
      <w:r>
        <w:rPr>
          <w:b/>
          <w:bCs/>
        </w:rPr>
        <w:t xml:space="preserve">Not recoverable:</w:t>
      </w:r>
      <w:r>
        <w:t xml:space="preserve"> </w:t>
      </w:r>
      <w:r>
        <w:t xml:space="preserve">import VAT on goods used only for exempt supplies or only for non-business activities</w:t>
      </w:r>
      <w:r>
        <w:t xml:space="preserve"> </w:t>
      </w:r>
      <w:r>
        <w:t xml:space="preserve">(</w:t>
      </w:r>
      <w:hyperlink w:anchor="ref-hmrc_gdpef">
        <w:r>
          <w:rPr>
            <w:rStyle w:val="Hyperlink"/>
          </w:rPr>
          <w:t xml:space="preserve">HMRC, 2023c</w:t>
        </w:r>
      </w:hyperlink>
      <w:r>
        <w:t xml:space="preserve">)</w:t>
      </w:r>
      <w:r>
        <w:t xml:space="preserve">. A shipping or forwarding agent cannot usually reclaim import VAT on its client’s goods, because the goods were not imported for use in the agent’s own business</w:t>
      </w:r>
      <w:r>
        <w:t xml:space="preserve"> </w:t>
      </w:r>
      <w:r>
        <w:t xml:space="preserve">(</w:t>
      </w:r>
      <w:hyperlink w:anchor="ref-hmrc_import_vat">
        <w:r>
          <w:rPr>
            <w:rStyle w:val="Hyperlink"/>
          </w:rPr>
          <w:t xml:space="preserve">HMRC, 2020b</w:t>
        </w:r>
      </w:hyperlink>
      <w:r>
        <w:t xml:space="preserve">)</w:t>
      </w:r>
      <w:r>
        <w:t xml:space="preserve">.</w:t>
      </w:r>
    </w:p>
    <w:bookmarkEnd w:id="157"/>
    <w:bookmarkStart w:id="158" w:name="X5edd3a6ba3a5cbe28b61e5a337f45a24b9e4ff9"/>
    <w:p>
      <w:pPr>
        <w:pStyle w:val="Heading4"/>
      </w:pPr>
      <w:r>
        <w:t xml:space="preserve">Low-value goods: consignments of £135 or less</w:t>
      </w:r>
    </w:p>
    <w:p>
      <w:pPr>
        <w:pStyle w:val="FirstParagraph"/>
      </w:pPr>
      <w:r>
        <w:t xml:space="preserve">Different rules apply to goods in consignments worth £135 or less that are outside the UK when they are sold to customers in Great Britain. The £135 limit applies to the whole consignment, not to each item</w:t>
      </w:r>
      <w:r>
        <w:t xml:space="preserve"> </w:t>
      </w:r>
      <w:r>
        <w:t xml:space="preserve">(</w:t>
      </w:r>
      <w:hyperlink w:anchor="ref-hmrc_lvc_direct">
        <w:r>
          <w:rPr>
            <w:rStyle w:val="Hyperlink"/>
          </w:rPr>
          <w:t xml:space="preserve">HMRC, 2022h</w:t>
        </w:r>
      </w:hyperlink>
      <w:r>
        <w:t xml:space="preserve">)</w:t>
      </w:r>
      <w:r>
        <w:t xml:space="preserve">.</w:t>
      </w:r>
    </w:p>
    <w:p>
      <w:pPr>
        <w:pStyle w:val="Compact"/>
        <w:numPr>
          <w:ilvl w:val="0"/>
          <w:numId w:val="1180"/>
        </w:numPr>
      </w:pPr>
      <w:r>
        <w:rPr>
          <w:b/>
          <w:bCs/>
        </w:rPr>
        <w:t xml:space="preserve">Bought directly from an overseas seller:</w:t>
      </w:r>
      <w:r>
        <w:t xml:space="preserve"> </w:t>
      </w:r>
      <w:r>
        <w:t xml:space="preserve">the seller must charge UK VAT at the point of sale, instead of import VAT being charged at the border</w:t>
      </w:r>
      <w:r>
        <w:t xml:space="preserve"> </w:t>
      </w:r>
      <w:r>
        <w:t xml:space="preserve">(</w:t>
      </w:r>
      <w:hyperlink w:anchor="ref-hmrc_lvc_direct">
        <w:r>
          <w:rPr>
            <w:rStyle w:val="Hyperlink"/>
          </w:rPr>
          <w:t xml:space="preserve">HMRC, 2022h</w:t>
        </w:r>
      </w:hyperlink>
      <w:r>
        <w:t xml:space="preserve">)</w:t>
      </w:r>
      <w:r>
        <w:t xml:space="preserve">.</w:t>
      </w:r>
    </w:p>
    <w:p>
      <w:pPr>
        <w:pStyle w:val="Compact"/>
        <w:numPr>
          <w:ilvl w:val="0"/>
          <w:numId w:val="1180"/>
        </w:numPr>
      </w:pPr>
      <w:r>
        <w:rPr>
          <w:b/>
          <w:bCs/>
        </w:rPr>
        <w:t xml:space="preserve">Bought through an online marketplace:</w:t>
      </w:r>
      <w:r>
        <w:t xml:space="preserve"> </w:t>
      </w:r>
      <w:r>
        <w:t xml:space="preserve">the online marketplace (not the seller) is liable for the VAT and charges it at the point of sale</w:t>
      </w:r>
      <w:r>
        <w:t xml:space="preserve"> </w:t>
      </w:r>
      <w:r>
        <w:t xml:space="preserve">(</w:t>
      </w:r>
      <w:hyperlink w:anchor="ref-hmrc_lvc_omp">
        <w:r>
          <w:rPr>
            <w:rStyle w:val="Hyperlink"/>
          </w:rPr>
          <w:t xml:space="preserve">HMRC, 2022i</w:t>
        </w:r>
      </w:hyperlink>
      <w:r>
        <w:t xml:space="preserve">)</w:t>
      </w:r>
      <w:r>
        <w:t xml:space="preserve">.</w:t>
      </w:r>
    </w:p>
    <w:p>
      <w:pPr>
        <w:pStyle w:val="Compact"/>
        <w:numPr>
          <w:ilvl w:val="0"/>
          <w:numId w:val="1180"/>
        </w:numPr>
      </w:pPr>
      <w:r>
        <w:rPr>
          <w:b/>
          <w:bCs/>
        </w:rPr>
        <w:t xml:space="preserve">Business customers:</w:t>
      </w:r>
      <w:r>
        <w:t xml:space="preserve"> </w:t>
      </w:r>
      <w:r>
        <w:t xml:space="preserve">if a UK VAT-registered business customer gives the seller or marketplace its VAT registration number, no VAT is charged. The customer accounts for the VAT itself under a reverse charge on its VAT return, and can recover it on the same return</w:t>
      </w:r>
      <w:r>
        <w:t xml:space="preserve"> </w:t>
      </w:r>
      <w:r>
        <w:t xml:space="preserve">“</w:t>
      </w:r>
      <w:r>
        <w:t xml:space="preserve">under normal VAT recovery rules</w:t>
      </w:r>
      <w:r>
        <w:t xml:space="preserve">”</w:t>
      </w:r>
      <w:r>
        <w:t xml:space="preserve"> </w:t>
      </w:r>
      <w:r>
        <w:t xml:space="preserve">(</w:t>
      </w:r>
      <w:hyperlink w:anchor="ref-hmrc_lvc_direct">
        <w:r>
          <w:rPr>
            <w:rStyle w:val="Hyperlink"/>
          </w:rPr>
          <w:t xml:space="preserve">HMRC, 2022h</w:t>
        </w:r>
      </w:hyperlink>
      <w:r>
        <w:t xml:space="preserve">,</w:t>
      </w:r>
      <w:r>
        <w:t xml:space="preserve"> </w:t>
      </w:r>
      <w:hyperlink w:anchor="ref-hmrc_lvc_omp">
        <w:r>
          <w:rPr>
            <w:rStyle w:val="Hyperlink"/>
          </w:rPr>
          <w:t xml:space="preserve">2022i</w:t>
        </w:r>
      </w:hyperlink>
      <w:r>
        <w:t xml:space="preserve">)</w:t>
      </w:r>
      <w:r>
        <w:t xml:space="preserve">.</w:t>
      </w:r>
    </w:p>
    <w:p>
      <w:pPr>
        <w:pStyle w:val="Compact"/>
        <w:numPr>
          <w:ilvl w:val="0"/>
          <w:numId w:val="1180"/>
        </w:numPr>
      </w:pPr>
      <w:r>
        <w:rPr>
          <w:b/>
          <w:bCs/>
        </w:rPr>
        <w:t xml:space="preserve">Over £135:</w:t>
      </w:r>
      <w:r>
        <w:t xml:space="preserve"> </w:t>
      </w:r>
      <w:r>
        <w:t xml:space="preserve">normal import VAT and customs rules apply at the border</w:t>
      </w:r>
      <w:r>
        <w:t xml:space="preserve"> </w:t>
      </w:r>
      <w:r>
        <w:t xml:space="preserve">(</w:t>
      </w:r>
      <w:hyperlink w:anchor="ref-hmrc_lvc_direct">
        <w:r>
          <w:rPr>
            <w:rStyle w:val="Hyperlink"/>
          </w:rPr>
          <w:t xml:space="preserve">HMRC, 2022h</w:t>
        </w:r>
      </w:hyperlink>
      <w:r>
        <w:t xml:space="preserve">)</w:t>
      </w:r>
      <w:r>
        <w:t xml:space="preserve">.</w:t>
      </w:r>
    </w:p>
    <w:p>
      <w:pPr>
        <w:pStyle w:val="Compact"/>
        <w:numPr>
          <w:ilvl w:val="0"/>
          <w:numId w:val="1180"/>
        </w:numPr>
      </w:pPr>
      <w:r>
        <w:rPr>
          <w:b/>
          <w:bCs/>
        </w:rPr>
        <w:t xml:space="preserve">Exclusions:</w:t>
      </w:r>
      <w:r>
        <w:t xml:space="preserve"> </w:t>
      </w:r>
      <w:r>
        <w:t xml:space="preserve">these rules do not apply to consignments containing excise goods, or to non-commercial goods such as gifts</w:t>
      </w:r>
      <w:r>
        <w:t xml:space="preserve"> </w:t>
      </w:r>
      <w:r>
        <w:t xml:space="preserve">(</w:t>
      </w:r>
      <w:hyperlink w:anchor="ref-hmrc_lvc_direct">
        <w:r>
          <w:rPr>
            <w:rStyle w:val="Hyperlink"/>
          </w:rPr>
          <w:t xml:space="preserve">HMRC, 2022h</w:t>
        </w:r>
      </w:hyperlink>
      <w:r>
        <w:t xml:space="preserve">)</w:t>
      </w:r>
      <w:r>
        <w:t xml:space="preserve">.</w:t>
      </w:r>
    </w:p>
    <w:p>
      <w:pPr>
        <w:pStyle w:val="FirstParagraph"/>
      </w:pPr>
      <w:r>
        <w:t xml:space="preserve">The old import VAT relief for goods worth £15 or less has been removed, so even very cheap goods bear VAT</w:t>
      </w:r>
      <w:r>
        <w:t xml:space="preserve"> </w:t>
      </w:r>
      <w:r>
        <w:t xml:space="preserve">(</w:t>
      </w:r>
      <w:hyperlink w:anchor="ref-hmrc_lvc_direct">
        <w:r>
          <w:rPr>
            <w:rStyle w:val="Hyperlink"/>
          </w:rPr>
          <w:t xml:space="preserve">HMRC, 2022h</w:t>
        </w:r>
      </w:hyperlink>
      <w:r>
        <w:t xml:space="preserve">)</w:t>
      </w:r>
      <w:r>
        <w:t xml:space="preserve">.</w:t>
      </w:r>
    </w:p>
    <w:bookmarkEnd w:id="158"/>
    <w:bookmarkEnd w:id="159"/>
    <w:bookmarkStart w:id="162" w:name="import-vat-and-government-departments"/>
    <w:p>
      <w:pPr>
        <w:pStyle w:val="Heading3"/>
      </w:pPr>
      <w:r>
        <w:t xml:space="preserve">Import VAT and government departments</w:t>
      </w:r>
    </w:p>
    <w:bookmarkStart w:id="160" w:name="what-the-law-allows"/>
    <w:p>
      <w:pPr>
        <w:pStyle w:val="Heading4"/>
      </w:pPr>
      <w:r>
        <w:t xml:space="preserve">What the law allows</w:t>
      </w:r>
    </w:p>
    <w:p>
      <w:pPr>
        <w:pStyle w:val="FirstParagraph"/>
      </w:pPr>
      <w:r>
        <w:t xml:space="preserve">Section 41(3) of the Value Added Tax Act 1994 does mention importation. It allows refunds of VAT</w:t>
      </w:r>
      <w:r>
        <w:t xml:space="preserve"> </w:t>
      </w:r>
      <w:r>
        <w:t xml:space="preserve">“</w:t>
      </w:r>
      <w:r>
        <w:t xml:space="preserve">on the importation of any goods by a Government department</w:t>
      </w:r>
      <w:r>
        <w:t xml:space="preserve">”</w:t>
      </w:r>
      <w:r>
        <w:t xml:space="preserve"> </w:t>
      </w:r>
      <w:r>
        <w:t xml:space="preserve">where the import is not for business purposes, but only</w:t>
      </w:r>
      <w:r>
        <w:t xml:space="preserve"> </w:t>
      </w:r>
      <w:r>
        <w:t xml:space="preserve">“</w:t>
      </w:r>
      <w:r>
        <w:t xml:space="preserve">if and to the extent that the Treasury so direct</w:t>
      </w:r>
      <w:r>
        <w:t xml:space="preserve">”</w:t>
      </w:r>
      <w:r>
        <w:t xml:space="preserve">.</w:t>
      </w:r>
    </w:p>
    <w:p>
      <w:pPr>
        <w:pStyle w:val="BodyText"/>
      </w:pPr>
      <w:r>
        <w:t xml:space="preserve">The Contracting Out Direction is mainly a list of services (List 2). For goods, it refunds tax charged on</w:t>
      </w:r>
      <w:r>
        <w:t xml:space="preserve"> </w:t>
      </w:r>
      <w:r>
        <w:t xml:space="preserve">“</w:t>
      </w:r>
      <w:r>
        <w:t xml:space="preserve">the supply to it, or acquisition from another Member State or importation from outside the Member States by it, of goods closely related to the supply to it of any services of a description in List 2</w:t>
      </w:r>
      <w:r>
        <w:t xml:space="preserve">”</w:t>
      </w:r>
      <w:r>
        <w:t xml:space="preserve"> </w:t>
      </w:r>
      <w:r>
        <w:t xml:space="preserve">(</w:t>
      </w:r>
      <w:hyperlink w:anchor="ref-gazette_2020">
        <w:r>
          <w:rPr>
            <w:rStyle w:val="Hyperlink"/>
          </w:rPr>
          <w:t xml:space="preserve">HM Treasury, 2020b, para. 2(c)</w:t>
        </w:r>
      </w:hyperlink>
      <w:r>
        <w:t xml:space="preserve">)</w:t>
      </w:r>
      <w:r>
        <w:t xml:space="preserve">.</w:t>
      </w:r>
    </w:p>
    <w:p>
      <w:pPr>
        <w:pStyle w:val="BodyText"/>
      </w:pPr>
      <w:r>
        <w:t xml:space="preserve">Import VAT on goods used for non-business activities is not input tax at all, because input tax only covers goods and services used for the purpose of a business (Value Added Tax Act 1994, s. 24(1)). HMRC’s framework for government departments puts it bluntly. VAT on</w:t>
      </w:r>
      <w:r>
        <w:t xml:space="preserve"> </w:t>
      </w:r>
      <w:r>
        <w:t xml:space="preserve">“</w:t>
      </w:r>
      <w:r>
        <w:t xml:space="preserve">supplies, acquisition and imports</w:t>
      </w:r>
      <w:r>
        <w:t xml:space="preserve">”</w:t>
      </w:r>
      <w:r>
        <w:t xml:space="preserve"> </w:t>
      </w:r>
      <w:r>
        <w:t xml:space="preserve">used only for non-business activity that do not fall under a COS heading</w:t>
      </w:r>
      <w:r>
        <w:t xml:space="preserve"> </w:t>
      </w:r>
      <w:r>
        <w:t xml:space="preserve">“</w:t>
      </w:r>
      <w:r>
        <w:t xml:space="preserve">will not be refundable under section 41(3) of the VAT Act 1994 or recovered under section 26 of the Act</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BodyText"/>
      </w:pPr>
      <w:r>
        <w:t xml:space="preserve">So, for the Department:</w:t>
      </w:r>
    </w:p>
    <w:p>
      <w:pPr>
        <w:pStyle w:val="Compact"/>
        <w:numPr>
          <w:ilvl w:val="0"/>
          <w:numId w:val="1181"/>
        </w:numPr>
      </w:pPr>
      <w:r>
        <w:rPr>
          <w:b/>
          <w:bCs/>
        </w:rPr>
        <w:t xml:space="preserve">Not claimable:</w:t>
      </w:r>
      <w:r>
        <w:t xml:space="preserve"> </w:t>
      </w:r>
      <w:r>
        <w:t xml:space="preserve">import VAT on standalone goods used only for non-business activities. This is a real cost to the budget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81"/>
        </w:numPr>
      </w:pPr>
      <w:r>
        <w:rPr>
          <w:b/>
          <w:bCs/>
        </w:rPr>
        <w:t xml:space="preserve">Check first:</w:t>
      </w:r>
      <w:r>
        <w:t xml:space="preserve"> </w:t>
      </w:r>
      <w:r>
        <w:t xml:space="preserve">import VAT on goods that are closely related to a List 2 service the Department is buying (for example, parts brought in for a maintenance service). This may be refundable under paragraph 2(c) of the Direction</w:t>
      </w:r>
      <w:r>
        <w:t xml:space="preserve"> </w:t>
      </w:r>
      <w:r>
        <w:t xml:space="preserve">(</w:t>
      </w:r>
      <w:hyperlink w:anchor="ref-gazette_2020">
        <w:r>
          <w:rPr>
            <w:rStyle w:val="Hyperlink"/>
          </w:rPr>
          <w:t xml:space="preserve">HM Treasury, 2020b, para. 2(c)</w:t>
        </w:r>
      </w:hyperlink>
      <w:r>
        <w:t xml:space="preserve">)</w:t>
      </w:r>
      <w:r>
        <w:t xml:space="preserve">. HMRC’s guidance reads this as goods that are an integral, ancillary part of a qualifying service and included in the contract for it</w:t>
      </w:r>
      <w:r>
        <w:t xml:space="preserve"> </w:t>
      </w:r>
      <w:r>
        <w:t xml:space="preserve">(</w:t>
      </w:r>
      <w:hyperlink w:anchor="ref-hmrc_vatgpb">
        <w:r>
          <w:rPr>
            <w:rStyle w:val="Hyperlink"/>
          </w:rPr>
          <w:t xml:space="preserve">HMRC, 2026n, sec. VATGPB10010</w:t>
        </w:r>
      </w:hyperlink>
      <w:r>
        <w:t xml:space="preserve">)</w:t>
      </w:r>
      <w:r>
        <w:t xml:space="preserve">, so goods the Department imports separately from the service contract may not qualify (see Part 1 and Part 5). Keep evidence linking the goods to the service.</w:t>
      </w:r>
    </w:p>
    <w:p>
      <w:pPr>
        <w:pStyle w:val="Compact"/>
        <w:numPr>
          <w:ilvl w:val="0"/>
          <w:numId w:val="1181"/>
        </w:numPr>
      </w:pPr>
      <w:r>
        <w:rPr>
          <w:b/>
          <w:bCs/>
        </w:rPr>
        <w:t xml:space="preserve">Recoverable:</w:t>
      </w:r>
      <w:r>
        <w:t xml:space="preserve"> </w:t>
      </w:r>
      <w:r>
        <w:t xml:space="preserve">import VAT on goods used only for the Department’s taxable business activities (for example, stock it imports to sell), as input tax under the normal rules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81"/>
        </w:numPr>
      </w:pPr>
      <w:r>
        <w:rPr>
          <w:b/>
          <w:bCs/>
        </w:rPr>
        <w:t xml:space="preserve">Partly recoverable:</w:t>
      </w:r>
      <w:r>
        <w:t xml:space="preserve"> </w:t>
      </w:r>
      <w:r>
        <w:t xml:space="preserve">import VAT on goods used for both business and non-business activities, after the business/non-business apportionment and the Department’s partial exemption method</w:t>
      </w:r>
      <w:r>
        <w:t xml:space="preserve"> </w:t>
      </w:r>
      <w:r>
        <w:t xml:space="preserve">(</w:t>
      </w:r>
      <w:hyperlink w:anchor="ref-hmrc_gdpef">
        <w:r>
          <w:rPr>
            <w:rStyle w:val="Hyperlink"/>
          </w:rPr>
          <w:t xml:space="preserve">HMRC, 2023c</w:t>
        </w:r>
      </w:hyperlink>
      <w:r>
        <w:t xml:space="preserve">)</w:t>
      </w:r>
      <w:r>
        <w:t xml:space="preserve">.</w:t>
      </w:r>
    </w:p>
    <w:bookmarkEnd w:id="160"/>
    <w:bookmarkStart w:id="161" w:name="X4388d39169244601eeb027201ee951bbf1e4c1c"/>
    <w:p>
      <w:pPr>
        <w:pStyle w:val="Heading4"/>
      </w:pPr>
      <w:r>
        <w:t xml:space="preserve">Can the Department use postponed VAT accounting?</w:t>
      </w:r>
    </w:p>
    <w:p>
      <w:pPr>
        <w:pStyle w:val="FirstParagraph"/>
      </w:pPr>
      <w:r>
        <w:t xml:space="preserve">The Department is VAT-registered, so PVA is open to it for imports used in its business activities</w:t>
      </w:r>
      <w:r>
        <w:t xml:space="preserve"> </w:t>
      </w:r>
      <w:r>
        <w:t xml:space="preserve">(</w:t>
      </w:r>
      <w:hyperlink w:anchor="ref-hmrc_pva">
        <w:r>
          <w:rPr>
            <w:rStyle w:val="Hyperlink"/>
          </w:rPr>
          <w:t xml:space="preserve">HMRC, 2025c</w:t>
        </w:r>
      </w:hyperlink>
      <w:r>
        <w:t xml:space="preserve">;</w:t>
      </w:r>
      <w:r>
        <w:t xml:space="preserve"> </w:t>
      </w:r>
      <w:hyperlink w:anchor="ref-hmrc_vatgpb">
        <w:r>
          <w:rPr>
            <w:rStyle w:val="Hyperlink"/>
          </w:rPr>
          <w:t xml:space="preserve">2026n, sec. VATGPB9400</w:t>
        </w:r>
      </w:hyperlink>
      <w:r>
        <w:t xml:space="preserve">)</w:t>
      </w:r>
      <w:r>
        <w:t xml:space="preserve">. HMRC’s guidance also says PVA can be used for goods that will be used</w:t>
      </w:r>
      <w:r>
        <w:t xml:space="preserve"> </w:t>
      </w:r>
      <w:r>
        <w:t xml:space="preserve">“</w:t>
      </w:r>
      <w:r>
        <w:t xml:space="preserve">for both business and non-business purposes</w:t>
      </w:r>
      <w:r>
        <w:t xml:space="preserve">”</w:t>
      </w:r>
      <w:r>
        <w:t xml:space="preserve">, or where the importer does not know at the time of import whether they will be used for business</w:t>
      </w:r>
      <w:r>
        <w:t xml:space="preserve"> </w:t>
      </w:r>
      <w:r>
        <w:t xml:space="preserve">(</w:t>
      </w:r>
      <w:hyperlink w:anchor="ref-hmrc_pva">
        <w:r>
          <w:rPr>
            <w:rStyle w:val="Hyperlink"/>
          </w:rPr>
          <w:t xml:space="preserve">HMRC, 2025c</w:t>
        </w:r>
      </w:hyperlink>
      <w:r>
        <w:t xml:space="preserve">)</w:t>
      </w:r>
      <w:r>
        <w:t xml:space="preserve">.</w:t>
      </w:r>
    </w:p>
    <w:p>
      <w:pPr>
        <w:pStyle w:val="BodyText"/>
      </w:pPr>
      <w:r>
        <w:t xml:space="preserve">For goods used</w:t>
      </w:r>
      <w:r>
        <w:t xml:space="preserve"> </w:t>
      </w:r>
      <w:r>
        <w:rPr>
          <w:b/>
          <w:bCs/>
        </w:rPr>
        <w:t xml:space="preserve">only</w:t>
      </w:r>
      <w:r>
        <w:t xml:space="preserve"> </w:t>
      </w:r>
      <w:r>
        <w:t xml:space="preserve">for non-business purposes, HMRC’s guidance says PVA can be used</w:t>
      </w:r>
      <w:r>
        <w:t xml:space="preserve"> </w:t>
      </w:r>
      <w:r>
        <w:t xml:space="preserve">“</w:t>
      </w:r>
      <w:r>
        <w:t xml:space="preserve">but only if you’re a body that is eligible to reclaim import VAT through a VAT refund scheme</w:t>
      </w:r>
      <w:r>
        <w:t xml:space="preserve">”</w:t>
      </w:r>
      <w:r>
        <w:t xml:space="preserve">. The next sentence says:</w:t>
      </w:r>
      <w:r>
        <w:t xml:space="preserve"> </w:t>
      </w:r>
      <w:r>
        <w:t xml:space="preserve">“</w:t>
      </w:r>
      <w:r>
        <w:t xml:space="preserve">When you complete your import declaration, select that you’re making an immediate payment, or using a duty deferment account</w:t>
      </w:r>
      <w:r>
        <w:t xml:space="preserve">”</w:t>
      </w:r>
      <w:r>
        <w:t xml:space="preserve"> </w:t>
      </w:r>
      <w:r>
        <w:t xml:space="preserve">(</w:t>
      </w:r>
      <w:hyperlink w:anchor="ref-hmrc_pva">
        <w:r>
          <w:rPr>
            <w:rStyle w:val="Hyperlink"/>
          </w:rPr>
          <w:t xml:space="preserve">HMRC, 2025c</w:t>
        </w:r>
      </w:hyperlink>
      <w:r>
        <w:t xml:space="preserve">)</w:t>
      </w:r>
      <w:r>
        <w:t xml:space="preserve">. HMRC added this wording in April 2021</w:t>
      </w:r>
      <w:r>
        <w:t xml:space="preserve"> </w:t>
      </w:r>
      <w:r>
        <w:t xml:space="preserve">(</w:t>
      </w:r>
      <w:hyperlink w:anchor="ref-hmrc_pva">
        <w:r>
          <w:rPr>
            <w:rStyle w:val="Hyperlink"/>
          </w:rPr>
          <w:t xml:space="preserve">HMRC, 2025c</w:t>
        </w:r>
      </w:hyperlink>
      <w:r>
        <w:t xml:space="preserve">)</w:t>
      </w:r>
      <w:r>
        <w:t xml:space="preserve">. It is not clear whether that second sentence is meant for every purely non-business import or only for bodies that cannot use PVA.</w:t>
      </w:r>
    </w:p>
    <w:p>
      <w:pPr>
        <w:pStyle w:val="BodyText"/>
      </w:pPr>
      <w:r>
        <w:t xml:space="preserve">HMRC’s guidance does not say whether a section 41(3) government department counts as</w:t>
      </w:r>
      <w:r>
        <w:t xml:space="preserve"> </w:t>
      </w:r>
      <w:r>
        <w:t xml:space="preserve">“</w:t>
      </w:r>
      <w:r>
        <w:t xml:space="preserve">a body that is eligible to reclaim import VAT through a VAT refund scheme</w:t>
      </w:r>
      <w:r>
        <w:t xml:space="preserve">”</w:t>
      </w:r>
      <w:r>
        <w:t xml:space="preserve">. Section 41(3) is a refund scheme that mentions imports, but the Direction only refunds import VAT on goods closely related to List 2 services</w:t>
      </w:r>
      <w:r>
        <w:t xml:space="preserve"> </w:t>
      </w:r>
      <w:r>
        <w:t xml:space="preserve">(</w:t>
      </w:r>
      <w:hyperlink w:anchor="ref-gazette_2020">
        <w:r>
          <w:rPr>
            <w:rStyle w:val="Hyperlink"/>
          </w:rPr>
          <w:t xml:space="preserve">HM Treasury, 2020b, para. 2(c)</w:t>
        </w:r>
      </w:hyperlink>
      <w:r>
        <w:t xml:space="preserve">)</w:t>
      </w:r>
      <w:r>
        <w:t xml:space="preserve">. This guide has not been able to confirm the position.</w:t>
      </w:r>
    </w:p>
    <w:p>
      <w:pPr>
        <w:pStyle w:val="Compact"/>
        <w:numPr>
          <w:ilvl w:val="0"/>
          <w:numId w:val="1182"/>
        </w:numPr>
      </w:pPr>
      <w:r>
        <w:rPr>
          <w:b/>
          <w:bCs/>
        </w:rPr>
        <w:t xml:space="preserve">Check first:</w:t>
      </w:r>
      <w:r>
        <w:t xml:space="preserve"> </w:t>
      </w:r>
      <w:r>
        <w:t xml:space="preserve">before using PVA for goods that will be used only for non-business activities, get written confirmation from HMRC. Until then, the cautious approach is to pay when the goods are declared or through the duty deferment account, unless the import VAT is refundable under the Direction.</w:t>
      </w:r>
    </w:p>
    <w:p>
      <w:pPr>
        <w:pStyle w:val="Compact"/>
        <w:numPr>
          <w:ilvl w:val="0"/>
          <w:numId w:val="1182"/>
        </w:numPr>
      </w:pPr>
      <w:r>
        <w:rPr>
          <w:b/>
          <w:bCs/>
        </w:rPr>
        <w:t xml:space="preserve">Not claimable either way:</w:t>
      </w:r>
      <w:r>
        <w:t xml:space="preserve"> </w:t>
      </w:r>
      <w:r>
        <w:t xml:space="preserve">for non-business goods that are not covered by the Direction, the import VAT is a cost whichever method is used. Under PVA it would appear in Box 1 with nothing to set against it in Box 4.</w:t>
      </w:r>
    </w:p>
    <w:bookmarkEnd w:id="161"/>
    <w:bookmarkEnd w:id="162"/>
    <w:bookmarkStart w:id="169" w:name="exporting-goods"/>
    <w:p>
      <w:pPr>
        <w:pStyle w:val="Heading3"/>
      </w:pPr>
      <w:r>
        <w:t xml:space="preserve">Exporting goods</w:t>
      </w:r>
    </w:p>
    <w:bookmarkStart w:id="163" w:name="zero-rating-exports-from-great-britain"/>
    <w:p>
      <w:pPr>
        <w:pStyle w:val="Heading4"/>
      </w:pPr>
      <w:r>
        <w:t xml:space="preserve">Zero-rating exports from Great Britain</w:t>
      </w:r>
    </w:p>
    <w:p>
      <w:pPr>
        <w:pStyle w:val="FirstParagraph"/>
      </w:pPr>
      <w:r>
        <w:t xml:space="preserve">An export of goods from Great Britain to a destination outside the UK is zero-rated if the conditions in VAT Notice 703 are met</w:t>
      </w:r>
      <w:r>
        <w:t xml:space="preserve"> </w:t>
      </w:r>
      <w:r>
        <w:t xml:space="preserve">(</w:t>
      </w:r>
      <w:hyperlink w:anchor="ref-hmrc_n703">
        <w:r>
          <w:rPr>
            <w:rStyle w:val="Hyperlink"/>
          </w:rPr>
          <w:t xml:space="preserve">HMRC, 2026p, para. 2.1</w:t>
        </w:r>
      </w:hyperlink>
      <w:r>
        <w:t xml:space="preserve">)</w:t>
      </w:r>
      <w:r>
        <w:t xml:space="preserve">. Zero-rated means the supply is subject to VAT, but at 0%</w:t>
      </w:r>
      <w:r>
        <w:t xml:space="preserve"> </w:t>
      </w:r>
      <w:r>
        <w:t xml:space="preserve">(</w:t>
      </w:r>
      <w:hyperlink w:anchor="ref-hmrc_n703">
        <w:r>
          <w:rPr>
            <w:rStyle w:val="Hyperlink"/>
          </w:rPr>
          <w:t xml:space="preserve">HMRC, 2026p, para. 2.1</w:t>
        </w:r>
      </w:hyperlink>
      <w:r>
        <w:t xml:space="preserve">)</w:t>
      </w:r>
      <w:r>
        <w:t xml:space="preserve">. It is still a taxable supply (Value Added Tax Act 1994, s. 30(1)), so VAT on related costs can be recovered as input tax (Value Added Tax Act 1994, s. 26(2)(a); see Part 3).</w:t>
      </w:r>
    </w:p>
    <w:p>
      <w:pPr>
        <w:pStyle w:val="BodyText"/>
      </w:pPr>
      <w:r>
        <w:t xml:space="preserve">The main law is section 30(6) of the Value Added Tax Act 1994 for direct exports, and section 30(8) with regulation 129 of the Value Added Tax Regulations 1995 for indirect exports</w:t>
      </w:r>
      <w:r>
        <w:t xml:space="preserve"> </w:t>
      </w:r>
      <w:r>
        <w:t xml:space="preserve">(</w:t>
      </w:r>
      <w:hyperlink w:anchor="ref-hmrc_n703">
        <w:r>
          <w:rPr>
            <w:rStyle w:val="Hyperlink"/>
          </w:rPr>
          <w:t xml:space="preserve">HMRC, 2026p, para. 1.3</w:t>
        </w:r>
      </w:hyperlink>
      <w:r>
        <w:t xml:space="preserve">)</w:t>
      </w:r>
      <w:r>
        <w:t xml:space="preserve">.</w:t>
      </w:r>
    </w:p>
    <w:p>
      <w:pPr>
        <w:pStyle w:val="BodyText"/>
      </w:pPr>
      <w:r>
        <w:t xml:space="preserve">Some points on territory:</w:t>
      </w:r>
    </w:p>
    <w:p>
      <w:pPr>
        <w:pStyle w:val="Compact"/>
        <w:numPr>
          <w:ilvl w:val="0"/>
          <w:numId w:val="1183"/>
        </w:numPr>
      </w:pPr>
      <w:r>
        <w:t xml:space="preserve">For VAT, the Isle of Man is treated as part of Great Britain, so goods sent there from Great Britain are domestic supplies, not exports</w:t>
      </w:r>
      <w:r>
        <w:t xml:space="preserve"> </w:t>
      </w:r>
      <w:r>
        <w:t xml:space="preserve">(</w:t>
      </w:r>
      <w:hyperlink w:anchor="ref-hmrc_n703">
        <w:r>
          <w:rPr>
            <w:rStyle w:val="Hyperlink"/>
          </w:rPr>
          <w:t xml:space="preserve">HMRC, 2026p, para. 2.7</w:t>
        </w:r>
      </w:hyperlink>
      <w:r>
        <w:t xml:space="preserve">)</w:t>
      </w:r>
      <w:r>
        <w:t xml:space="preserve">.</w:t>
      </w:r>
    </w:p>
    <w:p>
      <w:pPr>
        <w:pStyle w:val="Compact"/>
        <w:numPr>
          <w:ilvl w:val="0"/>
          <w:numId w:val="1183"/>
        </w:numPr>
      </w:pPr>
      <w:r>
        <w:t xml:space="preserve">The Channel Islands are outside the UK for VAT, so goods sent there can be zero-rated exports if the conditions are met</w:t>
      </w:r>
      <w:r>
        <w:t xml:space="preserve"> </w:t>
      </w:r>
      <w:r>
        <w:t xml:space="preserve">(</w:t>
      </w:r>
      <w:hyperlink w:anchor="ref-hmrc_n703">
        <w:r>
          <w:rPr>
            <w:rStyle w:val="Hyperlink"/>
          </w:rPr>
          <w:t xml:space="preserve">HMRC, 2026p, para. 2.7</w:t>
        </w:r>
      </w:hyperlink>
      <w:r>
        <w:t xml:space="preserve">)</w:t>
      </w:r>
      <w:r>
        <w:t xml:space="preserve">.</w:t>
      </w:r>
    </w:p>
    <w:p>
      <w:pPr>
        <w:pStyle w:val="Compact"/>
        <w:numPr>
          <w:ilvl w:val="0"/>
          <w:numId w:val="1183"/>
        </w:numPr>
      </w:pPr>
      <w:r>
        <w:t xml:space="preserve">Goods that are already outside the UK when they are sold are not exports. That sale is outside the scope of UK VAT</w:t>
      </w:r>
      <w:r>
        <w:t xml:space="preserve"> </w:t>
      </w:r>
      <w:r>
        <w:t xml:space="preserve">(</w:t>
      </w:r>
      <w:hyperlink w:anchor="ref-hmrc_n703">
        <w:r>
          <w:rPr>
            <w:rStyle w:val="Hyperlink"/>
          </w:rPr>
          <w:t xml:space="preserve">HMRC, 2026p, para. 2.2</w:t>
        </w:r>
      </w:hyperlink>
      <w:r>
        <w:t xml:space="preserve">)</w:t>
      </w:r>
      <w:r>
        <w:t xml:space="preserve">.</w:t>
      </w:r>
    </w:p>
    <w:bookmarkEnd w:id="163"/>
    <w:bookmarkStart w:id="164" w:name="direct-and-indirect-exports"/>
    <w:p>
      <w:pPr>
        <w:pStyle w:val="Heading4"/>
      </w:pPr>
      <w:r>
        <w:t xml:space="preserve">Direct and indirect exports</w:t>
      </w:r>
    </w:p>
    <w:p>
      <w:pPr>
        <w:pStyle w:val="Compact"/>
        <w:numPr>
          <w:ilvl w:val="0"/>
          <w:numId w:val="1184"/>
        </w:numPr>
      </w:pPr>
      <w:r>
        <w:rPr>
          <w:b/>
          <w:bCs/>
        </w:rPr>
        <w:t xml:space="preserve">Direct export:</w:t>
      </w:r>
      <w:r>
        <w:t xml:space="preserve"> </w:t>
      </w:r>
      <w:r>
        <w:t xml:space="preserve">the supplier sends the goods outside the UK and arranges the transport itself or through a freight agent it appoints</w:t>
      </w:r>
      <w:r>
        <w:t xml:space="preserve"> </w:t>
      </w:r>
      <w:r>
        <w:t xml:space="preserve">(</w:t>
      </w:r>
      <w:hyperlink w:anchor="ref-hmrc_n703">
        <w:r>
          <w:rPr>
            <w:rStyle w:val="Hyperlink"/>
          </w:rPr>
          <w:t xml:space="preserve">HMRC, 2026p, para. 2.8</w:t>
        </w:r>
      </w:hyperlink>
      <w:r>
        <w:t xml:space="preserve">)</w:t>
      </w:r>
      <w:r>
        <w:t xml:space="preserve">.</w:t>
      </w:r>
    </w:p>
    <w:p>
      <w:pPr>
        <w:pStyle w:val="Compact"/>
        <w:numPr>
          <w:ilvl w:val="0"/>
          <w:numId w:val="1184"/>
        </w:numPr>
      </w:pPr>
      <w:r>
        <w:rPr>
          <w:b/>
          <w:bCs/>
        </w:rPr>
        <w:t xml:space="preserve">Indirect export:</w:t>
      </w:r>
      <w:r>
        <w:t xml:space="preserve"> </w:t>
      </w:r>
      <w:r>
        <w:t xml:space="preserve">an</w:t>
      </w:r>
      <w:r>
        <w:t xml:space="preserve"> </w:t>
      </w:r>
      <w:r>
        <w:rPr>
          <w:b/>
          <w:bCs/>
        </w:rPr>
        <w:t xml:space="preserve">overseas person</w:t>
      </w:r>
      <w:r>
        <w:t xml:space="preserve"> </w:t>
      </w:r>
      <w:r>
        <w:t xml:space="preserve">or their agent collects the goods from the supplier in the UK and arranges the export. An overseas person is someone not resident in the UK, a business with no business establishment in the UK from which it makes taxable supplies, or an overseas authority</w:t>
      </w:r>
      <w:r>
        <w:t xml:space="preserve"> </w:t>
      </w:r>
      <w:r>
        <w:t xml:space="preserve">(</w:t>
      </w:r>
      <w:hyperlink w:anchor="ref-hmrc_n703">
        <w:r>
          <w:rPr>
            <w:rStyle w:val="Hyperlink"/>
          </w:rPr>
          <w:t xml:space="preserve">HMRC, 2026p</w:t>
        </w:r>
      </w:hyperlink>
      <w:r>
        <w:t xml:space="preserve">, paras. 2.4 and 2.9)</w:t>
      </w:r>
      <w:r>
        <w:t xml:space="preserve">.</w:t>
      </w:r>
    </w:p>
    <w:p>
      <w:pPr>
        <w:pStyle w:val="FirstParagraph"/>
      </w:pPr>
      <w:r>
        <w:t xml:space="preserve">Goods sold to a customer established in the UK cannot be zero-rated as an indirect export, even if that customer then exports them. Zero-rating may still apply if the supplier arranges a direct export itself</w:t>
      </w:r>
      <w:r>
        <w:t xml:space="preserve"> </w:t>
      </w:r>
      <w:r>
        <w:t xml:space="preserve">(</w:t>
      </w:r>
      <w:hyperlink w:anchor="ref-hmrc_n703">
        <w:r>
          <w:rPr>
            <w:rStyle w:val="Hyperlink"/>
          </w:rPr>
          <w:t xml:space="preserve">HMRC, 2026p, para. 2.10</w:t>
        </w:r>
      </w:hyperlink>
      <w:r>
        <w:t xml:space="preserve">)</w:t>
      </w:r>
      <w:r>
        <w:t xml:space="preserve">. For indirect exports, the goods must not be used between leaving the supplier’s premises and being exported</w:t>
      </w:r>
      <w:r>
        <w:t xml:space="preserve"> </w:t>
      </w:r>
      <w:r>
        <w:t xml:space="preserve">(</w:t>
      </w:r>
      <w:hyperlink w:anchor="ref-hmrc_n703">
        <w:r>
          <w:rPr>
            <w:rStyle w:val="Hyperlink"/>
          </w:rPr>
          <w:t xml:space="preserve">HMRC, 2026p, para. 3.4</w:t>
        </w:r>
      </w:hyperlink>
      <w:r>
        <w:t xml:space="preserve">)</w:t>
      </w:r>
      <w:r>
        <w:t xml:space="preserve">.</w:t>
      </w:r>
    </w:p>
    <w:bookmarkEnd w:id="164"/>
    <w:bookmarkStart w:id="165" w:name="time-limits-and-evidence"/>
    <w:p>
      <w:pPr>
        <w:pStyle w:val="Heading4"/>
      </w:pPr>
      <w:r>
        <w:t xml:space="preserve">Time limits and evidence</w:t>
      </w:r>
    </w:p>
    <w:p>
      <w:pPr>
        <w:pStyle w:val="FirstParagraph"/>
      </w:pPr>
      <w:r>
        <w:t xml:space="preserve">The main conditions are in paragraphs of Notice 703 that have the force of law</w:t>
      </w:r>
      <w:r>
        <w:t xml:space="preserve"> </w:t>
      </w:r>
      <w:r>
        <w:t xml:space="preserve">(</w:t>
      </w:r>
      <w:hyperlink w:anchor="ref-hmrc_n703">
        <w:r>
          <w:rPr>
            <w:rStyle w:val="Hyperlink"/>
          </w:rPr>
          <w:t xml:space="preserve">HMRC, 2026p</w:t>
        </w:r>
      </w:hyperlink>
      <w:r>
        <w:t xml:space="preserve">, paras. 1.4, 3.3 and 3.5)</w:t>
      </w:r>
      <w:r>
        <w:t xml:space="preserve">:</w:t>
      </w:r>
    </w:p>
    <w:p>
      <w:pPr>
        <w:pStyle w:val="Compact"/>
        <w:numPr>
          <w:ilvl w:val="0"/>
          <w:numId w:val="1185"/>
        </w:numPr>
      </w:pPr>
      <w:r>
        <w:rPr>
          <w:b/>
          <w:bCs/>
        </w:rPr>
        <w:t xml:space="preserve">Time limit:</w:t>
      </w:r>
      <w:r>
        <w:t xml:space="preserve"> </w:t>
      </w:r>
      <w:r>
        <w:t xml:space="preserve">for most direct and indirect exports, the goods must be exported, and the evidence obtained, within</w:t>
      </w:r>
      <w:r>
        <w:t xml:space="preserve"> </w:t>
      </w:r>
      <w:r>
        <w:rPr>
          <w:b/>
          <w:bCs/>
        </w:rPr>
        <w:t xml:space="preserve">3 months</w:t>
      </w:r>
      <w:r>
        <w:t xml:space="preserve"> </w:t>
      </w:r>
      <w:r>
        <w:t xml:space="preserve">of the time of supply</w:t>
      </w:r>
      <w:r>
        <w:t xml:space="preserve"> </w:t>
      </w:r>
      <w:r>
        <w:t xml:space="preserve">(</w:t>
      </w:r>
      <w:hyperlink w:anchor="ref-hmrc_n703">
        <w:r>
          <w:rPr>
            <w:rStyle w:val="Hyperlink"/>
          </w:rPr>
          <w:t xml:space="preserve">HMRC, 2026p, para. 3.5</w:t>
        </w:r>
      </w:hyperlink>
      <w:r>
        <w:t xml:space="preserve">)</w:t>
      </w:r>
      <w:r>
        <w:t xml:space="preserve">.</w:t>
      </w:r>
    </w:p>
    <w:p>
      <w:pPr>
        <w:pStyle w:val="Compact"/>
        <w:numPr>
          <w:ilvl w:val="0"/>
          <w:numId w:val="1185"/>
        </w:numPr>
      </w:pPr>
      <w:r>
        <w:rPr>
          <w:b/>
          <w:bCs/>
        </w:rPr>
        <w:t xml:space="preserve">Evidence of supply:</w:t>
      </w:r>
      <w:r>
        <w:t xml:space="preserve"> </w:t>
      </w:r>
      <w:r>
        <w:t xml:space="preserve">for example, the customer’s order, sales contract, export invoice and evidence of payment</w:t>
      </w:r>
      <w:r>
        <w:t xml:space="preserve"> </w:t>
      </w:r>
      <w:r>
        <w:t xml:space="preserve">(</w:t>
      </w:r>
      <w:hyperlink w:anchor="ref-hmrc_n703">
        <w:r>
          <w:rPr>
            <w:rStyle w:val="Hyperlink"/>
          </w:rPr>
          <w:t xml:space="preserve">HMRC, 2026p, para. 6.4</w:t>
        </w:r>
      </w:hyperlink>
      <w:r>
        <w:t xml:space="preserve">)</w:t>
      </w:r>
      <w:r>
        <w:t xml:space="preserve">.</w:t>
      </w:r>
    </w:p>
    <w:p>
      <w:pPr>
        <w:pStyle w:val="Compact"/>
        <w:numPr>
          <w:ilvl w:val="0"/>
          <w:numId w:val="1185"/>
        </w:numPr>
      </w:pPr>
      <w:r>
        <w:rPr>
          <w:b/>
          <w:bCs/>
        </w:rPr>
        <w:t xml:space="preserve">Evidence of export:</w:t>
      </w:r>
      <w:r>
        <w:t xml:space="preserve"> </w:t>
      </w:r>
      <w:r>
        <w:t xml:space="preserve">either official evidence or commercial transport evidence</w:t>
      </w:r>
      <w:r>
        <w:t xml:space="preserve"> </w:t>
      </w:r>
      <w:r>
        <w:t xml:space="preserve">(</w:t>
      </w:r>
      <w:hyperlink w:anchor="ref-hmrc_n703">
        <w:r>
          <w:rPr>
            <w:rStyle w:val="Hyperlink"/>
          </w:rPr>
          <w:t xml:space="preserve">HMRC, 2026p, para. 3.3</w:t>
        </w:r>
      </w:hyperlink>
      <w:r>
        <w:t xml:space="preserve">)</w:t>
      </w:r>
      <w:r>
        <w:t xml:space="preserve">. Official evidence is an export declaration on CDS that has generated a departure confirmation; you need its Movement Reference Number (MRN) or Declaration Unique Consignment Reference (DUCR)</w:t>
      </w:r>
      <w:r>
        <w:t xml:space="preserve"> </w:t>
      </w:r>
      <w:r>
        <w:t xml:space="preserve">(</w:t>
      </w:r>
      <w:hyperlink w:anchor="ref-hmrc_n703">
        <w:r>
          <w:rPr>
            <w:rStyle w:val="Hyperlink"/>
          </w:rPr>
          <w:t xml:space="preserve">HMRC, 2026p, para. 6.2</w:t>
        </w:r>
      </w:hyperlink>
      <w:r>
        <w:t xml:space="preserve">)</w:t>
      </w:r>
      <w:r>
        <w:t xml:space="preserve">. Commercial evidence includes, for example, an authenticated air waybill or a bill of lading</w:t>
      </w:r>
      <w:r>
        <w:t xml:space="preserve"> </w:t>
      </w:r>
      <w:r>
        <w:t xml:space="preserve">(</w:t>
      </w:r>
      <w:hyperlink w:anchor="ref-hmrc_n703">
        <w:r>
          <w:rPr>
            <w:rStyle w:val="Hyperlink"/>
          </w:rPr>
          <w:t xml:space="preserve">HMRC, 2026p, para. 6.3</w:t>
        </w:r>
      </w:hyperlink>
      <w:r>
        <w:t xml:space="preserve">)</w:t>
      </w:r>
      <w:r>
        <w:t xml:space="preserve">.</w:t>
      </w:r>
    </w:p>
    <w:p>
      <w:pPr>
        <w:pStyle w:val="Compact"/>
        <w:numPr>
          <w:ilvl w:val="0"/>
          <w:numId w:val="1185"/>
        </w:numPr>
      </w:pPr>
      <w:r>
        <w:rPr>
          <w:b/>
          <w:bCs/>
        </w:rPr>
        <w:t xml:space="preserve">Quality of evidence:</w:t>
      </w:r>
      <w:r>
        <w:t xml:space="preserve"> </w:t>
      </w:r>
      <w:r>
        <w:t xml:space="preserve">together, the evidence must give a clear audit trail showing the supplier, the consignor (if different), the customer, a full and accurate description of the goods and quantities, their value, the destination, and the route and method of transport</w:t>
      </w:r>
      <w:r>
        <w:t xml:space="preserve"> </w:t>
      </w:r>
      <w:r>
        <w:t xml:space="preserve">(</w:t>
      </w:r>
      <w:hyperlink w:anchor="ref-hmrc_n703">
        <w:r>
          <w:rPr>
            <w:rStyle w:val="Hyperlink"/>
          </w:rPr>
          <w:t xml:space="preserve">HMRC, 2026p, para. 6.5</w:t>
        </w:r>
      </w:hyperlink>
      <w:r>
        <w:t xml:space="preserve">)</w:t>
      </w:r>
      <w:r>
        <w:t xml:space="preserve">.</w:t>
      </w:r>
    </w:p>
    <w:p>
      <w:pPr>
        <w:pStyle w:val="Compact"/>
        <w:numPr>
          <w:ilvl w:val="0"/>
          <w:numId w:val="1185"/>
        </w:numPr>
      </w:pPr>
      <w:r>
        <w:rPr>
          <w:b/>
          <w:bCs/>
        </w:rPr>
        <w:t xml:space="preserve">Keep it:</w:t>
      </w:r>
      <w:r>
        <w:t xml:space="preserve"> </w:t>
      </w:r>
      <w:r>
        <w:t xml:space="preserve">keep proof of export for 6 years</w:t>
      </w:r>
      <w:r>
        <w:t xml:space="preserve"> </w:t>
      </w:r>
      <w:r>
        <w:t xml:space="preserve">(</w:t>
      </w:r>
      <w:hyperlink w:anchor="ref-hmrc_n703">
        <w:r>
          <w:rPr>
            <w:rStyle w:val="Hyperlink"/>
          </w:rPr>
          <w:t xml:space="preserve">HMRC, 2026p, para. 6.7</w:t>
        </w:r>
      </w:hyperlink>
      <w:r>
        <w:t xml:space="preserve">)</w:t>
      </w:r>
      <w:r>
        <w:t xml:space="preserve">.</w:t>
      </w:r>
    </w:p>
    <w:p>
      <w:pPr>
        <w:pStyle w:val="FirstParagraph"/>
      </w:pPr>
      <w:r>
        <w:t xml:space="preserve">HMRC says the standard of evidence for an indirect export is high, because the carrier is contracted to the customer, not the supplier. HMRC suggests making the evidence a term of the sales contract, or taking a deposit equal to the VAT until the evidence arrives</w:t>
      </w:r>
      <w:r>
        <w:t xml:space="preserve"> </w:t>
      </w:r>
      <w:r>
        <w:t xml:space="preserve">(</w:t>
      </w:r>
      <w:hyperlink w:anchor="ref-hmrc_n703">
        <w:r>
          <w:rPr>
            <w:rStyle w:val="Hyperlink"/>
          </w:rPr>
          <w:t xml:space="preserve">HMRC, 2026p, para. 6.6</w:t>
        </w:r>
      </w:hyperlink>
      <w:r>
        <w:t xml:space="preserve">)</w:t>
      </w:r>
      <w:r>
        <w:t xml:space="preserve">.</w:t>
      </w:r>
    </w:p>
    <w:p>
      <w:pPr>
        <w:pStyle w:val="BodyText"/>
      </w:pPr>
      <w:r>
        <w:t xml:space="preserve">If the goods are not exported in time, or the evidence is not obtained in time, the supplier must account for VAT. At 20%, the VAT is one-sixth of the amount invoiced or received, and it goes in Box 1 of the return for the period in which the time limit runs out</w:t>
      </w:r>
      <w:r>
        <w:t xml:space="preserve"> </w:t>
      </w:r>
      <w:r>
        <w:t xml:space="preserve">(</w:t>
      </w:r>
      <w:hyperlink w:anchor="ref-hmrc_n703">
        <w:r>
          <w:rPr>
            <w:rStyle w:val="Hyperlink"/>
          </w:rPr>
          <w:t xml:space="preserve">HMRC, 2026p, para. 11.2</w:t>
        </w:r>
      </w:hyperlink>
      <w:r>
        <w:t xml:space="preserve">)</w:t>
      </w:r>
      <w:r>
        <w:t xml:space="preserve">. If the evidence turns up later, the supplier can then zero-rate and adjust its VAT account in the period in which the evidence is received</w:t>
      </w:r>
      <w:r>
        <w:t xml:space="preserve"> </w:t>
      </w:r>
      <w:r>
        <w:t xml:space="preserve">(</w:t>
      </w:r>
      <w:hyperlink w:anchor="ref-hmrc_n703">
        <w:r>
          <w:rPr>
            <w:rStyle w:val="Hyperlink"/>
          </w:rPr>
          <w:t xml:space="preserve">HMRC, 2026p, para. 11.3</w:t>
        </w:r>
      </w:hyperlink>
      <w:r>
        <w:t xml:space="preserve">)</w:t>
      </w:r>
      <w:r>
        <w:t xml:space="preserve">. Zero-rated exports go in Box 6 of the return</w:t>
      </w:r>
      <w:r>
        <w:t xml:space="preserve"> </w:t>
      </w:r>
      <w:r>
        <w:t xml:space="preserve">(</w:t>
      </w:r>
      <w:hyperlink w:anchor="ref-hmrc_n70012">
        <w:r>
          <w:rPr>
            <w:rStyle w:val="Hyperlink"/>
          </w:rPr>
          <w:t xml:space="preserve">HMRC, 2025f, para. 3.7</w:t>
        </w:r>
      </w:hyperlink>
      <w:r>
        <w:t xml:space="preserve">)</w:t>
      </w:r>
      <w:r>
        <w:t xml:space="preserve">.</w:t>
      </w:r>
    </w:p>
    <w:bookmarkEnd w:id="165"/>
    <w:bookmarkStart w:id="166" w:name="X72b2eb76e7276fbc6a76d2a97fa8218e229ce8a"/>
    <w:p>
      <w:pPr>
        <w:pStyle w:val="Heading4"/>
      </w:pPr>
      <w:r>
        <w:t xml:space="preserve">Supplies to overseas authorities through embassies and High Commissions</w:t>
      </w:r>
    </w:p>
    <w:p>
      <w:pPr>
        <w:pStyle w:val="FirstParagraph"/>
      </w:pPr>
      <w:r>
        <w:t xml:space="preserve">A UK supplier may zero-rate goods supplied to an</w:t>
      </w:r>
      <w:r>
        <w:t xml:space="preserve"> </w:t>
      </w:r>
      <w:r>
        <w:rPr>
          <w:b/>
          <w:bCs/>
        </w:rPr>
        <w:t xml:space="preserve">overseas authority</w:t>
      </w:r>
      <w:r>
        <w:t xml:space="preserve"> </w:t>
      </w:r>
      <w:r>
        <w:t xml:space="preserve">(a foreign government body) that are ordered through its embassy, High Commission or purchasing agent in the UK, if:</w:t>
      </w:r>
    </w:p>
    <w:p>
      <w:pPr>
        <w:pStyle w:val="Compact"/>
        <w:numPr>
          <w:ilvl w:val="0"/>
          <w:numId w:val="1186"/>
        </w:numPr>
      </w:pPr>
      <w:r>
        <w:t xml:space="preserve">the supplier keeps a separate record of each transaction, including evidence that the customer is an overseas authority (for example, the order, a sales invoice made out to the overseas authority and evidence of payment from it)</w:t>
      </w:r>
    </w:p>
    <w:p>
      <w:pPr>
        <w:pStyle w:val="Compact"/>
        <w:numPr>
          <w:ilvl w:val="0"/>
          <w:numId w:val="1186"/>
        </w:numPr>
      </w:pPr>
      <w:r>
        <w:t xml:space="preserve">the goods are exported, and proof of export obtained, within 3 months</w:t>
      </w:r>
    </w:p>
    <w:p>
      <w:pPr>
        <w:pStyle w:val="Compact"/>
        <w:numPr>
          <w:ilvl w:val="0"/>
          <w:numId w:val="1186"/>
        </w:numPr>
      </w:pPr>
      <w:r>
        <w:t xml:space="preserve">the goods are not used between leaving the supplier’s premises and export, either for their normal purpose or for display, exhibition or copying</w:t>
      </w:r>
      <w:r>
        <w:t xml:space="preserve"> </w:t>
      </w:r>
      <w:r>
        <w:t xml:space="preserve">(</w:t>
      </w:r>
      <w:hyperlink w:anchor="ref-hmrc_n703">
        <w:r>
          <w:rPr>
            <w:rStyle w:val="Hyperlink"/>
          </w:rPr>
          <w:t xml:space="preserve">HMRC, 2026p, para. 4.13</w:t>
        </w:r>
      </w:hyperlink>
      <w:r>
        <w:t xml:space="preserve">)</w:t>
      </w:r>
    </w:p>
    <w:bookmarkEnd w:id="166"/>
    <w:bookmarkStart w:id="167" w:name="Xd37d6d6366a8eae15f4c96891e18ccc4b59910b"/>
    <w:p>
      <w:pPr>
        <w:pStyle w:val="Heading4"/>
      </w:pPr>
      <w:r>
        <w:t xml:space="preserve">Goods delivered to government departments in the UK are not zero-rated, even if they are going abroad</w:t>
      </w:r>
    </w:p>
    <w:p>
      <w:pPr>
        <w:pStyle w:val="FirstParagraph"/>
      </w:pPr>
      <w:r>
        <w:t xml:space="preserve">This matters whenever the Department buys goods that will end up abroad. VAT Notice 703 says:</w:t>
      </w:r>
    </w:p>
    <w:p>
      <w:pPr>
        <w:pStyle w:val="BlockText"/>
      </w:pPr>
      <w:r>
        <w:t xml:space="preserve">“</w:t>
      </w:r>
      <w:r>
        <w:t xml:space="preserve">You can zero rate the supply of goods to government departments only if you arrange for their direct export to a destination outside the UK and comply with the conditions set out in this notice … You must not zero rate goods for export delivered to government departments in the UK even if the goods are ordered for, or by, overseas establishments.</w:t>
      </w:r>
      <w:r>
        <w:t xml:space="preserve">”</w:t>
      </w:r>
      <w:r>
        <w:t xml:space="preserve"> </w:t>
      </w:r>
      <w:r>
        <w:t xml:space="preserve">(</w:t>
      </w:r>
      <w:hyperlink w:anchor="ref-hmrc_n703">
        <w:r>
          <w:rPr>
            <w:rStyle w:val="Hyperlink"/>
          </w:rPr>
          <w:t xml:space="preserve">HMRC, 2026p, para. 4.12</w:t>
        </w:r>
      </w:hyperlink>
      <w:r>
        <w:t xml:space="preserve">)</w:t>
      </w:r>
    </w:p>
    <w:p>
      <w:pPr>
        <w:pStyle w:val="FirstParagraph"/>
      </w:pPr>
      <w:r>
        <w:t xml:space="preserve">In plain terms:</w:t>
      </w:r>
    </w:p>
    <w:p>
      <w:pPr>
        <w:pStyle w:val="Compact"/>
        <w:numPr>
          <w:ilvl w:val="0"/>
          <w:numId w:val="1187"/>
        </w:numPr>
      </w:pPr>
      <w:r>
        <w:rPr>
          <w:b/>
          <w:bCs/>
        </w:rPr>
        <w:t xml:space="preserve">Not claimable:</w:t>
      </w:r>
      <w:r>
        <w:t xml:space="preserve"> </w:t>
      </w:r>
      <w:r>
        <w:t xml:space="preserve">if a supplier delivers goods to the Department in the UK and the Department then sends them abroad, the supplier must charge UK VAT. If the goods are for a non-business purpose (for example, a gift to an overseas government), that VAT is a goods cost and COS does not refund it (see Part 6, Providing items to overseas governments)</w:t>
      </w:r>
      <w:r>
        <w:t xml:space="preserve"> </w:t>
      </w:r>
      <w:r>
        <w:t xml:space="preserve">(</w:t>
      </w:r>
      <w:hyperlink w:anchor="ref-hmrc_gdpef">
        <w:r>
          <w:rPr>
            <w:rStyle w:val="Hyperlink"/>
          </w:rPr>
          <w:t xml:space="preserve">HMRC, 2023c</w:t>
        </w:r>
      </w:hyperlink>
      <w:r>
        <w:t xml:space="preserve">;</w:t>
      </w:r>
      <w:r>
        <w:t xml:space="preserve"> </w:t>
      </w:r>
      <w:hyperlink w:anchor="ref-hmrc_n703">
        <w:r>
          <w:rPr>
            <w:rStyle w:val="Hyperlink"/>
          </w:rPr>
          <w:t xml:space="preserve">2026p, para. 4.12</w:t>
        </w:r>
      </w:hyperlink>
      <w:r>
        <w:t xml:space="preserve">)</w:t>
      </w:r>
      <w:r>
        <w:t xml:space="preserve">.</w:t>
      </w:r>
    </w:p>
    <w:p>
      <w:pPr>
        <w:pStyle w:val="Compact"/>
        <w:numPr>
          <w:ilvl w:val="0"/>
          <w:numId w:val="1187"/>
        </w:numPr>
      </w:pPr>
      <w:r>
        <w:rPr>
          <w:b/>
          <w:bCs/>
        </w:rPr>
        <w:t xml:space="preserve">Check first:</w:t>
      </w:r>
      <w:r>
        <w:t xml:space="preserve"> </w:t>
      </w:r>
      <w:r>
        <w:t xml:space="preserve">if the supplier itself arranges the direct export to the overseas destination and meets the Notice 703 conditions, it can zero-rate the supply</w:t>
      </w:r>
      <w:r>
        <w:t xml:space="preserve"> </w:t>
      </w:r>
      <w:r>
        <w:t xml:space="preserve">(</w:t>
      </w:r>
      <w:hyperlink w:anchor="ref-hmrc_n703">
        <w:r>
          <w:rPr>
            <w:rStyle w:val="Hyperlink"/>
          </w:rPr>
          <w:t xml:space="preserve">HMRC, 2026p, para. 4.12</w:t>
        </w:r>
      </w:hyperlink>
      <w:r>
        <w:t xml:space="preserve">)</w:t>
      </w:r>
      <w:r>
        <w:t xml:space="preserve">. Build this into the contract where it is practical.</w:t>
      </w:r>
    </w:p>
    <w:p>
      <w:pPr>
        <w:pStyle w:val="Compact"/>
        <w:numPr>
          <w:ilvl w:val="0"/>
          <w:numId w:val="1187"/>
        </w:numPr>
      </w:pPr>
      <w:r>
        <w:rPr>
          <w:b/>
          <w:bCs/>
        </w:rPr>
        <w:t xml:space="preserve">Check first:</w:t>
      </w:r>
      <w:r>
        <w:t xml:space="preserve"> </w:t>
      </w:r>
      <w:r>
        <w:t xml:space="preserve">different rules apply to goods ordered by British embassies, High Commissions and diplomats abroad that are delivered to the Foreign, Commonwealth and Development Office (FCDO) or FCDO Services for export through diplomatic channels</w:t>
      </w:r>
      <w:r>
        <w:t xml:space="preserve"> </w:t>
      </w:r>
      <w:r>
        <w:t xml:space="preserve">(</w:t>
      </w:r>
      <w:hyperlink w:anchor="ref-hmrc_n703">
        <w:r>
          <w:rPr>
            <w:rStyle w:val="Hyperlink"/>
          </w:rPr>
          <w:t xml:space="preserve">HMRC, 2026p, para. 7.12</w:t>
        </w:r>
      </w:hyperlink>
      <w:r>
        <w:t xml:space="preserve">)</w:t>
      </w:r>
      <w:r>
        <w:t xml:space="preserve">.</w:t>
      </w:r>
    </w:p>
    <w:bookmarkEnd w:id="167"/>
    <w:bookmarkStart w:id="168" w:name="northern-ireland-and-the-eu"/>
    <w:p>
      <w:pPr>
        <w:pStyle w:val="Heading4"/>
      </w:pPr>
      <w:r>
        <w:t xml:space="preserve">Northern Ireland and the EU</w:t>
      </w:r>
    </w:p>
    <w:p>
      <w:pPr>
        <w:pStyle w:val="FirstParagraph"/>
      </w:pPr>
      <w:r>
        <w:t xml:space="preserve">Under the Windsor Framework, Northern Ireland aligns with EU VAT rules for movements of goods</w:t>
      </w:r>
      <w:r>
        <w:t xml:space="preserve"> </w:t>
      </w:r>
      <w:r>
        <w:t xml:space="preserve">(</w:t>
      </w:r>
      <w:hyperlink w:anchor="ref-hmrc_ni_eu">
        <w:r>
          <w:rPr>
            <w:rStyle w:val="Hyperlink"/>
          </w:rPr>
          <w:t xml:space="preserve">HMRC, 2026q, para. 1.4</w:t>
        </w:r>
      </w:hyperlink>
      <w:r>
        <w:t xml:space="preserve">)</w:t>
      </w:r>
      <w:r>
        <w:t xml:space="preserve">. For Northern Ireland,</w:t>
      </w:r>
      <w:r>
        <w:t xml:space="preserve"> </w:t>
      </w:r>
      <w:r>
        <w:t xml:space="preserve">“</w:t>
      </w:r>
      <w:r>
        <w:t xml:space="preserve">import</w:t>
      </w:r>
      <w:r>
        <w:t xml:space="preserve">”</w:t>
      </w:r>
      <w:r>
        <w:t xml:space="preserve"> </w:t>
      </w:r>
      <w:r>
        <w:t xml:space="preserve">and</w:t>
      </w:r>
      <w:r>
        <w:t xml:space="preserve"> </w:t>
      </w:r>
      <w:r>
        <w:t xml:space="preserve">“</w:t>
      </w:r>
      <w:r>
        <w:t xml:space="preserve">export</w:t>
      </w:r>
      <w:r>
        <w:t xml:space="preserve">”</w:t>
      </w:r>
      <w:r>
        <w:t xml:space="preserve"> </w:t>
      </w:r>
      <w:r>
        <w:t xml:space="preserve">are only used for goods coming from, or going to, countries outside the EU. Goods moving between Northern Ireland and EU member states are treated as supplies and acquisitions of goods, with their own rules</w:t>
      </w:r>
      <w:r>
        <w:t xml:space="preserve"> </w:t>
      </w:r>
      <w:r>
        <w:t xml:space="preserve">(</w:t>
      </w:r>
      <w:hyperlink w:anchor="ref-hmrc_ni_eu">
        <w:r>
          <w:rPr>
            <w:rStyle w:val="Hyperlink"/>
          </w:rPr>
          <w:t xml:space="preserve">HMRC, 2026q</w:t>
        </w:r>
      </w:hyperlink>
      <w:r>
        <w:t xml:space="preserve">, paras. 1.5 and 2.4)</w:t>
      </w:r>
      <w:r>
        <w:t xml:space="preserve">. Goods sent from Great Britain to an EU country follow the normal export rules in Notice 703</w:t>
      </w:r>
      <w:r>
        <w:t xml:space="preserve"> </w:t>
      </w:r>
      <w:r>
        <w:t xml:space="preserve">(</w:t>
      </w:r>
      <w:hyperlink w:anchor="ref-hmrc_n703">
        <w:r>
          <w:rPr>
            <w:rStyle w:val="Hyperlink"/>
          </w:rPr>
          <w:t xml:space="preserve">HMRC, 2026p, para. 2.2</w:t>
        </w:r>
      </w:hyperlink>
      <w:r>
        <w:t xml:space="preserve">)</w:t>
      </w:r>
      <w:r>
        <w:t xml:space="preserve">. If the Department ever moves goods to or from Northern Ireland, check HMRC’s Northern Ireland guidance first</w:t>
      </w:r>
      <w:r>
        <w:t xml:space="preserve"> </w:t>
      </w:r>
      <w:r>
        <w:t xml:space="preserve">(</w:t>
      </w:r>
      <w:hyperlink w:anchor="ref-hmrc_ni_eu">
        <w:r>
          <w:rPr>
            <w:rStyle w:val="Hyperlink"/>
          </w:rPr>
          <w:t xml:space="preserve">HMRC, 2026q</w:t>
        </w:r>
      </w:hyperlink>
      <w:r>
        <w:t xml:space="preserve">)</w:t>
      </w:r>
      <w:r>
        <w:t xml:space="preserve">.</w:t>
      </w:r>
    </w:p>
    <w:bookmarkEnd w:id="168"/>
    <w:bookmarkEnd w:id="169"/>
    <w:bookmarkStart w:id="175" w:name="services-across-borders-place-of-supply"/>
    <w:p>
      <w:pPr>
        <w:pStyle w:val="Heading3"/>
      </w:pPr>
      <w:r>
        <w:t xml:space="preserve">Services across borders: place of supply</w:t>
      </w:r>
    </w:p>
    <w:bookmarkStart w:id="170" w:name="the-two-general-rules"/>
    <w:p>
      <w:pPr>
        <w:pStyle w:val="Heading4"/>
      </w:pPr>
      <w:r>
        <w:t xml:space="preserve">The two general rules</w:t>
      </w:r>
    </w:p>
    <w:p>
      <w:pPr>
        <w:pStyle w:val="FirstParagraph"/>
      </w:pPr>
      <w:r>
        <w:t xml:space="preserve">For services, the first question is not</w:t>
      </w:r>
      <w:r>
        <w:t xml:space="preserve"> </w:t>
      </w:r>
      <w:r>
        <w:t xml:space="preserve">“</w:t>
      </w:r>
      <w:r>
        <w:t xml:space="preserve">what rate?</w:t>
      </w:r>
      <w:r>
        <w:t xml:space="preserve">”</w:t>
      </w:r>
      <w:r>
        <w:t xml:space="preserve"> </w:t>
      </w:r>
      <w:r>
        <w:t xml:space="preserve">but</w:t>
      </w:r>
      <w:r>
        <w:t xml:space="preserve"> </w:t>
      </w:r>
      <w:r>
        <w:t xml:space="preserve">“</w:t>
      </w:r>
      <w:r>
        <w:t xml:space="preserve">where is the supply made?</w:t>
      </w:r>
      <w:r>
        <w:t xml:space="preserve">”</w:t>
      </w:r>
      <w:r>
        <w:t xml:space="preserve"> </w:t>
      </w:r>
      <w:r>
        <w:t xml:space="preserve">The</w:t>
      </w:r>
      <w:r>
        <w:t xml:space="preserve"> </w:t>
      </w:r>
      <w:r>
        <w:rPr>
          <w:b/>
          <w:bCs/>
        </w:rPr>
        <w:t xml:space="preserve">place of supply</w:t>
      </w:r>
      <w:r>
        <w:t xml:space="preserve"> </w:t>
      </w:r>
      <w:r>
        <w:t xml:space="preserve">is the place where the service is treated as supplied, and so where it is liable to VAT, if any</w:t>
      </w:r>
      <w:r>
        <w:t xml:space="preserve"> </w:t>
      </w:r>
      <w:r>
        <w:t xml:space="preserve">(</w:t>
      </w:r>
      <w:hyperlink w:anchor="ref-hmrc_n741a">
        <w:r>
          <w:rPr>
            <w:rStyle w:val="Hyperlink"/>
          </w:rPr>
          <w:t xml:space="preserve">HMRC, 2022d, para. 2.1</w:t>
        </w:r>
      </w:hyperlink>
      <w:r>
        <w:t xml:space="preserve">)</w:t>
      </w:r>
      <w:r>
        <w:t xml:space="preserve">.</w:t>
      </w:r>
    </w:p>
    <w:p>
      <w:pPr>
        <w:pStyle w:val="Compact"/>
        <w:numPr>
          <w:ilvl w:val="0"/>
          <w:numId w:val="1188"/>
        </w:numPr>
      </w:pPr>
      <w:r>
        <w:rPr>
          <w:b/>
          <w:bCs/>
        </w:rPr>
        <w:t xml:space="preserve">Business-to-business (B2B) general rule:</w:t>
      </w:r>
      <w:r>
        <w:t xml:space="preserve"> </w:t>
      </w:r>
      <w:r>
        <w:t xml:space="preserve">the service is supplied where the customer belongs</w:t>
      </w:r>
      <w:r>
        <w:t xml:space="preserve"> </w:t>
      </w:r>
      <w:r>
        <w:t xml:space="preserve">(</w:t>
      </w:r>
      <w:hyperlink w:anchor="ref-hmrc_n741a">
        <w:r>
          <w:rPr>
            <w:rStyle w:val="Hyperlink"/>
          </w:rPr>
          <w:t xml:space="preserve">HMRC, 2022d, para. 6.3</w:t>
        </w:r>
      </w:hyperlink>
      <w:r>
        <w:t xml:space="preserve">)</w:t>
      </w:r>
      <w:r>
        <w:t xml:space="preserve">.</w:t>
      </w:r>
    </w:p>
    <w:p>
      <w:pPr>
        <w:pStyle w:val="Compact"/>
        <w:numPr>
          <w:ilvl w:val="0"/>
          <w:numId w:val="1188"/>
        </w:numPr>
      </w:pPr>
      <w:r>
        <w:rPr>
          <w:b/>
          <w:bCs/>
        </w:rPr>
        <w:t xml:space="preserve">Business-to-consumer (B2C) general rule:</w:t>
      </w:r>
      <w:r>
        <w:t xml:space="preserve"> </w:t>
      </w:r>
      <w:r>
        <w:t xml:space="preserve">the service is supplied where the supplier belongs, wherever the customer is</w:t>
      </w:r>
      <w:r>
        <w:t xml:space="preserve"> </w:t>
      </w:r>
      <w:r>
        <w:t xml:space="preserve">(</w:t>
      </w:r>
      <w:hyperlink w:anchor="ref-hmrc_n741a">
        <w:r>
          <w:rPr>
            <w:rStyle w:val="Hyperlink"/>
          </w:rPr>
          <w:t xml:space="preserve">HMRC, 2022d, para. 6.2</w:t>
        </w:r>
      </w:hyperlink>
      <w:r>
        <w:t xml:space="preserve">)</w:t>
      </w:r>
      <w:r>
        <w:t xml:space="preserve">.</w:t>
      </w:r>
    </w:p>
    <w:p>
      <w:pPr>
        <w:pStyle w:val="FirstParagraph"/>
      </w:pPr>
      <w:r>
        <w:t xml:space="preserve">The law is section 7A of the Value Added Tax Act 1994. HMRC tells you to check the special rules first, and only use a general rule if none of the special rules applies</w:t>
      </w:r>
      <w:r>
        <w:t xml:space="preserve"> </w:t>
      </w:r>
      <w:r>
        <w:t xml:space="preserve">(</w:t>
      </w:r>
      <w:hyperlink w:anchor="ref-hmrc_n741a">
        <w:r>
          <w:rPr>
            <w:rStyle w:val="Hyperlink"/>
          </w:rPr>
          <w:t xml:space="preserve">HMRC, 2022d, para. 6.1</w:t>
        </w:r>
      </w:hyperlink>
      <w:r>
        <w:t xml:space="preserve">)</w:t>
      </w:r>
      <w:r>
        <w:t xml:space="preserve">.</w:t>
      </w:r>
    </w:p>
    <w:bookmarkEnd w:id="170"/>
    <w:bookmarkStart w:id="171" w:name="the-main-exceptions"/>
    <w:p>
      <w:pPr>
        <w:pStyle w:val="Heading4"/>
      </w:pPr>
      <w:r>
        <w:t xml:space="preserve">The main exceptions</w:t>
      </w:r>
    </w:p>
    <w:p>
      <w:pPr>
        <w:pStyle w:val="FirstParagraph"/>
      </w:pPr>
      <w:r>
        <w:t xml:space="preserve">The table below shows the main special rules that override the general rules</w:t>
      </w:r>
      <w:r>
        <w:t xml:space="preserve"> </w:t>
      </w:r>
      <w:r>
        <w:t xml:space="preserve">(</w:t>
      </w:r>
      <w:hyperlink w:anchor="ref-hmrc_n741a">
        <w:r>
          <w:rPr>
            <w:rStyle w:val="Hyperlink"/>
          </w:rPr>
          <w:t xml:space="preserve">HMRC, 2022d, para. 6.4</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548"/>
        <w:gridCol w:w="2542"/>
        <w:gridCol w:w="1646"/>
        <w:gridCol w:w="2287"/>
      </w:tblGrid>
      <w:tr>
        <w:trPr>
          <w:tblHeader w:val="true"/>
          <w:cantSplit w:val="true"/>
        </w:trPr>
        <w:tc>
          <w:tcPr>
            <w:tcW w:w="2548" w:type="dxa"/>
            <w:shd w:val="clear" w:color="auto" w:fill="1B3A5C"/>
          </w:tcPr>
          <w:p>
            <w:pPr>
              <w:pStyle w:val="Compact"/>
              <w:spacing w:after="40" w:before="40"/>
              <w:jc w:val="left"/>
            </w:pPr>
            <w:r>
              <w:rPr>
                <w:rFonts w:ascii="Tahoma" w:hAnsi="Tahoma"/>
                <w:b/>
                <w:color w:val="FFFFFF"/>
                <w:sz w:val="22"/>
              </w:rPr>
              <w:t xml:space="preserve">Type of service</w:t>
            </w:r>
          </w:p>
        </w:tc>
        <w:tc>
          <w:tcPr>
            <w:tcW w:w="2542" w:type="dxa"/>
            <w:shd w:val="clear" w:color="auto" w:fill="1B3A5C"/>
          </w:tcPr>
          <w:p>
            <w:pPr>
              <w:pStyle w:val="Compact"/>
              <w:spacing w:after="40" w:before="40"/>
              <w:jc w:val="left"/>
            </w:pPr>
            <w:r>
              <w:rPr>
                <w:rFonts w:ascii="Tahoma" w:hAnsi="Tahoma"/>
                <w:b/>
                <w:color w:val="FFFFFF"/>
                <w:sz w:val="22"/>
              </w:rPr>
              <w:t xml:space="preserve">Where it is supplied</w:t>
            </w:r>
          </w:p>
        </w:tc>
        <w:tc>
          <w:tcPr>
            <w:tcW w:w="1646" w:type="dxa"/>
            <w:shd w:val="clear" w:color="auto" w:fill="1B3A5C"/>
          </w:tcPr>
          <w:p>
            <w:pPr>
              <w:pStyle w:val="Compact"/>
              <w:spacing w:after="40" w:before="40"/>
              <w:jc w:val="left"/>
            </w:pPr>
            <w:r>
              <w:rPr>
                <w:rFonts w:ascii="Tahoma" w:hAnsi="Tahoma"/>
                <w:b/>
                <w:color w:val="FFFFFF"/>
                <w:sz w:val="22"/>
              </w:rPr>
              <w:t xml:space="preserve">Applies to</w:t>
            </w:r>
          </w:p>
        </w:tc>
        <w:tc>
          <w:tcPr>
            <w:tcW w:w="2287" w:type="dxa"/>
            <w:shd w:val="clear" w:color="auto" w:fill="1B3A5C"/>
          </w:tcPr>
          <w:p>
            <w:pPr>
              <w:pStyle w:val="Compact"/>
              <w:spacing w:after="40" w:before="40"/>
              <w:jc w:val="left"/>
            </w:pPr>
            <w:r>
              <w:rPr>
                <w:rFonts w:ascii="Tahoma" w:hAnsi="Tahoma"/>
                <w:b/>
                <w:color w:val="FFFFFF"/>
                <w:sz w:val="22"/>
              </w:rPr>
              <w:t xml:space="preserve">Source</w:t>
            </w:r>
          </w:p>
        </w:tc>
      </w:tr>
      <w:tr>
        <w:trPr>
          <w:cantSplit w:val="true"/>
        </w:trPr>
        <w:tc>
          <w:tcPr>
            <w:tcW w:w="2548" w:type="dxa"/>
            <w:shd w:val="clear" w:color="auto" w:fill="EAF3FA"/>
          </w:tcPr>
          <w:p>
            <w:pPr>
              <w:pStyle w:val="Compact"/>
              <w:spacing w:after="40" w:before="40"/>
              <w:jc w:val="left"/>
            </w:pPr>
            <w:r>
              <w:rPr>
                <w:rFonts w:ascii="Tahoma" w:hAnsi="Tahoma"/>
                <w:sz w:val="22"/>
              </w:rPr>
              <w:t xml:space="preserve">Land-related, including hotel rooms</w:t>
            </w:r>
          </w:p>
        </w:tc>
        <w:tc>
          <w:tcPr>
            <w:tcW w:w="2542" w:type="dxa"/>
            <w:shd w:val="clear" w:color="auto" w:fill="EAF3FA"/>
          </w:tcPr>
          <w:p>
            <w:pPr>
              <w:pStyle w:val="Compact"/>
              <w:spacing w:after="40" w:before="40"/>
              <w:jc w:val="left"/>
            </w:pPr>
            <w:r>
              <w:rPr>
                <w:rFonts w:ascii="Tahoma" w:hAnsi="Tahoma"/>
                <w:sz w:val="22"/>
              </w:rPr>
              <w:t xml:space="preserve">Where the land is</w:t>
            </w:r>
          </w:p>
        </w:tc>
        <w:tc>
          <w:tcPr>
            <w:tcW w:w="1646" w:type="dxa"/>
            <w:shd w:val="clear" w:color="auto" w:fill="EAF3FA"/>
          </w:tcPr>
          <w:p>
            <w:pPr>
              <w:pStyle w:val="Compact"/>
              <w:spacing w:after="40" w:before="40"/>
              <w:jc w:val="left"/>
            </w:pPr>
            <w:r>
              <w:rPr>
                <w:rFonts w:ascii="Tahoma" w:hAnsi="Tahoma"/>
                <w:sz w:val="22"/>
              </w:rPr>
              <w:t xml:space="preserve">B2B and B2C</w:t>
            </w:r>
          </w:p>
        </w:tc>
        <w:tc>
          <w:tcPr>
            <w:tcW w:w="2287" w:type="dxa"/>
            <w:shd w:val="clear" w:color="auto" w:fill="EAF3FA"/>
          </w:tcPr>
          <w:p>
            <w:pPr>
              <w:pStyle w:val="Compact"/>
              <w:spacing w:after="40" w:before="40"/>
              <w:jc w:val="left"/>
            </w:pPr>
            <w:r>
              <w:rPr>
                <w:rFonts w:ascii="Tahoma" w:hAnsi="Tahoma"/>
                <w:sz w:val="22"/>
              </w:rPr>
              <w:t xml:space="preserve">(</w:t>
            </w:r>
            <w:hyperlink w:anchor="ref-hmrc_n741a">
              <w:r>
                <w:rPr>
                  <w:rStyle w:val="Hyperlink"/>
                </w:rPr>
                <w:t xml:space="preserve">HMRC, 2022d</w:t>
              </w:r>
            </w:hyperlink>
            <w:r>
              <w:rPr>
                <w:rFonts w:ascii="Tahoma" w:hAnsi="Tahoma"/>
                <w:sz w:val="22"/>
              </w:rPr>
              <w:t xml:space="preserve">, paras. 7.1 and 7.4)</w:t>
            </w:r>
          </w:p>
        </w:tc>
      </w:tr>
      <w:tr>
        <w:trPr>
          <w:cantSplit w:val="true"/>
        </w:trPr>
        <w:tc>
          <w:tcPr>
            <w:tcW w:w="2548" w:type="dxa"/>
            <w:shd w:val="clear" w:color="auto" w:fill="FFFFFF"/>
          </w:tcPr>
          <w:p>
            <w:pPr>
              <w:pStyle w:val="Compact"/>
              <w:spacing w:after="40" w:before="40"/>
              <w:jc w:val="left"/>
            </w:pPr>
            <w:r>
              <w:rPr>
                <w:rFonts w:ascii="Tahoma" w:hAnsi="Tahoma"/>
                <w:sz w:val="22"/>
              </w:rPr>
              <w:t xml:space="preserve">Admission to an event, such as a conference</w:t>
            </w:r>
          </w:p>
        </w:tc>
        <w:tc>
          <w:tcPr>
            <w:tcW w:w="2542" w:type="dxa"/>
            <w:shd w:val="clear" w:color="auto" w:fill="FFFFFF"/>
          </w:tcPr>
          <w:p>
            <w:pPr>
              <w:pStyle w:val="Compact"/>
              <w:spacing w:after="40" w:before="40"/>
              <w:jc w:val="left"/>
            </w:pPr>
            <w:r>
              <w:rPr>
                <w:rFonts w:ascii="Tahoma" w:hAnsi="Tahoma"/>
                <w:sz w:val="22"/>
              </w:rPr>
              <w:t xml:space="preserve">Where the event takes place</w:t>
            </w:r>
          </w:p>
        </w:tc>
        <w:tc>
          <w:tcPr>
            <w:tcW w:w="1646" w:type="dxa"/>
            <w:shd w:val="clear" w:color="auto" w:fill="FFFFFF"/>
          </w:tcPr>
          <w:p>
            <w:pPr>
              <w:pStyle w:val="Compact"/>
              <w:spacing w:after="40" w:before="40"/>
              <w:jc w:val="left"/>
            </w:pPr>
            <w:r>
              <w:rPr>
                <w:rFonts w:ascii="Tahoma" w:hAnsi="Tahoma"/>
                <w:sz w:val="22"/>
              </w:rPr>
              <w:t xml:space="preserve">B2B (wider rule for B2C)</w:t>
            </w:r>
          </w:p>
        </w:tc>
        <w:tc>
          <w:tcPr>
            <w:tcW w:w="2287" w:type="dxa"/>
            <w:shd w:val="clear" w:color="auto" w:fill="FFFFFF"/>
          </w:tcPr>
          <w:p>
            <w:pPr>
              <w:pStyle w:val="Compact"/>
              <w:spacing w:after="40" w:before="40"/>
              <w:jc w:val="left"/>
            </w:pPr>
            <w:r>
              <w:rPr>
                <w:rFonts w:ascii="Tahoma" w:hAnsi="Tahoma"/>
                <w:sz w:val="22"/>
              </w:rPr>
              <w:t xml:space="preserve">(</w:t>
            </w:r>
            <w:hyperlink w:anchor="ref-hmrc_n741a">
              <w:r>
                <w:rPr>
                  <w:rStyle w:val="Hyperlink"/>
                </w:rPr>
                <w:t xml:space="preserve">HMRC, 2022d</w:t>
              </w:r>
            </w:hyperlink>
            <w:r>
              <w:rPr>
                <w:rFonts w:ascii="Tahoma" w:hAnsi="Tahoma"/>
                <w:sz w:val="22"/>
              </w:rPr>
              <w:t xml:space="preserve">, paras. 9.2 and 9.5)</w:t>
            </w:r>
          </w:p>
        </w:tc>
      </w:tr>
      <w:tr>
        <w:trPr>
          <w:cantSplit w:val="true"/>
        </w:trPr>
        <w:tc>
          <w:tcPr>
            <w:tcW w:w="2548" w:type="dxa"/>
            <w:shd w:val="clear" w:color="auto" w:fill="FBEAF1"/>
          </w:tcPr>
          <w:p>
            <w:pPr>
              <w:pStyle w:val="Compact"/>
              <w:spacing w:after="40" w:before="40"/>
              <w:jc w:val="left"/>
            </w:pPr>
            <w:r>
              <w:rPr>
                <w:rFonts w:ascii="Tahoma" w:hAnsi="Tahoma"/>
                <w:sz w:val="22"/>
              </w:rPr>
              <w:t xml:space="preserve">Passenger transport</w:t>
            </w:r>
          </w:p>
        </w:tc>
        <w:tc>
          <w:tcPr>
            <w:tcW w:w="2542" w:type="dxa"/>
            <w:shd w:val="clear" w:color="auto" w:fill="FBEAF1"/>
          </w:tcPr>
          <w:p>
            <w:pPr>
              <w:pStyle w:val="Compact"/>
              <w:spacing w:after="40" w:before="40"/>
              <w:jc w:val="left"/>
            </w:pPr>
            <w:r>
              <w:rPr>
                <w:rFonts w:ascii="Tahoma" w:hAnsi="Tahoma"/>
                <w:sz w:val="22"/>
              </w:rPr>
              <w:t xml:space="preserve">Where the transport takes place</w:t>
            </w:r>
          </w:p>
        </w:tc>
        <w:tc>
          <w:tcPr>
            <w:tcW w:w="1646" w:type="dxa"/>
            <w:shd w:val="clear" w:color="auto" w:fill="FBEAF1"/>
          </w:tcPr>
          <w:p>
            <w:pPr>
              <w:pStyle w:val="Compact"/>
              <w:spacing w:after="40" w:before="40"/>
              <w:jc w:val="left"/>
            </w:pPr>
            <w:r>
              <w:rPr>
                <w:rFonts w:ascii="Tahoma" w:hAnsi="Tahoma"/>
                <w:sz w:val="22"/>
              </w:rPr>
              <w:t xml:space="preserve">B2B and B2C</w:t>
            </w:r>
          </w:p>
        </w:tc>
        <w:tc>
          <w:tcPr>
            <w:tcW w:w="2287" w:type="dxa"/>
            <w:shd w:val="clear" w:color="auto" w:fill="FBEAF1"/>
          </w:tcPr>
          <w:p>
            <w:pPr>
              <w:pStyle w:val="Compact"/>
              <w:spacing w:after="40" w:before="40"/>
              <w:jc w:val="left"/>
            </w:pPr>
            <w:r>
              <w:rPr>
                <w:rFonts w:ascii="Tahoma" w:hAnsi="Tahoma"/>
                <w:sz w:val="22"/>
              </w:rPr>
              <w:t xml:space="preserve">(</w:t>
            </w:r>
            <w:hyperlink w:anchor="ref-hmrc_n744a">
              <w:r>
                <w:rPr>
                  <w:rStyle w:val="Hyperlink"/>
                </w:rPr>
                <w:t xml:space="preserve">HMRC, 2022g, para. 3.1</w:t>
              </w:r>
            </w:hyperlink>
            <w:r>
              <w:rPr>
                <w:rFonts w:ascii="Tahoma" w:hAnsi="Tahoma"/>
                <w:sz w:val="22"/>
              </w:rPr>
              <w:t xml:space="preserve">)</w:t>
            </w:r>
          </w:p>
        </w:tc>
      </w:tr>
      <w:tr>
        <w:trPr>
          <w:cantSplit w:val="true"/>
        </w:trPr>
        <w:tc>
          <w:tcPr>
            <w:tcW w:w="2548" w:type="dxa"/>
            <w:shd w:val="clear" w:color="auto" w:fill="EAF3FA"/>
          </w:tcPr>
          <w:p>
            <w:pPr>
              <w:pStyle w:val="Compact"/>
              <w:spacing w:after="40" w:before="40"/>
              <w:jc w:val="left"/>
            </w:pPr>
            <w:r>
              <w:rPr>
                <w:rFonts w:ascii="Tahoma" w:hAnsi="Tahoma"/>
                <w:sz w:val="22"/>
              </w:rPr>
              <w:t xml:space="preserve">Short-term hire of a means of transport</w:t>
            </w:r>
          </w:p>
        </w:tc>
        <w:tc>
          <w:tcPr>
            <w:tcW w:w="2542" w:type="dxa"/>
            <w:shd w:val="clear" w:color="auto" w:fill="EAF3FA"/>
          </w:tcPr>
          <w:p>
            <w:pPr>
              <w:pStyle w:val="Compact"/>
              <w:spacing w:after="40" w:before="40"/>
              <w:jc w:val="left"/>
            </w:pPr>
            <w:r>
              <w:rPr>
                <w:rFonts w:ascii="Tahoma" w:hAnsi="Tahoma"/>
                <w:sz w:val="22"/>
              </w:rPr>
              <w:t xml:space="preserve">Where the customer takes control of it</w:t>
            </w:r>
          </w:p>
        </w:tc>
        <w:tc>
          <w:tcPr>
            <w:tcW w:w="1646" w:type="dxa"/>
            <w:shd w:val="clear" w:color="auto" w:fill="EAF3FA"/>
          </w:tcPr>
          <w:p>
            <w:pPr>
              <w:pStyle w:val="Compact"/>
              <w:spacing w:after="40" w:before="40"/>
              <w:jc w:val="left"/>
            </w:pPr>
            <w:r>
              <w:rPr>
                <w:rFonts w:ascii="Tahoma" w:hAnsi="Tahoma"/>
                <w:sz w:val="22"/>
              </w:rPr>
              <w:t xml:space="preserve">B2B and B2C</w:t>
            </w:r>
          </w:p>
        </w:tc>
        <w:tc>
          <w:tcPr>
            <w:tcW w:w="2287" w:type="dxa"/>
            <w:shd w:val="clear" w:color="auto" w:fill="EAF3FA"/>
          </w:tcPr>
          <w:p>
            <w:pPr>
              <w:pStyle w:val="Compact"/>
              <w:spacing w:after="40" w:before="40"/>
              <w:jc w:val="left"/>
            </w:pPr>
            <w:r>
              <w:rPr>
                <w:rFonts w:ascii="Tahoma" w:hAnsi="Tahoma"/>
                <w:sz w:val="22"/>
              </w:rPr>
              <w:t xml:space="preserve">(</w:t>
            </w:r>
            <w:hyperlink w:anchor="ref-hmrc_n741a">
              <w:r>
                <w:rPr>
                  <w:rStyle w:val="Hyperlink"/>
                </w:rPr>
                <w:t xml:space="preserve">HMRC, 2022d, para. 8.6</w:t>
              </w:r>
            </w:hyperlink>
            <w:r>
              <w:rPr>
                <w:rFonts w:ascii="Tahoma" w:hAnsi="Tahoma"/>
                <w:sz w:val="22"/>
              </w:rPr>
              <w:t xml:space="preserve">)</w:t>
            </w:r>
          </w:p>
        </w:tc>
      </w:tr>
      <w:tr>
        <w:trPr>
          <w:cantSplit w:val="true"/>
        </w:trPr>
        <w:tc>
          <w:tcPr>
            <w:tcW w:w="2548" w:type="dxa"/>
            <w:shd w:val="clear" w:color="auto" w:fill="FFFFFF"/>
          </w:tcPr>
          <w:p>
            <w:pPr>
              <w:pStyle w:val="Compact"/>
              <w:spacing w:after="40" w:before="40"/>
              <w:jc w:val="left"/>
            </w:pPr>
            <w:r>
              <w:rPr>
                <w:rFonts w:ascii="Tahoma" w:hAnsi="Tahoma"/>
                <w:sz w:val="22"/>
              </w:rPr>
              <w:t xml:space="preserve">Restaurant and catering</w:t>
            </w:r>
          </w:p>
        </w:tc>
        <w:tc>
          <w:tcPr>
            <w:tcW w:w="2542" w:type="dxa"/>
            <w:shd w:val="clear" w:color="auto" w:fill="FFFFFF"/>
          </w:tcPr>
          <w:p>
            <w:pPr>
              <w:pStyle w:val="Compact"/>
              <w:spacing w:after="40" w:before="40"/>
              <w:jc w:val="left"/>
            </w:pPr>
            <w:r>
              <w:rPr>
                <w:rFonts w:ascii="Tahoma" w:hAnsi="Tahoma"/>
                <w:sz w:val="22"/>
              </w:rPr>
              <w:t xml:space="preserve">Where the service is physically carried out</w:t>
            </w:r>
          </w:p>
        </w:tc>
        <w:tc>
          <w:tcPr>
            <w:tcW w:w="1646" w:type="dxa"/>
            <w:shd w:val="clear" w:color="auto" w:fill="FFFFFF"/>
          </w:tcPr>
          <w:p>
            <w:pPr>
              <w:pStyle w:val="Compact"/>
              <w:spacing w:after="40" w:before="40"/>
              <w:jc w:val="left"/>
            </w:pPr>
            <w:r>
              <w:rPr>
                <w:rFonts w:ascii="Tahoma" w:hAnsi="Tahoma"/>
                <w:sz w:val="22"/>
              </w:rPr>
              <w:t xml:space="preserve">B2B and B2C</w:t>
            </w:r>
          </w:p>
        </w:tc>
        <w:tc>
          <w:tcPr>
            <w:tcW w:w="2287" w:type="dxa"/>
            <w:shd w:val="clear" w:color="auto" w:fill="FFFFFF"/>
          </w:tcPr>
          <w:p>
            <w:pPr>
              <w:pStyle w:val="Compact"/>
              <w:spacing w:after="40" w:before="40"/>
              <w:jc w:val="left"/>
            </w:pPr>
            <w:r>
              <w:rPr>
                <w:rFonts w:ascii="Tahoma" w:hAnsi="Tahoma"/>
                <w:sz w:val="22"/>
              </w:rPr>
              <w:t xml:space="preserve">(</w:t>
            </w:r>
            <w:hyperlink w:anchor="ref-hmrc_n741a">
              <w:r>
                <w:rPr>
                  <w:rStyle w:val="Hyperlink"/>
                </w:rPr>
                <w:t xml:space="preserve">HMRC, 2022d, para. 9.6</w:t>
              </w:r>
            </w:hyperlink>
            <w:r>
              <w:rPr>
                <w:rFonts w:ascii="Tahoma" w:hAnsi="Tahoma"/>
                <w:sz w:val="22"/>
              </w:rPr>
              <w:t xml:space="preserve">)</w:t>
            </w:r>
          </w:p>
        </w:tc>
      </w:tr>
      <w:tr>
        <w:trPr>
          <w:cantSplit w:val="true"/>
        </w:trPr>
        <w:tc>
          <w:tcPr>
            <w:tcW w:w="2548" w:type="dxa"/>
            <w:shd w:val="clear" w:color="auto" w:fill="FBEAF1"/>
          </w:tcPr>
          <w:p>
            <w:pPr>
              <w:pStyle w:val="Compact"/>
              <w:spacing w:after="40" w:before="40"/>
              <w:jc w:val="left"/>
            </w:pPr>
            <w:r>
              <w:rPr>
                <w:rFonts w:ascii="Tahoma" w:hAnsi="Tahoma"/>
                <w:sz w:val="22"/>
              </w:rPr>
              <w:t xml:space="preserve">Electronically supplied services</w:t>
            </w:r>
          </w:p>
        </w:tc>
        <w:tc>
          <w:tcPr>
            <w:tcW w:w="2542" w:type="dxa"/>
            <w:shd w:val="clear" w:color="auto" w:fill="FBEAF1"/>
          </w:tcPr>
          <w:p>
            <w:pPr>
              <w:pStyle w:val="Compact"/>
              <w:spacing w:after="40" w:before="40"/>
              <w:jc w:val="left"/>
            </w:pPr>
            <w:r>
              <w:rPr>
                <w:rFonts w:ascii="Tahoma" w:hAnsi="Tahoma"/>
                <w:sz w:val="22"/>
              </w:rPr>
              <w:t xml:space="preserve">Where the consumer is located</w:t>
            </w:r>
          </w:p>
        </w:tc>
        <w:tc>
          <w:tcPr>
            <w:tcW w:w="1646" w:type="dxa"/>
            <w:shd w:val="clear" w:color="auto" w:fill="FBEAF1"/>
          </w:tcPr>
          <w:p>
            <w:pPr>
              <w:pStyle w:val="Compact"/>
              <w:spacing w:after="40" w:before="40"/>
              <w:jc w:val="left"/>
            </w:pPr>
            <w:r>
              <w:rPr>
                <w:rFonts w:ascii="Tahoma" w:hAnsi="Tahoma"/>
                <w:sz w:val="22"/>
              </w:rPr>
              <w:t xml:space="preserve">B2C only</w:t>
            </w:r>
          </w:p>
        </w:tc>
        <w:tc>
          <w:tcPr>
            <w:tcW w:w="2287" w:type="dxa"/>
            <w:shd w:val="clear" w:color="auto" w:fill="FBEAF1"/>
          </w:tcPr>
          <w:p>
            <w:pPr>
              <w:pStyle w:val="Compact"/>
              <w:spacing w:after="40" w:before="40"/>
              <w:jc w:val="left"/>
            </w:pPr>
            <w:r>
              <w:rPr>
                <w:rFonts w:ascii="Tahoma" w:hAnsi="Tahoma"/>
                <w:sz w:val="22"/>
              </w:rPr>
              <w:t xml:space="preserve">(</w:t>
            </w:r>
            <w:hyperlink w:anchor="ref-hmrc_n741a">
              <w:r>
                <w:rPr>
                  <w:rStyle w:val="Hyperlink"/>
                </w:rPr>
                <w:t xml:space="preserve">HMRC, 2022d, sec. 14</w:t>
              </w:r>
            </w:hyperlink>
            <w:r>
              <w:rPr>
                <w:rFonts w:ascii="Tahoma" w:hAnsi="Tahoma"/>
                <w:sz w:val="22"/>
              </w:rPr>
              <w:t xml:space="preserve">)</w:t>
            </w:r>
          </w:p>
        </w:tc>
      </w:tr>
    </w:tbl>
    <w:p>
      <w:pPr>
        <w:pStyle w:val="BodyText"/>
        <w:spacing w:before="200"/>
      </w:pPr>
      <w:r>
        <w:t xml:space="preserve">For B2B customers, an electronically supplied service (for example, an online subscription) falls under the B2B general rule, so it is supplied where the customer belongs</w:t>
      </w:r>
      <w:r>
        <w:t xml:space="preserve"> </w:t>
      </w:r>
      <w:r>
        <w:t xml:space="preserve">(</w:t>
      </w:r>
      <w:hyperlink w:anchor="ref-hmrc_n741a">
        <w:r>
          <w:rPr>
            <w:rStyle w:val="Hyperlink"/>
          </w:rPr>
          <w:t xml:space="preserve">HMRC, 2022d, para. 6.3</w:t>
        </w:r>
      </w:hyperlink>
      <w:r>
        <w:t xml:space="preserve">)</w:t>
      </w:r>
      <w:r>
        <w:t xml:space="preserve">.</w:t>
      </w:r>
      <w:r>
        <w:t xml:space="preserve"> </w:t>
      </w:r>
      <w:r>
        <w:t xml:space="preserve">“</w:t>
      </w:r>
      <w:r>
        <w:t xml:space="preserve">Use and enjoyment</w:t>
      </w:r>
      <w:r>
        <w:t xml:space="preserve">”</w:t>
      </w:r>
      <w:r>
        <w:t xml:space="preserve"> </w:t>
      </w:r>
      <w:r>
        <w:t xml:space="preserve">rules can also move the place of supply for some services, such as hired goods, telecommunications and (for B2B) electronically supplied services, to where they are actually used</w:t>
      </w:r>
      <w:r>
        <w:t xml:space="preserve"> </w:t>
      </w:r>
      <w:r>
        <w:t xml:space="preserve">(</w:t>
      </w:r>
      <w:hyperlink w:anchor="ref-hmrc_n741a">
        <w:r>
          <w:rPr>
            <w:rStyle w:val="Hyperlink"/>
          </w:rPr>
          <w:t xml:space="preserve">HMRC, 2022d, sec. 13</w:t>
        </w:r>
      </w:hyperlink>
      <w:r>
        <w:t xml:space="preserve">)</w:t>
      </w:r>
      <w:r>
        <w:t xml:space="preserve">.</w:t>
      </w:r>
    </w:p>
    <w:bookmarkEnd w:id="171"/>
    <w:bookmarkStart w:id="172" w:name="is-the-department-a-business-customer"/>
    <w:p>
      <w:pPr>
        <w:pStyle w:val="Heading4"/>
      </w:pPr>
      <w:r>
        <w:t xml:space="preserve">Is the Department a business customer?</w:t>
      </w:r>
    </w:p>
    <w:p>
      <w:pPr>
        <w:pStyle w:val="FirstParagraph"/>
      </w:pPr>
      <w:r>
        <w:t xml:space="preserve">Yes, in most cases. A</w:t>
      </w:r>
      <w:r>
        <w:t xml:space="preserve"> </w:t>
      </w:r>
      <w:r>
        <w:rPr>
          <w:b/>
          <w:bCs/>
        </w:rPr>
        <w:t xml:space="preserve">relevant business person</w:t>
      </w:r>
      <w:r>
        <w:t xml:space="preserve"> </w:t>
      </w:r>
      <w:r>
        <w:t xml:space="preserve">is a person who carries on a business and does not receive the services wholly for private purposes,</w:t>
      </w:r>
      <w:r>
        <w:t xml:space="preserve"> </w:t>
      </w:r>
      <w:r>
        <w:t xml:space="preserve">“</w:t>
      </w:r>
      <w:r>
        <w:t xml:space="preserve">whether or not the services are received in the course of business</w:t>
      </w:r>
      <w:r>
        <w:t xml:space="preserve">”</w:t>
      </w:r>
      <w:r>
        <w:t xml:space="preserve"> </w:t>
      </w:r>
      <w:r>
        <w:t xml:space="preserve">(Value Added Tax Act 1994, s. 7A(4)). HMRC’s place of supply manual repeats this test. It adds that customers with non-business activities (it gives charities and local government bodies as examples)</w:t>
      </w:r>
      <w:r>
        <w:t xml:space="preserve"> </w:t>
      </w:r>
      <w:r>
        <w:t xml:space="preserve">“</w:t>
      </w:r>
      <w:r>
        <w:t xml:space="preserve">are still treated as B2B supplies where the customer meets the above conditions, even if the service relates to their non-business activities</w:t>
      </w:r>
      <w:r>
        <w:t xml:space="preserve">”</w:t>
      </w:r>
      <w:r>
        <w:t xml:space="preserve"> </w:t>
      </w:r>
      <w:r>
        <w:t xml:space="preserve">(</w:t>
      </w:r>
      <w:hyperlink w:anchor="ref-hmrc_vatposs">
        <w:r>
          <w:rPr>
            <w:rStyle w:val="Hyperlink"/>
          </w:rPr>
          <w:t xml:space="preserve">HMRC, 2022j, sec. VATPOSS01350</w:t>
        </w:r>
      </w:hyperlink>
      <w:r>
        <w:t xml:space="preserve">)</w:t>
      </w:r>
      <w:r>
        <w:t xml:space="preserve">.</w:t>
      </w:r>
    </w:p>
    <w:p>
      <w:pPr>
        <w:pStyle w:val="BodyText"/>
      </w:pPr>
      <w:r>
        <w:t xml:space="preserve">HMRC names government departments directly:</w:t>
      </w:r>
    </w:p>
    <w:p>
      <w:pPr>
        <w:pStyle w:val="Compact"/>
        <w:numPr>
          <w:ilvl w:val="0"/>
          <w:numId w:val="1189"/>
        </w:numPr>
      </w:pPr>
      <w:r>
        <w:t xml:space="preserve">Notice 741A says B2B supplies include supplies to customers</w:t>
      </w:r>
      <w:r>
        <w:t xml:space="preserve"> </w:t>
      </w:r>
      <w:r>
        <w:t xml:space="preserve">“</w:t>
      </w:r>
      <w:r>
        <w:t xml:space="preserve">that have both business and non-business activities such as charities, local authorities and government departments</w:t>
      </w:r>
      <w:r>
        <w:t xml:space="preserve">”</w:t>
      </w:r>
      <w:r>
        <w:t xml:space="preserve"> </w:t>
      </w:r>
      <w:r>
        <w:t xml:space="preserve">(</w:t>
      </w:r>
      <w:hyperlink w:anchor="ref-hmrc_n741a">
        <w:r>
          <w:rPr>
            <w:rStyle w:val="Hyperlink"/>
          </w:rPr>
          <w:t xml:space="preserve">HMRC, 2022d, para. 2.4</w:t>
        </w:r>
      </w:hyperlink>
      <w:r>
        <w:t xml:space="preserve">)</w:t>
      </w:r>
      <w:r>
        <w:t xml:space="preserve">.</w:t>
      </w:r>
    </w:p>
    <w:p>
      <w:pPr>
        <w:pStyle w:val="Compact"/>
        <w:numPr>
          <w:ilvl w:val="0"/>
          <w:numId w:val="1189"/>
        </w:numPr>
      </w:pPr>
      <w:r>
        <w:t xml:space="preserve">HMRC’s framework for government departments says that if a department has both business and non-business activities, services it receives from outside the UK are treated as B2B supplies for the place of supply rules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89"/>
        </w:numPr>
      </w:pPr>
      <w:r>
        <w:t xml:space="preserve">A customer with mixed activities is treated as B2B if it can show it has business activities, for example by giving its VAT number</w:t>
      </w:r>
      <w:r>
        <w:t xml:space="preserve"> </w:t>
      </w:r>
      <w:r>
        <w:t xml:space="preserve">(</w:t>
      </w:r>
      <w:hyperlink w:anchor="ref-hmrc_n741a">
        <w:r>
          <w:rPr>
            <w:rStyle w:val="Hyperlink"/>
          </w:rPr>
          <w:t xml:space="preserve">HMRC, 2022d, para. 6.3</w:t>
        </w:r>
      </w:hyperlink>
      <w:r>
        <w:t xml:space="preserve">)</w:t>
      </w:r>
      <w:r>
        <w:t xml:space="preserve">.</w:t>
      </w:r>
    </w:p>
    <w:p>
      <w:pPr>
        <w:pStyle w:val="Compact"/>
        <w:numPr>
          <w:ilvl w:val="0"/>
          <w:numId w:val="1189"/>
        </w:numPr>
      </w:pPr>
      <w:r>
        <w:t xml:space="preserve">A government department with no business activities at all is a B2C customer</w:t>
      </w:r>
      <w:r>
        <w:t xml:space="preserve"> </w:t>
      </w:r>
      <w:r>
        <w:t xml:space="preserve">(</w:t>
      </w:r>
      <w:hyperlink w:anchor="ref-hmrc_n741a">
        <w:r>
          <w:rPr>
            <w:rStyle w:val="Hyperlink"/>
          </w:rPr>
          <w:t xml:space="preserve">HMRC, 2022d, para. 2.4</w:t>
        </w:r>
      </w:hyperlink>
      <w:r>
        <w:t xml:space="preserve">)</w:t>
      </w:r>
      <w:r>
        <w:t xml:space="preserve">.</w:t>
      </w:r>
    </w:p>
    <w:p>
      <w:pPr>
        <w:pStyle w:val="FirstParagraph"/>
      </w:pPr>
      <w:r>
        <w:t xml:space="preserve">Government departments must register for VAT whatever the value of their taxable supplies</w:t>
      </w:r>
      <w:r>
        <w:t xml:space="preserve"> </w:t>
      </w:r>
      <w:r>
        <w:t xml:space="preserve">(</w:t>
      </w:r>
      <w:hyperlink w:anchor="ref-hmrc_vatgpb">
        <w:r>
          <w:rPr>
            <w:rStyle w:val="Hyperlink"/>
          </w:rPr>
          <w:t xml:space="preserve">HMRC, 2026n, sec. VATGPB9400</w:t>
        </w:r>
      </w:hyperlink>
      <w:r>
        <w:t xml:space="preserve">)</w:t>
      </w:r>
      <w:r>
        <w:t xml:space="preserve">. The Department is VAT-registered and has business activities, so overseas suppliers should treat it as a business customer. HMRC encourages departments to use their nine-digit VAT number (beginning 888 8) on their documentation</w:t>
      </w:r>
      <w:r>
        <w:t xml:space="preserve"> </w:t>
      </w:r>
      <w:r>
        <w:t xml:space="preserve">(</w:t>
      </w:r>
      <w:hyperlink w:anchor="ref-hmrc_vatgpb">
        <w:r>
          <w:rPr>
            <w:rStyle w:val="Hyperlink"/>
          </w:rPr>
          <w:t xml:space="preserve">HMRC, 2026n, sec. VATGPB9400</w:t>
        </w:r>
      </w:hyperlink>
      <w:r>
        <w:t xml:space="preserve">)</w:t>
      </w:r>
      <w:r>
        <w:t xml:space="preserve">.</w:t>
      </w:r>
    </w:p>
    <w:bookmarkEnd w:id="172"/>
    <w:bookmarkStart w:id="173" w:name="the-reverse-charge"/>
    <w:p>
      <w:pPr>
        <w:pStyle w:val="Heading4"/>
      </w:pPr>
      <w:r>
        <w:t xml:space="preserve">The reverse charge</w:t>
      </w:r>
    </w:p>
    <w:p>
      <w:pPr>
        <w:pStyle w:val="FirstParagraph"/>
      </w:pPr>
      <w:r>
        <w:t xml:space="preserve">The</w:t>
      </w:r>
      <w:r>
        <w:t xml:space="preserve"> </w:t>
      </w:r>
      <w:r>
        <w:rPr>
          <w:b/>
          <w:bCs/>
        </w:rPr>
        <w:t xml:space="preserve">reverse charge</w:t>
      </w:r>
      <w:r>
        <w:t xml:space="preserve"> </w:t>
      </w:r>
      <w:r>
        <w:t xml:space="preserve">means the customer, not the supplier, accounts for the UK VAT. Under section 8 of the Value Added Tax Act 1994, it applies where:</w:t>
      </w:r>
    </w:p>
    <w:p>
      <w:pPr>
        <w:pStyle w:val="Compact"/>
        <w:numPr>
          <w:ilvl w:val="0"/>
          <w:numId w:val="1190"/>
        </w:numPr>
      </w:pPr>
      <w:r>
        <w:t xml:space="preserve">the supplier belongs outside the UK</w:t>
      </w:r>
    </w:p>
    <w:p>
      <w:pPr>
        <w:pStyle w:val="Compact"/>
        <w:numPr>
          <w:ilvl w:val="0"/>
          <w:numId w:val="1190"/>
        </w:numPr>
      </w:pPr>
      <w:r>
        <w:t xml:space="preserve">the customer is a relevant business person who belongs in the UK</w:t>
      </w:r>
    </w:p>
    <w:p>
      <w:pPr>
        <w:pStyle w:val="Compact"/>
        <w:numPr>
          <w:ilvl w:val="0"/>
          <w:numId w:val="1190"/>
        </w:numPr>
      </w:pPr>
      <w:r>
        <w:t xml:space="preserve">the place of supply is the UK</w:t>
      </w:r>
    </w:p>
    <w:p>
      <w:pPr>
        <w:pStyle w:val="Compact"/>
        <w:numPr>
          <w:ilvl w:val="0"/>
          <w:numId w:val="1190"/>
        </w:numPr>
      </w:pPr>
      <w:r>
        <w:t xml:space="preserve">the service is not exempt</w:t>
      </w:r>
    </w:p>
    <w:p>
      <w:pPr>
        <w:pStyle w:val="Compact"/>
        <w:numPr>
          <w:ilvl w:val="0"/>
          <w:numId w:val="1190"/>
        </w:numPr>
      </w:pPr>
      <w:r>
        <w:t xml:space="preserve">for services under most of the special rules (for example, land, catering, event admission, work on goods, passenger transport and use and enjoyment), the customer is UK VAT-registered</w:t>
      </w:r>
      <w:r>
        <w:t xml:space="preserve"> </w:t>
      </w:r>
      <w:r>
        <w:t xml:space="preserve">(</w:t>
      </w:r>
      <w:hyperlink w:anchor="ref-hmrc_n741a">
        <w:r>
          <w:rPr>
            <w:rStyle w:val="Hyperlink"/>
          </w:rPr>
          <w:t xml:space="preserve">HMRC, 2022d</w:t>
        </w:r>
      </w:hyperlink>
      <w:r>
        <w:t xml:space="preserve">, paras. 5.1, 5.5 and 5.9)</w:t>
      </w:r>
    </w:p>
    <w:p>
      <w:pPr>
        <w:pStyle w:val="FirstParagraph"/>
      </w:pPr>
      <w:r>
        <w:t xml:space="preserve">The reverse charge applies even if the overseas supplier has a UK VAT number</w:t>
      </w:r>
      <w:r>
        <w:t xml:space="preserve"> </w:t>
      </w:r>
      <w:r>
        <w:t xml:space="preserve">(</w:t>
      </w:r>
      <w:hyperlink w:anchor="ref-hmrc_n741a">
        <w:r>
          <w:rPr>
            <w:rStyle w:val="Hyperlink"/>
          </w:rPr>
          <w:t xml:space="preserve">HMRC, 2022d, para. 5.1</w:t>
        </w:r>
      </w:hyperlink>
      <w:r>
        <w:t xml:space="preserve">)</w:t>
      </w:r>
      <w:r>
        <w:t xml:space="preserve">. It is not optional</w:t>
      </w:r>
      <w:r>
        <w:t xml:space="preserve"> </w:t>
      </w:r>
      <w:r>
        <w:t xml:space="preserve">(</w:t>
      </w:r>
      <w:hyperlink w:anchor="ref-hmrc_n741a">
        <w:r>
          <w:rPr>
            <w:rStyle w:val="Hyperlink"/>
          </w:rPr>
          <w:t xml:space="preserve">HMRC, 2022d, para. 5.17</w:t>
        </w:r>
      </w:hyperlink>
      <w:r>
        <w:t xml:space="preserve">)</w:t>
      </w:r>
      <w:r>
        <w:t xml:space="preserve">. The value is the full amount paid, including any taxes charged abroad</w:t>
      </w:r>
      <w:r>
        <w:t xml:space="preserve"> </w:t>
      </w:r>
      <w:r>
        <w:t xml:space="preserve">(</w:t>
      </w:r>
      <w:hyperlink w:anchor="ref-hmrc_n741a">
        <w:r>
          <w:rPr>
            <w:rStyle w:val="Hyperlink"/>
          </w:rPr>
          <w:t xml:space="preserve">HMRC, 2022d, para. 5.12</w:t>
        </w:r>
      </w:hyperlink>
      <w:r>
        <w:t xml:space="preserve">)</w:t>
      </w:r>
      <w:r>
        <w:t xml:space="preserve">.</w:t>
      </w:r>
    </w:p>
    <w:p>
      <w:pPr>
        <w:pStyle w:val="BodyText"/>
      </w:pPr>
      <w:r>
        <w:t xml:space="preserve">The table below shows where a reverse charge goes on the VAT return, using a £5,000 service as an example</w:t>
      </w:r>
      <w:r>
        <w:t xml:space="preserve"> </w:t>
      </w:r>
      <w:r>
        <w:t xml:space="preserve">(</w:t>
      </w:r>
      <w:hyperlink w:anchor="ref-hmrc_n741a">
        <w:r>
          <w:rPr>
            <w:rStyle w:val="Hyperlink"/>
          </w:rPr>
          <w:t xml:space="preserve">HMRC, 2022d, para. 5.2</w:t>
        </w:r>
      </w:hyperlink>
      <w:r>
        <w:t xml:space="preserve">;</w:t>
      </w:r>
      <w:r>
        <w:t xml:space="preserve"> </w:t>
      </w:r>
      <w:hyperlink w:anchor="ref-hmrc_n70012">
        <w:r>
          <w:rPr>
            <w:rStyle w:val="Hyperlink"/>
          </w:rPr>
          <w:t xml:space="preserve">2025f, para. 4.6</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366"/>
        <w:gridCol w:w="4292"/>
        <w:gridCol w:w="2366"/>
      </w:tblGrid>
      <w:tr>
        <w:trPr>
          <w:tblHeader w:val="true"/>
          <w:cantSplit w:val="true"/>
        </w:trPr>
        <w:tc>
          <w:tcPr>
            <w:tcW w:w="2366" w:type="dxa"/>
            <w:shd w:val="clear" w:color="auto" w:fill="1B3A5C"/>
          </w:tcPr>
          <w:p>
            <w:pPr>
              <w:pStyle w:val="Compact"/>
              <w:spacing w:after="40" w:before="40"/>
              <w:jc w:val="left"/>
            </w:pPr>
            <w:r>
              <w:rPr>
                <w:rFonts w:ascii="Tahoma" w:hAnsi="Tahoma"/>
                <w:b/>
                <w:color w:val="FFFFFF"/>
                <w:sz w:val="22"/>
              </w:rPr>
              <w:t xml:space="preserve">Box</w:t>
            </w:r>
          </w:p>
        </w:tc>
        <w:tc>
          <w:tcPr>
            <w:tcW w:w="4292" w:type="dxa"/>
            <w:shd w:val="clear" w:color="auto" w:fill="1B3A5C"/>
          </w:tcPr>
          <w:p>
            <w:pPr>
              <w:pStyle w:val="Compact"/>
              <w:spacing w:after="40" w:before="40"/>
              <w:jc w:val="left"/>
            </w:pPr>
            <w:r>
              <w:rPr>
                <w:rFonts w:ascii="Tahoma" w:hAnsi="Tahoma"/>
                <w:b/>
                <w:color w:val="FFFFFF"/>
                <w:sz w:val="22"/>
              </w:rPr>
              <w:t xml:space="preserve">What goes in</w:t>
            </w:r>
          </w:p>
        </w:tc>
        <w:tc>
          <w:tcPr>
            <w:tcW w:w="2366" w:type="dxa"/>
            <w:shd w:val="clear" w:color="auto" w:fill="1B3A5C"/>
          </w:tcPr>
          <w:p>
            <w:pPr>
              <w:pStyle w:val="Compact"/>
              <w:spacing w:after="40" w:before="40"/>
              <w:jc w:val="left"/>
            </w:pPr>
            <w:r>
              <w:rPr>
                <w:rFonts w:ascii="Tahoma" w:hAnsi="Tahoma"/>
                <w:b/>
                <w:color w:val="FFFFFF"/>
                <w:sz w:val="22"/>
              </w:rPr>
              <w:t xml:space="preserve">Example</w:t>
            </w:r>
          </w:p>
        </w:tc>
      </w:tr>
      <w:tr>
        <w:trPr>
          <w:cantSplit w:val="true"/>
        </w:trPr>
        <w:tc>
          <w:tcPr>
            <w:tcW w:w="2366" w:type="dxa"/>
            <w:shd w:val="clear" w:color="auto" w:fill="EAF3FA"/>
          </w:tcPr>
          <w:p>
            <w:pPr>
              <w:pStyle w:val="Compact"/>
              <w:spacing w:after="40" w:before="40"/>
              <w:jc w:val="left"/>
            </w:pPr>
            <w:r>
              <w:rPr>
                <w:rFonts w:ascii="Tahoma" w:hAnsi="Tahoma"/>
                <w:sz w:val="22"/>
              </w:rPr>
              <w:t xml:space="preserve">Box 1</w:t>
            </w:r>
          </w:p>
        </w:tc>
        <w:tc>
          <w:tcPr>
            <w:tcW w:w="4292" w:type="dxa"/>
            <w:shd w:val="clear" w:color="auto" w:fill="EAF3FA"/>
          </w:tcPr>
          <w:p>
            <w:pPr>
              <w:pStyle w:val="Compact"/>
              <w:spacing w:after="40" w:before="40"/>
              <w:jc w:val="left"/>
            </w:pPr>
            <w:r>
              <w:rPr>
                <w:rFonts w:ascii="Tahoma" w:hAnsi="Tahoma"/>
                <w:sz w:val="22"/>
              </w:rPr>
              <w:t xml:space="preserve">Output tax on the full value (£5,000 × 20%)</w:t>
            </w:r>
          </w:p>
        </w:tc>
        <w:tc>
          <w:tcPr>
            <w:tcW w:w="2366" w:type="dxa"/>
            <w:shd w:val="clear" w:color="auto" w:fill="EAF3FA"/>
          </w:tcPr>
          <w:p>
            <w:pPr>
              <w:pStyle w:val="Compact"/>
              <w:spacing w:after="40" w:before="40"/>
              <w:jc w:val="left"/>
            </w:pPr>
            <w:r>
              <w:rPr>
                <w:rFonts w:ascii="Tahoma" w:hAnsi="Tahoma"/>
                <w:sz w:val="22"/>
              </w:rPr>
              <w:t xml:space="preserve">£1,000</w:t>
            </w:r>
          </w:p>
        </w:tc>
      </w:tr>
      <w:tr>
        <w:trPr>
          <w:cantSplit w:val="true"/>
        </w:trPr>
        <w:tc>
          <w:tcPr>
            <w:tcW w:w="2366" w:type="dxa"/>
            <w:shd w:val="clear" w:color="auto" w:fill="FFFFFF"/>
          </w:tcPr>
          <w:p>
            <w:pPr>
              <w:pStyle w:val="Compact"/>
              <w:spacing w:after="40" w:before="40"/>
              <w:jc w:val="left"/>
            </w:pPr>
            <w:r>
              <w:rPr>
                <w:rFonts w:ascii="Tahoma" w:hAnsi="Tahoma"/>
                <w:sz w:val="22"/>
              </w:rPr>
              <w:t xml:space="preserve">Box 4</w:t>
            </w:r>
          </w:p>
        </w:tc>
        <w:tc>
          <w:tcPr>
            <w:tcW w:w="4292" w:type="dxa"/>
            <w:shd w:val="clear" w:color="auto" w:fill="FFFFFF"/>
          </w:tcPr>
          <w:p>
            <w:pPr>
              <w:pStyle w:val="Compact"/>
              <w:spacing w:after="40" w:before="40"/>
              <w:jc w:val="left"/>
            </w:pPr>
            <w:r>
              <w:rPr>
                <w:rFonts w:ascii="Tahoma" w:hAnsi="Tahoma"/>
                <w:sz w:val="22"/>
              </w:rPr>
              <w:t xml:space="preserve">The VAT you are entitled to reclaim</w:t>
            </w:r>
          </w:p>
        </w:tc>
        <w:tc>
          <w:tcPr>
            <w:tcW w:w="2366" w:type="dxa"/>
            <w:shd w:val="clear" w:color="auto" w:fill="FFFFFF"/>
          </w:tcPr>
          <w:p>
            <w:pPr>
              <w:pStyle w:val="Compact"/>
              <w:spacing w:after="40" w:before="40"/>
              <w:jc w:val="left"/>
            </w:pPr>
            <w:r>
              <w:rPr>
                <w:rFonts w:ascii="Tahoma" w:hAnsi="Tahoma"/>
                <w:sz w:val="22"/>
              </w:rPr>
              <w:t xml:space="preserve">Up to £1,000</w:t>
            </w:r>
          </w:p>
        </w:tc>
      </w:tr>
      <w:tr>
        <w:trPr>
          <w:cantSplit w:val="true"/>
        </w:trPr>
        <w:tc>
          <w:tcPr>
            <w:tcW w:w="2366" w:type="dxa"/>
            <w:shd w:val="clear" w:color="auto" w:fill="FBEAF1"/>
          </w:tcPr>
          <w:p>
            <w:pPr>
              <w:pStyle w:val="Compact"/>
              <w:spacing w:after="40" w:before="40"/>
              <w:jc w:val="left"/>
            </w:pPr>
            <w:r>
              <w:rPr>
                <w:rFonts w:ascii="Tahoma" w:hAnsi="Tahoma"/>
                <w:sz w:val="22"/>
              </w:rPr>
              <w:t xml:space="preserve">Box 6</w:t>
            </w:r>
          </w:p>
        </w:tc>
        <w:tc>
          <w:tcPr>
            <w:tcW w:w="4292" w:type="dxa"/>
            <w:shd w:val="clear" w:color="auto" w:fill="FBEAF1"/>
          </w:tcPr>
          <w:p>
            <w:pPr>
              <w:pStyle w:val="Compact"/>
              <w:spacing w:after="40" w:before="40"/>
              <w:jc w:val="left"/>
            </w:pPr>
            <w:r>
              <w:rPr>
                <w:rFonts w:ascii="Tahoma" w:hAnsi="Tahoma"/>
                <w:sz w:val="22"/>
              </w:rPr>
              <w:t xml:space="preserve">The full value of the service</w:t>
            </w:r>
          </w:p>
        </w:tc>
        <w:tc>
          <w:tcPr>
            <w:tcW w:w="2366" w:type="dxa"/>
            <w:shd w:val="clear" w:color="auto" w:fill="FBEAF1"/>
          </w:tcPr>
          <w:p>
            <w:pPr>
              <w:pStyle w:val="Compact"/>
              <w:spacing w:after="40" w:before="40"/>
              <w:jc w:val="left"/>
            </w:pPr>
            <w:r>
              <w:rPr>
                <w:rFonts w:ascii="Tahoma" w:hAnsi="Tahoma"/>
                <w:sz w:val="22"/>
              </w:rPr>
              <w:t xml:space="preserve">£5,000</w:t>
            </w:r>
          </w:p>
        </w:tc>
      </w:tr>
      <w:tr>
        <w:trPr>
          <w:cantSplit w:val="true"/>
        </w:trPr>
        <w:tc>
          <w:tcPr>
            <w:tcW w:w="2366" w:type="dxa"/>
            <w:shd w:val="clear" w:color="auto" w:fill="EAF3FA"/>
          </w:tcPr>
          <w:p>
            <w:pPr>
              <w:pStyle w:val="Compact"/>
              <w:spacing w:after="40" w:before="40"/>
              <w:jc w:val="left"/>
            </w:pPr>
            <w:r>
              <w:rPr>
                <w:rFonts w:ascii="Tahoma" w:hAnsi="Tahoma"/>
                <w:sz w:val="22"/>
              </w:rPr>
              <w:t xml:space="preserve">Box 7</w:t>
            </w:r>
          </w:p>
        </w:tc>
        <w:tc>
          <w:tcPr>
            <w:tcW w:w="4292" w:type="dxa"/>
            <w:shd w:val="clear" w:color="auto" w:fill="EAF3FA"/>
          </w:tcPr>
          <w:p>
            <w:pPr>
              <w:pStyle w:val="Compact"/>
              <w:spacing w:after="40" w:before="40"/>
              <w:jc w:val="left"/>
            </w:pPr>
            <w:r>
              <w:rPr>
                <w:rFonts w:ascii="Tahoma" w:hAnsi="Tahoma"/>
                <w:sz w:val="22"/>
              </w:rPr>
              <w:t xml:space="preserve">The full value of the service</w:t>
            </w:r>
          </w:p>
        </w:tc>
        <w:tc>
          <w:tcPr>
            <w:tcW w:w="2366" w:type="dxa"/>
            <w:shd w:val="clear" w:color="auto" w:fill="EAF3FA"/>
          </w:tcPr>
          <w:p>
            <w:pPr>
              <w:pStyle w:val="Compact"/>
              <w:spacing w:after="40" w:before="40"/>
              <w:jc w:val="left"/>
            </w:pPr>
            <w:r>
              <w:rPr>
                <w:rFonts w:ascii="Tahoma" w:hAnsi="Tahoma"/>
                <w:sz w:val="22"/>
              </w:rPr>
              <w:t xml:space="preserve">£5,000</w:t>
            </w:r>
          </w:p>
        </w:tc>
      </w:tr>
    </w:tbl>
    <w:bookmarkEnd w:id="173"/>
    <w:bookmarkStart w:id="174" w:name="the-reverse-charge-and-the-department"/>
    <w:p>
      <w:pPr>
        <w:pStyle w:val="Heading4"/>
      </w:pPr>
      <w:r>
        <w:t xml:space="preserve">The reverse charge and the Department</w:t>
      </w:r>
    </w:p>
    <w:p>
      <w:pPr>
        <w:pStyle w:val="FirstParagraph"/>
      </w:pPr>
      <w:r>
        <w:t xml:space="preserve">HMRC’s framework for government departments confirms that</w:t>
      </w:r>
      <w:r>
        <w:t xml:space="preserve"> </w:t>
      </w:r>
      <w:r>
        <w:t xml:space="preserve">“</w:t>
      </w:r>
      <w:r>
        <w:t xml:space="preserve">the reverse charge provisions established under section 8 of the VAT Act 1994 will apply to them</w:t>
      </w:r>
      <w:r>
        <w:t xml:space="preserve">”</w:t>
      </w:r>
      <w:r>
        <w:t xml:space="preserve">. A department with business and non-business activities must account for output tax under the reverse charge</w:t>
      </w:r>
      <w:r>
        <w:t xml:space="preserve"> </w:t>
      </w:r>
      <w:r>
        <w:t xml:space="preserve">“</w:t>
      </w:r>
      <w:r>
        <w:t xml:space="preserve">even if they relate solely to its non-business activities</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BodyText"/>
      </w:pPr>
      <w:r>
        <w:t xml:space="preserve">What the Department can claim back depends on how the service is used:</w:t>
      </w:r>
    </w:p>
    <w:p>
      <w:pPr>
        <w:pStyle w:val="Compact"/>
        <w:numPr>
          <w:ilvl w:val="0"/>
          <w:numId w:val="1191"/>
        </w:numPr>
      </w:pPr>
      <w:r>
        <w:rPr>
          <w:b/>
          <w:bCs/>
        </w:rPr>
        <w:t xml:space="preserve">Recoverable:</w:t>
      </w:r>
      <w:r>
        <w:t xml:space="preserve"> </w:t>
      </w:r>
      <w:r>
        <w:t xml:space="preserve">the share used for taxable business activities, as input tax under section 26</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91"/>
        </w:numPr>
      </w:pPr>
      <w:r>
        <w:rPr>
          <w:b/>
          <w:bCs/>
        </w:rPr>
        <w:t xml:space="preserve">Claimable:</w:t>
      </w:r>
      <w:r>
        <w:t xml:space="preserve"> </w:t>
      </w:r>
      <w:r>
        <w:t xml:space="preserve">the share used for non-business activities, if the service falls under a COS heading. HMRC says</w:t>
      </w:r>
      <w:r>
        <w:t xml:space="preserve"> </w:t>
      </w:r>
      <w:r>
        <w:t xml:space="preserve">“</w:t>
      </w:r>
      <w:r>
        <w:t xml:space="preserve">any proportion of VAT relating to COS should be dealt with under section 41(3)</w:t>
      </w:r>
      <w:r>
        <w:t xml:space="preserve">”</w:t>
      </w:r>
      <w:r>
        <w:t xml:space="preserve"> </w:t>
      </w:r>
      <w:r>
        <w:t xml:space="preserve">(see Part 5, How and when to claim)</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91"/>
        </w:numPr>
      </w:pPr>
      <w:r>
        <w:rPr>
          <w:b/>
          <w:bCs/>
        </w:rPr>
        <w:t xml:space="preserve">Not claimable:</w:t>
      </w:r>
      <w:r>
        <w:t xml:space="preserve"> </w:t>
      </w:r>
      <w:r>
        <w:t xml:space="preserve">the share used for non-business activities where the service is not under a COS heading, and the share used for exempt business activities. This is a real cost</w:t>
      </w:r>
      <w:r>
        <w:t xml:space="preserve"> </w:t>
      </w:r>
      <w:r>
        <w:t xml:space="preserve">(</w:t>
      </w:r>
      <w:hyperlink w:anchor="ref-hmrc_gdpef">
        <w:r>
          <w:rPr>
            <w:rStyle w:val="Hyperlink"/>
          </w:rPr>
          <w:t xml:space="preserve">HMRC, 2023c</w:t>
        </w:r>
      </w:hyperlink>
      <w:r>
        <w:t xml:space="preserve">)</w:t>
      </w:r>
      <w:r>
        <w:t xml:space="preserve">.</w:t>
      </w:r>
    </w:p>
    <w:p>
      <w:pPr>
        <w:pStyle w:val="FirstParagraph"/>
      </w:pPr>
      <w:r>
        <w:t xml:space="preserve">HMRC’s own summary is that there is no net tax to pay</w:t>
      </w:r>
      <w:r>
        <w:t xml:space="preserve"> </w:t>
      </w:r>
      <w:r>
        <w:t xml:space="preserve">“</w:t>
      </w:r>
      <w:r>
        <w:t xml:space="preserve">except by government departments which are not entitled to a full deduction of VAT on costs (that is, they make exempt supplies or undertake non-business activities where the VAT does not fall under a COS heading)</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BodyText"/>
      </w:pPr>
      <w:r>
        <w:t xml:space="preserve">A reverse-charged service is not counted as one of the Department’s own supplies when working out how much input tax it can recover (Value Added Tax Act 1994, s. 8(3)).</w:t>
      </w:r>
    </w:p>
    <w:bookmarkEnd w:id="174"/>
    <w:bookmarkEnd w:id="175"/>
    <w:bookmarkStart w:id="176" w:name="selling-services-to-overseas-customers"/>
    <w:p>
      <w:pPr>
        <w:pStyle w:val="Heading3"/>
      </w:pPr>
      <w:r>
        <w:t xml:space="preserve">Selling services to overseas customers</w:t>
      </w:r>
    </w:p>
    <w:p>
      <w:pPr>
        <w:pStyle w:val="FirstParagraph"/>
      </w:pPr>
      <w:r>
        <w:t xml:space="preserve">When the Department sells a service to a customer abroad, the place of supply rules decide whether UK VAT is due.</w:t>
      </w:r>
    </w:p>
    <w:p>
      <w:pPr>
        <w:pStyle w:val="Compact"/>
        <w:numPr>
          <w:ilvl w:val="0"/>
          <w:numId w:val="1192"/>
        </w:numPr>
      </w:pPr>
      <w:r>
        <w:rPr>
          <w:b/>
          <w:bCs/>
        </w:rPr>
        <w:t xml:space="preserve">Business customer abroad (B2B):</w:t>
      </w:r>
      <w:r>
        <w:t xml:space="preserve"> </w:t>
      </w:r>
      <w:r>
        <w:t xml:space="preserve">under the general rule, the service is supplied where the customer belongs, so it is outside the scope of UK VAT and no UK VAT is charged</w:t>
      </w:r>
      <w:r>
        <w:t xml:space="preserve"> </w:t>
      </w:r>
      <w:r>
        <w:t xml:space="preserve">(</w:t>
      </w:r>
      <w:hyperlink w:anchor="ref-hmrc_n741a">
        <w:r>
          <w:rPr>
            <w:rStyle w:val="Hyperlink"/>
          </w:rPr>
          <w:t xml:space="preserve">HMRC, 2022d</w:t>
        </w:r>
      </w:hyperlink>
      <w:r>
        <w:t xml:space="preserve">, paras. 2.2 and 6.3)</w:t>
      </w:r>
      <w:r>
        <w:t xml:space="preserve">. Keep commercial evidence that the customer is in business and belongs outside the UK, such as its VAT number or a certificate from its tax authority</w:t>
      </w:r>
      <w:r>
        <w:t xml:space="preserve"> </w:t>
      </w:r>
      <w:r>
        <w:t xml:space="preserve">(</w:t>
      </w:r>
      <w:hyperlink w:anchor="ref-hmrc_n741a">
        <w:r>
          <w:rPr>
            <w:rStyle w:val="Hyperlink"/>
          </w:rPr>
          <w:t xml:space="preserve">HMRC, 2022d, para. 6.3</w:t>
        </w:r>
      </w:hyperlink>
      <w:r>
        <w:t xml:space="preserve">)</w:t>
      </w:r>
      <w:r>
        <w:t xml:space="preserve">.</w:t>
      </w:r>
    </w:p>
    <w:p>
      <w:pPr>
        <w:pStyle w:val="Compact"/>
        <w:numPr>
          <w:ilvl w:val="0"/>
          <w:numId w:val="1192"/>
        </w:numPr>
      </w:pPr>
      <w:r>
        <w:rPr>
          <w:b/>
          <w:bCs/>
        </w:rPr>
        <w:t xml:space="preserve">Non-business customer abroad (B2C), such as an overseas government with no business activities:</w:t>
      </w:r>
      <w:r>
        <w:t xml:space="preserve"> </w:t>
      </w:r>
      <w:r>
        <w:t xml:space="preserve">the B2C general rule would make the supply a UK supply. But certain services to non-business customers who belong outside the UK are supplied where the customer belongs. These include transfers and licences of copyright and similar rights, consultancy, data processing and the provision of information. Keep evidence that the customer belongs outside the UK</w:t>
      </w:r>
      <w:r>
        <w:t xml:space="preserve"> </w:t>
      </w:r>
      <w:r>
        <w:t xml:space="preserve">(</w:t>
      </w:r>
      <w:hyperlink w:anchor="ref-hmrc_n741a">
        <w:r>
          <w:rPr>
            <w:rStyle w:val="Hyperlink"/>
          </w:rPr>
          <w:t xml:space="preserve">HMRC, 2022d</w:t>
        </w:r>
      </w:hyperlink>
      <w:r>
        <w:t xml:space="preserve">, paras. 12.1 to 12.6)</w:t>
      </w:r>
      <w:r>
        <w:t xml:space="preserve">.</w:t>
      </w:r>
    </w:p>
    <w:p>
      <w:pPr>
        <w:pStyle w:val="Compact"/>
        <w:numPr>
          <w:ilvl w:val="0"/>
          <w:numId w:val="1192"/>
        </w:numPr>
      </w:pPr>
      <w:r>
        <w:rPr>
          <w:b/>
          <w:bCs/>
        </w:rPr>
        <w:t xml:space="preserve">Special rules still apply:</w:t>
      </w:r>
      <w:r>
        <w:t xml:space="preserve"> </w:t>
      </w:r>
      <w:r>
        <w:t xml:space="preserve">for example, admission to a conference the Department runs in the UK is taxed in the UK, wherever the delegates come from</w:t>
      </w:r>
      <w:r>
        <w:t xml:space="preserve"> </w:t>
      </w:r>
      <w:r>
        <w:t xml:space="preserve">(</w:t>
      </w:r>
      <w:hyperlink w:anchor="ref-hmrc_n741a">
        <w:r>
          <w:rPr>
            <w:rStyle w:val="Hyperlink"/>
          </w:rPr>
          <w:t xml:space="preserve">HMRC, 2022d</w:t>
        </w:r>
      </w:hyperlink>
      <w:r>
        <w:t xml:space="preserve">, paras. 9.2 and 9.5)</w:t>
      </w:r>
      <w:r>
        <w:t xml:space="preserve">.</w:t>
      </w:r>
    </w:p>
    <w:p>
      <w:pPr>
        <w:pStyle w:val="Compact"/>
        <w:numPr>
          <w:ilvl w:val="0"/>
          <w:numId w:val="1192"/>
        </w:numPr>
      </w:pPr>
      <w:r>
        <w:rPr>
          <w:b/>
          <w:bCs/>
        </w:rPr>
        <w:t xml:space="preserve">Training for overseas governments:</w:t>
      </w:r>
      <w:r>
        <w:t xml:space="preserve"> </w:t>
      </w:r>
      <w:r>
        <w:t xml:space="preserve">training supplied in the UK to an overseas government for its sovereign (non-business) activities, and not already exempt, can be zero-rated under an extra-statutory concession. The Department must hold a written statement from the overseas government, or its accredited representative, certifying that the trainees are employed in its sovereign activities</w:t>
      </w:r>
      <w:r>
        <w:t xml:space="preserve"> </w:t>
      </w:r>
      <w:r>
        <w:t xml:space="preserve">(</w:t>
      </w:r>
      <w:hyperlink w:anchor="ref-hmrc_n741a">
        <w:r>
          <w:rPr>
            <w:rStyle w:val="Hyperlink"/>
          </w:rPr>
          <w:t xml:space="preserve">HMRC, 2022d</w:t>
        </w:r>
      </w:hyperlink>
      <w:r>
        <w:t xml:space="preserve">, paras. 15.5 and 15.6)</w:t>
      </w:r>
      <w:r>
        <w:t xml:space="preserve">.</w:t>
      </w:r>
    </w:p>
    <w:p>
      <w:pPr>
        <w:pStyle w:val="FirstParagraph"/>
      </w:pPr>
      <w:r>
        <w:t xml:space="preserve">Services supplied outside the UK still go in Box 6 of the VAT return</w:t>
      </w:r>
      <w:r>
        <w:t xml:space="preserve"> </w:t>
      </w:r>
      <w:r>
        <w:t xml:space="preserve">(</w:t>
      </w:r>
      <w:hyperlink w:anchor="ref-hmrc_n70012">
        <w:r>
          <w:rPr>
            <w:rStyle w:val="Hyperlink"/>
          </w:rPr>
          <w:t xml:space="preserve">HMRC, 2025f, para. 3.7</w:t>
        </w:r>
      </w:hyperlink>
      <w:r>
        <w:t xml:space="preserve">)</w:t>
      </w:r>
      <w:r>
        <w:t xml:space="preserve">.</w:t>
      </w:r>
    </w:p>
    <w:p>
      <w:pPr>
        <w:pStyle w:val="BodyText"/>
      </w:pPr>
      <w:r>
        <w:rPr>
          <w:b/>
          <w:bCs/>
        </w:rPr>
        <w:t xml:space="preserve">Recovering VAT on the costs.</w:t>
      </w:r>
      <w:r>
        <w:t xml:space="preserve"> </w:t>
      </w:r>
      <w:r>
        <w:t xml:space="preserve">Input tax can be recovered on costs used to make supplies</w:t>
      </w:r>
      <w:r>
        <w:t xml:space="preserve"> </w:t>
      </w:r>
      <w:r>
        <w:t xml:space="preserve">“</w:t>
      </w:r>
      <w:r>
        <w:t xml:space="preserve">outside the United Kingdom which would be taxable supplies if made in the United Kingdom</w:t>
      </w:r>
      <w:r>
        <w:t xml:space="preserve">”</w:t>
      </w:r>
      <w:r>
        <w:t xml:space="preserve"> </w:t>
      </w:r>
      <w:r>
        <w:t xml:space="preserve">(Value Added Tax Act 1994, s. 26(2)(b))</w:t>
      </w:r>
      <w:r>
        <w:t xml:space="preserve"> </w:t>
      </w:r>
      <w:r>
        <w:t xml:space="preserve">(</w:t>
      </w:r>
      <w:hyperlink w:anchor="ref-hmrc_n741a">
        <w:r>
          <w:rPr>
            <w:rStyle w:val="Hyperlink"/>
          </w:rPr>
          <w:t xml:space="preserve">HMRC, 2022d, para. 2.7</w:t>
        </w:r>
      </w:hyperlink>
      <w:r>
        <w:t xml:space="preserve">)</w:t>
      </w:r>
      <w:r>
        <w:t xml:space="preserve">.</w:t>
      </w:r>
    </w:p>
    <w:p>
      <w:pPr>
        <w:pStyle w:val="Compact"/>
        <w:numPr>
          <w:ilvl w:val="0"/>
          <w:numId w:val="1193"/>
        </w:numPr>
      </w:pPr>
      <w:r>
        <w:rPr>
          <w:b/>
          <w:bCs/>
        </w:rPr>
        <w:t xml:space="preserve">Recoverable:</w:t>
      </w:r>
      <w:r>
        <w:t xml:space="preserve"> </w:t>
      </w:r>
      <w:r>
        <w:t xml:space="preserve">VAT on costs of a supply made abroad that would be standard-rated, reduced-rated or zero-rated if made in the UK (for example, a data licence sold to an overseas company)</w:t>
      </w:r>
      <w:r>
        <w:t xml:space="preserve"> </w:t>
      </w:r>
      <w:r>
        <w:t xml:space="preserve">(</w:t>
      </w:r>
      <w:hyperlink w:anchor="ref-hmrc_n741a">
        <w:r>
          <w:rPr>
            <w:rStyle w:val="Hyperlink"/>
          </w:rPr>
          <w:t xml:space="preserve">HMRC, 2022d, para. 2.7</w:t>
        </w:r>
      </w:hyperlink>
      <w:r>
        <w:t xml:space="preserve">)</w:t>
      </w:r>
      <w:r>
        <w:t xml:space="preserve">.</w:t>
      </w:r>
    </w:p>
    <w:p>
      <w:pPr>
        <w:pStyle w:val="Compact"/>
        <w:numPr>
          <w:ilvl w:val="0"/>
          <w:numId w:val="1193"/>
        </w:numPr>
      </w:pPr>
      <w:r>
        <w:rPr>
          <w:b/>
          <w:bCs/>
        </w:rPr>
        <w:t xml:space="preserve">Not recoverable:</w:t>
      </w:r>
      <w:r>
        <w:t xml:space="preserve"> </w:t>
      </w:r>
      <w:r>
        <w:t xml:space="preserve">VAT on costs of a supply made abroad that would be exempt if made in the UK</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93"/>
        </w:numPr>
      </w:pPr>
      <w:r>
        <w:rPr>
          <w:b/>
          <w:bCs/>
        </w:rPr>
        <w:t xml:space="preserve">Recoverable:</w:t>
      </w:r>
      <w:r>
        <w:t xml:space="preserve"> </w:t>
      </w:r>
      <w:r>
        <w:t xml:space="preserve">as an exception to that rule, VAT on costs of</w:t>
      </w:r>
      <w:r>
        <w:t xml:space="preserve"> </w:t>
      </w:r>
      <w:r>
        <w:t xml:space="preserve">“</w:t>
      </w:r>
      <w:r>
        <w:t xml:space="preserve">specified supplies</w:t>
      </w:r>
      <w:r>
        <w:t xml:space="preserve">”</w:t>
      </w:r>
      <w:r>
        <w:t xml:space="preserve">. These are certain exempt insurance and financial services supplied to customers who belong outside the UK or directly linked to the export of goods, plus some supplies of investment gold (Value Added Tax Act 1994, s. 26(2)(c); Value Added Tax (Input Tax) (Specified Supplies) Order 1999, arts. 3 and 4)</w:t>
      </w:r>
      <w:r>
        <w:t xml:space="preserve"> </w:t>
      </w:r>
      <w:r>
        <w:t xml:space="preserve">(</w:t>
      </w:r>
      <w:hyperlink w:anchor="ref-hmrc_n741a">
        <w:r>
          <w:rPr>
            <w:rStyle w:val="Hyperlink"/>
          </w:rPr>
          <w:t xml:space="preserve">HMRC, 2022d, para. 2.7</w:t>
        </w:r>
      </w:hyperlink>
      <w:r>
        <w:t xml:space="preserve">;</w:t>
      </w:r>
      <w:r>
        <w:t xml:space="preserve"> </w:t>
      </w:r>
      <w:hyperlink w:anchor="ref-hmrc_gdpef">
        <w:r>
          <w:rPr>
            <w:rStyle w:val="Hyperlink"/>
          </w:rPr>
          <w:t xml:space="preserve">2023c</w:t>
        </w:r>
      </w:hyperlink>
      <w:r>
        <w:t xml:space="preserve">)</w:t>
      </w:r>
      <w:r>
        <w:t xml:space="preserve">.</w:t>
      </w:r>
    </w:p>
    <w:p>
      <w:pPr>
        <w:pStyle w:val="FirstParagraph"/>
      </w:pPr>
      <w:r>
        <w:t xml:space="preserve">Selling services is a business activity, so this recovery is through the normal input tax rules and the Department’s partial exemption method, not through COS (see Part 5)</w:t>
      </w:r>
      <w:r>
        <w:t xml:space="preserve"> </w:t>
      </w:r>
      <w:r>
        <w:t xml:space="preserve">(</w:t>
      </w:r>
      <w:hyperlink w:anchor="ref-hmrc_gdpef">
        <w:r>
          <w:rPr>
            <w:rStyle w:val="Hyperlink"/>
          </w:rPr>
          <w:t xml:space="preserve">HMRC, 2023c</w:t>
        </w:r>
      </w:hyperlink>
      <w:r>
        <w:t xml:space="preserve">)</w:t>
      </w:r>
      <w:r>
        <w:t xml:space="preserve">.</w:t>
      </w:r>
    </w:p>
    <w:bookmarkEnd w:id="176"/>
    <w:bookmarkStart w:id="177" w:name="foreign-vat-charged-abroad"/>
    <w:p>
      <w:pPr>
        <w:pStyle w:val="Heading3"/>
      </w:pPr>
      <w:r>
        <w:t xml:space="preserve">Foreign VAT charged abroad</w:t>
      </w:r>
    </w:p>
    <w:p>
      <w:pPr>
        <w:pStyle w:val="FirstParagraph"/>
      </w:pPr>
      <w:r>
        <w:t xml:space="preserve">Foreign VAT (for example, German, French or Spanish VAT on a hotel, meal or conference abroad) is</w:t>
      </w:r>
      <w:r>
        <w:t xml:space="preserve"> </w:t>
      </w:r>
      <w:r>
        <w:rPr>
          <w:b/>
          <w:bCs/>
        </w:rPr>
        <w:t xml:space="preserve">not UK VAT</w:t>
      </w:r>
      <w:r>
        <w:t xml:space="preserve">.</w:t>
      </w:r>
    </w:p>
    <w:p>
      <w:pPr>
        <w:pStyle w:val="Compact"/>
        <w:numPr>
          <w:ilvl w:val="0"/>
          <w:numId w:val="1194"/>
        </w:numPr>
      </w:pPr>
      <w:r>
        <w:rPr>
          <w:b/>
          <w:bCs/>
        </w:rPr>
        <w:t xml:space="preserve">Not recoverable:</w:t>
      </w:r>
      <w:r>
        <w:t xml:space="preserve"> </w:t>
      </w:r>
      <w:r>
        <w:t xml:space="preserve">foreign VAT cannot go in Box 4 of the UK VAT return. Input tax means UK VAT on supplies to the Department or on its imports (Value Added Tax Act 1994, s. 24(1)).</w:t>
      </w:r>
    </w:p>
    <w:p>
      <w:pPr>
        <w:pStyle w:val="Compact"/>
        <w:numPr>
          <w:ilvl w:val="0"/>
          <w:numId w:val="1194"/>
        </w:numPr>
      </w:pPr>
      <w:r>
        <w:rPr>
          <w:b/>
          <w:bCs/>
        </w:rPr>
        <w:t xml:space="preserve">Not claimable:</w:t>
      </w:r>
      <w:r>
        <w:t xml:space="preserve"> </w:t>
      </w:r>
      <w:r>
        <w:t xml:space="preserve">foreign VAT cannot be claimed under COS. Section 41(3) only refunds VAT charged under the Value Added Tax Act 1994, which is UK VAT (Value Added Tax Act 1994, ss. 1 and 41(3)).</w:t>
      </w:r>
    </w:p>
    <w:p>
      <w:pPr>
        <w:pStyle w:val="Compact"/>
        <w:numPr>
          <w:ilvl w:val="0"/>
          <w:numId w:val="1194"/>
        </w:numPr>
      </w:pPr>
      <w:r>
        <w:rPr>
          <w:b/>
          <w:bCs/>
        </w:rPr>
        <w:t xml:space="preserve">HMRC cannot advise on it:</w:t>
      </w:r>
      <w:r>
        <w:t xml:space="preserve"> </w:t>
      </w:r>
      <w:r>
        <w:t xml:space="preserve">HMRC</w:t>
      </w:r>
      <w:r>
        <w:t xml:space="preserve"> </w:t>
      </w:r>
      <w:r>
        <w:t xml:space="preserve">“</w:t>
      </w:r>
      <w:r>
        <w:t xml:space="preserve">has no jurisdiction outside the UK, and is unable to provide guidance on VAT regimes operating in other countries</w:t>
      </w:r>
      <w:r>
        <w:t xml:space="preserve">”</w:t>
      </w:r>
      <w:r>
        <w:t xml:space="preserve"> </w:t>
      </w:r>
      <w:r>
        <w:t xml:space="preserve">(</w:t>
      </w:r>
      <w:hyperlink w:anchor="ref-hmrc_vatposs">
        <w:r>
          <w:rPr>
            <w:rStyle w:val="Hyperlink"/>
          </w:rPr>
          <w:t xml:space="preserve">HMRC, 2022j, sec. VATPOSS03100</w:t>
        </w:r>
      </w:hyperlink>
      <w:r>
        <w:t xml:space="preserve">)</w:t>
      </w:r>
      <w:r>
        <w:t xml:space="preserve">.</w:t>
      </w:r>
    </w:p>
    <w:p>
      <w:pPr>
        <w:pStyle w:val="FirstParagraph"/>
      </w:pPr>
      <w:r>
        <w:rPr>
          <w:b/>
          <w:bCs/>
        </w:rPr>
        <w:t xml:space="preserve">The only route is the other country’s own refund scheme.</w:t>
      </w:r>
      <w:r>
        <w:t xml:space="preserve"> </w:t>
      </w:r>
      <w:r>
        <w:t xml:space="preserve">UK businesses can claim refunds of VAT from countries abroad, but must follow the procedure set by the country concerned, and</w:t>
      </w:r>
      <w:r>
        <w:t xml:space="preserve"> </w:t>
      </w:r>
      <w:r>
        <w:t xml:space="preserve">“</w:t>
      </w:r>
      <w:r>
        <w:t xml:space="preserve">may need to provide a VAT66 certificate of status</w:t>
      </w:r>
      <w:r>
        <w:t xml:space="preserve">”</w:t>
      </w:r>
      <w:r>
        <w:t xml:space="preserve"> </w:t>
      </w:r>
      <w:r>
        <w:t xml:space="preserve">(</w:t>
      </w:r>
      <w:hyperlink w:anchor="ref-hmrc_n723a">
        <w:r>
          <w:rPr>
            <w:rStyle w:val="Hyperlink"/>
          </w:rPr>
          <w:t xml:space="preserve">HMRC, 2026l, sec. 3</w:t>
        </w:r>
      </w:hyperlink>
      <w:r>
        <w:t xml:space="preserve">)</w:t>
      </w:r>
      <w:r>
        <w:t xml:space="preserve">. This applies to EU countries too: UK businesses can still claim refunds of VAT paid in EU countries, but may be required to provide a certificate of status</w:t>
      </w:r>
      <w:r>
        <w:t xml:space="preserve"> </w:t>
      </w:r>
      <w:r>
        <w:t xml:space="preserve">(</w:t>
      </w:r>
      <w:hyperlink w:anchor="ref-hmrc_eu_refunds">
        <w:r>
          <w:rPr>
            <w:rStyle w:val="Hyperlink"/>
          </w:rPr>
          <w:t xml:space="preserve">HMRC, 2020d</w:t>
        </w:r>
      </w:hyperlink>
      <w:r>
        <w:t xml:space="preserve">)</w:t>
      </w:r>
      <w:r>
        <w:t xml:space="preserve">. HMRC issues the</w:t>
      </w:r>
      <w:r>
        <w:t xml:space="preserve"> </w:t>
      </w:r>
      <w:r>
        <w:rPr>
          <w:b/>
          <w:bCs/>
        </w:rPr>
        <w:t xml:space="preserve">certificate of status (VAT66)</w:t>
      </w:r>
      <w:r>
        <w:t xml:space="preserve">, by email on request, to a business registered for VAT in the UK; it confirms the business is trading in the UK</w:t>
      </w:r>
      <w:r>
        <w:t xml:space="preserve"> </w:t>
      </w:r>
      <w:r>
        <w:t xml:space="preserve">(</w:t>
      </w:r>
      <w:hyperlink w:anchor="ref-hmrc_vat66">
        <w:r>
          <w:rPr>
            <w:rStyle w:val="Hyperlink"/>
          </w:rPr>
          <w:t xml:space="preserve">HMRC, 2023b</w:t>
        </w:r>
      </w:hyperlink>
      <w:r>
        <w:t xml:space="preserve">)</w:t>
      </w:r>
      <w:r>
        <w:t xml:space="preserve">.</w:t>
      </w:r>
    </w:p>
    <w:p>
      <w:pPr>
        <w:pStyle w:val="BodyText"/>
      </w:pPr>
      <w:r>
        <w:rPr>
          <w:b/>
          <w:bCs/>
        </w:rPr>
        <w:t xml:space="preserve">These schemes are for business costs.</w:t>
      </w:r>
    </w:p>
    <w:p>
      <w:pPr>
        <w:pStyle w:val="Compact"/>
        <w:numPr>
          <w:ilvl w:val="0"/>
          <w:numId w:val="1195"/>
        </w:numPr>
      </w:pPr>
      <w:r>
        <w:t xml:space="preserve">The EU’s refund rules for businesses established outside the EU (the Thirteenth VAT Directive, Council Directive 86/560/EEC) only refund VAT on goods and services used for transactions that would carry a right to deduct VAT (Article 2(1)).</w:t>
      </w:r>
    </w:p>
    <w:p>
      <w:pPr>
        <w:pStyle w:val="Compact"/>
        <w:numPr>
          <w:ilvl w:val="0"/>
          <w:numId w:val="1195"/>
        </w:numPr>
      </w:pPr>
      <w:r>
        <w:t xml:space="preserve">Member states may make refunds depend on the other country giving similar refunds in return (Article 2(2)).</w:t>
      </w:r>
    </w:p>
    <w:p>
      <w:pPr>
        <w:pStyle w:val="Compact"/>
        <w:numPr>
          <w:ilvl w:val="0"/>
          <w:numId w:val="1195"/>
        </w:numPr>
      </w:pPr>
      <w:r>
        <w:t xml:space="preserve">Member states may ask the claimant to prove that it carries on an economic activity (Article 3(1)).</w:t>
      </w:r>
    </w:p>
    <w:p>
      <w:pPr>
        <w:pStyle w:val="Compact"/>
        <w:numPr>
          <w:ilvl w:val="0"/>
          <w:numId w:val="1195"/>
        </w:numPr>
      </w:pPr>
      <w:r>
        <w:t xml:space="preserve">The UK’s own scheme for overseas businesses works the same way: it does not refund VAT on goods and services used for non-business activities</w:t>
      </w:r>
      <w:r>
        <w:t xml:space="preserve"> </w:t>
      </w:r>
      <w:r>
        <w:t xml:space="preserve">(</w:t>
      </w:r>
      <w:hyperlink w:anchor="ref-hmrc_n723a">
        <w:r>
          <w:rPr>
            <w:rStyle w:val="Hyperlink"/>
          </w:rPr>
          <w:t xml:space="preserve">HMRC, 2026l, para. 2.3</w:t>
        </w:r>
      </w:hyperlink>
      <w:r>
        <w:t xml:space="preserve">)</w:t>
      </w:r>
      <w:r>
        <w:t xml:space="preserve">.</w:t>
      </w:r>
    </w:p>
    <w:p>
      <w:pPr>
        <w:pStyle w:val="FirstParagraph"/>
      </w:pPr>
      <w:r>
        <w:t xml:space="preserve">So, for the Department:</w:t>
      </w:r>
    </w:p>
    <w:p>
      <w:pPr>
        <w:pStyle w:val="Compact"/>
        <w:numPr>
          <w:ilvl w:val="0"/>
          <w:numId w:val="1196"/>
        </w:numPr>
      </w:pPr>
      <w:r>
        <w:rPr>
          <w:b/>
          <w:bCs/>
        </w:rPr>
        <w:t xml:space="preserve">Not recoverable:</w:t>
      </w:r>
      <w:r>
        <w:t xml:space="preserve"> </w:t>
      </w:r>
      <w:r>
        <w:t xml:space="preserve">foreign VAT on costs of the Department’s non-business activities, such as staff travel for policy work or capability-building abroad. Budget for it as a cost.</w:t>
      </w:r>
    </w:p>
    <w:p>
      <w:pPr>
        <w:pStyle w:val="Compact"/>
        <w:numPr>
          <w:ilvl w:val="0"/>
          <w:numId w:val="1196"/>
        </w:numPr>
      </w:pPr>
      <w:r>
        <w:rPr>
          <w:b/>
          <w:bCs/>
        </w:rPr>
        <w:t xml:space="preserve">Check first:</w:t>
      </w:r>
      <w:r>
        <w:t xml:space="preserve"> </w:t>
      </w:r>
      <w:r>
        <w:t xml:space="preserve">foreign VAT on costs of the Department’s business activities (for example, a trade fair abroad to sell surplus stock or data). A claim may be possible under the other country’s procedure, deadlines and minimum amounts, with a VAT66 certificate</w:t>
      </w:r>
      <w:r>
        <w:t xml:space="preserve"> </w:t>
      </w:r>
      <w:r>
        <w:t xml:space="preserve">(</w:t>
      </w:r>
      <w:hyperlink w:anchor="ref-hmrc_vat66">
        <w:r>
          <w:rPr>
            <w:rStyle w:val="Hyperlink"/>
          </w:rPr>
          <w:t xml:space="preserve">HMRC, 2023b</w:t>
        </w:r>
      </w:hyperlink>
      <w:r>
        <w:t xml:space="preserve">;</w:t>
      </w:r>
      <w:r>
        <w:t xml:space="preserve"> </w:t>
      </w:r>
      <w:hyperlink w:anchor="ref-hmrc_n723a">
        <w:r>
          <w:rPr>
            <w:rStyle w:val="Hyperlink"/>
          </w:rPr>
          <w:t xml:space="preserve">2026l, sec. 3</w:t>
        </w:r>
      </w:hyperlink>
      <w:r>
        <w:t xml:space="preserve">)</w:t>
      </w:r>
      <w:r>
        <w:t xml:space="preserve">. HMRC’s VAT66 guidance is written for businesses, so confirm with HMRC that it will issue one to the Department.</w:t>
      </w:r>
    </w:p>
    <w:bookmarkEnd w:id="177"/>
    <w:bookmarkStart w:id="186" w:name="worked-examples-3"/>
    <w:p>
      <w:pPr>
        <w:pStyle w:val="Heading3"/>
      </w:pPr>
      <w:r>
        <w:t xml:space="preserve">Worked examples</w:t>
      </w:r>
    </w:p>
    <w:p>
      <w:pPr>
        <w:pStyle w:val="FirstParagraph"/>
      </w:pPr>
      <w:r>
        <w:t xml:space="preserve">The examples below use VAT at 20%. Exchange rates, customs duty rates and foreign VAT amounts are made up for illustration; always use the real figures on the documents.</w:t>
      </w:r>
    </w:p>
    <w:bookmarkStart w:id="178" w:name="Xec01421968a22cb2471cc8d5b3425aec37bdb11"/>
    <w:p>
      <w:pPr>
        <w:pStyle w:val="Heading4"/>
      </w:pPr>
      <w:r>
        <w:t xml:space="preserve">Example 3.1: The Department imports specialist equipment from the USA for a non-business programme</w:t>
      </w:r>
    </w:p>
    <w:p>
      <w:pPr>
        <w:pStyle w:val="FirstParagraph"/>
      </w:pPr>
      <w:r>
        <w:t xml:space="preserve">The Department buys specialist monitoring equipment from a US manufacturer for a statutory (non-business) programme. A customs agent makes the import declaration, and the Department pays through its duty deferment account.</w:t>
      </w:r>
    </w:p>
    <w:p>
      <w:pPr>
        <w:pStyle w:val="BodyText"/>
      </w:pPr>
      <w:r>
        <w:t xml:space="preserve">The table below works out the import VAT.</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298"/>
        <w:gridCol w:w="4428"/>
        <w:gridCol w:w="2298"/>
      </w:tblGrid>
      <w:tr>
        <w:trPr>
          <w:tblHeader w:val="true"/>
          <w:cantSplit w:val="true"/>
        </w:trPr>
        <w:tc>
          <w:tcPr>
            <w:tcW w:w="2298" w:type="dxa"/>
            <w:shd w:val="clear" w:color="auto" w:fill="1B3A5C"/>
          </w:tcPr>
          <w:p>
            <w:pPr>
              <w:pStyle w:val="Compact"/>
              <w:spacing w:after="40" w:before="40"/>
              <w:jc w:val="left"/>
            </w:pPr>
            <w:r>
              <w:rPr>
                <w:rFonts w:ascii="Tahoma" w:hAnsi="Tahoma"/>
                <w:b/>
                <w:color w:val="FFFFFF"/>
                <w:sz w:val="22"/>
              </w:rPr>
              <w:t xml:space="preserve">Step</w:t>
            </w:r>
          </w:p>
        </w:tc>
        <w:tc>
          <w:tcPr>
            <w:tcW w:w="4428" w:type="dxa"/>
            <w:shd w:val="clear" w:color="auto" w:fill="1B3A5C"/>
          </w:tcPr>
          <w:p>
            <w:pPr>
              <w:pStyle w:val="Compact"/>
              <w:spacing w:after="40" w:before="40"/>
              <w:jc w:val="left"/>
            </w:pPr>
            <w:r>
              <w:rPr>
                <w:rFonts w:ascii="Tahoma" w:hAnsi="Tahoma"/>
                <w:b/>
                <w:color w:val="FFFFFF"/>
                <w:sz w:val="22"/>
              </w:rPr>
              <w:t xml:space="preserve">Item</w:t>
            </w:r>
          </w:p>
        </w:tc>
        <w:tc>
          <w:tcPr>
            <w:tcW w:w="2298" w:type="dxa"/>
            <w:shd w:val="clear" w:color="auto" w:fill="1B3A5C"/>
          </w:tcPr>
          <w:p>
            <w:pPr>
              <w:pStyle w:val="Compact"/>
              <w:spacing w:after="40" w:before="40"/>
              <w:jc w:val="left"/>
            </w:pPr>
            <w:r>
              <w:rPr>
                <w:rFonts w:ascii="Tahoma" w:hAnsi="Tahoma"/>
                <w:b/>
                <w:color w:val="FFFFFF"/>
                <w:sz w:val="22"/>
              </w:rPr>
              <w:t xml:space="preserve">Amount</w:t>
            </w:r>
          </w:p>
        </w:tc>
      </w:tr>
      <w:tr>
        <w:trPr>
          <w:cantSplit w:val="true"/>
        </w:trPr>
        <w:tc>
          <w:tcPr>
            <w:tcW w:w="2298" w:type="dxa"/>
            <w:shd w:val="clear" w:color="auto" w:fill="EAF3FA"/>
          </w:tcPr>
          <w:p>
            <w:pPr>
              <w:pStyle w:val="Compact"/>
              <w:spacing w:after="40" w:before="40"/>
              <w:jc w:val="left"/>
            </w:pPr>
            <w:r>
              <w:rPr>
                <w:rFonts w:ascii="Tahoma" w:hAnsi="Tahoma"/>
                <w:sz w:val="22"/>
              </w:rPr>
              <w:t xml:space="preserve">1</w:t>
            </w:r>
          </w:p>
        </w:tc>
        <w:tc>
          <w:tcPr>
            <w:tcW w:w="4428" w:type="dxa"/>
            <w:shd w:val="clear" w:color="auto" w:fill="EAF3FA"/>
          </w:tcPr>
          <w:p>
            <w:pPr>
              <w:pStyle w:val="Compact"/>
              <w:spacing w:after="40" w:before="40"/>
              <w:jc w:val="left"/>
            </w:pPr>
            <w:r>
              <w:rPr>
                <w:rFonts w:ascii="Tahoma" w:hAnsi="Tahoma"/>
                <w:sz w:val="22"/>
              </w:rPr>
              <w:t xml:space="preserve">Customs value, including transport and insurance to the UK</w:t>
            </w:r>
          </w:p>
        </w:tc>
        <w:tc>
          <w:tcPr>
            <w:tcW w:w="2298" w:type="dxa"/>
            <w:shd w:val="clear" w:color="auto" w:fill="EAF3FA"/>
          </w:tcPr>
          <w:p>
            <w:pPr>
              <w:pStyle w:val="Compact"/>
              <w:spacing w:after="40" w:before="40"/>
              <w:jc w:val="left"/>
            </w:pPr>
            <w:r>
              <w:rPr>
                <w:rFonts w:ascii="Tahoma" w:hAnsi="Tahoma"/>
                <w:sz w:val="22"/>
              </w:rPr>
              <w:t xml:space="preserve">£48,000</w:t>
            </w:r>
          </w:p>
        </w:tc>
      </w:tr>
      <w:tr>
        <w:trPr>
          <w:cantSplit w:val="true"/>
        </w:trPr>
        <w:tc>
          <w:tcPr>
            <w:tcW w:w="2298" w:type="dxa"/>
            <w:shd w:val="clear" w:color="auto" w:fill="FFFFFF"/>
          </w:tcPr>
          <w:p>
            <w:pPr>
              <w:pStyle w:val="Compact"/>
              <w:spacing w:after="40" w:before="40"/>
              <w:jc w:val="left"/>
            </w:pPr>
            <w:r>
              <w:rPr>
                <w:rFonts w:ascii="Tahoma" w:hAnsi="Tahoma"/>
                <w:sz w:val="22"/>
              </w:rPr>
              <w:t xml:space="preserve">2</w:t>
            </w:r>
          </w:p>
        </w:tc>
        <w:tc>
          <w:tcPr>
            <w:tcW w:w="4428" w:type="dxa"/>
            <w:shd w:val="clear" w:color="auto" w:fill="FFFFFF"/>
          </w:tcPr>
          <w:p>
            <w:pPr>
              <w:pStyle w:val="Compact"/>
              <w:spacing w:after="40" w:before="40"/>
              <w:jc w:val="left"/>
            </w:pPr>
            <w:r>
              <w:rPr>
                <w:rFonts w:ascii="Tahoma" w:hAnsi="Tahoma"/>
                <w:sz w:val="22"/>
              </w:rPr>
              <w:t xml:space="preserve">Customs duty (assumed at 2%: £48,000 × 2%)</w:t>
            </w:r>
          </w:p>
        </w:tc>
        <w:tc>
          <w:tcPr>
            <w:tcW w:w="2298" w:type="dxa"/>
            <w:shd w:val="clear" w:color="auto" w:fill="FFFFFF"/>
          </w:tcPr>
          <w:p>
            <w:pPr>
              <w:pStyle w:val="Compact"/>
              <w:spacing w:after="40" w:before="40"/>
              <w:jc w:val="left"/>
            </w:pPr>
            <w:r>
              <w:rPr>
                <w:rFonts w:ascii="Tahoma" w:hAnsi="Tahoma"/>
                <w:sz w:val="22"/>
              </w:rPr>
              <w:t xml:space="preserve">£960</w:t>
            </w:r>
          </w:p>
        </w:tc>
      </w:tr>
      <w:tr>
        <w:trPr>
          <w:cantSplit w:val="true"/>
        </w:trPr>
        <w:tc>
          <w:tcPr>
            <w:tcW w:w="2298" w:type="dxa"/>
            <w:shd w:val="clear" w:color="auto" w:fill="FBEAF1"/>
          </w:tcPr>
          <w:p>
            <w:pPr>
              <w:pStyle w:val="Compact"/>
              <w:spacing w:after="40" w:before="40"/>
              <w:jc w:val="left"/>
            </w:pPr>
            <w:r>
              <w:rPr>
                <w:rFonts w:ascii="Tahoma" w:hAnsi="Tahoma"/>
                <w:sz w:val="22"/>
              </w:rPr>
              <w:t xml:space="preserve">3</w:t>
            </w:r>
          </w:p>
        </w:tc>
        <w:tc>
          <w:tcPr>
            <w:tcW w:w="4428" w:type="dxa"/>
            <w:shd w:val="clear" w:color="auto" w:fill="FBEAF1"/>
          </w:tcPr>
          <w:p>
            <w:pPr>
              <w:pStyle w:val="Compact"/>
              <w:spacing w:after="40" w:before="40"/>
              <w:jc w:val="left"/>
            </w:pPr>
            <w:r>
              <w:rPr>
                <w:rFonts w:ascii="Tahoma" w:hAnsi="Tahoma"/>
                <w:sz w:val="22"/>
              </w:rPr>
              <w:t xml:space="preserve">Value for import VAT (£48,000 + £960)</w:t>
            </w:r>
          </w:p>
        </w:tc>
        <w:tc>
          <w:tcPr>
            <w:tcW w:w="2298" w:type="dxa"/>
            <w:shd w:val="clear" w:color="auto" w:fill="FBEAF1"/>
          </w:tcPr>
          <w:p>
            <w:pPr>
              <w:pStyle w:val="Compact"/>
              <w:spacing w:after="40" w:before="40"/>
              <w:jc w:val="left"/>
            </w:pPr>
            <w:r>
              <w:rPr>
                <w:rFonts w:ascii="Tahoma" w:hAnsi="Tahoma"/>
                <w:sz w:val="22"/>
              </w:rPr>
              <w:t xml:space="preserve">£48,960</w:t>
            </w:r>
          </w:p>
        </w:tc>
      </w:tr>
      <w:tr>
        <w:trPr>
          <w:cantSplit w:val="true"/>
        </w:trPr>
        <w:tc>
          <w:tcPr>
            <w:tcW w:w="2298" w:type="dxa"/>
            <w:shd w:val="clear" w:color="auto" w:fill="EAF3FA"/>
          </w:tcPr>
          <w:p>
            <w:pPr>
              <w:pStyle w:val="Compact"/>
              <w:spacing w:after="40" w:before="40"/>
              <w:jc w:val="left"/>
            </w:pPr>
            <w:r>
              <w:rPr>
                <w:rFonts w:ascii="Tahoma" w:hAnsi="Tahoma"/>
                <w:sz w:val="22"/>
              </w:rPr>
              <w:t xml:space="preserve">4</w:t>
            </w:r>
          </w:p>
        </w:tc>
        <w:tc>
          <w:tcPr>
            <w:tcW w:w="4428" w:type="dxa"/>
            <w:shd w:val="clear" w:color="auto" w:fill="EAF3FA"/>
          </w:tcPr>
          <w:p>
            <w:pPr>
              <w:pStyle w:val="Compact"/>
              <w:spacing w:after="40" w:before="40"/>
              <w:jc w:val="left"/>
            </w:pPr>
            <w:r>
              <w:rPr>
                <w:rFonts w:ascii="Tahoma" w:hAnsi="Tahoma"/>
                <w:sz w:val="22"/>
              </w:rPr>
              <w:t xml:space="preserve">Import VAT (£48,960 × 20%)</w:t>
            </w:r>
          </w:p>
        </w:tc>
        <w:tc>
          <w:tcPr>
            <w:tcW w:w="2298" w:type="dxa"/>
            <w:shd w:val="clear" w:color="auto" w:fill="EAF3FA"/>
          </w:tcPr>
          <w:p>
            <w:pPr>
              <w:pStyle w:val="Compact"/>
              <w:spacing w:after="40" w:before="40"/>
              <w:jc w:val="left"/>
            </w:pPr>
            <w:r>
              <w:rPr>
                <w:rFonts w:ascii="Tahoma" w:hAnsi="Tahoma"/>
                <w:sz w:val="22"/>
              </w:rPr>
              <w:t xml:space="preserve">£9,792</w:t>
            </w:r>
          </w:p>
        </w:tc>
      </w:tr>
    </w:tbl>
    <w:p>
      <w:pPr>
        <w:pStyle w:val="Compact"/>
        <w:numPr>
          <w:ilvl w:val="0"/>
          <w:numId w:val="1197"/>
        </w:numPr>
        <w:spacing w:before="200"/>
      </w:pPr>
      <w:r>
        <w:rPr>
          <w:b/>
          <w:bCs/>
        </w:rPr>
        <w:t xml:space="preserve">Not claimable:</w:t>
      </w:r>
      <w:r>
        <w:t xml:space="preserve"> </w:t>
      </w:r>
      <w:r>
        <w:t xml:space="preserve">the £9,792 import VAT. The goods are standalone goods used only for non-business activity, so the VAT is not input tax and is not refunded under section 41(3)</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197"/>
        </w:numPr>
      </w:pPr>
      <w:r>
        <w:rPr>
          <w:b/>
          <w:bCs/>
        </w:rPr>
        <w:t xml:space="preserve">Not recoverable:</w:t>
      </w:r>
      <w:r>
        <w:t xml:space="preserve"> </w:t>
      </w:r>
      <w:r>
        <w:t xml:space="preserve">the £960 customs duty. Duty is not VAT.</w:t>
      </w:r>
    </w:p>
    <w:p>
      <w:pPr>
        <w:pStyle w:val="Compact"/>
        <w:numPr>
          <w:ilvl w:val="0"/>
          <w:numId w:val="1197"/>
        </w:numPr>
      </w:pPr>
      <w:r>
        <w:rPr>
          <w:b/>
          <w:bCs/>
        </w:rPr>
        <w:t xml:space="preserve">Total cost to the budget:</w:t>
      </w:r>
      <w:r>
        <w:t xml:space="preserve"> </w:t>
      </w:r>
      <w:r>
        <w:t xml:space="preserve">£48,000 + £960 + £9,792 = £58,752.</w:t>
      </w:r>
    </w:p>
    <w:p>
      <w:pPr>
        <w:pStyle w:val="Compact"/>
        <w:numPr>
          <w:ilvl w:val="0"/>
          <w:numId w:val="1197"/>
        </w:numPr>
      </w:pPr>
      <w:r>
        <w:rPr>
          <w:b/>
          <w:bCs/>
        </w:rPr>
        <w:t xml:space="preserve">Check first:</w:t>
      </w:r>
      <w:r>
        <w:t xml:space="preserve"> </w:t>
      </w:r>
      <w:r>
        <w:t xml:space="preserve">if the equipment had been brought in as parts closely related to a List 2 service the Department was buying (for example, under a maintenance contract), the import VAT may be refundable under paragraph 2(c) of the Direction</w:t>
      </w:r>
      <w:r>
        <w:t xml:space="preserve"> </w:t>
      </w:r>
      <w:r>
        <w:t xml:space="preserve">(</w:t>
      </w:r>
      <w:hyperlink w:anchor="ref-gazette_2020">
        <w:r>
          <w:rPr>
            <w:rStyle w:val="Hyperlink"/>
          </w:rPr>
          <w:t xml:space="preserve">HM Treasury, 2020b, para. 2(c)</w:t>
        </w:r>
      </w:hyperlink>
      <w:r>
        <w:t xml:space="preserve">)</w:t>
      </w:r>
      <w:r>
        <w:t xml:space="preserve">.</w:t>
      </w:r>
    </w:p>
    <w:p>
      <w:pPr>
        <w:pStyle w:val="Compact"/>
        <w:numPr>
          <w:ilvl w:val="0"/>
          <w:numId w:val="1197"/>
        </w:numPr>
      </w:pPr>
      <w:r>
        <w:rPr>
          <w:b/>
          <w:bCs/>
        </w:rPr>
        <w:t xml:space="preserve">Check first:</w:t>
      </w:r>
      <w:r>
        <w:t xml:space="preserve"> </w:t>
      </w:r>
      <w:r>
        <w:t xml:space="preserve">the customs agent’s fee is a separate service. This guide has not confirmed whether any COS heading covers customs clearance fees; check the headings in Part 8 before claiming.</w:t>
      </w:r>
    </w:p>
    <w:bookmarkEnd w:id="178"/>
    <w:bookmarkStart w:id="179" w:name="X72b1916963e8f1093c9d65d320730e9700fc250"/>
    <w:p>
      <w:pPr>
        <w:pStyle w:val="Heading4"/>
      </w:pPr>
      <w:r>
        <w:t xml:space="preserve">Example 3.2: A UK business imports the same equipment for resale using PVA</w:t>
      </w:r>
    </w:p>
    <w:p>
      <w:pPr>
        <w:pStyle w:val="FirstParagraph"/>
      </w:pPr>
      <w:r>
        <w:t xml:space="preserve">A VAT-registered UK equipment dealer imports the same equipment to sell to UK customers. It tells its customs agent in writing to use postponed VAT accounting</w:t>
      </w:r>
      <w:r>
        <w:t xml:space="preserve"> </w:t>
      </w:r>
      <w:r>
        <w:t xml:space="preserve">(</w:t>
      </w:r>
      <w:hyperlink w:anchor="ref-hmrc_pva">
        <w:r>
          <w:rPr>
            <w:rStyle w:val="Hyperlink"/>
          </w:rPr>
          <w:t xml:space="preserve">HMRC, 2025c</w:t>
        </w:r>
      </w:hyperlink>
      <w:r>
        <w:t xml:space="preserve">)</w:t>
      </w:r>
      <w:r>
        <w:t xml:space="preserve">.</w:t>
      </w:r>
    </w:p>
    <w:p>
      <w:pPr>
        <w:pStyle w:val="Compact"/>
        <w:numPr>
          <w:ilvl w:val="0"/>
          <w:numId w:val="1198"/>
        </w:numPr>
      </w:pPr>
      <w:r>
        <w:rPr>
          <w:b/>
          <w:bCs/>
        </w:rPr>
        <w:t xml:space="preserve">At the border:</w:t>
      </w:r>
      <w:r>
        <w:t xml:space="preserve"> </w:t>
      </w:r>
      <w:r>
        <w:t xml:space="preserve">the dealer pays the £960 duty but no import VAT.</w:t>
      </w:r>
    </w:p>
    <w:p>
      <w:pPr>
        <w:pStyle w:val="Compact"/>
        <w:numPr>
          <w:ilvl w:val="0"/>
          <w:numId w:val="1198"/>
        </w:numPr>
      </w:pPr>
      <w:r>
        <w:rPr>
          <w:b/>
          <w:bCs/>
        </w:rPr>
        <w:t xml:space="preserve">Box 1:</w:t>
      </w:r>
      <w:r>
        <w:t xml:space="preserve"> </w:t>
      </w:r>
      <w:r>
        <w:t xml:space="preserve">£9,792 import VAT from the monthly postponed import VAT statement</w:t>
      </w:r>
      <w:r>
        <w:t xml:space="preserve"> </w:t>
      </w:r>
      <w:r>
        <w:t xml:space="preserve">(</w:t>
      </w:r>
      <w:hyperlink w:anchor="ref-hmrc_pva_return">
        <w:r>
          <w:rPr>
            <w:rStyle w:val="Hyperlink"/>
          </w:rPr>
          <w:t xml:space="preserve">HMRC, 2023a</w:t>
        </w:r>
      </w:hyperlink>
      <w:r>
        <w:t xml:space="preserve">)</w:t>
      </w:r>
      <w:r>
        <w:t xml:space="preserve">.</w:t>
      </w:r>
    </w:p>
    <w:p>
      <w:pPr>
        <w:pStyle w:val="Compact"/>
        <w:numPr>
          <w:ilvl w:val="0"/>
          <w:numId w:val="1198"/>
        </w:numPr>
      </w:pPr>
      <w:r>
        <w:rPr>
          <w:b/>
          <w:bCs/>
        </w:rPr>
        <w:t xml:space="preserve">Box 4:</w:t>
      </w:r>
      <w:r>
        <w:t xml:space="preserve"> </w:t>
      </w:r>
      <w:r>
        <w:t xml:space="preserve">£9,792 reclaimed as input tax, because the goods are for taxable sales</w:t>
      </w:r>
      <w:r>
        <w:t xml:space="preserve"> </w:t>
      </w:r>
      <w:r>
        <w:t xml:space="preserve">(</w:t>
      </w:r>
      <w:hyperlink w:anchor="ref-hmrc_pva_return">
        <w:r>
          <w:rPr>
            <w:rStyle w:val="Hyperlink"/>
          </w:rPr>
          <w:t xml:space="preserve">HMRC, 2023a</w:t>
        </w:r>
      </w:hyperlink>
      <w:r>
        <w:t xml:space="preserve">)</w:t>
      </w:r>
      <w:r>
        <w:t xml:space="preserve">.</w:t>
      </w:r>
    </w:p>
    <w:p>
      <w:pPr>
        <w:pStyle w:val="Compact"/>
        <w:numPr>
          <w:ilvl w:val="0"/>
          <w:numId w:val="1198"/>
        </w:numPr>
      </w:pPr>
      <w:r>
        <w:rPr>
          <w:b/>
          <w:bCs/>
        </w:rPr>
        <w:t xml:space="preserve">Box 7:</w:t>
      </w:r>
      <w:r>
        <w:t xml:space="preserve"> </w:t>
      </w:r>
      <w:r>
        <w:t xml:space="preserve">£48,960, the value of the import excluding VAT. HMRC does not say whether duty should be included; this example uses the value for import VAT</w:t>
      </w:r>
      <w:r>
        <w:t xml:space="preserve"> </w:t>
      </w:r>
      <w:r>
        <w:t xml:space="preserve">(</w:t>
      </w:r>
      <w:hyperlink w:anchor="ref-hmrc_pva_return">
        <w:r>
          <w:rPr>
            <w:rStyle w:val="Hyperlink"/>
          </w:rPr>
          <w:t xml:space="preserve">HMRC, 2023a</w:t>
        </w:r>
      </w:hyperlink>
      <w:r>
        <w:t xml:space="preserve">)</w:t>
      </w:r>
      <w:r>
        <w:t xml:space="preserve">.</w:t>
      </w:r>
    </w:p>
    <w:p>
      <w:pPr>
        <w:pStyle w:val="Compact"/>
        <w:numPr>
          <w:ilvl w:val="0"/>
          <w:numId w:val="1198"/>
        </w:numPr>
      </w:pPr>
      <w:r>
        <w:rPr>
          <w:b/>
          <w:bCs/>
        </w:rPr>
        <w:t xml:space="preserve">Net VAT cost:</w:t>
      </w:r>
      <w:r>
        <w:t xml:space="preserve"> </w:t>
      </w:r>
      <w:r>
        <w:t xml:space="preserve">£9,792 − £9,792 = £0, with no VAT paid out at the border.</w:t>
      </w:r>
    </w:p>
    <w:p>
      <w:pPr>
        <w:pStyle w:val="FirstParagraph"/>
      </w:pPr>
      <w:r>
        <w:t xml:space="preserve">When the dealer sells the equipment for £70,000, it charges £14,000 output tax (£70,000 × 20%).</w:t>
      </w:r>
    </w:p>
    <w:p>
      <w:pPr>
        <w:pStyle w:val="BodyText"/>
      </w:pPr>
      <w:r>
        <w:t xml:space="preserve">Compare this with Example 3.1. The equipment and the VAT are the same. The difference is that the dealer uses the goods for taxable business sales, so the VAT is recoverable, while the Department uses them for non-business activity, so it is not.</w:t>
      </w:r>
    </w:p>
    <w:bookmarkEnd w:id="179"/>
    <w:bookmarkStart w:id="180" w:name="X4b7fff9d6e0966a7c0f494ed45b404e14176088"/>
    <w:p>
      <w:pPr>
        <w:pStyle w:val="Heading4"/>
      </w:pPr>
      <w:r>
        <w:t xml:space="preserve">Example 3.3: The Department subscribes to a US online training platform</w:t>
      </w:r>
    </w:p>
    <w:p>
      <w:pPr>
        <w:pStyle w:val="FirstParagraph"/>
      </w:pPr>
      <w:r>
        <w:t xml:space="preserve">The Department pays a US company £7,500 a year for its staff to use an online training platform. The courses are interactive: learners complete exercises, get feedback and take recorded assessments. All the learners work on the Department’s non-business functions.</w:t>
      </w:r>
    </w:p>
    <w:p>
      <w:pPr>
        <w:pStyle w:val="Compact"/>
        <w:numPr>
          <w:ilvl w:val="0"/>
          <w:numId w:val="1199"/>
        </w:numPr>
      </w:pPr>
      <w:r>
        <w:rPr>
          <w:b/>
          <w:bCs/>
        </w:rPr>
        <w:t xml:space="preserve">Place of supply:</w:t>
      </w:r>
      <w:r>
        <w:t xml:space="preserve"> </w:t>
      </w:r>
      <w:r>
        <w:t xml:space="preserve">the Department is a business customer (see above), so the B2B general rule applies and the service is supplied in the UK</w:t>
      </w:r>
      <w:r>
        <w:t xml:space="preserve"> </w:t>
      </w:r>
      <w:r>
        <w:t xml:space="preserve">(</w:t>
      </w:r>
      <w:hyperlink w:anchor="ref-hmrc_n741a">
        <w:r>
          <w:rPr>
            <w:rStyle w:val="Hyperlink"/>
          </w:rPr>
          <w:t xml:space="preserve">HMRC, 2022d</w:t>
        </w:r>
      </w:hyperlink>
      <w:r>
        <w:t xml:space="preserve">, paras. 2.4 and 6.3;</w:t>
      </w:r>
      <w:r>
        <w:t xml:space="preserve"> </w:t>
      </w:r>
      <w:hyperlink w:anchor="ref-hmrc_gdpef">
        <w:r>
          <w:rPr>
            <w:rStyle w:val="Hyperlink"/>
          </w:rPr>
          <w:t xml:space="preserve">HMRC, 2023c</w:t>
        </w:r>
      </w:hyperlink>
      <w:r>
        <w:t xml:space="preserve">)</w:t>
      </w:r>
      <w:r>
        <w:t xml:space="preserve">.</w:t>
      </w:r>
    </w:p>
    <w:p>
      <w:pPr>
        <w:pStyle w:val="Compact"/>
        <w:numPr>
          <w:ilvl w:val="0"/>
          <w:numId w:val="1199"/>
        </w:numPr>
      </w:pPr>
      <w:r>
        <w:rPr>
          <w:b/>
          <w:bCs/>
        </w:rPr>
        <w:t xml:space="preserve">Reverse charge:</w:t>
      </w:r>
      <w:r>
        <w:t xml:space="preserve"> </w:t>
      </w:r>
      <w:r>
        <w:t xml:space="preserve">the supplier belongs outside the UK, so the Department accounts for the VAT</w:t>
      </w:r>
      <w:r>
        <w:t xml:space="preserve"> </w:t>
      </w:r>
      <w:r>
        <w:t xml:space="preserve">(</w:t>
      </w:r>
      <w:hyperlink w:anchor="ref-hmrc_n741a">
        <w:r>
          <w:rPr>
            <w:rStyle w:val="Hyperlink"/>
          </w:rPr>
          <w:t xml:space="preserve">HMRC, 2022d, para. 5.6</w:t>
        </w:r>
      </w:hyperlink>
      <w:r>
        <w:t xml:space="preserve">;</w:t>
      </w:r>
      <w:r>
        <w:t xml:space="preserve"> </w:t>
      </w:r>
      <w:hyperlink w:anchor="ref-hmrc_gdpef">
        <w:r>
          <w:rPr>
            <w:rStyle w:val="Hyperlink"/>
          </w:rPr>
          <w:t xml:space="preserve">2023c</w:t>
        </w:r>
      </w:hyperlink>
      <w:r>
        <w:t xml:space="preserve">)</w:t>
      </w:r>
      <w:r>
        <w:t xml:space="preserve">.</w:t>
      </w:r>
    </w:p>
    <w:p>
      <w:pPr>
        <w:pStyle w:val="Compact"/>
        <w:numPr>
          <w:ilvl w:val="0"/>
          <w:numId w:val="1199"/>
        </w:numPr>
      </w:pPr>
      <w:r>
        <w:rPr>
          <w:b/>
          <w:bCs/>
        </w:rPr>
        <w:t xml:space="preserve">Box 1:</w:t>
      </w:r>
      <w:r>
        <w:t xml:space="preserve"> </w:t>
      </w:r>
      <w:r>
        <w:t xml:space="preserve">£7,500 × 20% = £1,500 output tax.</w:t>
      </w:r>
    </w:p>
    <w:p>
      <w:pPr>
        <w:pStyle w:val="Compact"/>
        <w:numPr>
          <w:ilvl w:val="0"/>
          <w:numId w:val="1199"/>
        </w:numPr>
      </w:pPr>
      <w:r>
        <w:rPr>
          <w:b/>
          <w:bCs/>
        </w:rPr>
        <w:t xml:space="preserve">Boxes 6 and 7:</w:t>
      </w:r>
      <w:r>
        <w:t xml:space="preserve"> </w:t>
      </w:r>
      <w:r>
        <w:t xml:space="preserve">£7,500 each</w:t>
      </w:r>
      <w:r>
        <w:t xml:space="preserve"> </w:t>
      </w:r>
      <w:r>
        <w:t xml:space="preserve">(</w:t>
      </w:r>
      <w:hyperlink w:anchor="ref-hmrc_n70012">
        <w:r>
          <w:rPr>
            <w:rStyle w:val="Hyperlink"/>
          </w:rPr>
          <w:t xml:space="preserve">HMRC, 2025f, para. 4.6</w:t>
        </w:r>
      </w:hyperlink>
      <w:r>
        <w:t xml:space="preserve">)</w:t>
      </w:r>
      <w:r>
        <w:t xml:space="preserve">.</w:t>
      </w:r>
    </w:p>
    <w:p>
      <w:pPr>
        <w:pStyle w:val="Compact"/>
        <w:numPr>
          <w:ilvl w:val="0"/>
          <w:numId w:val="1199"/>
        </w:numPr>
      </w:pPr>
      <w:r>
        <w:rPr>
          <w:b/>
          <w:bCs/>
        </w:rPr>
        <w:t xml:space="preserve">Claimable:</w:t>
      </w:r>
      <w:r>
        <w:t xml:space="preserve"> </w:t>
      </w:r>
      <w:r>
        <w:t xml:space="preserve">£1,500 under Heading 65 (Training, tuition or education), which covers training packages that need</w:t>
      </w:r>
      <w:r>
        <w:t xml:space="preserve"> </w:t>
      </w:r>
      <w:r>
        <w:t xml:space="preserve">“</w:t>
      </w:r>
      <w:r>
        <w:t xml:space="preserve">a significant amount of interaction</w:t>
      </w:r>
      <w:r>
        <w:t xml:space="preserve">”</w:t>
      </w:r>
      <w:r>
        <w:t xml:space="preserve"> </w:t>
      </w:r>
      <w:r>
        <w:t xml:space="preserve">from the learner, provided the heading’s other tests are met</w:t>
      </w:r>
      <w:r>
        <w:t xml:space="preserve"> </w:t>
      </w:r>
      <w:r>
        <w:t xml:space="preserve">(</w:t>
      </w:r>
      <w:hyperlink w:anchor="ref-hmrc_vatgpb">
        <w:r>
          <w:rPr>
            <w:rStyle w:val="Hyperlink"/>
          </w:rPr>
          <w:t xml:space="preserve">HMRC, 2026n, sec. VATGPB11030</w:t>
        </w:r>
      </w:hyperlink>
      <w:r>
        <w:t xml:space="preserve">)</w:t>
      </w:r>
      <w:r>
        <w:t xml:space="preserve">. This is claimed on the VAT return within the COS time limits (see Part 5, How and when to claim)</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VATGPB9720</w:t>
        </w:r>
      </w:hyperlink>
      <w:r>
        <w:t xml:space="preserve">)</w:t>
      </w:r>
      <w:r>
        <w:t xml:space="preserve">.</w:t>
      </w:r>
    </w:p>
    <w:p>
      <w:pPr>
        <w:pStyle w:val="Compact"/>
        <w:numPr>
          <w:ilvl w:val="0"/>
          <w:numId w:val="1199"/>
        </w:numPr>
      </w:pPr>
      <w:r>
        <w:rPr>
          <w:b/>
          <w:bCs/>
        </w:rPr>
        <w:t xml:space="preserve">Net cost:</w:t>
      </w:r>
      <w:r>
        <w:t xml:space="preserve"> </w:t>
      </w:r>
      <w:r>
        <w:t xml:space="preserve">£1,500 − £1,500 = £0.</w:t>
      </w:r>
    </w:p>
    <w:p>
      <w:pPr>
        <w:pStyle w:val="FirstParagraph"/>
      </w:pPr>
      <w:r>
        <w:rPr>
          <w:b/>
          <w:bCs/>
        </w:rPr>
        <w:t xml:space="preserve">What if the platform were only a library of recorded webinars and online manuals?</w:t>
      </w:r>
      <w:r>
        <w:t xml:space="preserve"> </w:t>
      </w:r>
      <w:r>
        <w:t xml:space="preserve">Heading 65 excludes access to learning materials (HMRC says online manuals and webinars are</w:t>
      </w:r>
      <w:r>
        <w:t xml:space="preserve"> </w:t>
      </w:r>
      <w:r>
        <w:t xml:space="preserve">“</w:t>
      </w:r>
      <w:r>
        <w:t xml:space="preserve">likely to fall into this category</w:t>
      </w:r>
      <w:r>
        <w:t xml:space="preserve">”</w:t>
      </w:r>
      <w:r>
        <w:t xml:space="preserve">) and packages that are not interactive</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00"/>
        </w:numPr>
      </w:pPr>
      <w:r>
        <w:rPr>
          <w:b/>
          <w:bCs/>
        </w:rPr>
        <w:t xml:space="preserve">Not claimable:</w:t>
      </w:r>
      <w:r>
        <w:t xml:space="preserve"> </w:t>
      </w:r>
      <w:r>
        <w:t xml:space="preserve">the £1,500 would still have to be declared in Box 1, but it could not be reclaimed. It would be a real cost.</w:t>
      </w:r>
    </w:p>
    <w:p>
      <w:pPr>
        <w:pStyle w:val="FirstParagraph"/>
      </w:pPr>
      <w:r>
        <w:rPr>
          <w:b/>
          <w:bCs/>
        </w:rPr>
        <w:t xml:space="preserve">What if 20% of the learners worked in the Department’s trading unit?</w:t>
      </w:r>
    </w:p>
    <w:p>
      <w:pPr>
        <w:pStyle w:val="Compact"/>
        <w:numPr>
          <w:ilvl w:val="0"/>
          <w:numId w:val="1201"/>
        </w:numPr>
      </w:pPr>
      <w:r>
        <w:rPr>
          <w:b/>
          <w:bCs/>
        </w:rPr>
        <w:t xml:space="preserve">Recoverable:</w:t>
      </w:r>
      <w:r>
        <w:t xml:space="preserve"> </w:t>
      </w:r>
      <w:r>
        <w:t xml:space="preserve">£1,500 × 20% = £300 as input tax, subject to the partial exemption method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01"/>
        </w:numPr>
      </w:pPr>
      <w:r>
        <w:rPr>
          <w:b/>
          <w:bCs/>
        </w:rPr>
        <w:t xml:space="preserve">Claimable:</w:t>
      </w:r>
      <w:r>
        <w:t xml:space="preserve"> </w:t>
      </w:r>
      <w:r>
        <w:t xml:space="preserve">£1,500 × 80% = £1,200 under Heading 65</w:t>
      </w:r>
      <w:r>
        <w:t xml:space="preserve"> </w:t>
      </w:r>
      <w:r>
        <w:t xml:space="preserve">(</w:t>
      </w:r>
      <w:hyperlink w:anchor="ref-hmrc_vatgpb">
        <w:r>
          <w:rPr>
            <w:rStyle w:val="Hyperlink"/>
          </w:rPr>
          <w:t xml:space="preserve">HMRC, 2026n, sec. VATGPB11030</w:t>
        </w:r>
      </w:hyperlink>
      <w:r>
        <w:t xml:space="preserve">)</w:t>
      </w:r>
      <w:r>
        <w:t xml:space="preserve">.</w:t>
      </w:r>
    </w:p>
    <w:bookmarkEnd w:id="180"/>
    <w:bookmarkStart w:id="181" w:name="X3df02d8839908a6cd419473897bac1d23bdbc46"/>
    <w:p>
      <w:pPr>
        <w:pStyle w:val="Heading4"/>
      </w:pPr>
      <w:r>
        <w:t xml:space="preserve">Example 3.4: The Department exports surplus vehicles to a buyer in Canada</w:t>
      </w:r>
    </w:p>
    <w:p>
      <w:pPr>
        <w:pStyle w:val="FirstParagraph"/>
      </w:pPr>
      <w:r>
        <w:t xml:space="preserve">The Department sells three surplus lorries to a Canadian company for £90,000 in total. The Department’s freight agent ships them from a UK port. The lorries are not sold under the second-hand margin scheme (a scheme under which a dealer accounts for VAT only on its profit margin); a vehicle sold under that scheme cannot be zero-rated as an export</w:t>
      </w:r>
      <w:r>
        <w:t xml:space="preserve"> </w:t>
      </w:r>
      <w:r>
        <w:t xml:space="preserve">(</w:t>
      </w:r>
      <w:hyperlink w:anchor="ref-hmrc_n703">
        <w:r>
          <w:rPr>
            <w:rStyle w:val="Hyperlink"/>
          </w:rPr>
          <w:t xml:space="preserve">HMRC, 2026p, para. 4.15</w:t>
        </w:r>
      </w:hyperlink>
      <w:r>
        <w:t xml:space="preserve">)</w:t>
      </w:r>
      <w:r>
        <w:t xml:space="preserve">.</w:t>
      </w:r>
    </w:p>
    <w:p>
      <w:pPr>
        <w:pStyle w:val="Compact"/>
        <w:numPr>
          <w:ilvl w:val="0"/>
          <w:numId w:val="1202"/>
        </w:numPr>
      </w:pPr>
      <w:r>
        <w:rPr>
          <w:b/>
          <w:bCs/>
        </w:rPr>
        <w:t xml:space="preserve">Business activity:</w:t>
      </w:r>
      <w:r>
        <w:t xml:space="preserve"> </w:t>
      </w:r>
      <w:r>
        <w:t xml:space="preserve">HMRC’s framework lists sale of assets among government departments’ taxable (standard-rated) supplies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02"/>
        </w:numPr>
      </w:pPr>
      <w:r>
        <w:rPr>
          <w:b/>
          <w:bCs/>
        </w:rPr>
        <w:t xml:space="preserve">Zero-rated:</w:t>
      </w:r>
      <w:r>
        <w:t xml:space="preserve"> </w:t>
      </w:r>
      <w:r>
        <w:t xml:space="preserve">this is a direct export, so it can be zero-rated if the lorries are exported, and evidence obtained, within 3 months of the time of supply</w:t>
      </w:r>
      <w:r>
        <w:t xml:space="preserve"> </w:t>
      </w:r>
      <w:r>
        <w:t xml:space="preserve">(</w:t>
      </w:r>
      <w:hyperlink w:anchor="ref-hmrc_n703">
        <w:r>
          <w:rPr>
            <w:rStyle w:val="Hyperlink"/>
          </w:rPr>
          <w:t xml:space="preserve">HMRC, 2026p</w:t>
        </w:r>
      </w:hyperlink>
      <w:r>
        <w:t xml:space="preserve">, paras. 2.8 and 3.5)</w:t>
      </w:r>
      <w:r>
        <w:t xml:space="preserve">.</w:t>
      </w:r>
    </w:p>
    <w:p>
      <w:pPr>
        <w:pStyle w:val="Compact"/>
        <w:numPr>
          <w:ilvl w:val="0"/>
          <w:numId w:val="1202"/>
        </w:numPr>
      </w:pPr>
      <w:r>
        <w:rPr>
          <w:b/>
          <w:bCs/>
        </w:rPr>
        <w:t xml:space="preserve">Vehicle condition:</w:t>
      </w:r>
      <w:r>
        <w:t xml:space="preserve"> </w:t>
      </w:r>
      <w:r>
        <w:t xml:space="preserve">a motor vehicle can only be zero-rated as a direct export if it is not used or delivered in the UK before it is exported</w:t>
      </w:r>
      <w:r>
        <w:t xml:space="preserve"> </w:t>
      </w:r>
      <w:r>
        <w:t xml:space="preserve">(</w:t>
      </w:r>
      <w:hyperlink w:anchor="ref-hmrc_n703">
        <w:r>
          <w:rPr>
            <w:rStyle w:val="Hyperlink"/>
          </w:rPr>
          <w:t xml:space="preserve">HMRC, 2026p, para. 4.15</w:t>
        </w:r>
      </w:hyperlink>
      <w:r>
        <w:t xml:space="preserve">)</w:t>
      </w:r>
      <w:r>
        <w:t xml:space="preserve">.</w:t>
      </w:r>
    </w:p>
    <w:p>
      <w:pPr>
        <w:pStyle w:val="Compact"/>
        <w:numPr>
          <w:ilvl w:val="0"/>
          <w:numId w:val="1202"/>
        </w:numPr>
      </w:pPr>
      <w:r>
        <w:rPr>
          <w:b/>
          <w:bCs/>
        </w:rPr>
        <w:t xml:space="preserve">Evidence:</w:t>
      </w:r>
      <w:r>
        <w:t xml:space="preserve"> </w:t>
      </w:r>
      <w:r>
        <w:t xml:space="preserve">the sales contract, invoice and evidence of payment, plus the CDS export declaration with its departure confirmation or a bill of lading</w:t>
      </w:r>
      <w:r>
        <w:t xml:space="preserve"> </w:t>
      </w:r>
      <w:r>
        <w:t xml:space="preserve">(</w:t>
      </w:r>
      <w:hyperlink w:anchor="ref-hmrc_n703">
        <w:r>
          <w:rPr>
            <w:rStyle w:val="Hyperlink"/>
          </w:rPr>
          <w:t xml:space="preserve">HMRC, 2026p</w:t>
        </w:r>
      </w:hyperlink>
      <w:r>
        <w:t xml:space="preserve">, paras. 6.2 to 6.4)</w:t>
      </w:r>
      <w:r>
        <w:t xml:space="preserve">.</w:t>
      </w:r>
    </w:p>
    <w:p>
      <w:pPr>
        <w:pStyle w:val="Compact"/>
        <w:numPr>
          <w:ilvl w:val="0"/>
          <w:numId w:val="1202"/>
        </w:numPr>
      </w:pPr>
      <w:r>
        <w:rPr>
          <w:b/>
          <w:bCs/>
        </w:rPr>
        <w:t xml:space="preserve">Output tax:</w:t>
      </w:r>
      <w:r>
        <w:t xml:space="preserve"> </w:t>
      </w:r>
      <w:r>
        <w:t xml:space="preserve">£90,000 × 0% = £0. Box 6: £90,000</w:t>
      </w:r>
      <w:r>
        <w:t xml:space="preserve"> </w:t>
      </w:r>
      <w:r>
        <w:t xml:space="preserve">(</w:t>
      </w:r>
      <w:hyperlink w:anchor="ref-hmrc_n70012">
        <w:r>
          <w:rPr>
            <w:rStyle w:val="Hyperlink"/>
          </w:rPr>
          <w:t xml:space="preserve">HMRC, 2025f, para. 3.7</w:t>
        </w:r>
      </w:hyperlink>
      <w:r>
        <w:t xml:space="preserve">)</w:t>
      </w:r>
      <w:r>
        <w:t xml:space="preserve">.</w:t>
      </w:r>
    </w:p>
    <w:p>
      <w:pPr>
        <w:pStyle w:val="FirstParagraph"/>
      </w:pPr>
      <w:r>
        <w:t xml:space="preserve">The table below shows the Department’s UK costs of preparing and selling the lorries.</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707"/>
        <w:gridCol w:w="2659"/>
        <w:gridCol w:w="2659"/>
      </w:tblGrid>
      <w:tr>
        <w:trPr>
          <w:tblHeader w:val="true"/>
          <w:cantSplit w:val="true"/>
        </w:trPr>
        <w:tc>
          <w:tcPr>
            <w:tcW w:w="3707" w:type="dxa"/>
            <w:shd w:val="clear" w:color="auto" w:fill="1B3A5C"/>
          </w:tcPr>
          <w:p>
            <w:pPr>
              <w:pStyle w:val="Compact"/>
              <w:spacing w:after="40" w:before="40"/>
              <w:jc w:val="left"/>
            </w:pPr>
            <w:r>
              <w:rPr>
                <w:rFonts w:ascii="Tahoma" w:hAnsi="Tahoma"/>
                <w:b/>
                <w:color w:val="FFFFFF"/>
                <w:sz w:val="22"/>
              </w:rPr>
              <w:t xml:space="preserve">Cost</w:t>
            </w:r>
          </w:p>
        </w:tc>
        <w:tc>
          <w:tcPr>
            <w:tcW w:w="2659" w:type="dxa"/>
            <w:shd w:val="clear" w:color="auto" w:fill="1B3A5C"/>
          </w:tcPr>
          <w:p>
            <w:pPr>
              <w:pStyle w:val="Compact"/>
              <w:spacing w:after="40" w:before="40"/>
              <w:jc w:val="left"/>
            </w:pPr>
            <w:r>
              <w:rPr>
                <w:rFonts w:ascii="Tahoma" w:hAnsi="Tahoma"/>
                <w:b/>
                <w:color w:val="FFFFFF"/>
                <w:sz w:val="22"/>
              </w:rPr>
              <w:t xml:space="preserve">Net</w:t>
            </w:r>
          </w:p>
        </w:tc>
        <w:tc>
          <w:tcPr>
            <w:tcW w:w="2659" w:type="dxa"/>
            <w:shd w:val="clear" w:color="auto" w:fill="1B3A5C"/>
          </w:tcPr>
          <w:p>
            <w:pPr>
              <w:pStyle w:val="Compact"/>
              <w:spacing w:after="40" w:before="40"/>
              <w:jc w:val="left"/>
            </w:pPr>
            <w:r>
              <w:rPr>
                <w:rFonts w:ascii="Tahoma" w:hAnsi="Tahoma"/>
                <w:b/>
                <w:color w:val="FFFFFF"/>
                <w:sz w:val="22"/>
              </w:rPr>
              <w:t xml:space="preserve">VAT</w:t>
            </w:r>
          </w:p>
        </w:tc>
      </w:tr>
      <w:tr>
        <w:trPr>
          <w:cantSplit w:val="true"/>
        </w:trPr>
        <w:tc>
          <w:tcPr>
            <w:tcW w:w="3707" w:type="dxa"/>
            <w:shd w:val="clear" w:color="auto" w:fill="EAF3FA"/>
          </w:tcPr>
          <w:p>
            <w:pPr>
              <w:pStyle w:val="Compact"/>
              <w:spacing w:after="40" w:before="40"/>
              <w:jc w:val="left"/>
            </w:pPr>
            <w:r>
              <w:rPr>
                <w:rFonts w:ascii="Tahoma" w:hAnsi="Tahoma"/>
                <w:sz w:val="22"/>
              </w:rPr>
              <w:t xml:space="preserve">Servicing before sale</w:t>
            </w:r>
          </w:p>
        </w:tc>
        <w:tc>
          <w:tcPr>
            <w:tcW w:w="2659" w:type="dxa"/>
            <w:shd w:val="clear" w:color="auto" w:fill="EAF3FA"/>
          </w:tcPr>
          <w:p>
            <w:pPr>
              <w:pStyle w:val="Compact"/>
              <w:spacing w:after="40" w:before="40"/>
              <w:jc w:val="left"/>
            </w:pPr>
            <w:r>
              <w:rPr>
                <w:rFonts w:ascii="Tahoma" w:hAnsi="Tahoma"/>
                <w:sz w:val="22"/>
              </w:rPr>
              <w:t xml:space="preserve">£3,000</w:t>
            </w:r>
          </w:p>
        </w:tc>
        <w:tc>
          <w:tcPr>
            <w:tcW w:w="2659" w:type="dxa"/>
            <w:shd w:val="clear" w:color="auto" w:fill="EAF3FA"/>
          </w:tcPr>
          <w:p>
            <w:pPr>
              <w:pStyle w:val="Compact"/>
              <w:spacing w:after="40" w:before="40"/>
              <w:jc w:val="left"/>
            </w:pPr>
            <w:r>
              <w:rPr>
                <w:rFonts w:ascii="Tahoma" w:hAnsi="Tahoma"/>
                <w:sz w:val="22"/>
              </w:rPr>
              <w:t xml:space="preserve">£600</w:t>
            </w:r>
          </w:p>
        </w:tc>
      </w:tr>
      <w:tr>
        <w:trPr>
          <w:cantSplit w:val="true"/>
        </w:trPr>
        <w:tc>
          <w:tcPr>
            <w:tcW w:w="3707" w:type="dxa"/>
            <w:shd w:val="clear" w:color="auto" w:fill="FFFFFF"/>
          </w:tcPr>
          <w:p>
            <w:pPr>
              <w:pStyle w:val="Compact"/>
              <w:spacing w:after="40" w:before="40"/>
              <w:jc w:val="left"/>
            </w:pPr>
            <w:r>
              <w:rPr>
                <w:rFonts w:ascii="Tahoma" w:hAnsi="Tahoma"/>
                <w:sz w:val="22"/>
              </w:rPr>
              <w:t xml:space="preserve">Online advertising and sale platform fee</w:t>
            </w:r>
          </w:p>
        </w:tc>
        <w:tc>
          <w:tcPr>
            <w:tcW w:w="2659" w:type="dxa"/>
            <w:shd w:val="clear" w:color="auto" w:fill="FFFFFF"/>
          </w:tcPr>
          <w:p>
            <w:pPr>
              <w:pStyle w:val="Compact"/>
              <w:spacing w:after="40" w:before="40"/>
              <w:jc w:val="left"/>
            </w:pPr>
            <w:r>
              <w:rPr>
                <w:rFonts w:ascii="Tahoma" w:hAnsi="Tahoma"/>
                <w:sz w:val="22"/>
              </w:rPr>
              <w:t xml:space="preserve">£1,000</w:t>
            </w:r>
          </w:p>
        </w:tc>
        <w:tc>
          <w:tcPr>
            <w:tcW w:w="2659" w:type="dxa"/>
            <w:shd w:val="clear" w:color="auto" w:fill="FFFFFF"/>
          </w:tcPr>
          <w:p>
            <w:pPr>
              <w:pStyle w:val="Compact"/>
              <w:spacing w:after="40" w:before="40"/>
              <w:jc w:val="left"/>
            </w:pPr>
            <w:r>
              <w:rPr>
                <w:rFonts w:ascii="Tahoma" w:hAnsi="Tahoma"/>
                <w:sz w:val="22"/>
              </w:rPr>
              <w:t xml:space="preserve">£200</w:t>
            </w:r>
          </w:p>
        </w:tc>
      </w:tr>
      <w:tr>
        <w:trPr>
          <w:cantSplit w:val="true"/>
        </w:trPr>
        <w:tc>
          <w:tcPr>
            <w:tcW w:w="3707" w:type="dxa"/>
            <w:shd w:val="clear" w:color="auto" w:fill="FBEAF1"/>
          </w:tcPr>
          <w:p>
            <w:pPr>
              <w:pStyle w:val="Compact"/>
              <w:spacing w:after="40" w:before="40"/>
              <w:jc w:val="left"/>
            </w:pPr>
            <w:r>
              <w:rPr>
                <w:rFonts w:ascii="Tahoma" w:hAnsi="Tahoma"/>
                <w:sz w:val="22"/>
              </w:rPr>
              <w:t xml:space="preserve">Total</w:t>
            </w:r>
          </w:p>
        </w:tc>
        <w:tc>
          <w:tcPr>
            <w:tcW w:w="2659" w:type="dxa"/>
            <w:shd w:val="clear" w:color="auto" w:fill="FBEAF1"/>
          </w:tcPr>
          <w:p>
            <w:pPr>
              <w:pStyle w:val="Compact"/>
              <w:spacing w:after="40" w:before="40"/>
              <w:jc w:val="left"/>
            </w:pPr>
            <w:r>
              <w:rPr>
                <w:rFonts w:ascii="Tahoma" w:hAnsi="Tahoma"/>
                <w:sz w:val="22"/>
              </w:rPr>
              <w:t xml:space="preserve">£4,000</w:t>
            </w:r>
          </w:p>
        </w:tc>
        <w:tc>
          <w:tcPr>
            <w:tcW w:w="2659" w:type="dxa"/>
            <w:shd w:val="clear" w:color="auto" w:fill="FBEAF1"/>
          </w:tcPr>
          <w:p>
            <w:pPr>
              <w:pStyle w:val="Compact"/>
              <w:spacing w:after="40" w:before="40"/>
              <w:jc w:val="left"/>
            </w:pPr>
            <w:r>
              <w:rPr>
                <w:rFonts w:ascii="Tahoma" w:hAnsi="Tahoma"/>
                <w:sz w:val="22"/>
              </w:rPr>
              <w:t xml:space="preserve">£800</w:t>
            </w:r>
          </w:p>
        </w:tc>
      </w:tr>
    </w:tbl>
    <w:p>
      <w:pPr>
        <w:pStyle w:val="Compact"/>
        <w:numPr>
          <w:ilvl w:val="0"/>
          <w:numId w:val="1203"/>
        </w:numPr>
        <w:spacing w:before="200"/>
      </w:pPr>
      <w:r>
        <w:rPr>
          <w:b/>
          <w:bCs/>
        </w:rPr>
        <w:t xml:space="preserve">Recoverable:</w:t>
      </w:r>
      <w:r>
        <w:t xml:space="preserve"> </w:t>
      </w:r>
      <w:r>
        <w:t xml:space="preserve">the £800 as input tax, because the costs are used to make a zero-rated (taxable) supply (Value Added Tax Act 1994, s. 26(2)(a))</w:t>
      </w:r>
      <w:r>
        <w:t xml:space="preserve"> </w:t>
      </w:r>
      <w:r>
        <w:t xml:space="preserve">(</w:t>
      </w:r>
      <w:hyperlink w:anchor="ref-hmrc_gdpef">
        <w:r>
          <w:rPr>
            <w:rStyle w:val="Hyperlink"/>
          </w:rPr>
          <w:t xml:space="preserve">HMRC, 2023c</w:t>
        </w:r>
      </w:hyperlink>
      <w:r>
        <w:t xml:space="preserve">)</w:t>
      </w:r>
      <w:r>
        <w:t xml:space="preserve">. This is normal input tax, not a COS claim.</w:t>
      </w:r>
    </w:p>
    <w:p>
      <w:pPr>
        <w:pStyle w:val="FirstParagraph"/>
      </w:pPr>
      <w:r>
        <w:rPr>
          <w:b/>
          <w:bCs/>
        </w:rPr>
        <w:t xml:space="preserve">If the evidence is not obtained within 3 months:</w:t>
      </w:r>
      <w:r>
        <w:t xml:space="preserve"> </w:t>
      </w:r>
      <w:r>
        <w:t xml:space="preserve">the Department must account for VAT of £90,000 × 1/6 = £15,000 in Box 1 of the return for the period in which the time limit runs out. It can zero-rate again if the evidence arrives later</w:t>
      </w:r>
      <w:r>
        <w:t xml:space="preserve"> </w:t>
      </w:r>
      <w:r>
        <w:t xml:space="preserve">(</w:t>
      </w:r>
      <w:hyperlink w:anchor="ref-hmrc_n703">
        <w:r>
          <w:rPr>
            <w:rStyle w:val="Hyperlink"/>
          </w:rPr>
          <w:t xml:space="preserve">HMRC, 2026p</w:t>
        </w:r>
      </w:hyperlink>
      <w:r>
        <w:t xml:space="preserve">, paras. 11.2 and 11.3)</w:t>
      </w:r>
      <w:r>
        <w:t xml:space="preserve">.</w:t>
      </w:r>
    </w:p>
    <w:bookmarkEnd w:id="181"/>
    <w:bookmarkStart w:id="182" w:name="Xbcb2f0e41a06f0ac5ad88dec23540afa922a930"/>
    <w:p>
      <w:pPr>
        <w:pStyle w:val="Heading4"/>
      </w:pPr>
      <w:r>
        <w:t xml:space="preserve">Example 3.5: The Department buys goods from a UK supplier to give to an overseas government</w:t>
      </w:r>
    </w:p>
    <w:p>
      <w:pPr>
        <w:pStyle w:val="FirstParagraph"/>
      </w:pPr>
      <w:r>
        <w:t xml:space="preserve">As part of a capability-building programme, the Department gives 50 laptops to a partner government’s ministry abroad, free of charge. It buys them from a UK supplier for £40,000 plus VAT.</w:t>
      </w:r>
    </w:p>
    <w:p>
      <w:pPr>
        <w:pStyle w:val="BodyText"/>
      </w:pPr>
      <w:r>
        <w:rPr>
          <w:b/>
          <w:bCs/>
        </w:rPr>
        <w:t xml:space="preserve">Option A: delivered to the Department in the UK, then shipped by the Department</w:t>
      </w:r>
    </w:p>
    <w:p>
      <w:pPr>
        <w:pStyle w:val="Compact"/>
        <w:numPr>
          <w:ilvl w:val="0"/>
          <w:numId w:val="1204"/>
        </w:numPr>
      </w:pPr>
      <w:r>
        <w:t xml:space="preserve">The supplier must charge VAT: £40,000 × 20% = £8,000, because the goods are delivered to a government department in the UK</w:t>
      </w:r>
      <w:r>
        <w:t xml:space="preserve"> </w:t>
      </w:r>
      <w:r>
        <w:t xml:space="preserve">(</w:t>
      </w:r>
      <w:hyperlink w:anchor="ref-hmrc_n703">
        <w:r>
          <w:rPr>
            <w:rStyle w:val="Hyperlink"/>
          </w:rPr>
          <w:t xml:space="preserve">HMRC, 2026p, para. 4.12</w:t>
        </w:r>
      </w:hyperlink>
      <w:r>
        <w:t xml:space="preserve">)</w:t>
      </w:r>
      <w:r>
        <w:t xml:space="preserve">.</w:t>
      </w:r>
    </w:p>
    <w:p>
      <w:pPr>
        <w:pStyle w:val="Compact"/>
        <w:numPr>
          <w:ilvl w:val="0"/>
          <w:numId w:val="1204"/>
        </w:numPr>
      </w:pPr>
      <w:r>
        <w:rPr>
          <w:b/>
          <w:bCs/>
        </w:rPr>
        <w:t xml:space="preserve">Not claimable:</w:t>
      </w:r>
      <w:r>
        <w:t xml:space="preserve"> </w:t>
      </w:r>
      <w:r>
        <w:t xml:space="preserve">the £8,000. A free gift is non-business, and standalone goods are not covered by COS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04"/>
        </w:numPr>
      </w:pPr>
      <w:r>
        <w:rPr>
          <w:b/>
          <w:bCs/>
        </w:rPr>
        <w:t xml:space="preserve">Total cost:</w:t>
      </w:r>
      <w:r>
        <w:t xml:space="preserve"> </w:t>
      </w:r>
      <w:r>
        <w:t xml:space="preserve">£40,000 + £8,000 = £48,000.</w:t>
      </w:r>
    </w:p>
    <w:p>
      <w:pPr>
        <w:pStyle w:val="FirstParagraph"/>
      </w:pPr>
      <w:r>
        <w:rPr>
          <w:b/>
          <w:bCs/>
        </w:rPr>
        <w:t xml:space="preserve">Option B: the supplier exports the laptops directly to the ministry abroad</w:t>
      </w:r>
    </w:p>
    <w:p>
      <w:pPr>
        <w:pStyle w:val="Compact"/>
        <w:numPr>
          <w:ilvl w:val="0"/>
          <w:numId w:val="1205"/>
        </w:numPr>
      </w:pPr>
      <w:r>
        <w:t xml:space="preserve">The supplier arranges the transport and holds the export evidence, so it can zero-rate the supply</w:t>
      </w:r>
      <w:r>
        <w:t xml:space="preserve"> </w:t>
      </w:r>
      <w:r>
        <w:t xml:space="preserve">(</w:t>
      </w:r>
      <w:hyperlink w:anchor="ref-hmrc_n703">
        <w:r>
          <w:rPr>
            <w:rStyle w:val="Hyperlink"/>
          </w:rPr>
          <w:t xml:space="preserve">HMRC, 2026p, para. 4.12</w:t>
        </w:r>
      </w:hyperlink>
      <w:r>
        <w:t xml:space="preserve">)</w:t>
      </w:r>
      <w:r>
        <w:t xml:space="preserve">.</w:t>
      </w:r>
    </w:p>
    <w:p>
      <w:pPr>
        <w:pStyle w:val="Compact"/>
        <w:numPr>
          <w:ilvl w:val="0"/>
          <w:numId w:val="1205"/>
        </w:numPr>
      </w:pPr>
      <w:r>
        <w:rPr>
          <w:b/>
          <w:bCs/>
        </w:rPr>
        <w:t xml:space="preserve">UK VAT:</w:t>
      </w:r>
      <w:r>
        <w:t xml:space="preserve"> </w:t>
      </w:r>
      <w:r>
        <w:t xml:space="preserve">£0.</w:t>
      </w:r>
    </w:p>
    <w:p>
      <w:pPr>
        <w:pStyle w:val="Compact"/>
        <w:numPr>
          <w:ilvl w:val="0"/>
          <w:numId w:val="1205"/>
        </w:numPr>
      </w:pPr>
      <w:r>
        <w:rPr>
          <w:b/>
          <w:bCs/>
        </w:rPr>
        <w:t xml:space="preserve">Total cost:</w:t>
      </w:r>
      <w:r>
        <w:t xml:space="preserve"> </w:t>
      </w:r>
      <w:r>
        <w:t xml:space="preserve">£40,000, plus any delivery charge in the contract.</w:t>
      </w:r>
    </w:p>
    <w:p>
      <w:pPr>
        <w:pStyle w:val="Compact"/>
        <w:numPr>
          <w:ilvl w:val="0"/>
          <w:numId w:val="1205"/>
        </w:numPr>
      </w:pPr>
      <w:r>
        <w:rPr>
          <w:b/>
          <w:bCs/>
        </w:rPr>
        <w:t xml:space="preserve">Saving compared with Option A:</w:t>
      </w:r>
      <w:r>
        <w:t xml:space="preserve"> </w:t>
      </w:r>
      <w:r>
        <w:t xml:space="preserve">£48,000 − £40,000 = £8,000.</w:t>
      </w:r>
    </w:p>
    <w:p>
      <w:pPr>
        <w:pStyle w:val="FirstParagraph"/>
      </w:pPr>
      <w:r>
        <w:t xml:space="preserve">The overseas government may have to deal with its own import taxes when the goods arrive. Those are not UK VAT (see Part 6, Providing items to overseas governments).</w:t>
      </w:r>
    </w:p>
    <w:bookmarkEnd w:id="182"/>
    <w:bookmarkStart w:id="183" w:name="Xaa8772ef767a9d4ef972cdaaa15b49b0880028b"/>
    <w:p>
      <w:pPr>
        <w:pStyle w:val="Heading4"/>
      </w:pPr>
      <w:r>
        <w:t xml:space="preserve">Example 3.6: Staff pay German VAT on a hotel</w:t>
      </w:r>
    </w:p>
    <w:p>
      <w:pPr>
        <w:pStyle w:val="FirstParagraph"/>
      </w:pPr>
      <w:r>
        <w:t xml:space="preserve">Two members of staff attend a three-day policy meeting with a partner government in Berlin. The hotel bill is €900, including €60 of German VAT. The trip is for the Department’s non-business work.</w:t>
      </w:r>
    </w:p>
    <w:p>
      <w:pPr>
        <w:pStyle w:val="Compact"/>
        <w:numPr>
          <w:ilvl w:val="0"/>
          <w:numId w:val="1206"/>
        </w:numPr>
      </w:pPr>
      <w:r>
        <w:rPr>
          <w:b/>
          <w:bCs/>
        </w:rPr>
        <w:t xml:space="preserve">Place of supply:</w:t>
      </w:r>
      <w:r>
        <w:t xml:space="preserve"> </w:t>
      </w:r>
      <w:r>
        <w:t xml:space="preserve">hotel accommodation is land-related, so it is supplied in Germany, where the hotel is</w:t>
      </w:r>
      <w:r>
        <w:t xml:space="preserve"> </w:t>
      </w:r>
      <w:r>
        <w:t xml:space="preserve">(</w:t>
      </w:r>
      <w:hyperlink w:anchor="ref-hmrc_n741a">
        <w:r>
          <w:rPr>
            <w:rStyle w:val="Hyperlink"/>
          </w:rPr>
          <w:t xml:space="preserve">HMRC, 2022d</w:t>
        </w:r>
      </w:hyperlink>
      <w:r>
        <w:t xml:space="preserve">, paras. 7.1 and 7.4)</w:t>
      </w:r>
      <w:r>
        <w:t xml:space="preserve">.</w:t>
      </w:r>
    </w:p>
    <w:p>
      <w:pPr>
        <w:pStyle w:val="Compact"/>
        <w:numPr>
          <w:ilvl w:val="0"/>
          <w:numId w:val="1206"/>
        </w:numPr>
      </w:pPr>
      <w:r>
        <w:rPr>
          <w:b/>
          <w:bCs/>
        </w:rPr>
        <w:t xml:space="preserve">Not claimable:</w:t>
      </w:r>
      <w:r>
        <w:t xml:space="preserve"> </w:t>
      </w:r>
      <w:r>
        <w:t xml:space="preserve">the €60 is German VAT, not UK VAT. It cannot go in Box 4 or in a COS claim (Value Added Tax Act 1994, ss. 1, 24(1) and 41(3)).</w:t>
      </w:r>
    </w:p>
    <w:p>
      <w:pPr>
        <w:pStyle w:val="Compact"/>
        <w:numPr>
          <w:ilvl w:val="0"/>
          <w:numId w:val="1206"/>
        </w:numPr>
      </w:pPr>
      <w:r>
        <w:rPr>
          <w:b/>
          <w:bCs/>
        </w:rPr>
        <w:t xml:space="preserve">Not recoverable:</w:t>
      </w:r>
      <w:r>
        <w:t xml:space="preserve"> </w:t>
      </w:r>
      <w:r>
        <w:t xml:space="preserve">EU countries’ refund procedures for businesses outside the EU only refund VAT on costs used for transactions that carry a right to deduct, and this trip is non-business (Council Directive 86/560/EEC, Article 2(1)).</w:t>
      </w:r>
    </w:p>
    <w:p>
      <w:pPr>
        <w:pStyle w:val="Compact"/>
        <w:numPr>
          <w:ilvl w:val="0"/>
          <w:numId w:val="1206"/>
        </w:numPr>
      </w:pPr>
      <w:r>
        <w:rPr>
          <w:b/>
          <w:bCs/>
        </w:rPr>
        <w:t xml:space="preserve">Total cost to the budget:</w:t>
      </w:r>
      <w:r>
        <w:t xml:space="preserve"> </w:t>
      </w:r>
      <w:r>
        <w:t xml:space="preserve">the full €900.</w:t>
      </w:r>
    </w:p>
    <w:p>
      <w:pPr>
        <w:pStyle w:val="FirstParagraph"/>
      </w:pPr>
      <w:r>
        <w:rPr>
          <w:b/>
          <w:bCs/>
        </w:rPr>
        <w:t xml:space="preserve">What if the trip had been for a business activity</w:t>
      </w:r>
      <w:r>
        <w:t xml:space="preserve">, such as selling the Department’s publications at a German trade fair? A claim to the German tax authority might then be possible under its own procedure, with a VAT66 certificate of status from HMRC</w:t>
      </w:r>
      <w:r>
        <w:t xml:space="preserve"> </w:t>
      </w:r>
      <w:r>
        <w:t xml:space="preserve">(</w:t>
      </w:r>
      <w:hyperlink w:anchor="ref-hmrc_vat66">
        <w:r>
          <w:rPr>
            <w:rStyle w:val="Hyperlink"/>
          </w:rPr>
          <w:t xml:space="preserve">HMRC, 2023b</w:t>
        </w:r>
      </w:hyperlink>
      <w:r>
        <w:t xml:space="preserve">;</w:t>
      </w:r>
      <w:r>
        <w:t xml:space="preserve"> </w:t>
      </w:r>
      <w:hyperlink w:anchor="ref-hmrc_n723a">
        <w:r>
          <w:rPr>
            <w:rStyle w:val="Hyperlink"/>
          </w:rPr>
          <w:t xml:space="preserve">2026l, sec. 3</w:t>
        </w:r>
      </w:hyperlink>
      <w:r>
        <w:t xml:space="preserve">)</w:t>
      </w:r>
      <w:r>
        <w:t xml:space="preserve">. Weigh the cost of the claim against the amount involved.</w:t>
      </w:r>
    </w:p>
    <w:bookmarkEnd w:id="183"/>
    <w:bookmarkStart w:id="184" w:name="X78960255038da6773d1aa6e47fea1be7902fe99"/>
    <w:p>
      <w:pPr>
        <w:pStyle w:val="Heading4"/>
      </w:pPr>
      <w:r>
        <w:t xml:space="preserve">Example 3.7: Low-value goods bought online from a non-UK seller</w:t>
      </w:r>
    </w:p>
    <w:p>
      <w:pPr>
        <w:pStyle w:val="FirstParagraph"/>
      </w:pPr>
      <w:r>
        <w:t xml:space="preserve">A team orders cables and adapters worth £110 from an overseas seller through an online marketplace. The goods are posted from outside the UK in one consignment and will be used for the Department’s non-business work.</w:t>
      </w:r>
    </w:p>
    <w:p>
      <w:pPr>
        <w:pStyle w:val="BodyText"/>
      </w:pPr>
      <w:r>
        <w:rPr>
          <w:b/>
          <w:bCs/>
        </w:rPr>
        <w:t xml:space="preserve">Route A: the Department does not give its VAT number</w:t>
      </w:r>
    </w:p>
    <w:p>
      <w:pPr>
        <w:pStyle w:val="Compact"/>
        <w:numPr>
          <w:ilvl w:val="0"/>
          <w:numId w:val="1207"/>
        </w:numPr>
      </w:pPr>
      <w:r>
        <w:t xml:space="preserve">The consignment is £135 or less, so the marketplace charges UK VAT at the point of sale: £110 × 20% = £22</w:t>
      </w:r>
      <w:r>
        <w:t xml:space="preserve"> </w:t>
      </w:r>
      <w:r>
        <w:t xml:space="preserve">(</w:t>
      </w:r>
      <w:hyperlink w:anchor="ref-hmrc_lvc_omp">
        <w:r>
          <w:rPr>
            <w:rStyle w:val="Hyperlink"/>
          </w:rPr>
          <w:t xml:space="preserve">HMRC, 2022i</w:t>
        </w:r>
      </w:hyperlink>
      <w:r>
        <w:t xml:space="preserve">)</w:t>
      </w:r>
      <w:r>
        <w:t xml:space="preserve">.</w:t>
      </w:r>
    </w:p>
    <w:p>
      <w:pPr>
        <w:pStyle w:val="Compact"/>
        <w:numPr>
          <w:ilvl w:val="0"/>
          <w:numId w:val="1207"/>
        </w:numPr>
      </w:pPr>
      <w:r>
        <w:rPr>
          <w:b/>
          <w:bCs/>
        </w:rPr>
        <w:t xml:space="preserve">Not claimable:</w:t>
      </w:r>
      <w:r>
        <w:t xml:space="preserve"> </w:t>
      </w:r>
      <w:r>
        <w:t xml:space="preserve">the £22, because the goods are for non-business use and standalone goods are not covered by COS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07"/>
        </w:numPr>
      </w:pPr>
      <w:r>
        <w:rPr>
          <w:b/>
          <w:bCs/>
        </w:rPr>
        <w:t xml:space="preserve">Total cost:</w:t>
      </w:r>
      <w:r>
        <w:t xml:space="preserve"> </w:t>
      </w:r>
      <w:r>
        <w:t xml:space="preserve">£110 + £22 = £132.</w:t>
      </w:r>
    </w:p>
    <w:p>
      <w:pPr>
        <w:pStyle w:val="FirstParagraph"/>
      </w:pPr>
      <w:r>
        <w:rPr>
          <w:b/>
          <w:bCs/>
        </w:rPr>
        <w:t xml:space="preserve">Route B: the Department gives its VAT number</w:t>
      </w:r>
    </w:p>
    <w:p>
      <w:pPr>
        <w:pStyle w:val="Compact"/>
        <w:numPr>
          <w:ilvl w:val="0"/>
          <w:numId w:val="1208"/>
        </w:numPr>
      </w:pPr>
      <w:r>
        <w:t xml:space="preserve">The marketplace does not charge VAT. The Department must account for the £22 itself under the reverse charge on its VAT return</w:t>
      </w:r>
      <w:r>
        <w:t xml:space="preserve"> </w:t>
      </w:r>
      <w:r>
        <w:t xml:space="preserve">(</w:t>
      </w:r>
      <w:hyperlink w:anchor="ref-hmrc_lvc_omp">
        <w:r>
          <w:rPr>
            <w:rStyle w:val="Hyperlink"/>
          </w:rPr>
          <w:t xml:space="preserve">HMRC, 2022i</w:t>
        </w:r>
      </w:hyperlink>
      <w:r>
        <w:t xml:space="preserve">)</w:t>
      </w:r>
      <w:r>
        <w:t xml:space="preserve">.</w:t>
      </w:r>
    </w:p>
    <w:p>
      <w:pPr>
        <w:pStyle w:val="Compact"/>
        <w:numPr>
          <w:ilvl w:val="0"/>
          <w:numId w:val="1208"/>
        </w:numPr>
      </w:pPr>
      <w:r>
        <w:rPr>
          <w:b/>
          <w:bCs/>
        </w:rPr>
        <w:t xml:space="preserve">Not claimable:</w:t>
      </w:r>
      <w:r>
        <w:t xml:space="preserve"> </w:t>
      </w:r>
      <w:r>
        <w:t xml:space="preserve">the Department still cannot reclaim the £22 for non-business goods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08"/>
        </w:numPr>
      </w:pPr>
      <w:r>
        <w:rPr>
          <w:b/>
          <w:bCs/>
        </w:rPr>
        <w:t xml:space="preserve">Total cost:</w:t>
      </w:r>
      <w:r>
        <w:t xml:space="preserve"> </w:t>
      </w:r>
      <w:r>
        <w:t xml:space="preserve">£132, the same as Route A, with more work.</w:t>
      </w:r>
    </w:p>
    <w:p>
      <w:pPr>
        <w:pStyle w:val="FirstParagraph"/>
      </w:pPr>
      <w:r>
        <w:rPr>
          <w:b/>
          <w:bCs/>
        </w:rPr>
        <w:t xml:space="preserve">What if the goods were for a taxable business activity</w:t>
      </w:r>
      <w:r>
        <w:t xml:space="preserve"> </w:t>
      </w:r>
      <w:r>
        <w:t xml:space="preserve">(for example, packaging for publications the Department sells)? Under Route B, the £22 would be</w:t>
      </w:r>
      <w:r>
        <w:t xml:space="preserve"> </w:t>
      </w:r>
      <w:r>
        <w:rPr>
          <w:b/>
          <w:bCs/>
        </w:rPr>
        <w:t xml:space="preserve">recoverable</w:t>
      </w:r>
      <w:r>
        <w:t xml:space="preserve"> </w:t>
      </w:r>
      <w:r>
        <w:t xml:space="preserve">as input tax on the same return, under the normal rules</w:t>
      </w:r>
      <w:r>
        <w:t xml:space="preserve"> </w:t>
      </w:r>
      <w:r>
        <w:t xml:space="preserve">(</w:t>
      </w:r>
      <w:hyperlink w:anchor="ref-hmrc_lvc_omp">
        <w:r>
          <w:rPr>
            <w:rStyle w:val="Hyperlink"/>
          </w:rPr>
          <w:t xml:space="preserve">HMRC, 2022i</w:t>
        </w:r>
      </w:hyperlink>
      <w:r>
        <w:t xml:space="preserve">)</w:t>
      </w:r>
      <w:r>
        <w:t xml:space="preserve">. Under Route A, the marketplace should issue a VAT invoice, so the £22 should also be recoverable as input tax under the normal rules</w:t>
      </w:r>
      <w:r>
        <w:t xml:space="preserve"> </w:t>
      </w:r>
      <w:r>
        <w:t xml:space="preserve">(</w:t>
      </w:r>
      <w:hyperlink w:anchor="ref-hmrc_lvc_omp">
        <w:r>
          <w:rPr>
            <w:rStyle w:val="Hyperlink"/>
          </w:rPr>
          <w:t xml:space="preserve">HMRC, 2022i</w:t>
        </w:r>
      </w:hyperlink>
      <w:r>
        <w:t xml:space="preserve">)</w:t>
      </w:r>
      <w:r>
        <w:t xml:space="preserve">.</w:t>
      </w:r>
    </w:p>
    <w:p>
      <w:pPr>
        <w:pStyle w:val="BodyText"/>
      </w:pPr>
      <w:r>
        <w:rPr>
          <w:b/>
          <w:bCs/>
        </w:rPr>
        <w:t xml:space="preserve">What if the order were worth £200?</w:t>
      </w:r>
      <w:r>
        <w:t xml:space="preserve"> </w:t>
      </w:r>
      <w:r>
        <w:t xml:space="preserve">It would be over £135, so normal import VAT and customs rules apply when the goods enter Great Britain</w:t>
      </w:r>
      <w:r>
        <w:t xml:space="preserve"> </w:t>
      </w:r>
      <w:r>
        <w:t xml:space="preserve">(</w:t>
      </w:r>
      <w:hyperlink w:anchor="ref-hmrc_lvc_omp">
        <w:r>
          <w:rPr>
            <w:rStyle w:val="Hyperlink"/>
          </w:rPr>
          <w:t xml:space="preserve">HMRC, 2022i</w:t>
        </w:r>
      </w:hyperlink>
      <w:r>
        <w:t xml:space="preserve">)</w:t>
      </w:r>
      <w:r>
        <w:t xml:space="preserve">.</w:t>
      </w:r>
    </w:p>
    <w:bookmarkEnd w:id="184"/>
    <w:bookmarkStart w:id="185" w:name="X76207bfec71f22cce317340e7cd41f7230a0fe3"/>
    <w:p>
      <w:pPr>
        <w:pStyle w:val="Heading4"/>
      </w:pPr>
      <w:r>
        <w:t xml:space="preserve">Example 3.8: The Department sells data licences abroad</w:t>
      </w:r>
    </w:p>
    <w:p>
      <w:pPr>
        <w:pStyle w:val="FirstParagraph"/>
      </w:pPr>
      <w:r>
        <w:t xml:space="preserve">The Department licenses a statistical dataset to two overseas customers for £20,000 each:</w:t>
      </w:r>
    </w:p>
    <w:p>
      <w:pPr>
        <w:pStyle w:val="Compact"/>
        <w:numPr>
          <w:ilvl w:val="0"/>
          <w:numId w:val="1209"/>
        </w:numPr>
      </w:pPr>
      <w:r>
        <w:t xml:space="preserve">a Canadian research company (a business customer)</w:t>
      </w:r>
    </w:p>
    <w:p>
      <w:pPr>
        <w:pStyle w:val="Compact"/>
        <w:numPr>
          <w:ilvl w:val="0"/>
          <w:numId w:val="1209"/>
        </w:numPr>
      </w:pPr>
      <w:r>
        <w:t xml:space="preserve">an overseas government’s statistics office, which has no business activities (a non-business customer)</w:t>
      </w:r>
    </w:p>
    <w:p>
      <w:pPr>
        <w:pStyle w:val="FirstParagraph"/>
      </w:pPr>
      <w:r>
        <w:rPr>
          <w:b/>
          <w:bCs/>
        </w:rPr>
        <w:t xml:space="preserve">Canadian company:</w:t>
      </w:r>
      <w:r>
        <w:t xml:space="preserve"> </w:t>
      </w:r>
      <w:r>
        <w:t xml:space="preserve">under the B2B general rule, the licence is supplied in Canada, so it is outside the scope of UK VAT</w:t>
      </w:r>
      <w:r>
        <w:t xml:space="preserve"> </w:t>
      </w:r>
      <w:r>
        <w:t xml:space="preserve">(</w:t>
      </w:r>
      <w:hyperlink w:anchor="ref-hmrc_n741a">
        <w:r>
          <w:rPr>
            <w:rStyle w:val="Hyperlink"/>
          </w:rPr>
          <w:t xml:space="preserve">HMRC, 2022d, para. 6.3</w:t>
        </w:r>
      </w:hyperlink>
      <w:r>
        <w:t xml:space="preserve">)</w:t>
      </w:r>
      <w:r>
        <w:t xml:space="preserve">. No UK VAT is charged. Keep evidence that the company is in business and belongs in Canada</w:t>
      </w:r>
      <w:r>
        <w:t xml:space="preserve"> </w:t>
      </w:r>
      <w:r>
        <w:t xml:space="preserve">(</w:t>
      </w:r>
      <w:hyperlink w:anchor="ref-hmrc_n741a">
        <w:r>
          <w:rPr>
            <w:rStyle w:val="Hyperlink"/>
          </w:rPr>
          <w:t xml:space="preserve">HMRC, 2022d, para. 6.3</w:t>
        </w:r>
      </w:hyperlink>
      <w:r>
        <w:t xml:space="preserve">)</w:t>
      </w:r>
      <w:r>
        <w:t xml:space="preserve">.</w:t>
      </w:r>
    </w:p>
    <w:p>
      <w:pPr>
        <w:pStyle w:val="BodyText"/>
      </w:pPr>
      <w:r>
        <w:rPr>
          <w:b/>
          <w:bCs/>
        </w:rPr>
        <w:t xml:space="preserve">Overseas statistics office:</w:t>
      </w:r>
      <w:r>
        <w:t xml:space="preserve"> </w:t>
      </w:r>
      <w:r>
        <w:t xml:space="preserve">this is B2C, but licences of copyright and similar rights, and the provision of information, supplied to non-business customers who belong outside the UK are supplied where the customer belongs</w:t>
      </w:r>
      <w:r>
        <w:t xml:space="preserve"> </w:t>
      </w:r>
      <w:r>
        <w:t xml:space="preserve">(</w:t>
      </w:r>
      <w:hyperlink w:anchor="ref-hmrc_n741a">
        <w:r>
          <w:rPr>
            <w:rStyle w:val="Hyperlink"/>
          </w:rPr>
          <w:t xml:space="preserve">HMRC, 2022d</w:t>
        </w:r>
      </w:hyperlink>
      <w:r>
        <w:t xml:space="preserve">, paras. 12.1, 12.3 and 12.6)</w:t>
      </w:r>
      <w:r>
        <w:t xml:space="preserve">. No UK VAT is charged. Keep evidence that the office belongs outside the UK</w:t>
      </w:r>
      <w:r>
        <w:t xml:space="preserve"> </w:t>
      </w:r>
      <w:r>
        <w:t xml:space="preserve">(</w:t>
      </w:r>
      <w:hyperlink w:anchor="ref-hmrc_n741a">
        <w:r>
          <w:rPr>
            <w:rStyle w:val="Hyperlink"/>
          </w:rPr>
          <w:t xml:space="preserve">HMRC, 2022d, para. 12.1</w:t>
        </w:r>
      </w:hyperlink>
      <w:r>
        <w:t xml:space="preserve">)</w:t>
      </w:r>
      <w:r>
        <w:t xml:space="preserve">.</w:t>
      </w:r>
    </w:p>
    <w:p>
      <w:pPr>
        <w:pStyle w:val="Compact"/>
        <w:numPr>
          <w:ilvl w:val="0"/>
          <w:numId w:val="1210"/>
        </w:numPr>
      </w:pPr>
      <w:r>
        <w:rPr>
          <w:b/>
          <w:bCs/>
        </w:rPr>
        <w:t xml:space="preserve">Box 6:</w:t>
      </w:r>
      <w:r>
        <w:t xml:space="preserve"> </w:t>
      </w:r>
      <w:r>
        <w:t xml:space="preserve">£20,000 + £20,000 = £40,000</w:t>
      </w:r>
      <w:r>
        <w:t xml:space="preserve"> </w:t>
      </w:r>
      <w:r>
        <w:t xml:space="preserve">(</w:t>
      </w:r>
      <w:hyperlink w:anchor="ref-hmrc_n70012">
        <w:r>
          <w:rPr>
            <w:rStyle w:val="Hyperlink"/>
          </w:rPr>
          <w:t xml:space="preserve">HMRC, 2025f, para. 3.7</w:t>
        </w:r>
      </w:hyperlink>
      <w:r>
        <w:t xml:space="preserve">)</w:t>
      </w:r>
      <w:r>
        <w:t xml:space="preserve">.</w:t>
      </w:r>
    </w:p>
    <w:p>
      <w:pPr>
        <w:pStyle w:val="Compact"/>
        <w:numPr>
          <w:ilvl w:val="0"/>
          <w:numId w:val="1210"/>
        </w:numPr>
      </w:pPr>
      <w:r>
        <w:rPr>
          <w:b/>
          <w:bCs/>
        </w:rPr>
        <w:t xml:space="preserve">Recoverable:</w:t>
      </w:r>
      <w:r>
        <w:t xml:space="preserve"> </w:t>
      </w:r>
      <w:r>
        <w:t xml:space="preserve">VAT on costs used to prepare and deliver the licences (for example, £2,500 of data-cleansing services bearing £500 VAT, £2,500 × 20%), because these supplies would be taxable if made in the UK (Value Added Tax Act 1994, s. 26(2)(b))</w:t>
      </w:r>
      <w:r>
        <w:t xml:space="preserve"> </w:t>
      </w:r>
      <w:r>
        <w:t xml:space="preserve">(</w:t>
      </w:r>
      <w:hyperlink w:anchor="ref-hmrc_n741a">
        <w:r>
          <w:rPr>
            <w:rStyle w:val="Hyperlink"/>
          </w:rPr>
          <w:t xml:space="preserve">HMRC, 2022d, para. 2.7</w:t>
        </w:r>
      </w:hyperlink>
      <w:r>
        <w:t xml:space="preserve">)</w:t>
      </w:r>
      <w:r>
        <w:t xml:space="preserve">.</w:t>
      </w:r>
    </w:p>
    <w:bookmarkEnd w:id="185"/>
    <w:bookmarkEnd w:id="186"/>
    <w:bookmarkStart w:id="187" w:name="key-points-to-remember-3"/>
    <w:p>
      <w:pPr>
        <w:pStyle w:val="Heading3"/>
      </w:pPr>
      <w:r>
        <w:t xml:space="preserve">Key points to remember</w:t>
      </w:r>
    </w:p>
    <w:p>
      <w:pPr>
        <w:pStyle w:val="Compact"/>
        <w:numPr>
          <w:ilvl w:val="0"/>
          <w:numId w:val="1211"/>
        </w:numPr>
      </w:pPr>
      <w:r>
        <w:rPr>
          <w:b/>
          <w:bCs/>
        </w:rPr>
        <w:t xml:space="preserve">Goods or services?</w:t>
      </w:r>
      <w:r>
        <w:t xml:space="preserve"> </w:t>
      </w:r>
      <w:r>
        <w:t xml:space="preserve">Decide this first. Goods use import and export rules; services use place of supply rules.</w:t>
      </w:r>
    </w:p>
    <w:p>
      <w:pPr>
        <w:pStyle w:val="Compact"/>
        <w:numPr>
          <w:ilvl w:val="0"/>
          <w:numId w:val="1211"/>
        </w:numPr>
      </w:pPr>
      <w:r>
        <w:rPr>
          <w:b/>
          <w:bCs/>
        </w:rPr>
        <w:t xml:space="preserve">Import VAT is worked out on more than the price.</w:t>
      </w:r>
      <w:r>
        <w:t xml:space="preserve"> </w:t>
      </w:r>
      <w:r>
        <w:t xml:space="preserve">It includes duty and transport costs to the UK</w:t>
      </w:r>
      <w:r>
        <w:t xml:space="preserve"> </w:t>
      </w:r>
      <w:r>
        <w:t xml:space="preserve">(</w:t>
      </w:r>
      <w:hyperlink w:anchor="ref-hmrc_import_vat">
        <w:r>
          <w:rPr>
            <w:rStyle w:val="Hyperlink"/>
          </w:rPr>
          <w:t xml:space="preserve">HMRC, 2020b</w:t>
        </w:r>
      </w:hyperlink>
      <w:r>
        <w:t xml:space="preserve">)</w:t>
      </w:r>
      <w:r>
        <w:t xml:space="preserve">.</w:t>
      </w:r>
    </w:p>
    <w:p>
      <w:pPr>
        <w:pStyle w:val="Compact"/>
        <w:numPr>
          <w:ilvl w:val="0"/>
          <w:numId w:val="1211"/>
        </w:numPr>
      </w:pPr>
      <w:r>
        <w:rPr>
          <w:b/>
          <w:bCs/>
        </w:rPr>
        <w:t xml:space="preserve">PVA helps cash flow, not recovery.</w:t>
      </w:r>
      <w:r>
        <w:t xml:space="preserve"> </w:t>
      </w:r>
      <w:r>
        <w:t xml:space="preserve">The normal input tax rules still apply</w:t>
      </w:r>
      <w:r>
        <w:t xml:space="preserve"> </w:t>
      </w:r>
      <w:r>
        <w:t xml:space="preserve">(</w:t>
      </w:r>
      <w:hyperlink w:anchor="ref-hmrc_pva">
        <w:r>
          <w:rPr>
            <w:rStyle w:val="Hyperlink"/>
          </w:rPr>
          <w:t xml:space="preserve">HMRC, 2025c</w:t>
        </w:r>
      </w:hyperlink>
      <w:r>
        <w:t xml:space="preserve">)</w:t>
      </w:r>
      <w:r>
        <w:t xml:space="preserve">.</w:t>
      </w:r>
    </w:p>
    <w:p>
      <w:pPr>
        <w:pStyle w:val="Compact"/>
        <w:numPr>
          <w:ilvl w:val="0"/>
          <w:numId w:val="1211"/>
        </w:numPr>
      </w:pPr>
      <w:r>
        <w:rPr>
          <w:b/>
          <w:bCs/>
        </w:rPr>
        <w:t xml:space="preserve">Import VAT on standalone goods for non-business use is a cost.</w:t>
      </w:r>
      <w:r>
        <w:t xml:space="preserve"> </w:t>
      </w:r>
      <w:r>
        <w:t xml:space="preserve">It is not input tax and COS does not refund it, unless the goods are closely related to a List 2 service</w:t>
      </w:r>
      <w:r>
        <w:t xml:space="preserve"> </w:t>
      </w:r>
      <w:r>
        <w:t xml:space="preserve">(</w:t>
      </w:r>
      <w:hyperlink w:anchor="ref-gazette_2020">
        <w:r>
          <w:rPr>
            <w:rStyle w:val="Hyperlink"/>
          </w:rPr>
          <w:t xml:space="preserve">HM Treasury, 2020b, para. 2(c)</w:t>
        </w:r>
      </w:hyperlink>
      <w:r>
        <w:t xml:space="preserve">;</w:t>
      </w:r>
      <w:r>
        <w:t xml:space="preserve"> </w:t>
      </w:r>
      <w:hyperlink w:anchor="ref-hmrc_gdpef">
        <w:r>
          <w:rPr>
            <w:rStyle w:val="Hyperlink"/>
          </w:rPr>
          <w:t xml:space="preserve">HMRC, 2023c</w:t>
        </w:r>
      </w:hyperlink>
      <w:r>
        <w:t xml:space="preserve">)</w:t>
      </w:r>
      <w:r>
        <w:t xml:space="preserve">.</w:t>
      </w:r>
    </w:p>
    <w:p>
      <w:pPr>
        <w:pStyle w:val="Compact"/>
        <w:numPr>
          <w:ilvl w:val="0"/>
          <w:numId w:val="1211"/>
        </w:numPr>
      </w:pPr>
      <w:r>
        <w:rPr>
          <w:b/>
          <w:bCs/>
        </w:rPr>
        <w:t xml:space="preserve">PVA for purely non-business imports is uncertain for departments.</w:t>
      </w:r>
      <w:r>
        <w:t xml:space="preserve"> </w:t>
      </w:r>
      <w:r>
        <w:t xml:space="preserve">Get HMRC’s confirmation first.</w:t>
      </w:r>
    </w:p>
    <w:p>
      <w:pPr>
        <w:pStyle w:val="Compact"/>
        <w:numPr>
          <w:ilvl w:val="0"/>
          <w:numId w:val="1211"/>
        </w:numPr>
      </w:pPr>
      <w:r>
        <w:rPr>
          <w:b/>
          <w:bCs/>
        </w:rPr>
        <w:t xml:space="preserve">Keep the evidence.</w:t>
      </w:r>
      <w:r>
        <w:t xml:space="preserve"> </w:t>
      </w:r>
      <w:r>
        <w:t xml:space="preserve">Download C79 certificates and postponed import VAT statements every month; they are only online for 6 months</w:t>
      </w:r>
      <w:r>
        <w:t xml:space="preserve"> </w:t>
      </w:r>
      <w:r>
        <w:t xml:space="preserve">(</w:t>
      </w:r>
      <w:hyperlink w:anchor="ref-hmrc_pva_statement">
        <w:r>
          <w:rPr>
            <w:rStyle w:val="Hyperlink"/>
          </w:rPr>
          <w:t xml:space="preserve">HMRC, 2024a</w:t>
        </w:r>
      </w:hyperlink>
      <w:r>
        <w:t xml:space="preserve">,</w:t>
      </w:r>
      <w:r>
        <w:t xml:space="preserve"> </w:t>
      </w:r>
      <w:hyperlink w:anchor="ref-hmrc_c79">
        <w:r>
          <w:rPr>
            <w:rStyle w:val="Hyperlink"/>
          </w:rPr>
          <w:t xml:space="preserve">2026f</w:t>
        </w:r>
      </w:hyperlink>
      <w:r>
        <w:t xml:space="preserve">)</w:t>
      </w:r>
      <w:r>
        <w:t xml:space="preserve">.</w:t>
      </w:r>
    </w:p>
    <w:p>
      <w:pPr>
        <w:pStyle w:val="Compact"/>
        <w:numPr>
          <w:ilvl w:val="0"/>
          <w:numId w:val="1211"/>
        </w:numPr>
      </w:pPr>
      <w:r>
        <w:rPr>
          <w:b/>
          <w:bCs/>
        </w:rPr>
        <w:t xml:space="preserve">Exports are zero-rated only with evidence.</w:t>
      </w:r>
      <w:r>
        <w:t xml:space="preserve"> </w:t>
      </w:r>
      <w:r>
        <w:t xml:space="preserve">Export, and get proof, within 3 months, or account for VAT at one-sixth of the amount invoiced or received</w:t>
      </w:r>
      <w:r>
        <w:t xml:space="preserve"> </w:t>
      </w:r>
      <w:r>
        <w:t xml:space="preserve">(</w:t>
      </w:r>
      <w:hyperlink w:anchor="ref-hmrc_n703">
        <w:r>
          <w:rPr>
            <w:rStyle w:val="Hyperlink"/>
          </w:rPr>
          <w:t xml:space="preserve">HMRC, 2026p</w:t>
        </w:r>
      </w:hyperlink>
      <w:r>
        <w:t xml:space="preserve">, paras. 3.5 and 11.2)</w:t>
      </w:r>
      <w:r>
        <w:t xml:space="preserve">.</w:t>
      </w:r>
    </w:p>
    <w:p>
      <w:pPr>
        <w:pStyle w:val="Compact"/>
        <w:numPr>
          <w:ilvl w:val="0"/>
          <w:numId w:val="1211"/>
        </w:numPr>
      </w:pPr>
      <w:r>
        <w:rPr>
          <w:b/>
          <w:bCs/>
        </w:rPr>
        <w:t xml:space="preserve">Goods delivered to the Department in the UK bear UK VAT, even if they are going abroad.</w:t>
      </w:r>
      <w:r>
        <w:t xml:space="preserve"> </w:t>
      </w:r>
      <w:r>
        <w:t xml:space="preserve">Ask the supplier to export directly where possible</w:t>
      </w:r>
      <w:r>
        <w:t xml:space="preserve"> </w:t>
      </w:r>
      <w:r>
        <w:t xml:space="preserve">(</w:t>
      </w:r>
      <w:hyperlink w:anchor="ref-hmrc_n703">
        <w:r>
          <w:rPr>
            <w:rStyle w:val="Hyperlink"/>
          </w:rPr>
          <w:t xml:space="preserve">HMRC, 2026p, para. 4.12</w:t>
        </w:r>
      </w:hyperlink>
      <w:r>
        <w:t xml:space="preserve">)</w:t>
      </w:r>
      <w:r>
        <w:t xml:space="preserve">.</w:t>
      </w:r>
    </w:p>
    <w:p>
      <w:pPr>
        <w:pStyle w:val="Compact"/>
        <w:numPr>
          <w:ilvl w:val="0"/>
          <w:numId w:val="1211"/>
        </w:numPr>
      </w:pPr>
      <w:r>
        <w:rPr>
          <w:b/>
          <w:bCs/>
        </w:rPr>
        <w:t xml:space="preserve">The Department is a business customer for services.</w:t>
      </w:r>
      <w:r>
        <w:t xml:space="preserve"> </w:t>
      </w:r>
      <w:r>
        <w:t xml:space="preserve">Overseas suppliers’ services usually come under the reverse charge, even for non-business use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11"/>
        </w:numPr>
      </w:pPr>
      <w:r>
        <w:rPr>
          <w:b/>
          <w:bCs/>
        </w:rPr>
        <w:t xml:space="preserve">Reverse-charged VAT is only claimable under COS if a heading applies</w:t>
      </w:r>
      <w:r>
        <w:t xml:space="preserve"> </w:t>
      </w:r>
      <w:r>
        <w:t xml:space="preserve">and the service is used for non-business activities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11"/>
        </w:numPr>
      </w:pPr>
      <w:r>
        <w:rPr>
          <w:b/>
          <w:bCs/>
        </w:rPr>
        <w:t xml:space="preserve">Selling services abroad is usually outside the scope of UK VAT,</w:t>
      </w:r>
      <w:r>
        <w:t xml:space="preserve"> </w:t>
      </w:r>
      <w:r>
        <w:t xml:space="preserve">with recovery of related input tax if the supply would be taxable in the UK (Value Added Tax Act 1994, s. 26(2)(b)).</w:t>
      </w:r>
    </w:p>
    <w:p>
      <w:pPr>
        <w:pStyle w:val="Compact"/>
        <w:numPr>
          <w:ilvl w:val="0"/>
          <w:numId w:val="1211"/>
        </w:numPr>
      </w:pPr>
      <w:r>
        <w:rPr>
          <w:b/>
          <w:bCs/>
        </w:rPr>
        <w:t xml:space="preserve">Foreign VAT never goes on the UK VAT return or a COS claim.</w:t>
      </w:r>
      <w:r>
        <w:t xml:space="preserve"> </w:t>
      </w:r>
      <w:r>
        <w:t xml:space="preserve">It can only be reclaimed, if at all, through the other country’s own scheme, which normally covers business costs only</w:t>
      </w:r>
      <w:r>
        <w:t xml:space="preserve"> </w:t>
      </w:r>
      <w:r>
        <w:t xml:space="preserve">(</w:t>
      </w:r>
      <w:hyperlink w:anchor="ref-hmrc_n723a">
        <w:r>
          <w:rPr>
            <w:rStyle w:val="Hyperlink"/>
          </w:rPr>
          <w:t xml:space="preserve">HMRC, 2026l, sec. 3</w:t>
        </w:r>
      </w:hyperlink>
      <w:r>
        <w:t xml:space="preserve">)</w:t>
      </w:r>
      <w:r>
        <w:t xml:space="preserve">.</w:t>
      </w:r>
    </w:p>
    <w:bookmarkEnd w:id="187"/>
    <w:bookmarkEnd w:id="188"/>
    <w:bookmarkStart w:id="214" w:name="part-5-cos-headings-explained"/>
    <w:p>
      <w:pPr>
        <w:pStyle w:val="Heading2"/>
      </w:pPr>
      <w:r>
        <w:t xml:space="preserve">Part 5: COS headings explained</w:t>
      </w:r>
    </w:p>
    <w:bookmarkStart w:id="191" w:name="what-are-cos-headings"/>
    <w:p>
      <w:pPr>
        <w:pStyle w:val="Heading3"/>
      </w:pPr>
      <w:r>
        <w:t xml:space="preserve">What are COS headings?</w:t>
      </w:r>
    </w:p>
    <w:p>
      <w:pPr>
        <w:pStyle w:val="FirstParagraph"/>
      </w:pPr>
      <w:r>
        <w:rPr>
          <w:b/>
          <w:bCs/>
        </w:rPr>
        <w:t xml:space="preserve">In one sentence:</w:t>
      </w:r>
      <w:r>
        <w:t xml:space="preserve"> </w:t>
      </w:r>
      <w:r>
        <w:t xml:space="preserve">the COS headings are a list of services drawn up by HM Treasury. When a government department buys one of those services from an outside supplier for its non-business work, HMRC refunds the UK VAT on it</w:t>
      </w:r>
      <w:r>
        <w:t xml:space="preserve"> </w:t>
      </w:r>
      <w:r>
        <w:t xml:space="preserve">(</w:t>
      </w:r>
      <w:hyperlink w:anchor="ref-hmrc_vatgpb">
        <w:r>
          <w:rPr>
            <w:rStyle w:val="Hyperlink"/>
          </w:rPr>
          <w:t xml:space="preserve">HMRC, 2026n, sec. VATGPB9720</w:t>
        </w:r>
      </w:hyperlink>
      <w:r>
        <w:t xml:space="preserve">)</w:t>
      </w:r>
      <w:r>
        <w:t xml:space="preserve">.</w:t>
      </w:r>
    </w:p>
    <w:p>
      <w:pPr>
        <w:pStyle w:val="BodyText"/>
      </w:pPr>
      <w:r>
        <w:t xml:space="preserve">To see why such a list is needed, start with how VAT normally works.</w:t>
      </w:r>
    </w:p>
    <w:p>
      <w:pPr>
        <w:pStyle w:val="Compact"/>
        <w:numPr>
          <w:ilvl w:val="0"/>
          <w:numId w:val="1212"/>
        </w:numPr>
      </w:pPr>
      <w:r>
        <w:rPr>
          <w:b/>
          <w:bCs/>
        </w:rPr>
        <w:t xml:space="preserve">Input tax</w:t>
      </w:r>
      <w:r>
        <w:t xml:space="preserve"> </w:t>
      </w:r>
      <w:r>
        <w:t xml:space="preserve">is the VAT a VAT-registered person pays on its purchases. A business can deduct it on its VAT return, but only to the extent that the purchases are used for its</w:t>
      </w:r>
      <w:r>
        <w:t xml:space="preserve"> </w:t>
      </w:r>
      <w:r>
        <w:rPr>
          <w:b/>
          <w:bCs/>
        </w:rPr>
        <w:t xml:space="preserve">taxable business activities</w:t>
      </w:r>
      <w:r>
        <w:t xml:space="preserve">, meaning sales on which VAT is charged, including at 0% (Value Added Tax Act 1994, ss. 24–26)</w:t>
      </w:r>
      <w:r>
        <w:t xml:space="preserve"> </w:t>
      </w:r>
      <w:r>
        <w:t xml:space="preserve">(</w:t>
      </w:r>
      <w:hyperlink w:anchor="ref-hmrc_n700">
        <w:r>
          <w:rPr>
            <w:rStyle w:val="Hyperlink"/>
          </w:rPr>
          <w:t xml:space="preserve">HMRC, 2026o, paras 10.1, 10.2</w:t>
        </w:r>
      </w:hyperlink>
      <w:r>
        <w:t xml:space="preserve">)</w:t>
      </w:r>
      <w:r>
        <w:t xml:space="preserve">.</w:t>
      </w:r>
    </w:p>
    <w:p>
      <w:pPr>
        <w:pStyle w:val="Compact"/>
        <w:numPr>
          <w:ilvl w:val="0"/>
          <w:numId w:val="1212"/>
        </w:numPr>
      </w:pPr>
      <w:r>
        <w:rPr>
          <w:b/>
          <w:bCs/>
        </w:rPr>
        <w:t xml:space="preserve">Non-business</w:t>
      </w:r>
      <w:r>
        <w:t xml:space="preserve"> </w:t>
      </w:r>
      <w:r>
        <w:t xml:space="preserve">activities are activities that are not an economic activity carried on for payment</w:t>
      </w:r>
      <w:r>
        <w:t xml:space="preserve"> </w:t>
      </w:r>
      <w:r>
        <w:t xml:space="preserve">(</w:t>
      </w:r>
      <w:hyperlink w:anchor="ref-hmrc_vatgpb">
        <w:r>
          <w:rPr>
            <w:rStyle w:val="Hyperlink"/>
          </w:rPr>
          <w:t xml:space="preserve">HMRC, 2026n, sec. VATGPB3100</w:t>
        </w:r>
      </w:hyperlink>
      <w:r>
        <w:t xml:space="preserve">)</w:t>
      </w:r>
      <w:r>
        <w:t xml:space="preserve">. Most of a government department’s work is non-business: making policy, regulating, running public services paid for by Parliament. HMRC’s framework for government departments says their principal activities</w:t>
      </w:r>
      <w:r>
        <w:t xml:space="preserve"> </w:t>
      </w:r>
      <w:r>
        <w:t xml:space="preserve">“</w:t>
      </w:r>
      <w:r>
        <w:t xml:space="preserve">are predominantly undertaken for no consideration and are carried out under statutory regulation to deliver public services. These activities are non-business</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12"/>
        </w:numPr>
      </w:pPr>
      <w:r>
        <w:t xml:space="preserve">VAT on costs used for non-business activities is</w:t>
      </w:r>
      <w:r>
        <w:t xml:space="preserve"> </w:t>
      </w:r>
      <w:r>
        <w:rPr>
          <w:b/>
          <w:bCs/>
        </w:rPr>
        <w:t xml:space="preserve">not input tax</w:t>
      </w:r>
      <w:r>
        <w:t xml:space="preserve"> </w:t>
      </w:r>
      <w:r>
        <w:t xml:space="preserve">(</w:t>
      </w:r>
      <w:hyperlink w:anchor="ref-hmrc_n700">
        <w:r>
          <w:rPr>
            <w:rStyle w:val="Hyperlink"/>
          </w:rPr>
          <w:t xml:space="preserve">HMRC, 2026o, para. 4.6.3</w:t>
        </w:r>
      </w:hyperlink>
      <w:r>
        <w:t xml:space="preserve">)</w:t>
      </w:r>
      <w:r>
        <w:t xml:space="preserve">. In HMRC’s words, it</w:t>
      </w:r>
      <w:r>
        <w:t xml:space="preserve"> </w:t>
      </w:r>
      <w:r>
        <w:t xml:space="preserve">“</w:t>
      </w:r>
      <w:r>
        <w:t xml:space="preserve">is not generally recoverable</w:t>
      </w:r>
      <w:r>
        <w:t xml:space="preserve">”</w:t>
      </w:r>
      <w:r>
        <w:t xml:space="preserve"> </w:t>
      </w:r>
      <w:r>
        <w:t xml:space="preserve">(</w:t>
      </w:r>
      <w:hyperlink w:anchor="ref-hmrc_vatgpb">
        <w:r>
          <w:rPr>
            <w:rStyle w:val="Hyperlink"/>
          </w:rPr>
          <w:t xml:space="preserve">HMRC, 2026n, sec. VATGPB9340</w:t>
        </w:r>
      </w:hyperlink>
      <w:r>
        <w:t xml:space="preserve">)</w:t>
      </w:r>
      <w:r>
        <w:t xml:space="preserve">.</w:t>
      </w:r>
    </w:p>
    <w:p>
      <w:pPr>
        <w:pStyle w:val="FirstParagraph"/>
      </w:pPr>
      <w:r>
        <w:t xml:space="preserve">The COS scheme is a targeted exception to that rule:</w:t>
      </w:r>
    </w:p>
    <w:p>
      <w:pPr>
        <w:pStyle w:val="Compact"/>
        <w:numPr>
          <w:ilvl w:val="0"/>
          <w:numId w:val="1213"/>
        </w:numPr>
      </w:pPr>
      <w:r>
        <w:rPr>
          <w:b/>
          <w:bCs/>
        </w:rPr>
        <w:t xml:space="preserve">The law:</w:t>
      </w:r>
      <w:r>
        <w:t xml:space="preserve"> </w:t>
      </w:r>
      <w:r>
        <w:t xml:space="preserve">section 41(3) of the Value Added Tax Act 1994 (VATA 1994) lets HMRC refund VAT to a government department on supplies and imports that are not for its business,</w:t>
      </w:r>
      <w:r>
        <w:t xml:space="preserve"> </w:t>
      </w:r>
      <w:r>
        <w:t xml:space="preserve">“</w:t>
      </w:r>
      <w:r>
        <w:t xml:space="preserve">if and to the extent that the Treasury so direct</w:t>
      </w:r>
      <w:r>
        <w:t xml:space="preserve">”</w:t>
      </w:r>
      <w:r>
        <w:t xml:space="preserve">.</w:t>
      </w:r>
    </w:p>
    <w:p>
      <w:pPr>
        <w:pStyle w:val="Compact"/>
        <w:numPr>
          <w:ilvl w:val="0"/>
          <w:numId w:val="1213"/>
        </w:numPr>
      </w:pPr>
      <w:r>
        <w:rPr>
          <w:b/>
          <w:bCs/>
        </w:rPr>
        <w:t xml:space="preserve">The Direction:</w:t>
      </w:r>
      <w:r>
        <w:t xml:space="preserve"> </w:t>
      </w:r>
      <w:r>
        <w:t xml:space="preserve">HM Treasury uses that power through a</w:t>
      </w:r>
      <w:r>
        <w:t xml:space="preserve"> </w:t>
      </w:r>
      <w:r>
        <w:rPr>
          <w:b/>
          <w:bCs/>
        </w:rPr>
        <w:t xml:space="preserve">Treasury Direction</w:t>
      </w:r>
      <w:r>
        <w:t xml:space="preserve">, usually called the</w:t>
      </w:r>
      <w:r>
        <w:t xml:space="preserve"> </w:t>
      </w:r>
      <w:r>
        <w:rPr>
          <w:b/>
          <w:bCs/>
        </w:rPr>
        <w:t xml:space="preserve">Contracting Out Direction</w:t>
      </w:r>
      <w:r>
        <w:t xml:space="preserve">. Its</w:t>
      </w:r>
      <w:r>
        <w:t xml:space="preserve"> </w:t>
      </w:r>
      <w:r>
        <w:rPr>
          <w:b/>
          <w:bCs/>
        </w:rPr>
        <w:t xml:space="preserve">List 1</w:t>
      </w:r>
      <w:r>
        <w:t xml:space="preserve"> </w:t>
      </w:r>
      <w:r>
        <w:t xml:space="preserve">says which bodies can claim. Its</w:t>
      </w:r>
      <w:r>
        <w:t xml:space="preserve"> </w:t>
      </w:r>
      <w:r>
        <w:rPr>
          <w:b/>
          <w:bCs/>
        </w:rPr>
        <w:t xml:space="preserve">List 2</w:t>
      </w:r>
      <w:r>
        <w:t xml:space="preserve"> </w:t>
      </w:r>
      <w:r>
        <w:t xml:space="preserve">says which services qualify. Each numbered item in List 2 is a</w:t>
      </w:r>
      <w:r>
        <w:t xml:space="preserve"> </w:t>
      </w:r>
      <w:r>
        <w:rPr>
          <w:b/>
          <w:bCs/>
        </w:rPr>
        <w:t xml:space="preserve">COS heading</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VATGPB9720</w:t>
        </w:r>
      </w:hyperlink>
      <w:r>
        <w:t xml:space="preserve">)</w:t>
      </w:r>
      <w:r>
        <w:t xml:space="preserve">.</w:t>
      </w:r>
    </w:p>
    <w:p>
      <w:pPr>
        <w:pStyle w:val="Compact"/>
        <w:numPr>
          <w:ilvl w:val="0"/>
          <w:numId w:val="1213"/>
        </w:numPr>
      </w:pPr>
      <w:r>
        <w:rPr>
          <w:b/>
          <w:bCs/>
        </w:rPr>
        <w:t xml:space="preserve">The current Direction</w:t>
      </w:r>
      <w:r>
        <w:t xml:space="preserve"> </w:t>
      </w:r>
      <w:r>
        <w:t xml:space="preserve">came into operation on</w:t>
      </w:r>
      <w:r>
        <w:t xml:space="preserve"> </w:t>
      </w:r>
      <w:r>
        <w:rPr>
          <w:b/>
          <w:bCs/>
        </w:rPr>
        <w:t xml:space="preserve">1 September 2020</w:t>
      </w:r>
      <w:r>
        <w:t xml:space="preserve">. It is dated 3 September 2020 and was published in The London Gazette on</w:t>
      </w:r>
      <w:r>
        <w:t xml:space="preserve"> </w:t>
      </w:r>
      <w:r>
        <w:rPr>
          <w:b/>
          <w:bCs/>
        </w:rPr>
        <w:t xml:space="preserve">30 October 2020</w:t>
      </w:r>
      <w:r>
        <w:t xml:space="preserve"> </w:t>
      </w:r>
      <w:r>
        <w:t xml:space="preserve">(notice 3665219). It revoked every earlier section 41(3) direction</w:t>
      </w:r>
      <w:r>
        <w:t xml:space="preserve"> </w:t>
      </w:r>
      <w:r>
        <w:t xml:space="preserve">(</w:t>
      </w:r>
      <w:hyperlink w:anchor="ref-gazette_2020">
        <w:r>
          <w:rPr>
            <w:rStyle w:val="Hyperlink"/>
          </w:rPr>
          <w:t xml:space="preserve">HM Treasury, 2020b, para. 1</w:t>
        </w:r>
      </w:hyperlink>
      <w:r>
        <w:t xml:space="preserve">)</w:t>
      </w:r>
      <w:r>
        <w:t xml:space="preserve">.</w:t>
      </w:r>
    </w:p>
    <w:p>
      <w:pPr>
        <w:pStyle w:val="Compact"/>
        <w:numPr>
          <w:ilvl w:val="0"/>
          <w:numId w:val="1213"/>
        </w:numPr>
      </w:pPr>
      <w:r>
        <w:rPr>
          <w:b/>
          <w:bCs/>
        </w:rPr>
        <w:t xml:space="preserve">How many headings:</w:t>
      </w:r>
      <w:r>
        <w:t xml:space="preserve"> </w:t>
      </w:r>
      <w:r>
        <w:t xml:space="preserve">List 2 is numbered</w:t>
      </w:r>
      <w:r>
        <w:t xml:space="preserve"> </w:t>
      </w:r>
      <w:r>
        <w:rPr>
          <w:b/>
          <w:bCs/>
        </w:rPr>
        <w:t xml:space="preserve">1 to 82</w:t>
      </w:r>
      <w:r>
        <w:t xml:space="preserve">. Heading 73 reads</w:t>
      </w:r>
      <w:r>
        <w:t xml:space="preserve"> </w:t>
      </w:r>
      <w:r>
        <w:t xml:space="preserve">“</w:t>
      </w:r>
      <w:r>
        <w:t xml:space="preserve">[Intentionally left blank]</w:t>
      </w:r>
      <w:r>
        <w:t xml:space="preserve">”</w:t>
      </w:r>
      <w:r>
        <w:t xml:space="preserve">, so</w:t>
      </w:r>
      <w:r>
        <w:t xml:space="preserve"> </w:t>
      </w:r>
      <w:r>
        <w:rPr>
          <w:b/>
          <w:bCs/>
        </w:rPr>
        <w:t xml:space="preserve">81 headings are live</w:t>
      </w:r>
      <w:r>
        <w:t xml:space="preserve"> </w:t>
      </w:r>
      <w:r>
        <w:t xml:space="preserve">(</w:t>
      </w:r>
      <w:hyperlink w:anchor="ref-gazette_2020">
        <w:r>
          <w:rPr>
            <w:rStyle w:val="Hyperlink"/>
          </w:rPr>
          <w:t xml:space="preserve">HM Treasury, 2020b</w:t>
        </w:r>
      </w:hyperlink>
      <w:r>
        <w:t xml:space="preserve">)</w:t>
      </w:r>
      <w:r>
        <w:t xml:space="preserve">. HMRC says Heading 73</w:t>
      </w:r>
      <w:r>
        <w:t xml:space="preserve"> </w:t>
      </w:r>
      <w:r>
        <w:t xml:space="preserve">“</w:t>
      </w:r>
      <w:r>
        <w:t xml:space="preserve">has been withdrawn</w:t>
      </w:r>
      <w:r>
        <w:t xml:space="preserve">”</w:t>
      </w:r>
      <w:r>
        <w:t xml:space="preserve"> </w:t>
      </w:r>
      <w:r>
        <w:t xml:space="preserve">and the number kept</w:t>
      </w:r>
      <w:r>
        <w:t xml:space="preserve"> </w:t>
      </w:r>
      <w:r>
        <w:t xml:space="preserve">“</w:t>
      </w:r>
      <w:r>
        <w:t xml:space="preserve">for consistency</w:t>
      </w:r>
      <w:r>
        <w:t xml:space="preserve">”</w:t>
      </w:r>
      <w:r>
        <w:t xml:space="preserve"> </w:t>
      </w:r>
      <w:r>
        <w:t xml:space="preserve">(</w:t>
      </w:r>
      <w:hyperlink w:anchor="ref-hmrc_vatgpb">
        <w:r>
          <w:rPr>
            <w:rStyle w:val="Hyperlink"/>
          </w:rPr>
          <w:t xml:space="preserve">HMRC, 2026n, sec. VATGPB11190</w:t>
        </w:r>
      </w:hyperlink>
      <w:r>
        <w:t xml:space="preserve">)</w:t>
      </w:r>
      <w:r>
        <w:t xml:space="preserve">.</w:t>
      </w:r>
    </w:p>
    <w:p>
      <w:pPr>
        <w:pStyle w:val="Compact"/>
        <w:numPr>
          <w:ilvl w:val="0"/>
          <w:numId w:val="1213"/>
        </w:numPr>
      </w:pPr>
      <w:r>
        <w:rPr>
          <w:b/>
          <w:bCs/>
        </w:rPr>
        <w:t xml:space="preserve">What a heading looks like:</w:t>
      </w:r>
      <w:r>
        <w:t xml:space="preserve"> </w:t>
      </w:r>
      <w:r>
        <w:t xml:space="preserve">many are one line, for example</w:t>
      </w:r>
      <w:r>
        <w:t xml:space="preserve"> </w:t>
      </w:r>
      <w:r>
        <w:t xml:space="preserve">“</w:t>
      </w:r>
      <w:r>
        <w:t xml:space="preserve">65. Training, tuition or education.</w:t>
      </w:r>
      <w:r>
        <w:t xml:space="preserve">”</w:t>
      </w:r>
      <w:r>
        <w:t xml:space="preserve"> </w:t>
      </w:r>
      <w:r>
        <w:t xml:space="preserve">Some are long, with their own inclusions and exclusions (for example Heading 14 on computer services and Heading 52 on professional advice)</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0"/>
          <w:numId w:val="1213"/>
        </w:numPr>
      </w:pPr>
      <w:r>
        <w:rPr>
          <w:b/>
          <w:bCs/>
        </w:rPr>
        <w:t xml:space="preserve">HMRC’s guidance:</w:t>
      </w:r>
      <w:r>
        <w:t xml:space="preserve"> </w:t>
      </w:r>
      <w:r>
        <w:t xml:space="preserve">HMRC’s manual has a page for each heading (VATGPB9700 to VATGPB11370), usually with</w:t>
      </w:r>
      <w:r>
        <w:t xml:space="preserve"> </w:t>
      </w:r>
      <w:r>
        <w:t xml:space="preserve">“</w:t>
      </w:r>
      <w:r>
        <w:t xml:space="preserve">Includes</w:t>
      </w:r>
      <w:r>
        <w:t xml:space="preserve">”</w:t>
      </w:r>
      <w:r>
        <w:t xml:space="preserve"> </w:t>
      </w:r>
      <w:r>
        <w:t xml:space="preserve">and</w:t>
      </w:r>
      <w:r>
        <w:t xml:space="preserve"> </w:t>
      </w:r>
      <w:r>
        <w:t xml:space="preserve">“</w:t>
      </w:r>
      <w:r>
        <w:t xml:space="preserve">Excludes</w:t>
      </w:r>
      <w:r>
        <w:t xml:space="preserve">”</w:t>
      </w:r>
      <w:r>
        <w:t xml:space="preserve"> </w:t>
      </w:r>
      <w:r>
        <w:t xml:space="preserve">lists</w:t>
      </w:r>
      <w:r>
        <w:t xml:space="preserve"> </w:t>
      </w:r>
      <w:r>
        <w:t xml:space="preserve">(</w:t>
      </w:r>
      <w:hyperlink w:anchor="ref-hmrc_vatgpb">
        <w:r>
          <w:rPr>
            <w:rStyle w:val="Hyperlink"/>
          </w:rPr>
          <w:t xml:space="preserve">HMRC, 2026n, sec. VATGPB9700</w:t>
        </w:r>
      </w:hyperlink>
      <w:r>
        <w:t xml:space="preserve">)</w:t>
      </w:r>
      <w:r>
        <w:t xml:space="preserve">. These pages are HMRC’s interpretation, not law, but they show what HMRC will accept when it checks a claim.</w:t>
      </w:r>
    </w:p>
    <w:p>
      <w:pPr>
        <w:pStyle w:val="FirstParagraph"/>
      </w:pPr>
      <w:r>
        <w:rPr>
          <w:b/>
          <w:bCs/>
        </w:rPr>
        <w:t xml:space="preserve">What exactly does the Direction refund?</w:t>
      </w:r>
      <w:r>
        <w:t xml:space="preserve"> </w:t>
      </w:r>
      <w:r>
        <w:t xml:space="preserve">Paragraph 2 of the Direction lets an eligible department claim a refund of the tax charged on the following</w:t>
      </w:r>
      <w:r>
        <w:t xml:space="preserve"> </w:t>
      </w:r>
      <w:r>
        <w:t xml:space="preserve">(</w:t>
      </w:r>
      <w:hyperlink w:anchor="ref-gazette_2020">
        <w:r>
          <w:rPr>
            <w:rStyle w:val="Hyperlink"/>
          </w:rPr>
          <w:t xml:space="preserve">HM Treasury, 2020b, para. 2</w:t>
        </w:r>
      </w:hyperlink>
      <w:r>
        <w:t xml:space="preserve">)</w:t>
      </w:r>
      <w:r>
        <w:t xml:space="preserve">:</w:t>
      </w:r>
    </w:p>
    <w:p>
      <w:pPr>
        <w:pStyle w:val="Compact"/>
        <w:numPr>
          <w:ilvl w:val="0"/>
          <w:numId w:val="1214"/>
        </w:numPr>
      </w:pPr>
      <w:r>
        <w:rPr>
          <w:b/>
          <w:bCs/>
        </w:rPr>
        <w:t xml:space="preserve">services</w:t>
      </w:r>
      <w:r>
        <w:t xml:space="preserve"> </w:t>
      </w:r>
      <w:r>
        <w:t xml:space="preserve">described in List 2;</w:t>
      </w:r>
    </w:p>
    <w:p>
      <w:pPr>
        <w:pStyle w:val="Compact"/>
        <w:numPr>
          <w:ilvl w:val="0"/>
          <w:numId w:val="1214"/>
        </w:numPr>
      </w:pPr>
      <w:r>
        <w:rPr>
          <w:b/>
          <w:bCs/>
        </w:rPr>
        <w:t xml:space="preserve">leased accommodation for more than 21 years</w:t>
      </w:r>
      <w:r>
        <w:t xml:space="preserve">, where it is supplied as part of a List 2 service (in practice this matters mainly for PFI deals under Heading 53); and</w:t>
      </w:r>
    </w:p>
    <w:p>
      <w:pPr>
        <w:pStyle w:val="Compact"/>
        <w:numPr>
          <w:ilvl w:val="0"/>
          <w:numId w:val="1214"/>
        </w:numPr>
      </w:pPr>
      <w:r>
        <w:rPr>
          <w:b/>
          <w:bCs/>
        </w:rPr>
        <w:t xml:space="preserve">goods</w:t>
      </w:r>
      <w:r>
        <w:rPr>
          <w:b/>
          <w:bCs/>
        </w:rPr>
        <w:t xml:space="preserve"> </w:t>
      </w:r>
      <w:r>
        <w:rPr>
          <w:b/>
          <w:bCs/>
        </w:rPr>
        <w:t xml:space="preserve">“</w:t>
      </w:r>
      <w:r>
        <w:rPr>
          <w:b/>
          <w:bCs/>
        </w:rPr>
        <w:t xml:space="preserve">closely related to</w:t>
      </w:r>
      <w:r>
        <w:rPr>
          <w:b/>
          <w:bCs/>
        </w:rPr>
        <w:t xml:space="preserve">”</w:t>
      </w:r>
      <w:r>
        <w:t xml:space="preserve"> </w:t>
      </w:r>
      <w:r>
        <w:t xml:space="preserve">a List 2 service supplied to the department.</w:t>
      </w:r>
    </w:p>
    <w:p>
      <w:pPr>
        <w:pStyle w:val="FirstParagraph"/>
      </w:pPr>
      <w:r>
        <w:t xml:space="preserve">In practice,</w:t>
      </w:r>
      <w:r>
        <w:t xml:space="preserve"> </w:t>
      </w:r>
      <w:r>
        <w:rPr>
          <w:b/>
          <w:bCs/>
        </w:rPr>
        <w:t xml:space="preserve">COS is a scheme for services.</w:t>
      </w:r>
      <w:r>
        <w:t xml:space="preserve"> </w:t>
      </w:r>
      <w:r>
        <w:t xml:space="preserve">Goods supplied as an integral part of a qualifying service can be covered. HMRC accepts, for example, spare parts used in a qualifying repair (Heading 37)</w:t>
      </w:r>
      <w:r>
        <w:t xml:space="preserve"> </w:t>
      </w:r>
      <w:r>
        <w:t xml:space="preserve">(</w:t>
      </w:r>
      <w:hyperlink w:anchor="ref-hmrc_vatgpb">
        <w:r>
          <w:rPr>
            <w:rStyle w:val="Hyperlink"/>
          </w:rPr>
          <w:t xml:space="preserve">HMRC, 2026n, sec. VATGPB10435</w:t>
        </w:r>
      </w:hyperlink>
      <w:r>
        <w:t xml:space="preserve">)</w:t>
      </w:r>
      <w:r>
        <w:t xml:space="preserve">, the paper in a printing job (Heading 61)</w:t>
      </w:r>
      <w:r>
        <w:t xml:space="preserve"> </w:t>
      </w:r>
      <w:r>
        <w:t xml:space="preserve">(</w:t>
      </w:r>
      <w:hyperlink w:anchor="ref-hmrc_vatgpb">
        <w:r>
          <w:rPr>
            <w:rStyle w:val="Hyperlink"/>
          </w:rPr>
          <w:t xml:space="preserve">HMRC, 2026n, sec. VATGPB10950</w:t>
        </w:r>
      </w:hyperlink>
      <w:r>
        <w:t xml:space="preserve">)</w:t>
      </w:r>
      <w:r>
        <w:t xml:space="preserve"> </w:t>
      </w:r>
      <w:r>
        <w:t xml:space="preserve">and goods that are an integral, ancillary part of a qualifying IT service (Heading 14)</w:t>
      </w:r>
      <w:r>
        <w:t xml:space="preserve"> </w:t>
      </w:r>
      <w:r>
        <w:t xml:space="preserve">(</w:t>
      </w:r>
      <w:hyperlink w:anchor="ref-hmrc_vatgpb">
        <w:r>
          <w:rPr>
            <w:rStyle w:val="Hyperlink"/>
          </w:rPr>
          <w:t xml:space="preserve">HMRC, 2026n, sec. VATGPB10010</w:t>
        </w:r>
      </w:hyperlink>
      <w:r>
        <w:t xml:space="preserve">)</w:t>
      </w:r>
      <w:r>
        <w:t xml:space="preserve">. A</w:t>
      </w:r>
      <w:r>
        <w:t xml:space="preserve"> </w:t>
      </w:r>
      <w:r>
        <w:rPr>
          <w:b/>
          <w:bCs/>
        </w:rPr>
        <w:t xml:space="preserve">standalone purchase of goods is not covered</w:t>
      </w:r>
      <w:r>
        <w:t xml:space="preserve"> </w:t>
      </w:r>
      <w:r>
        <w:t xml:space="preserve">(</w:t>
      </w:r>
      <w:hyperlink w:anchor="ref-hmrc_gdpef">
        <w:r>
          <w:rPr>
            <w:rStyle w:val="Hyperlink"/>
          </w:rPr>
          <w:t xml:space="preserve">HMRC, 2023c</w:t>
        </w:r>
      </w:hyperlink>
      <w:r>
        <w:t xml:space="preserve">)</w:t>
      </w:r>
      <w:r>
        <w:t xml:space="preserve">. HMRC says on its Heading 82 page:</w:t>
      </w:r>
      <w:r>
        <w:t xml:space="preserve"> </w:t>
      </w:r>
      <w:r>
        <w:t xml:space="preserve">“</w:t>
      </w:r>
      <w:r>
        <w:t xml:space="preserve">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 HM Treasury’s 2020 policy paper puts it just as plainly:</w:t>
      </w:r>
      <w:r>
        <w:t xml:space="preserve"> </w:t>
      </w:r>
      <w:r>
        <w:t xml:space="preserve">“</w:t>
      </w:r>
      <w:r>
        <w:t xml:space="preserve">Government departments are unable to recover the VAT they have incurred on goods</w:t>
      </w:r>
      <w:r>
        <w:t xml:space="preserve">”</w:t>
      </w:r>
      <w:r>
        <w:t xml:space="preserve"> </w:t>
      </w:r>
      <w:r>
        <w:t xml:space="preserve">(</w:t>
      </w:r>
      <w:hyperlink w:anchor="ref-hmt_s41_paper_2020">
        <w:r>
          <w:rPr>
            <w:rStyle w:val="Hyperlink"/>
          </w:rPr>
          <w:t xml:space="preserve">HM Treasury, 2020a, p. 10</w:t>
        </w:r>
      </w:hyperlink>
      <w:r>
        <w:t xml:space="preserve">)</w:t>
      </w:r>
      <w:r>
        <w:t xml:space="preserve">. (HMRC has not explained in detail how this fits with the</w:t>
      </w:r>
      <w:r>
        <w:t xml:space="preserve"> </w:t>
      </w:r>
      <w:r>
        <w:t xml:space="preserve">“</w:t>
      </w:r>
      <w:r>
        <w:t xml:space="preserve">closely related goods</w:t>
      </w:r>
      <w:r>
        <w:t xml:space="preserve">”</w:t>
      </w:r>
      <w:r>
        <w:t xml:space="preserve"> </w:t>
      </w:r>
      <w:r>
        <w:t xml:space="preserve">wording in paragraph 2(c)</w:t>
      </w:r>
      <w:r>
        <w:t xml:space="preserve"> </w:t>
      </w:r>
      <w:r>
        <w:t xml:space="preserve">(</w:t>
      </w:r>
      <w:hyperlink w:anchor="ref-gazette_2020">
        <w:r>
          <w:rPr>
            <w:rStyle w:val="Hyperlink"/>
          </w:rPr>
          <w:t xml:space="preserve">HM Treasury, 2020b, para. 2(c)</w:t>
        </w:r>
      </w:hyperlink>
      <w:r>
        <w:t xml:space="preserve">)</w:t>
      </w:r>
      <w:r>
        <w:t xml:space="preserve">. The safe reading is that goods count only when they come as part of a qualifying service.)</w:t>
      </w:r>
    </w:p>
    <w:bookmarkStart w:id="189" w:name="X0ad2d304783206e47c9bd50c26225656db0c172"/>
    <w:p>
      <w:pPr>
        <w:pStyle w:val="Heading4"/>
      </w:pPr>
      <w:r>
        <w:t xml:space="preserve">An everyday example: cleaning the Department’s offices</w:t>
      </w:r>
    </w:p>
    <w:p>
      <w:pPr>
        <w:pStyle w:val="FirstParagraph"/>
      </w:pPr>
      <w:r>
        <w:t xml:space="preserve">The table below compares the net cost to the Department of three ways of getting its offices cleaned</w:t>
      </w:r>
      <w:r>
        <w:t xml:space="preserve"> </w:t>
      </w:r>
      <w:r>
        <w:t xml:space="preserve">(</w:t>
      </w:r>
      <w:hyperlink w:anchor="ref-hmrc_vatgpb">
        <w:r>
          <w:rPr>
            <w:rStyle w:val="Hyperlink"/>
          </w:rPr>
          <w:t xml:space="preserve">HMRC, 2026n, secs VATGPB9340, VATGPB10430</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084"/>
        <w:gridCol w:w="1987"/>
        <w:gridCol w:w="2629"/>
        <w:gridCol w:w="2323"/>
      </w:tblGrid>
      <w:tr>
        <w:trPr>
          <w:tblHeader w:val="true"/>
          <w:cantSplit w:val="true"/>
        </w:trPr>
        <w:tc>
          <w:tcPr>
            <w:tcW w:w="2084" w:type="dxa"/>
            <w:shd w:val="clear" w:color="auto" w:fill="1B3A5C"/>
          </w:tcPr>
          <w:p>
            <w:pPr>
              <w:pStyle w:val="Compact"/>
              <w:spacing w:after="40" w:before="40"/>
            </w:pPr>
          </w:p>
        </w:tc>
        <w:tc>
          <w:tcPr>
            <w:tcW w:w="1987" w:type="dxa"/>
            <w:shd w:val="clear" w:color="auto" w:fill="1B3A5C"/>
          </w:tcPr>
          <w:p>
            <w:pPr>
              <w:pStyle w:val="Compact"/>
              <w:spacing w:after="40" w:before="40"/>
              <w:jc w:val="left"/>
            </w:pPr>
            <w:r>
              <w:rPr>
                <w:rFonts w:ascii="Tahoma" w:hAnsi="Tahoma"/>
                <w:b/>
                <w:color w:val="FFFFFF"/>
                <w:sz w:val="22"/>
              </w:rPr>
              <w:t xml:space="preserve">Cleaned in-house</w:t>
            </w:r>
          </w:p>
        </w:tc>
        <w:tc>
          <w:tcPr>
            <w:tcW w:w="2629" w:type="dxa"/>
            <w:shd w:val="clear" w:color="auto" w:fill="1B3A5C"/>
          </w:tcPr>
          <w:p>
            <w:pPr>
              <w:pStyle w:val="Compact"/>
              <w:spacing w:after="40" w:before="40"/>
              <w:jc w:val="left"/>
            </w:pPr>
            <w:r>
              <w:rPr>
                <w:rFonts w:ascii="Tahoma" w:hAnsi="Tahoma"/>
                <w:b/>
                <w:color w:val="FFFFFF"/>
                <w:sz w:val="22"/>
              </w:rPr>
              <w:t xml:space="preserve">Contract cleaners, no COS refund</w:t>
            </w:r>
          </w:p>
        </w:tc>
        <w:tc>
          <w:tcPr>
            <w:tcW w:w="2323" w:type="dxa"/>
            <w:shd w:val="clear" w:color="auto" w:fill="1B3A5C"/>
          </w:tcPr>
          <w:p>
            <w:pPr>
              <w:pStyle w:val="Compact"/>
              <w:spacing w:after="40" w:before="40"/>
              <w:jc w:val="left"/>
            </w:pPr>
            <w:r>
              <w:rPr>
                <w:rFonts w:ascii="Tahoma" w:hAnsi="Tahoma"/>
                <w:b/>
                <w:color w:val="FFFFFF"/>
                <w:sz w:val="22"/>
              </w:rPr>
              <w:t xml:space="preserve">Contract cleaners, with COS refund (Heading 35)</w:t>
            </w:r>
          </w:p>
        </w:tc>
      </w:tr>
      <w:tr>
        <w:trPr>
          <w:cantSplit w:val="true"/>
        </w:trPr>
        <w:tc>
          <w:tcPr>
            <w:tcW w:w="2084" w:type="dxa"/>
            <w:shd w:val="clear" w:color="auto" w:fill="EAF3FA"/>
          </w:tcPr>
          <w:p>
            <w:pPr>
              <w:pStyle w:val="Compact"/>
              <w:spacing w:after="40" w:before="40"/>
              <w:jc w:val="left"/>
            </w:pPr>
            <w:r>
              <w:rPr>
                <w:rFonts w:ascii="Tahoma" w:hAnsi="Tahoma"/>
                <w:sz w:val="22"/>
              </w:rPr>
              <w:t xml:space="preserve">Cost of the cleaning service</w:t>
            </w:r>
          </w:p>
        </w:tc>
        <w:tc>
          <w:tcPr>
            <w:tcW w:w="1987" w:type="dxa"/>
            <w:shd w:val="clear" w:color="auto" w:fill="EAF3FA"/>
          </w:tcPr>
          <w:p>
            <w:pPr>
              <w:pStyle w:val="Compact"/>
              <w:spacing w:after="40" w:before="40"/>
              <w:jc w:val="left"/>
            </w:pPr>
            <w:r>
              <w:rPr>
                <w:rFonts w:ascii="Tahoma" w:hAnsi="Tahoma"/>
                <w:sz w:val="22"/>
              </w:rPr>
              <w:t xml:space="preserve">£50,000 in wages (no VAT on wages)</w:t>
            </w:r>
          </w:p>
        </w:tc>
        <w:tc>
          <w:tcPr>
            <w:tcW w:w="2629" w:type="dxa"/>
            <w:shd w:val="clear" w:color="auto" w:fill="EAF3FA"/>
          </w:tcPr>
          <w:p>
            <w:pPr>
              <w:pStyle w:val="Compact"/>
              <w:spacing w:after="40" w:before="40"/>
              <w:jc w:val="left"/>
            </w:pPr>
            <w:r>
              <w:rPr>
                <w:rFonts w:ascii="Tahoma" w:hAnsi="Tahoma"/>
                <w:sz w:val="22"/>
              </w:rPr>
              <w:t xml:space="preserve">£50,000 + £10,000 VAT</w:t>
            </w:r>
          </w:p>
        </w:tc>
        <w:tc>
          <w:tcPr>
            <w:tcW w:w="2323" w:type="dxa"/>
            <w:shd w:val="clear" w:color="auto" w:fill="EAF3FA"/>
          </w:tcPr>
          <w:p>
            <w:pPr>
              <w:pStyle w:val="Compact"/>
              <w:spacing w:after="40" w:before="40"/>
              <w:jc w:val="left"/>
            </w:pPr>
            <w:r>
              <w:rPr>
                <w:rFonts w:ascii="Tahoma" w:hAnsi="Tahoma"/>
                <w:sz w:val="22"/>
              </w:rPr>
              <w:t xml:space="preserve">£50,000 + £10,000 VAT</w:t>
            </w:r>
          </w:p>
        </w:tc>
      </w:tr>
      <w:tr>
        <w:trPr>
          <w:cantSplit w:val="true"/>
        </w:trPr>
        <w:tc>
          <w:tcPr>
            <w:tcW w:w="2084" w:type="dxa"/>
            <w:shd w:val="clear" w:color="auto" w:fill="FFFFFF"/>
          </w:tcPr>
          <w:p>
            <w:pPr>
              <w:pStyle w:val="Compact"/>
              <w:spacing w:after="40" w:before="40"/>
              <w:jc w:val="left"/>
            </w:pPr>
            <w:r>
              <w:rPr>
                <w:rFonts w:ascii="Tahoma" w:hAnsi="Tahoma"/>
                <w:sz w:val="22"/>
              </w:rPr>
              <w:t xml:space="preserve">VAT refunded</w:t>
            </w:r>
          </w:p>
        </w:tc>
        <w:tc>
          <w:tcPr>
            <w:tcW w:w="1987" w:type="dxa"/>
            <w:shd w:val="clear" w:color="auto" w:fill="FFFFFF"/>
          </w:tcPr>
          <w:p>
            <w:pPr>
              <w:pStyle w:val="Compact"/>
              <w:spacing w:after="40" w:before="40"/>
              <w:jc w:val="left"/>
            </w:pPr>
            <w:r>
              <w:rPr>
                <w:rFonts w:ascii="Tahoma" w:hAnsi="Tahoma"/>
                <w:sz w:val="22"/>
              </w:rPr>
              <w:t xml:space="preserve">n/a</w:t>
            </w:r>
          </w:p>
        </w:tc>
        <w:tc>
          <w:tcPr>
            <w:tcW w:w="2629" w:type="dxa"/>
            <w:shd w:val="clear" w:color="auto" w:fill="FFFFFF"/>
          </w:tcPr>
          <w:p>
            <w:pPr>
              <w:pStyle w:val="Compact"/>
              <w:spacing w:after="40" w:before="40"/>
              <w:jc w:val="left"/>
            </w:pPr>
            <w:r>
              <w:rPr>
                <w:rFonts w:ascii="Tahoma" w:hAnsi="Tahoma"/>
                <w:sz w:val="22"/>
              </w:rPr>
              <w:t xml:space="preserve">£0 (the VAT relates to non-business activity)</w:t>
            </w:r>
          </w:p>
        </w:tc>
        <w:tc>
          <w:tcPr>
            <w:tcW w:w="2323" w:type="dxa"/>
            <w:shd w:val="clear" w:color="auto" w:fill="FFFFFF"/>
          </w:tcPr>
          <w:p>
            <w:pPr>
              <w:pStyle w:val="Compact"/>
              <w:spacing w:after="40" w:before="40"/>
              <w:jc w:val="left"/>
            </w:pPr>
            <w:r>
              <w:rPr>
                <w:rFonts w:ascii="Tahoma" w:hAnsi="Tahoma"/>
                <w:sz w:val="22"/>
              </w:rPr>
              <w:t xml:space="preserve">£10,000</w:t>
            </w:r>
          </w:p>
        </w:tc>
      </w:tr>
      <w:tr>
        <w:trPr>
          <w:cantSplit w:val="true"/>
        </w:trPr>
        <w:tc>
          <w:tcPr>
            <w:tcW w:w="2084" w:type="dxa"/>
            <w:shd w:val="clear" w:color="auto" w:fill="FBEAF1"/>
          </w:tcPr>
          <w:p>
            <w:pPr>
              <w:pStyle w:val="Compact"/>
              <w:spacing w:after="40" w:before="40"/>
              <w:jc w:val="left"/>
            </w:pPr>
            <w:r>
              <w:rPr>
                <w:rFonts w:ascii="Tahoma" w:hAnsi="Tahoma"/>
                <w:b/>
                <w:bCs/>
                <w:sz w:val="22"/>
              </w:rPr>
              <w:t xml:space="preserve">Net cost to the Department</w:t>
            </w:r>
          </w:p>
        </w:tc>
        <w:tc>
          <w:tcPr>
            <w:tcW w:w="1987" w:type="dxa"/>
            <w:shd w:val="clear" w:color="auto" w:fill="FBEAF1"/>
          </w:tcPr>
          <w:p>
            <w:pPr>
              <w:pStyle w:val="Compact"/>
              <w:spacing w:after="40" w:before="40"/>
              <w:jc w:val="left"/>
            </w:pPr>
            <w:r>
              <w:rPr>
                <w:rFonts w:ascii="Tahoma" w:hAnsi="Tahoma"/>
                <w:b/>
                <w:bCs/>
                <w:sz w:val="22"/>
              </w:rPr>
              <w:t xml:space="preserve">£50,000</w:t>
            </w:r>
          </w:p>
        </w:tc>
        <w:tc>
          <w:tcPr>
            <w:tcW w:w="2629" w:type="dxa"/>
            <w:shd w:val="clear" w:color="auto" w:fill="FBEAF1"/>
          </w:tcPr>
          <w:p>
            <w:pPr>
              <w:pStyle w:val="Compact"/>
              <w:spacing w:after="40" w:before="40"/>
              <w:jc w:val="left"/>
            </w:pPr>
            <w:r>
              <w:rPr>
                <w:rFonts w:ascii="Tahoma" w:hAnsi="Tahoma"/>
                <w:b/>
                <w:bCs/>
                <w:sz w:val="22"/>
              </w:rPr>
              <w:t xml:space="preserve">£60,000</w:t>
            </w:r>
          </w:p>
        </w:tc>
        <w:tc>
          <w:tcPr>
            <w:tcW w:w="2323" w:type="dxa"/>
            <w:shd w:val="clear" w:color="auto" w:fill="FBEAF1"/>
          </w:tcPr>
          <w:p>
            <w:pPr>
              <w:pStyle w:val="Compact"/>
              <w:spacing w:after="40" w:before="40"/>
              <w:jc w:val="left"/>
            </w:pPr>
            <w:r>
              <w:rPr>
                <w:rFonts w:ascii="Tahoma" w:hAnsi="Tahoma"/>
                <w:b/>
                <w:bCs/>
                <w:sz w:val="22"/>
              </w:rPr>
              <w:t xml:space="preserve">£50,000</w:t>
            </w:r>
          </w:p>
        </w:tc>
      </w:tr>
    </w:tbl>
    <w:p>
      <w:pPr>
        <w:pStyle w:val="BodyText"/>
        <w:spacing w:before="200"/>
      </w:pPr>
      <w:r>
        <w:t xml:space="preserve">Heading 35 (</w:t>
      </w:r>
      <w:r>
        <w:t xml:space="preserve">“</w:t>
      </w:r>
      <w:r>
        <w:t xml:space="preserve">Maintenance, repair and cleaning of buildings…</w:t>
      </w:r>
      <w:r>
        <w:t xml:space="preserve">”</w:t>
      </w:r>
      <w:r>
        <w:t xml:space="preserve">) puts the contracted-out option back on an equal footing with doing the work in-house</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VATGPB10430</w:t>
        </w:r>
      </w:hyperlink>
      <w:r>
        <w:t xml:space="preserve">)</w:t>
      </w:r>
      <w:r>
        <w:t xml:space="preserve">.</w:t>
      </w:r>
    </w:p>
    <w:p>
      <w:pPr>
        <w:pStyle w:val="BodyText"/>
      </w:pPr>
      <w:r>
        <w:t xml:space="preserve">Note what the refund does</w:t>
      </w:r>
      <w:r>
        <w:t xml:space="preserve"> </w:t>
      </w:r>
      <w:r>
        <w:rPr>
          <w:b/>
          <w:bCs/>
        </w:rPr>
        <w:t xml:space="preserve">not</w:t>
      </w:r>
      <w:r>
        <w:t xml:space="preserve"> </w:t>
      </w:r>
      <w:r>
        <w:t xml:space="preserve">cover. If the Department cleaned in-house and bought £5,000 + £1,000 VAT of cleaning materials, that £1,000 would</w:t>
      </w:r>
      <w:r>
        <w:t xml:space="preserve"> </w:t>
      </w:r>
      <w:r>
        <w:rPr>
          <w:b/>
          <w:bCs/>
        </w:rPr>
        <w:t xml:space="preserve">not</w:t>
      </w:r>
      <w:r>
        <w:t xml:space="preserve"> </w:t>
      </w:r>
      <w:r>
        <w:t xml:space="preserve">be refundable. Cleaning materials are goods, and no COS heading covers them</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VATGPB11370</w:t>
        </w:r>
      </w:hyperlink>
      <w:r>
        <w:t xml:space="preserve">)</w:t>
      </w:r>
      <w:r>
        <w:t xml:space="preserve">.</w:t>
      </w:r>
    </w:p>
    <w:bookmarkEnd w:id="189"/>
    <w:bookmarkStart w:id="190" w:name="reading-a-heading-properly"/>
    <w:p>
      <w:pPr>
        <w:pStyle w:val="Heading4"/>
      </w:pPr>
      <w:r>
        <w:t xml:space="preserve">Reading a heading properly</w:t>
      </w:r>
    </w:p>
    <w:p>
      <w:pPr>
        <w:pStyle w:val="Compact"/>
        <w:numPr>
          <w:ilvl w:val="0"/>
          <w:numId w:val="1215"/>
        </w:numPr>
      </w:pPr>
      <w:r>
        <w:rPr>
          <w:b/>
          <w:bCs/>
        </w:rPr>
        <w:t xml:space="preserve">Use the Direction’s full wording, not HMRC’s short page title.</w:t>
      </w:r>
      <w:r>
        <w:t xml:space="preserve"> </w:t>
      </w:r>
      <w:r>
        <w:t xml:space="preserve">The short titles sometimes leave out conditions. For example:</w:t>
      </w:r>
    </w:p>
    <w:p>
      <w:pPr>
        <w:pStyle w:val="Compact"/>
        <w:numPr>
          <w:ilvl w:val="1"/>
          <w:numId w:val="1216"/>
        </w:numPr>
      </w:pPr>
      <w:r>
        <w:t xml:space="preserve">HMRC’s title for</w:t>
      </w:r>
      <w:r>
        <w:t xml:space="preserve"> </w:t>
      </w:r>
      <w:r>
        <w:rPr>
          <w:b/>
          <w:bCs/>
        </w:rPr>
        <w:t xml:space="preserve">Heading 26</w:t>
      </w:r>
      <w:r>
        <w:t xml:space="preserve"> </w:t>
      </w:r>
      <w:r>
        <w:t xml:space="preserve">is</w:t>
      </w:r>
      <w:r>
        <w:t xml:space="preserve"> </w:t>
      </w:r>
      <w:r>
        <w:t xml:space="preserve">“</w:t>
      </w:r>
      <w:r>
        <w:t xml:space="preserve">Hire of vehicles, including repair and maintenance</w:t>
      </w:r>
      <w:r>
        <w:t xml:space="preserve">”</w:t>
      </w:r>
      <w:r>
        <w:t xml:space="preserve">. The Direction only covers hire</w:t>
      </w:r>
      <w:r>
        <w:t xml:space="preserve"> </w:t>
      </w:r>
      <w:r>
        <w:t xml:space="preserve">“</w:t>
      </w:r>
      <w:r>
        <w:t xml:space="preserve">which includes an obligation on the part of the hirer to repair and maintain</w:t>
      </w:r>
      <w:r>
        <w:t xml:space="preserve">”</w:t>
      </w:r>
      <w:r>
        <w:t xml:space="preserve"> </w:t>
      </w:r>
      <w:r>
        <w:t xml:space="preserve">and lasts</w:t>
      </w:r>
      <w:r>
        <w:t xml:space="preserve"> </w:t>
      </w:r>
      <w:r>
        <w:t xml:space="preserve">“</w:t>
      </w:r>
      <w:r>
        <w:t xml:space="preserve">for a period in excess of 30 consecutive days</w:t>
      </w:r>
      <w:r>
        <w:t xml:space="preserve">”</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VATGPB10250</w:t>
        </w:r>
      </w:hyperlink>
      <w:r>
        <w:t xml:space="preserve">)</w:t>
      </w:r>
      <w:r>
        <w:t xml:space="preserve">.</w:t>
      </w:r>
    </w:p>
    <w:p>
      <w:pPr>
        <w:pStyle w:val="Compact"/>
        <w:numPr>
          <w:ilvl w:val="1"/>
          <w:numId w:val="1216"/>
        </w:numPr>
      </w:pPr>
      <w:r>
        <w:t xml:space="preserve">HMRC’s title for</w:t>
      </w:r>
      <w:r>
        <w:t xml:space="preserve"> </w:t>
      </w:r>
      <w:r>
        <w:rPr>
          <w:b/>
          <w:bCs/>
        </w:rPr>
        <w:t xml:space="preserve">Heading 52</w:t>
      </w:r>
      <w:r>
        <w:t xml:space="preserve"> </w:t>
      </w:r>
      <w:r>
        <w:t xml:space="preserve">is</w:t>
      </w:r>
      <w:r>
        <w:t xml:space="preserve"> </w:t>
      </w:r>
      <w:r>
        <w:t xml:space="preserve">“</w:t>
      </w:r>
      <w:r>
        <w:t xml:space="preserve">Professional advice</w:t>
      </w:r>
      <w:r>
        <w:t xml:space="preserve">”</w:t>
      </w:r>
      <w:r>
        <w:t xml:space="preserve">. The Direction splits it into two limbs, one for departments and one for health bodies. A department can only use limb (a)</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VATGPB10770</w:t>
        </w:r>
      </w:hyperlink>
      <w:r>
        <w:t xml:space="preserve">)</w:t>
      </w:r>
      <w:r>
        <w:t xml:space="preserve">.</w:t>
      </w:r>
    </w:p>
    <w:p>
      <w:pPr>
        <w:pStyle w:val="Compact"/>
        <w:numPr>
          <w:ilvl w:val="1"/>
          <w:numId w:val="1216"/>
        </w:numPr>
      </w:pPr>
      <w:r>
        <w:t xml:space="preserve">Part 8 of this guide quotes the Direction’s wording for each heading.</w:t>
      </w:r>
    </w:p>
    <w:p>
      <w:pPr>
        <w:pStyle w:val="Compact"/>
        <w:numPr>
          <w:ilvl w:val="0"/>
          <w:numId w:val="1215"/>
        </w:numPr>
      </w:pPr>
      <w:r>
        <w:rPr>
          <w:b/>
          <w:bCs/>
        </w:rPr>
        <w:t xml:space="preserve">Some headings belong to one named department.</w:t>
      </w:r>
      <w:r>
        <w:t xml:space="preserve"> </w:t>
      </w:r>
      <w:r>
        <w:t xml:space="preserve">Paragraph 4 of the Direction says that where a service</w:t>
      </w:r>
      <w:r>
        <w:t xml:space="preserve"> </w:t>
      </w:r>
      <w:r>
        <w:t xml:space="preserve">“</w:t>
      </w:r>
      <w:r>
        <w:t xml:space="preserve">is described by reference to a particular department</w:t>
      </w:r>
      <w:r>
        <w:t xml:space="preserve">”</w:t>
      </w:r>
      <w:r>
        <w:t xml:space="preserve">, only that department may claim under it</w:t>
      </w:r>
      <w:r>
        <w:t xml:space="preserve"> </w:t>
      </w:r>
      <w:r>
        <w:t xml:space="preserve">(</w:t>
      </w:r>
      <w:hyperlink w:anchor="ref-gazette_2020">
        <w:r>
          <w:rPr>
            <w:rStyle w:val="Hyperlink"/>
          </w:rPr>
          <w:t xml:space="preserve">HM Treasury, 2020b, para. 4</w:t>
        </w:r>
      </w:hyperlink>
      <w:r>
        <w:t xml:space="preserve">)</w:t>
      </w:r>
      <w:r>
        <w:t xml:space="preserve">. Examples</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1"/>
          <w:numId w:val="1217"/>
        </w:numPr>
      </w:pPr>
      <w:r>
        <w:t xml:space="preserve">Headings 5 and 20 (Department for Environment, Food and Rural Affairs);</w:t>
      </w:r>
    </w:p>
    <w:p>
      <w:pPr>
        <w:pStyle w:val="Compact"/>
        <w:numPr>
          <w:ilvl w:val="1"/>
          <w:numId w:val="1217"/>
        </w:numPr>
      </w:pPr>
      <w:r>
        <w:t xml:space="preserve">Heading 58 (Health and Safety Executive);</w:t>
      </w:r>
    </w:p>
    <w:p>
      <w:pPr>
        <w:pStyle w:val="Compact"/>
        <w:numPr>
          <w:ilvl w:val="1"/>
          <w:numId w:val="1217"/>
        </w:numPr>
      </w:pPr>
      <w:r>
        <w:t xml:space="preserve">Heading 59 (Defra and the Food Standards Agency);</w:t>
      </w:r>
    </w:p>
    <w:p>
      <w:pPr>
        <w:pStyle w:val="Compact"/>
        <w:numPr>
          <w:ilvl w:val="1"/>
          <w:numId w:val="1217"/>
        </w:numPr>
      </w:pPr>
      <w:r>
        <w:t xml:space="preserve">Heading 66 (Department for Transport);</w:t>
      </w:r>
    </w:p>
    <w:p>
      <w:pPr>
        <w:pStyle w:val="Compact"/>
        <w:numPr>
          <w:ilvl w:val="1"/>
          <w:numId w:val="1217"/>
        </w:numPr>
      </w:pPr>
      <w:r>
        <w:t xml:space="preserve">Heading 77 (Department for Culture, Media and Sport);</w:t>
      </w:r>
    </w:p>
    <w:p>
      <w:pPr>
        <w:pStyle w:val="Compact"/>
        <w:numPr>
          <w:ilvl w:val="1"/>
          <w:numId w:val="1217"/>
        </w:numPr>
      </w:pPr>
      <w:r>
        <w:t xml:space="preserve">Heading 79 (Department for International Trade);</w:t>
      </w:r>
    </w:p>
    <w:p>
      <w:pPr>
        <w:pStyle w:val="Compact"/>
        <w:numPr>
          <w:ilvl w:val="1"/>
          <w:numId w:val="1217"/>
        </w:numPr>
      </w:pPr>
      <w:r>
        <w:t xml:space="preserve">Heading 80 (Ministry of Defence).</w:t>
      </w:r>
    </w:p>
    <w:p>
      <w:pPr>
        <w:pStyle w:val="Compact"/>
        <w:numPr>
          <w:ilvl w:val="0"/>
          <w:numId w:val="1000"/>
        </w:numPr>
      </w:pPr>
      <w:r>
        <w:t xml:space="preserve">HMRC allows devolved administrations that have taken over the relevant functions to use Headings 5, 58, 59 and 66</w:t>
      </w:r>
      <w:r>
        <w:t xml:space="preserve"> </w:t>
      </w:r>
      <w:r>
        <w:t xml:space="preserve">(</w:t>
      </w:r>
      <w:hyperlink w:anchor="ref-hmrc_vatgpb">
        <w:r>
          <w:rPr>
            <w:rStyle w:val="Hyperlink"/>
          </w:rPr>
          <w:t xml:space="preserve">HMRC, 2026n, secs VATGPB9830, VATGPB10890, VATGPB10910</w:t>
        </w:r>
      </w:hyperlink>
      <w:r>
        <w:t xml:space="preserve"> </w:t>
      </w:r>
      <w:r>
        <w:t xml:space="preserve">and VATGPB11050)</w:t>
      </w:r>
      <w:r>
        <w:t xml:space="preserve">. So in practice these four are restricted by function rather than strictly to one department. Heading 82 is also restricted: it covers only goods and services supplied to HS2 Ltd</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VATGPB11370</w:t>
        </w:r>
      </w:hyperlink>
      <w:r>
        <w:t xml:space="preserve">)</w:t>
      </w:r>
      <w:r>
        <w:t xml:space="preserve">. None of these headings is available to the fictional Department.</w:t>
      </w:r>
    </w:p>
    <w:p>
      <w:pPr>
        <w:pStyle w:val="Compact"/>
        <w:numPr>
          <w:ilvl w:val="0"/>
          <w:numId w:val="1215"/>
        </w:numPr>
      </w:pPr>
      <w:r>
        <w:rPr>
          <w:b/>
          <w:bCs/>
        </w:rPr>
        <w:t xml:space="preserve">Some wording is out of date.</w:t>
      </w:r>
      <w:r>
        <w:t xml:space="preserve"> </w:t>
      </w:r>
      <w:r>
        <w:t xml:space="preserve">Two examples:</w:t>
      </w:r>
    </w:p>
    <w:p>
      <w:pPr>
        <w:pStyle w:val="Compact"/>
        <w:numPr>
          <w:ilvl w:val="1"/>
          <w:numId w:val="1218"/>
        </w:numPr>
      </w:pPr>
      <w:r>
        <w:rPr>
          <w:b/>
          <w:bCs/>
        </w:rPr>
        <w:t xml:space="preserve">Heading 79</w:t>
      </w:r>
      <w:r>
        <w:t xml:space="preserve"> </w:t>
      </w:r>
      <w:r>
        <w:t xml:space="preserve">still names the Department for International Trade</w:t>
      </w:r>
      <w:r>
        <w:t xml:space="preserve"> </w:t>
      </w:r>
      <w:r>
        <w:t xml:space="preserve">(</w:t>
      </w:r>
      <w:hyperlink w:anchor="ref-gazette_2020">
        <w:r>
          <w:rPr>
            <w:rStyle w:val="Hyperlink"/>
          </w:rPr>
          <w:t xml:space="preserve">HM Treasury, 2020b</w:t>
        </w:r>
      </w:hyperlink>
      <w:r>
        <w:t xml:space="preserve">)</w:t>
      </w:r>
      <w:r>
        <w:t xml:space="preserve">. Those functions passed to the Department for Business and Trade in 2023 (SI 2023/424, art. 12), and HMRC has not said how the heading applies now</w:t>
      </w:r>
      <w:r>
        <w:t xml:space="preserve"> </w:t>
      </w:r>
      <w:r>
        <w:t xml:space="preserve">(</w:t>
      </w:r>
      <w:hyperlink w:anchor="ref-hmrc_vatgpb">
        <w:r>
          <w:rPr>
            <w:rStyle w:val="Hyperlink"/>
          </w:rPr>
          <w:t xml:space="preserve">HMRC, 2026n, sec. VATGPB11310</w:t>
        </w:r>
      </w:hyperlink>
      <w:r>
        <w:t xml:space="preserve">)</w:t>
      </w:r>
      <w:r>
        <w:t xml:space="preserve">.</w:t>
      </w:r>
    </w:p>
    <w:p>
      <w:pPr>
        <w:pStyle w:val="Compact"/>
        <w:numPr>
          <w:ilvl w:val="1"/>
          <w:numId w:val="1218"/>
        </w:numPr>
      </w:pPr>
      <w:r>
        <w:rPr>
          <w:b/>
          <w:bCs/>
        </w:rPr>
        <w:t xml:space="preserve">Heading 18</w:t>
      </w:r>
      <w:r>
        <w:t xml:space="preserve"> </w:t>
      </w:r>
      <w:r>
        <w:t xml:space="preserve">refers to the Race Relations Act 1976, which the Equality Act 2010 repealed</w:t>
      </w:r>
      <w:r>
        <w:t xml:space="preserve"> </w:t>
      </w:r>
      <w:r>
        <w:t xml:space="preserve">(</w:t>
      </w:r>
      <w:hyperlink w:anchor="ref-hmrc_vatgpb">
        <w:r>
          <w:rPr>
            <w:rStyle w:val="Hyperlink"/>
          </w:rPr>
          <w:t xml:space="preserve">HMRC, 2026n, sec. VATGPB10090</w:t>
        </w:r>
      </w:hyperlink>
      <w:r>
        <w:t xml:space="preserve">)</w:t>
      </w:r>
      <w:r>
        <w:t xml:space="preserve">.</w:t>
      </w:r>
    </w:p>
    <w:p>
      <w:pPr>
        <w:pStyle w:val="Compact"/>
        <w:numPr>
          <w:ilvl w:val="0"/>
          <w:numId w:val="1000"/>
        </w:numPr>
      </w:pPr>
      <w:r>
        <w:t xml:space="preserve">Neither affects the Department’s usual purchases.</w:t>
      </w:r>
    </w:p>
    <w:p>
      <w:pPr>
        <w:pStyle w:val="Compact"/>
        <w:numPr>
          <w:ilvl w:val="0"/>
          <w:numId w:val="1215"/>
        </w:numPr>
      </w:pPr>
      <w:r>
        <w:rPr>
          <w:b/>
          <w:bCs/>
        </w:rPr>
        <w:t xml:space="preserve">HMRC does not explain every heading.</w:t>
      </w:r>
      <w:r>
        <w:t xml:space="preserve"> </w:t>
      </w:r>
      <w:r>
        <w:t xml:space="preserve">HMRC says that</w:t>
      </w:r>
      <w:r>
        <w:t xml:space="preserve"> </w:t>
      </w:r>
      <w:r>
        <w:t xml:space="preserve">“</w:t>
      </w:r>
      <w:r>
        <w:t xml:space="preserve">Some Headings are seldom used, or are bespoke to a particular department, and we do not provide explanations for these</w:t>
      </w:r>
      <w:r>
        <w:t xml:space="preserve">”</w:t>
      </w:r>
      <w:r>
        <w:t xml:space="preserve"> </w:t>
      </w:r>
      <w:r>
        <w:t xml:space="preserve">(</w:t>
      </w:r>
      <w:hyperlink w:anchor="ref-hmrc_vatgpb">
        <w:r>
          <w:rPr>
            <w:rStyle w:val="Hyperlink"/>
          </w:rPr>
          <w:t xml:space="preserve">HMRC, 2026n, sec. VATGPB9720</w:t>
        </w:r>
      </w:hyperlink>
      <w:r>
        <w:t xml:space="preserve">)</w:t>
      </w:r>
      <w:r>
        <w:t xml:space="preserve">.</w:t>
      </w:r>
    </w:p>
    <w:bookmarkEnd w:id="190"/>
    <w:bookmarkEnd w:id="191"/>
    <w:bookmarkStart w:id="192" w:name="why-do-they-exist"/>
    <w:p>
      <w:pPr>
        <w:pStyle w:val="Heading3"/>
      </w:pPr>
      <w:r>
        <w:t xml:space="preserve">Why do they exist?</w:t>
      </w:r>
    </w:p>
    <w:p>
      <w:pPr>
        <w:pStyle w:val="FirstParagraph"/>
      </w:pPr>
      <w:r>
        <w:rPr>
          <w:b/>
          <w:bCs/>
        </w:rPr>
        <w:t xml:space="preserve">The problem COS solves: VAT can distort the choice between doing work in-house and buying it in.</w:t>
      </w:r>
    </w:p>
    <w:p>
      <w:pPr>
        <w:pStyle w:val="Compact"/>
        <w:numPr>
          <w:ilvl w:val="0"/>
          <w:numId w:val="1219"/>
        </w:numPr>
      </w:pPr>
      <w:r>
        <w:t xml:space="preserve">Staff wages carry no VAT. If a department cleans, prints or trains in-house, there is no VAT cost</w:t>
      </w:r>
      <w:r>
        <w:t xml:space="preserve"> </w:t>
      </w:r>
      <w:r>
        <w:t xml:space="preserve">(</w:t>
      </w:r>
      <w:hyperlink w:anchor="ref-hmt_s41_paper_2020">
        <w:r>
          <w:rPr>
            <w:rStyle w:val="Hyperlink"/>
          </w:rPr>
          <w:t xml:space="preserve">HM Treasury, 2020a, p. 4</w:t>
        </w:r>
      </w:hyperlink>
      <w:r>
        <w:t xml:space="preserve">)</w:t>
      </w:r>
      <w:r>
        <w:t xml:space="preserve">.</w:t>
      </w:r>
    </w:p>
    <w:p>
      <w:pPr>
        <w:pStyle w:val="Compact"/>
        <w:numPr>
          <w:ilvl w:val="0"/>
          <w:numId w:val="1219"/>
        </w:numPr>
      </w:pPr>
      <w:r>
        <w:t xml:space="preserve">A private contractor doing the same job charges 20% VAT</w:t>
      </w:r>
      <w:r>
        <w:t xml:space="preserve"> </w:t>
      </w:r>
      <w:r>
        <w:t xml:space="preserve">(</w:t>
      </w:r>
      <w:hyperlink w:anchor="ref-hmrc_vat_rates">
        <w:r>
          <w:rPr>
            <w:rStyle w:val="Hyperlink"/>
          </w:rPr>
          <w:t xml:space="preserve">HMRC, 2026r</w:t>
        </w:r>
      </w:hyperlink>
      <w:r>
        <w:t xml:space="preserve">)</w:t>
      </w:r>
      <w:r>
        <w:t xml:space="preserve">. Because the work is for non-business purposes, the department cannot deduct that VAT as input tax</w:t>
      </w:r>
      <w:r>
        <w:t xml:space="preserve"> </w:t>
      </w:r>
      <w:r>
        <w:t xml:space="preserve">(</w:t>
      </w:r>
      <w:hyperlink w:anchor="ref-hmrc_vatgpb">
        <w:r>
          <w:rPr>
            <w:rStyle w:val="Hyperlink"/>
          </w:rPr>
          <w:t xml:space="preserve">HMRC, 2026n, sec. VATGPB9340</w:t>
        </w:r>
      </w:hyperlink>
      <w:r>
        <w:t xml:space="preserve">)</w:t>
      </w:r>
      <w:r>
        <w:t xml:space="preserve">.</w:t>
      </w:r>
    </w:p>
    <w:p>
      <w:pPr>
        <w:pStyle w:val="Compact"/>
        <w:numPr>
          <w:ilvl w:val="0"/>
          <w:numId w:val="1219"/>
        </w:numPr>
      </w:pPr>
      <w:r>
        <w:t xml:space="preserve">So without a refund, buying the service in would cost 20% more than it should. Suppose the in-house option costs £55,000 and a contractor would charge £50,000 + £10,000 VAT. The contractor is £5,000 cheaper, but the department would pay £60,000 for it. VAT alone would push the decision the wrong way.</w:t>
      </w:r>
    </w:p>
    <w:p>
      <w:pPr>
        <w:pStyle w:val="FirstParagraph"/>
      </w:pPr>
      <w:r>
        <w:t xml:space="preserve">HMRC explains the purpose like this</w:t>
      </w:r>
      <w:r>
        <w:t xml:space="preserve"> </w:t>
      </w:r>
      <w:r>
        <w:t xml:space="preserve">(</w:t>
      </w:r>
      <w:hyperlink w:anchor="ref-hmrc_vatgpb">
        <w:r>
          <w:rPr>
            <w:rStyle w:val="Hyperlink"/>
          </w:rPr>
          <w:t xml:space="preserve">HMRC, 2026n, sec. VATGPB9720</w:t>
        </w:r>
      </w:hyperlink>
      <w:r>
        <w:t xml:space="preserve">)</w:t>
      </w:r>
      <w:r>
        <w:t xml:space="preserve">:</w:t>
      </w:r>
    </w:p>
    <w:p>
      <w:pPr>
        <w:pStyle w:val="BlockText"/>
      </w:pPr>
      <w:r>
        <w:t xml:space="preserve">“</w:t>
      </w:r>
      <w:r>
        <w:t xml:space="preserve">Government departments and health bodies have been encouraged to contract out services to the private sector which would have traditionally been performed in-house. It is recognised that many of these services would be subject to VAT and where they were acquired for</w:t>
      </w:r>
      <w:r>
        <w:t xml:space="preserve"> </w:t>
      </w:r>
      <w:r>
        <w:t xml:space="preserve">‘</w:t>
      </w:r>
      <w:r>
        <w:t xml:space="preserve">non-business</w:t>
      </w:r>
      <w:r>
        <w:t xml:space="preserve">’</w:t>
      </w:r>
      <w:r>
        <w:t xml:space="preserve"> </w:t>
      </w:r>
      <w:r>
        <w:t xml:space="preserve">purposes, the non-reclaimable VAT could act as a disincentive to contracting-out. It was therefore decided to compensate government departments and health bodies by a direct refund mechanism, which is provided for in section 41(3) of the VAT Act 1994.</w:t>
      </w:r>
      <w:r>
        <w:t xml:space="preserve">”</w:t>
      </w:r>
    </w:p>
    <w:p>
      <w:pPr>
        <w:pStyle w:val="FirstParagraph"/>
      </w:pPr>
      <w:r>
        <w:t xml:space="preserve">HM Treasury describes the aim as</w:t>
      </w:r>
      <w:r>
        <w:t xml:space="preserve"> </w:t>
      </w:r>
      <w:r>
        <w:t xml:space="preserve">“</w:t>
      </w:r>
      <w:r>
        <w:t xml:space="preserve">to prevent VAT from being a distortive factor in determining the provision of activities</w:t>
      </w:r>
      <w:r>
        <w:t xml:space="preserve">”</w:t>
      </w:r>
      <w:r>
        <w:t xml:space="preserve"> </w:t>
      </w:r>
      <w:r>
        <w:t xml:space="preserve">(</w:t>
      </w:r>
      <w:hyperlink w:anchor="ref-hmt_s41_paper_2020">
        <w:r>
          <w:rPr>
            <w:rStyle w:val="Hyperlink"/>
          </w:rPr>
          <w:t xml:space="preserve">HM Treasury, 2020a, p. 4</w:t>
        </w:r>
      </w:hyperlink>
      <w:r>
        <w:t xml:space="preserve">)</w:t>
      </w:r>
      <w:r>
        <w:t xml:space="preserve">. This idea is often called</w:t>
      </w:r>
      <w:r>
        <w:t xml:space="preserve"> </w:t>
      </w:r>
      <w:r>
        <w:rPr>
          <w:b/>
          <w:bCs/>
        </w:rPr>
        <w:t xml:space="preserve">VAT neutrality</w:t>
      </w:r>
      <w:r>
        <w:t xml:space="preserve">: VAT should not decide how the work gets done</w:t>
      </w:r>
      <w:r>
        <w:t xml:space="preserve"> </w:t>
      </w:r>
      <w:r>
        <w:t xml:space="preserve">(</w:t>
      </w:r>
      <w:hyperlink w:anchor="ref-hmt_s41_paper_2020">
        <w:r>
          <w:rPr>
            <w:rStyle w:val="Hyperlink"/>
          </w:rPr>
          <w:t xml:space="preserve">HM Treasury, 2020a, p. 2</w:t>
        </w:r>
      </w:hyperlink>
      <w:r>
        <w:t xml:space="preserve">)</w:t>
      </w:r>
      <w:r>
        <w:t xml:space="preserve">.</w:t>
      </w:r>
    </w:p>
    <w:p>
      <w:pPr>
        <w:pStyle w:val="BodyText"/>
      </w:pPr>
      <w:r>
        <w:rPr>
          <w:b/>
          <w:bCs/>
        </w:rPr>
        <w:t xml:space="preserve">The legal basis.</w:t>
      </w:r>
    </w:p>
    <w:p>
      <w:pPr>
        <w:pStyle w:val="Compact"/>
        <w:numPr>
          <w:ilvl w:val="0"/>
          <w:numId w:val="1220"/>
        </w:numPr>
      </w:pPr>
      <w:r>
        <w:rPr>
          <w:b/>
          <w:bCs/>
        </w:rPr>
        <w:t xml:space="preserve">Section 41(3) VATA 1994</w:t>
      </w:r>
      <w:r>
        <w:t xml:space="preserve"> </w:t>
      </w:r>
      <w:r>
        <w:t xml:space="preserve">refunds VAT charged on supplies to, or imports by, a government department that are not for its business,</w:t>
      </w:r>
      <w:r>
        <w:t xml:space="preserve"> </w:t>
      </w:r>
      <w:r>
        <w:t xml:space="preserve">“</w:t>
      </w:r>
      <w:r>
        <w:t xml:space="preserve">if and to the extent that the Treasury so direct</w:t>
      </w:r>
      <w:r>
        <w:t xml:space="preserve">”</w:t>
      </w:r>
      <w:r>
        <w:t xml:space="preserve">.</w:t>
      </w:r>
    </w:p>
    <w:p>
      <w:pPr>
        <w:pStyle w:val="Compact"/>
        <w:numPr>
          <w:ilvl w:val="0"/>
          <w:numId w:val="1220"/>
        </w:numPr>
      </w:pPr>
      <w:r>
        <w:t xml:space="preserve">That phrase means the Treasury chooses what is refundable, and it does so through the Contracting Out Direction</w:t>
      </w:r>
      <w:r>
        <w:t xml:space="preserve"> </w:t>
      </w:r>
      <w:r>
        <w:t xml:space="preserve">(</w:t>
      </w:r>
      <w:hyperlink w:anchor="ref-hmrc_vatgpb">
        <w:r>
          <w:rPr>
            <w:rStyle w:val="Hyperlink"/>
          </w:rPr>
          <w:t xml:space="preserve">HMRC, 2026n, sec. VATGPB9340</w:t>
        </w:r>
      </w:hyperlink>
      <w:r>
        <w:t xml:space="preserve">)</w:t>
      </w:r>
      <w:r>
        <w:t xml:space="preserve">.</w:t>
      </w:r>
    </w:p>
    <w:p>
      <w:pPr>
        <w:pStyle w:val="Compact"/>
        <w:numPr>
          <w:ilvl w:val="0"/>
          <w:numId w:val="1220"/>
        </w:numPr>
      </w:pPr>
      <w:r>
        <w:t xml:space="preserve">This is the key difference from local authorities. HMRC:</w:t>
      </w:r>
      <w:r>
        <w:t xml:space="preserve"> </w:t>
      </w:r>
      <w:r>
        <w:t xml:space="preserve">“</w:t>
      </w:r>
      <w:r>
        <w:t xml:space="preserve">Government Departments and health authorities, unlike section 33(3) bodies…, are not able to recover VAT on all of their non-business activities</w:t>
      </w:r>
      <w:r>
        <w:t xml:space="preserve">”</w:t>
      </w:r>
      <w:r>
        <w:t xml:space="preserve"> </w:t>
      </w:r>
      <w:r>
        <w:t xml:space="preserve">(</w:t>
      </w:r>
      <w:hyperlink w:anchor="ref-hmrc_vatgpb">
        <w:r>
          <w:rPr>
            <w:rStyle w:val="Hyperlink"/>
          </w:rPr>
          <w:t xml:space="preserve">HMRC, 2026n, sec. VATGPB9340</w:t>
        </w:r>
      </w:hyperlink>
      <w:r>
        <w:t xml:space="preserve">)</w:t>
      </w:r>
      <w:r>
        <w:t xml:space="preserve">.</w:t>
      </w:r>
    </w:p>
    <w:p>
      <w:pPr>
        <w:pStyle w:val="Compact"/>
        <w:numPr>
          <w:ilvl w:val="0"/>
          <w:numId w:val="1220"/>
        </w:numPr>
      </w:pPr>
      <w:r>
        <w:rPr>
          <w:b/>
          <w:bCs/>
        </w:rPr>
        <w:t xml:space="preserve">Section 41(4)</w:t>
      </w:r>
      <w:r>
        <w:t xml:space="preserve"> </w:t>
      </w:r>
      <w:r>
        <w:t xml:space="preserve">lets HMRC make refunds conditional on keeping, preserving and producing records (Value Added Tax Act 1994, s. 41(4)).</w:t>
      </w:r>
    </w:p>
    <w:p>
      <w:pPr>
        <w:pStyle w:val="FirstParagraph"/>
      </w:pPr>
      <w:r>
        <w:rPr>
          <w:b/>
          <w:bCs/>
        </w:rPr>
        <w:t xml:space="preserve">A short history</w:t>
      </w:r>
      <w:r>
        <w:t xml:space="preserve"> </w:t>
      </w:r>
      <w:r>
        <w:t xml:space="preserve">(from HM Treasury’s August 2020 policy paper):</w:t>
      </w:r>
    </w:p>
    <w:p>
      <w:pPr>
        <w:pStyle w:val="Compact"/>
        <w:numPr>
          <w:ilvl w:val="0"/>
          <w:numId w:val="1221"/>
        </w:numPr>
      </w:pPr>
      <w:r>
        <w:t xml:space="preserve">The COS refund scheme dates from</w:t>
      </w:r>
      <w:r>
        <w:t xml:space="preserve"> </w:t>
      </w:r>
      <w:r>
        <w:rPr>
          <w:b/>
          <w:bCs/>
        </w:rPr>
        <w:t xml:space="preserve">1984</w:t>
      </w:r>
      <w:r>
        <w:t xml:space="preserve">. It followed Sir Derek Rayner’s efficiency inquiries into the Civil Service, which recommended outsourcing. VAT charged by outside suppliers</w:t>
      </w:r>
      <w:r>
        <w:t xml:space="preserve"> </w:t>
      </w:r>
      <w:r>
        <w:t xml:space="preserve">“</w:t>
      </w:r>
      <w:r>
        <w:t xml:space="preserve">was a disincentive to take this route</w:t>
      </w:r>
      <w:r>
        <w:t xml:space="preserve">”</w:t>
      </w:r>
      <w:r>
        <w:t xml:space="preserve"> </w:t>
      </w:r>
      <w:r>
        <w:t xml:space="preserve">(</w:t>
      </w:r>
      <w:hyperlink w:anchor="ref-hmt_s41_paper_2020">
        <w:r>
          <w:rPr>
            <w:rStyle w:val="Hyperlink"/>
          </w:rPr>
          <w:t xml:space="preserve">HM Treasury, 2020a, p. 9</w:t>
        </w:r>
      </w:hyperlink>
      <w:r>
        <w:t xml:space="preserve">)</w:t>
      </w:r>
      <w:r>
        <w:t xml:space="preserve">.</w:t>
      </w:r>
    </w:p>
    <w:p>
      <w:pPr>
        <w:pStyle w:val="Compact"/>
        <w:numPr>
          <w:ilvl w:val="0"/>
          <w:numId w:val="1221"/>
        </w:numPr>
      </w:pPr>
      <w:r>
        <w:t xml:space="preserve">At first each department had its own list of headings. The Ministry of Defence had 11 headings in the 1984 Direction and 18 by 1992</w:t>
      </w:r>
      <w:r>
        <w:t xml:space="preserve"> </w:t>
      </w:r>
      <w:r>
        <w:t xml:space="preserve">(</w:t>
      </w:r>
      <w:hyperlink w:anchor="ref-hmt_s41_paper_2020">
        <w:r>
          <w:rPr>
            <w:rStyle w:val="Hyperlink"/>
          </w:rPr>
          <w:t xml:space="preserve">HM Treasury, 2020a, pp. 9–10</w:t>
        </w:r>
      </w:hyperlink>
      <w:r>
        <w:t xml:space="preserve">)</w:t>
      </w:r>
      <w:r>
        <w:t xml:space="preserve">.</w:t>
      </w:r>
    </w:p>
    <w:p>
      <w:pPr>
        <w:pStyle w:val="Compact"/>
        <w:numPr>
          <w:ilvl w:val="0"/>
          <w:numId w:val="1221"/>
        </w:numPr>
      </w:pPr>
      <w:r>
        <w:t xml:space="preserve">In the early 1990s the lists were merged into</w:t>
      </w:r>
      <w:r>
        <w:t xml:space="preserve"> </w:t>
      </w:r>
      <w:r>
        <w:rPr>
          <w:b/>
          <w:bCs/>
        </w:rPr>
        <w:t xml:space="preserve">one list for all departments and NHS bodies</w:t>
      </w:r>
      <w:r>
        <w:t xml:space="preserve">. By 2020 there were 76 headings</w:t>
      </w:r>
      <w:r>
        <w:t xml:space="preserve"> </w:t>
      </w:r>
      <w:r>
        <w:t xml:space="preserve">(</w:t>
      </w:r>
      <w:hyperlink w:anchor="ref-hmt_s41_paper_2020">
        <w:r>
          <w:rPr>
            <w:rStyle w:val="Hyperlink"/>
          </w:rPr>
          <w:t xml:space="preserve">HM Treasury, 2020a, pp. 9–10</w:t>
        </w:r>
      </w:hyperlink>
      <w:r>
        <w:t xml:space="preserve">;</w:t>
      </w:r>
      <w:r>
        <w:t xml:space="preserve"> </w:t>
      </w:r>
      <w:hyperlink w:anchor="ref-hmrc_vatgpb">
        <w:r>
          <w:rPr>
            <w:rStyle w:val="Hyperlink"/>
          </w:rPr>
          <w:t xml:space="preserve">HMRC, 2026n, sec. VATGPB9720</w:t>
        </w:r>
      </w:hyperlink>
      <w:r>
        <w:t xml:space="preserve">)</w:t>
      </w:r>
      <w:r>
        <w:t xml:space="preserve">.</w:t>
      </w:r>
    </w:p>
    <w:p>
      <w:pPr>
        <w:pStyle w:val="Compact"/>
        <w:numPr>
          <w:ilvl w:val="0"/>
          <w:numId w:val="1221"/>
        </w:numPr>
      </w:pPr>
      <w:r>
        <w:t xml:space="preserve">The 2020 Direction took the numbering to 82</w:t>
      </w:r>
      <w:r>
        <w:t xml:space="preserve"> </w:t>
      </w:r>
      <w:r>
        <w:t xml:space="preserve">(</w:t>
      </w:r>
      <w:hyperlink w:anchor="ref-gazette_2020">
        <w:r>
          <w:rPr>
            <w:rStyle w:val="Hyperlink"/>
          </w:rPr>
          <w:t xml:space="preserve">HM Treasury, 2020b</w:t>
        </w:r>
      </w:hyperlink>
      <w:r>
        <w:t xml:space="preserve">)</w:t>
      </w:r>
      <w:r>
        <w:t xml:space="preserve">. HMRC’s change note of 17 February 2021 records</w:t>
      </w:r>
      <w:r>
        <w:t xml:space="preserve"> </w:t>
      </w:r>
      <w:r>
        <w:t xml:space="preserve">“</w:t>
      </w:r>
      <w:r>
        <w:t xml:space="preserve">Six new headings added</w:t>
      </w:r>
      <w:r>
        <w:t xml:space="preserve">”</w:t>
      </w:r>
      <w:r>
        <w:t xml:space="preserve"> </w:t>
      </w:r>
      <w:r>
        <w:t xml:space="preserve">(</w:t>
      </w:r>
      <w:hyperlink w:anchor="ref-hmrc_vatgpb">
        <w:r>
          <w:rPr>
            <w:rStyle w:val="Hyperlink"/>
          </w:rPr>
          <w:t xml:space="preserve">HMRC, 2026n</w:t>
        </w:r>
      </w:hyperlink>
      <w:r>
        <w:t xml:space="preserve">, updates page)</w:t>
      </w:r>
      <w:r>
        <w:t xml:space="preserve">. HMRC does not list which six are new.</w:t>
      </w:r>
    </w:p>
    <w:p>
      <w:pPr>
        <w:pStyle w:val="FirstParagraph"/>
      </w:pPr>
      <w:r>
        <w:rPr>
          <w:b/>
          <w:bCs/>
        </w:rPr>
        <w:t xml:space="preserve">How it is funded, and why that matters for deadlines.</w:t>
      </w:r>
    </w:p>
    <w:p>
      <w:pPr>
        <w:pStyle w:val="Compact"/>
        <w:numPr>
          <w:ilvl w:val="0"/>
          <w:numId w:val="1222"/>
        </w:numPr>
      </w:pPr>
      <w:r>
        <w:t xml:space="preserve">HMRC says COS refunds</w:t>
      </w:r>
      <w:r>
        <w:t xml:space="preserve"> </w:t>
      </w:r>
      <w:r>
        <w:t xml:space="preserve">“</w:t>
      </w:r>
      <w:r>
        <w:t xml:space="preserve">are met from public expenditure rather than VAT revenues</w:t>
      </w:r>
      <w:r>
        <w:t xml:space="preserve">”</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22"/>
        </w:numPr>
      </w:pPr>
      <w:r>
        <w:t xml:space="preserve">HM Treasury explains that departmental budgets (DEL,</w:t>
      </w:r>
      <w:r>
        <w:t xml:space="preserve"> </w:t>
      </w:r>
      <w:r>
        <w:t xml:space="preserve">“</w:t>
      </w:r>
      <w:r>
        <w:t xml:space="preserve">Departmental Expenditure Limits</w:t>
      </w:r>
      <w:r>
        <w:t xml:space="preserve">”</w:t>
      </w:r>
      <w:r>
        <w:t xml:space="preserve">) do not fund refundable VAT. Instead, refunds are accounted for through</w:t>
      </w:r>
      <w:r>
        <w:t xml:space="preserve"> </w:t>
      </w:r>
      <w:r>
        <w:rPr>
          <w:b/>
          <w:bCs/>
        </w:rPr>
        <w:t xml:space="preserve">Annually Managed Expenditure (AME)</w:t>
      </w:r>
      <w:r>
        <w:t xml:space="preserve">, and they are</w:t>
      </w:r>
      <w:r>
        <w:t xml:space="preserve"> </w:t>
      </w:r>
      <w:r>
        <w:t xml:space="preserve">“</w:t>
      </w:r>
      <w:r>
        <w:t xml:space="preserve">neutral from the perspective of total government VAT receipts</w:t>
      </w:r>
      <w:r>
        <w:t xml:space="preserve">”</w:t>
      </w:r>
      <w:r>
        <w:t xml:space="preserve"> </w:t>
      </w:r>
      <w:r>
        <w:t xml:space="preserve">(</w:t>
      </w:r>
      <w:hyperlink w:anchor="ref-hmt_s41_paper_2020">
        <w:r>
          <w:rPr>
            <w:rStyle w:val="Hyperlink"/>
          </w:rPr>
          <w:t xml:space="preserve">HM Treasury, 2020a, p. 7</w:t>
        </w:r>
      </w:hyperlink>
      <w:r>
        <w:t xml:space="preserve">)</w:t>
      </w:r>
      <w:r>
        <w:t xml:space="preserve">.</w:t>
      </w:r>
    </w:p>
    <w:p>
      <w:pPr>
        <w:pStyle w:val="Compact"/>
        <w:numPr>
          <w:ilvl w:val="0"/>
          <w:numId w:val="1222"/>
        </w:numPr>
      </w:pPr>
      <w:r>
        <w:t xml:space="preserve">Because the money comes out of the public spending accounts year by year, COS claims are tied to the</w:t>
      </w:r>
      <w:r>
        <w:t xml:space="preserve"> </w:t>
      </w:r>
      <w:r>
        <w:rPr>
          <w:b/>
          <w:bCs/>
        </w:rPr>
        <w:t xml:space="preserve">financial year</w:t>
      </w:r>
      <w:r>
        <w:t xml:space="preserve"> </w:t>
      </w:r>
      <w:r>
        <w:t xml:space="preserve">(see</w:t>
      </w:r>
      <w:r>
        <w:t xml:space="preserve"> </w:t>
      </w:r>
      <w:hyperlink w:anchor="how-and-when-to-claim">
        <w:r>
          <w:rPr>
            <w:rStyle w:val="Hyperlink"/>
          </w:rPr>
          <w:t xml:space="preserve">How and when to claim</w:t>
        </w:r>
      </w:hyperlink>
      <w:r>
        <w:t xml:space="preserve">)</w:t>
      </w:r>
      <w:r>
        <w:t xml:space="preserve"> </w:t>
      </w:r>
      <w:r>
        <w:t xml:space="preserve">(</w:t>
      </w:r>
      <w:hyperlink w:anchor="ref-hmrc_vatgpb">
        <w:r>
          <w:rPr>
            <w:rStyle w:val="Hyperlink"/>
          </w:rPr>
          <w:t xml:space="preserve">HMRC, 2026n, sec. VATGPB9720</w:t>
        </w:r>
      </w:hyperlink>
      <w:r>
        <w:t xml:space="preserve">)</w:t>
      </w:r>
      <w:r>
        <w:t xml:space="preserve">.</w:t>
      </w:r>
    </w:p>
    <w:p>
      <w:pPr>
        <w:pStyle w:val="FirstParagraph"/>
      </w:pPr>
      <w:r>
        <w:rPr>
          <w:b/>
          <w:bCs/>
        </w:rPr>
        <w:t xml:space="preserve">How to read the Direction: the purpose test.</w:t>
      </w:r>
      <w:r>
        <w:t xml:space="preserve"> </w:t>
      </w:r>
      <w:r>
        <w:t xml:space="preserve">HMRC asks you to keep the purpose in mind</w:t>
      </w:r>
      <w:r>
        <w:t xml:space="preserve"> </w:t>
      </w:r>
      <w:r>
        <w:t xml:space="preserve">(</w:t>
      </w:r>
      <w:hyperlink w:anchor="ref-hmrc_vatgpb">
        <w:r>
          <w:rPr>
            <w:rStyle w:val="Hyperlink"/>
          </w:rPr>
          <w:t xml:space="preserve">HMRC, 2026n, sec. VATGPB9720</w:t>
        </w:r>
      </w:hyperlink>
      <w:r>
        <w:t xml:space="preserve">)</w:t>
      </w:r>
      <w:r>
        <w:t xml:space="preserve">:</w:t>
      </w:r>
    </w:p>
    <w:p>
      <w:pPr>
        <w:pStyle w:val="BlockText"/>
      </w:pPr>
      <w:r>
        <w:t xml:space="preserve">“</w:t>
      </w:r>
      <w:r>
        <w:t xml:space="preserve">The purpose of the Direction should always be considered - namely to ensure that what would otherwise be irrecoverable VAT does not dissuade you from contracting out a service to the private or voluntary sector. If the service you are purchasing was never performed within central government or the NHS, it is most unlikely to fall within the ambit of the Direction.</w:t>
      </w:r>
      <w:r>
        <w:t xml:space="preserve">”</w:t>
      </w:r>
    </w:p>
    <w:p>
      <w:pPr>
        <w:pStyle w:val="FirstParagraph"/>
      </w:pPr>
      <w:r>
        <w:t xml:space="preserve">The</w:t>
      </w:r>
      <w:r>
        <w:t xml:space="preserve"> </w:t>
      </w:r>
      <w:r>
        <w:t xml:space="preserve">“</w:t>
      </w:r>
      <w:r>
        <w:t xml:space="preserve">in-house</w:t>
      </w:r>
      <w:r>
        <w:t xml:space="preserve">”</w:t>
      </w:r>
      <w:r>
        <w:t xml:space="preserve"> </w:t>
      </w:r>
      <w:r>
        <w:t xml:space="preserve">test looks at the whole of government and the NHS, not just your department. As HMRC puts it,</w:t>
      </w:r>
      <w:r>
        <w:t xml:space="preserve"> </w:t>
      </w:r>
      <w:r>
        <w:t xml:space="preserve">“</w:t>
      </w:r>
      <w:r>
        <w:t xml:space="preserve">you are not prevented from reclaiming VAT on the purchase of one of these services merely because you had never undertaken the activity</w:t>
      </w:r>
      <w:r>
        <w:t xml:space="preserve"> </w:t>
      </w:r>
      <w:r>
        <w:t xml:space="preserve">‘</w:t>
      </w:r>
      <w:r>
        <w:t xml:space="preserve">in-house</w:t>
      </w:r>
      <w:r>
        <w:t xml:space="preserve">’</w:t>
      </w:r>
      <w:r>
        <w:t xml:space="preserve">”</w:t>
      </w:r>
      <w:r>
        <w:t xml:space="preserve"> </w:t>
      </w:r>
      <w:r>
        <w:t xml:space="preserve">(</w:t>
      </w:r>
      <w:hyperlink w:anchor="ref-hmrc_vatgpb">
        <w:r>
          <w:rPr>
            <w:rStyle w:val="Hyperlink"/>
          </w:rPr>
          <w:t xml:space="preserve">HMRC, 2026n, sec. VATGPB9720</w:t>
        </w:r>
      </w:hyperlink>
      <w:r>
        <w:t xml:space="preserve">)</w:t>
      </w:r>
      <w:r>
        <w:t xml:space="preserve">. VAT on a listed service bought from another department under a</w:t>
      </w:r>
      <w:r>
        <w:t xml:space="preserve"> </w:t>
      </w:r>
      <w:r>
        <w:rPr>
          <w:b/>
          <w:bCs/>
        </w:rPr>
        <w:t xml:space="preserve">shared services</w:t>
      </w:r>
      <w:r>
        <w:t xml:space="preserve"> </w:t>
      </w:r>
      <w:r>
        <w:t xml:space="preserve">arrangement can also be recovered</w:t>
      </w:r>
      <w:r>
        <w:t xml:space="preserve"> </w:t>
      </w:r>
      <w:r>
        <w:t xml:space="preserve">(</w:t>
      </w:r>
      <w:hyperlink w:anchor="ref-hmrc_vatgpb">
        <w:r>
          <w:rPr>
            <w:rStyle w:val="Hyperlink"/>
          </w:rPr>
          <w:t xml:space="preserve">HMRC, 2026n, sec. VATGPB9720</w:t>
        </w:r>
      </w:hyperlink>
      <w:r>
        <w:t xml:space="preserve">)</w:t>
      </w:r>
      <w:r>
        <w:t xml:space="preserve">.</w:t>
      </w:r>
    </w:p>
    <w:p>
      <w:pPr>
        <w:pStyle w:val="BodyText"/>
      </w:pPr>
      <w:r>
        <w:rPr>
          <w:b/>
          <w:bCs/>
        </w:rPr>
        <w:t xml:space="preserve">Is the scheme about to change?</w:t>
      </w:r>
    </w:p>
    <w:p>
      <w:pPr>
        <w:pStyle w:val="Compact"/>
        <w:numPr>
          <w:ilvl w:val="0"/>
          <w:numId w:val="1223"/>
        </w:numPr>
      </w:pPr>
      <w:r>
        <w:t xml:space="preserve">In August 2020, HM Treasury and HMRC consulted on replacing COS with a</w:t>
      </w:r>
      <w:r>
        <w:t xml:space="preserve"> </w:t>
      </w:r>
      <w:r>
        <w:t xml:space="preserve">“</w:t>
      </w:r>
      <w:r>
        <w:t xml:space="preserve">Full Refund Model</w:t>
      </w:r>
      <w:r>
        <w:t xml:space="preserve">”</w:t>
      </w:r>
      <w:r>
        <w:t xml:space="preserve">, which would refund non-business VAT on all goods and services</w:t>
      </w:r>
      <w:r>
        <w:t xml:space="preserve"> </w:t>
      </w:r>
      <w:r>
        <w:t xml:space="preserve">(</w:t>
      </w:r>
      <w:hyperlink w:anchor="ref-hmt_s41_paper_2020">
        <w:r>
          <w:rPr>
            <w:rStyle w:val="Hyperlink"/>
          </w:rPr>
          <w:t xml:space="preserve">HM Treasury, 2020a, p. 2</w:t>
        </w:r>
      </w:hyperlink>
      <w:r>
        <w:t xml:space="preserve">;</w:t>
      </w:r>
      <w:r>
        <w:t xml:space="preserve"> </w:t>
      </w:r>
      <w:hyperlink w:anchor="ref-hmt_hmrc_s41_2020">
        <w:r>
          <w:rPr>
            <w:rStyle w:val="Hyperlink"/>
          </w:rPr>
          <w:t xml:space="preserve">HM Treasury and HMRC, 2021</w:t>
        </w:r>
      </w:hyperlink>
      <w:r>
        <w:t xml:space="preserve">)</w:t>
      </w:r>
      <w:r>
        <w:t xml:space="preserve">.</w:t>
      </w:r>
    </w:p>
    <w:p>
      <w:pPr>
        <w:pStyle w:val="Compact"/>
        <w:numPr>
          <w:ilvl w:val="0"/>
          <w:numId w:val="1223"/>
        </w:numPr>
      </w:pPr>
      <w:r>
        <w:t xml:space="preserve">The July 2021 summary of responses said</w:t>
      </w:r>
      <w:r>
        <w:t xml:space="preserve"> </w:t>
      </w:r>
      <w:r>
        <w:t xml:space="preserve">“</w:t>
      </w:r>
      <w:r>
        <w:t xml:space="preserve">The FRM remains the government’s preferred option</w:t>
      </w:r>
      <w:r>
        <w:t xml:space="preserve">”</w:t>
      </w:r>
      <w:r>
        <w:t xml:space="preserve">. It also said the government would consult further</w:t>
      </w:r>
      <w:r>
        <w:t xml:space="preserve"> </w:t>
      </w:r>
      <w:r>
        <w:t xml:space="preserve">“</w:t>
      </w:r>
      <w:r>
        <w:t xml:space="preserve">before making a final decision on whether to implement FRM</w:t>
      </w:r>
      <w:r>
        <w:t xml:space="preserve">”</w:t>
      </w:r>
      <w:r>
        <w:t xml:space="preserve"> </w:t>
      </w:r>
      <w:r>
        <w:t xml:space="preserve">(</w:t>
      </w:r>
      <w:hyperlink w:anchor="ref-hmt_s41_response_2021">
        <w:r>
          <w:rPr>
            <w:rStyle w:val="Hyperlink"/>
          </w:rPr>
          <w:t xml:space="preserve">HM Treasury, 2021, p. 16</w:t>
        </w:r>
      </w:hyperlink>
      <w:r>
        <w:t xml:space="preserve">)</w:t>
      </w:r>
      <w:r>
        <w:t xml:space="preserve">.</w:t>
      </w:r>
    </w:p>
    <w:p>
      <w:pPr>
        <w:pStyle w:val="Compact"/>
        <w:numPr>
          <w:ilvl w:val="0"/>
          <w:numId w:val="1223"/>
        </w:numPr>
      </w:pPr>
      <w:r>
        <w:rPr>
          <w:b/>
          <w:bCs/>
        </w:rPr>
        <w:t xml:space="preserve">No later official decision was found</w:t>
      </w:r>
      <w:r>
        <w:t xml:space="preserve"> </w:t>
      </w:r>
      <w:r>
        <w:t xml:space="preserve">as of 9 October 2026. Section 41(3) still reads</w:t>
      </w:r>
      <w:r>
        <w:t xml:space="preserve"> </w:t>
      </w:r>
      <w:r>
        <w:t xml:space="preserve">“</w:t>
      </w:r>
      <w:r>
        <w:t xml:space="preserve">if and to the extent that the Treasury so direct</w:t>
      </w:r>
      <w:r>
        <w:t xml:space="preserve">”</w:t>
      </w:r>
      <w:r>
        <w:t xml:space="preserve"> </w:t>
      </w:r>
      <w:r>
        <w:t xml:space="preserve">(Value Added Tax Act 1994, s. 41(3)), and HMRC kept updating its COS pages through 2025 and 2026</w:t>
      </w:r>
      <w:r>
        <w:t xml:space="preserve"> </w:t>
      </w:r>
      <w:r>
        <w:t xml:space="preserve">(</w:t>
      </w:r>
      <w:hyperlink w:anchor="ref-hmrc_vatgpb">
        <w:r>
          <w:rPr>
            <w:rStyle w:val="Hyperlink"/>
          </w:rPr>
          <w:t xml:space="preserve">HMRC, 2026n, secs VATGPB10010, VATGPB10770</w:t>
        </w:r>
      </w:hyperlink>
      <w:r>
        <w:t xml:space="preserve"> </w:t>
      </w:r>
      <w:r>
        <w:t xml:space="preserve">and VATGPB11290)</w:t>
      </w:r>
      <w:r>
        <w:t xml:space="preserve">.</w:t>
      </w:r>
    </w:p>
    <w:p>
      <w:pPr>
        <w:pStyle w:val="Compact"/>
        <w:numPr>
          <w:ilvl w:val="0"/>
          <w:numId w:val="1223"/>
        </w:numPr>
      </w:pPr>
      <w:r>
        <w:t xml:space="preserve">So the COS headings remain the live regime. Watch for any new Direction or announcement.</w:t>
      </w:r>
    </w:p>
    <w:bookmarkEnd w:id="192"/>
    <w:bookmarkStart w:id="198" w:name="who-do-they-apply-to"/>
    <w:p>
      <w:pPr>
        <w:pStyle w:val="Heading3"/>
      </w:pPr>
      <w:r>
        <w:t xml:space="preserve">Who do they apply to?</w:t>
      </w:r>
    </w:p>
    <w:p>
      <w:pPr>
        <w:pStyle w:val="FirstParagraph"/>
      </w:pPr>
      <w:r>
        <w:t xml:space="preserve">COS headings can be used by</w:t>
      </w:r>
      <w:r>
        <w:t xml:space="preserve"> </w:t>
      </w:r>
      <w:r>
        <w:rPr>
          <w:b/>
          <w:bCs/>
        </w:rPr>
        <w:t xml:space="preserve">section 41(3) bodies</w:t>
      </w:r>
      <w:r>
        <w:t xml:space="preserve"> </w:t>
      </w:r>
      <w:r>
        <w:t xml:space="preserve">and by</w:t>
      </w:r>
      <w:r>
        <w:t xml:space="preserve"> </w:t>
      </w:r>
      <w:r>
        <w:rPr>
          <w:b/>
          <w:bCs/>
        </w:rPr>
        <w:t xml:space="preserve">section 33E bodies</w:t>
      </w:r>
      <w:r>
        <w:t xml:space="preserve"> </w:t>
      </w:r>
      <w:r>
        <w:t xml:space="preserve">(</w:t>
      </w:r>
      <w:hyperlink w:anchor="ref-gazette_2020">
        <w:r>
          <w:rPr>
            <w:rStyle w:val="Hyperlink"/>
          </w:rPr>
          <w:t xml:space="preserve">HM Treasury, 2020b, paras 2, 3</w:t>
        </w:r>
      </w:hyperlink>
      <w:r>
        <w:t xml:space="preserve">)</w:t>
      </w:r>
      <w:r>
        <w:t xml:space="preserve">. Several other kinds of public body get VAT refunds under different rules, or get none at all.</w:t>
      </w:r>
    </w:p>
    <w:bookmarkStart w:id="193" w:name="X842237b87ba6e26b5537e51b210c535f2149299"/>
    <w:p>
      <w:pPr>
        <w:pStyle w:val="Heading4"/>
      </w:pPr>
      <w:r>
        <w:t xml:space="preserve">1. Section 41(3) bodies: government departments and health bodies (the Department is one)</w:t>
      </w:r>
    </w:p>
    <w:p>
      <w:pPr>
        <w:pStyle w:val="FirstParagraph"/>
      </w:pPr>
      <w:r>
        <w:rPr>
          <w:b/>
          <w:bCs/>
        </w:rPr>
        <w:t xml:space="preserve">What the law says.</w:t>
      </w:r>
      <w:r>
        <w:t xml:space="preserve"> </w:t>
      </w:r>
      <w:r>
        <w:t xml:space="preserve">List 1 of the Direction covers</w:t>
      </w:r>
      <w:r>
        <w:t xml:space="preserve"> </w:t>
      </w:r>
      <w:r>
        <w:t xml:space="preserve">“</w:t>
      </w:r>
      <w:r>
        <w:t xml:space="preserve">Any Government department defined in section 41(6), (7) and (8)</w:t>
      </w:r>
      <w:r>
        <w:t xml:space="preserve">”</w:t>
      </w:r>
      <w:r>
        <w:t xml:space="preserve"> </w:t>
      </w:r>
      <w:r>
        <w:t xml:space="preserve">(</w:t>
      </w:r>
      <w:hyperlink w:anchor="ref-gazette_2020">
        <w:r>
          <w:rPr>
            <w:rStyle w:val="Hyperlink"/>
          </w:rPr>
          <w:t xml:space="preserve">HM Treasury, 2020b</w:t>
        </w:r>
      </w:hyperlink>
      <w:r>
        <w:t xml:space="preserve">)</w:t>
      </w:r>
      <w:r>
        <w:t xml:space="preserve">. (The published notice says</w:t>
      </w:r>
      <w:r>
        <w:t xml:space="preserve"> </w:t>
      </w:r>
      <w:r>
        <w:t xml:space="preserve">“</w:t>
      </w:r>
      <w:r>
        <w:t xml:space="preserve">Value Added Tax Act 1996</w:t>
      </w:r>
      <w:r>
        <w:t xml:space="preserve">”</w:t>
      </w:r>
      <w:r>
        <w:t xml:space="preserve">; this is a typo for 1994.) The current statutory wording (Value Added Tax Act 1994, s. 41(6)–(8), as amended) covers the following:</w:t>
      </w:r>
    </w:p>
    <w:p>
      <w:pPr>
        <w:pStyle w:val="Compact"/>
        <w:numPr>
          <w:ilvl w:val="0"/>
          <w:numId w:val="1224"/>
        </w:numPr>
      </w:pPr>
      <w:r>
        <w:rPr>
          <w:b/>
          <w:bCs/>
        </w:rPr>
        <w:t xml:space="preserve">Section 41(6):</w:t>
      </w:r>
      <w:r>
        <w:t xml:space="preserve"> </w:t>
      </w:r>
      <w:r>
        <w:t xml:space="preserve">“</w:t>
      </w:r>
      <w:r>
        <w:t xml:space="preserve">Government department</w:t>
      </w:r>
      <w:r>
        <w:t xml:space="preserve">”</w:t>
      </w:r>
      <w:r>
        <w:t xml:space="preserve"> </w:t>
      </w:r>
      <w:r>
        <w:t xml:space="preserve">includes:</w:t>
      </w:r>
    </w:p>
    <w:p>
      <w:pPr>
        <w:pStyle w:val="Compact"/>
        <w:numPr>
          <w:ilvl w:val="1"/>
          <w:numId w:val="1225"/>
        </w:numPr>
      </w:pPr>
      <w:r>
        <w:t xml:space="preserve">the Scottish Administration;</w:t>
      </w:r>
    </w:p>
    <w:p>
      <w:pPr>
        <w:pStyle w:val="Compact"/>
        <w:numPr>
          <w:ilvl w:val="1"/>
          <w:numId w:val="1225"/>
        </w:numPr>
      </w:pPr>
      <w:r>
        <w:t xml:space="preserve">the Welsh Assembly Government (now the Welsh Government);</w:t>
      </w:r>
    </w:p>
    <w:p>
      <w:pPr>
        <w:pStyle w:val="Compact"/>
        <w:numPr>
          <w:ilvl w:val="1"/>
          <w:numId w:val="1225"/>
        </w:numPr>
      </w:pPr>
      <w:r>
        <w:t xml:space="preserve">a Northern Ireland department;</w:t>
      </w:r>
    </w:p>
    <w:p>
      <w:pPr>
        <w:pStyle w:val="Compact"/>
        <w:numPr>
          <w:ilvl w:val="1"/>
          <w:numId w:val="1225"/>
        </w:numPr>
      </w:pPr>
      <w:r>
        <w:t xml:space="preserve">a Northern Ireland health and social services body; and</w:t>
      </w:r>
    </w:p>
    <w:p>
      <w:pPr>
        <w:pStyle w:val="Compact"/>
        <w:numPr>
          <w:ilvl w:val="1"/>
          <w:numId w:val="1225"/>
        </w:numPr>
      </w:pPr>
      <w:r>
        <w:t xml:space="preserve">“</w:t>
      </w:r>
      <w:r>
        <w:t xml:space="preserve">any body of persons exercising functions on behalf of a Minister of the Crown</w:t>
      </w:r>
      <w:r>
        <w:t xml:space="preserve">”</w:t>
      </w:r>
      <w:r>
        <w:t xml:space="preserve">, including any part of a department designated by Treasury direction.</w:t>
      </w:r>
    </w:p>
    <w:p>
      <w:pPr>
        <w:pStyle w:val="Compact"/>
        <w:numPr>
          <w:ilvl w:val="0"/>
          <w:numId w:val="1224"/>
        </w:numPr>
      </w:pPr>
      <w:r>
        <w:rPr>
          <w:b/>
          <w:bCs/>
        </w:rPr>
        <w:t xml:space="preserve">Section 41(7)</w:t>
      </w:r>
      <w:r>
        <w:t xml:space="preserve"> </w:t>
      </w:r>
      <w:r>
        <w:t xml:space="preserve">deems these bodies to exercise functions on behalf of a Minister:</w:t>
      </w:r>
    </w:p>
    <w:p>
      <w:pPr>
        <w:pStyle w:val="Compact"/>
        <w:numPr>
          <w:ilvl w:val="1"/>
          <w:numId w:val="1226"/>
        </w:numPr>
      </w:pPr>
      <w:r>
        <w:t xml:space="preserve">a health service body (as defined in section 60(7) of the National Health Service and Community Care Act 1990);</w:t>
      </w:r>
    </w:p>
    <w:p>
      <w:pPr>
        <w:pStyle w:val="Compact"/>
        <w:numPr>
          <w:ilvl w:val="1"/>
          <w:numId w:val="1226"/>
        </w:numPr>
      </w:pPr>
      <w:r>
        <w:t xml:space="preserve">NHS trusts;</w:t>
      </w:r>
    </w:p>
    <w:p>
      <w:pPr>
        <w:pStyle w:val="Compact"/>
        <w:numPr>
          <w:ilvl w:val="1"/>
          <w:numId w:val="1226"/>
        </w:numPr>
      </w:pPr>
      <w:r>
        <w:t xml:space="preserve">NHS foundation trusts;</w:t>
      </w:r>
    </w:p>
    <w:p>
      <w:pPr>
        <w:pStyle w:val="Compact"/>
        <w:numPr>
          <w:ilvl w:val="1"/>
          <w:numId w:val="1226"/>
        </w:numPr>
      </w:pPr>
      <w:r>
        <w:t xml:space="preserve">Primary Care Trusts;</w:t>
      </w:r>
    </w:p>
    <w:p>
      <w:pPr>
        <w:pStyle w:val="Compact"/>
        <w:numPr>
          <w:ilvl w:val="1"/>
          <w:numId w:val="1226"/>
        </w:numPr>
      </w:pPr>
      <w:r>
        <w:t xml:space="preserve">Local Health Boards;</w:t>
      </w:r>
    </w:p>
    <w:p>
      <w:pPr>
        <w:pStyle w:val="Compact"/>
        <w:numPr>
          <w:ilvl w:val="1"/>
          <w:numId w:val="1226"/>
        </w:numPr>
      </w:pPr>
      <w:r>
        <w:rPr>
          <w:b/>
          <w:bCs/>
        </w:rPr>
        <w:t xml:space="preserve">integrated care boards</w:t>
      </w:r>
      <w:r>
        <w:t xml:space="preserve"> </w:t>
      </w:r>
      <w:r>
        <w:t xml:space="preserve">(which replaced clinical commissioning groups from 1 July 2022, under the Health and Care Act 2022, Sch. 4, para. 41);</w:t>
      </w:r>
    </w:p>
    <w:p>
      <w:pPr>
        <w:pStyle w:val="Compact"/>
        <w:numPr>
          <w:ilvl w:val="1"/>
          <w:numId w:val="1226"/>
        </w:numPr>
      </w:pPr>
      <w:r>
        <w:rPr>
          <w:b/>
          <w:bCs/>
        </w:rPr>
        <w:t xml:space="preserve">NHS England</w:t>
      </w:r>
      <w:r>
        <w:t xml:space="preserve">;</w:t>
      </w:r>
    </w:p>
    <w:p>
      <w:pPr>
        <w:pStyle w:val="Compact"/>
        <w:numPr>
          <w:ilvl w:val="1"/>
          <w:numId w:val="1226"/>
        </w:numPr>
      </w:pPr>
      <w:r>
        <w:t xml:space="preserve">the National Institute for Health and Care Excellence;</w:t>
      </w:r>
    </w:p>
    <w:p>
      <w:pPr>
        <w:pStyle w:val="Compact"/>
        <w:numPr>
          <w:ilvl w:val="1"/>
          <w:numId w:val="1226"/>
        </w:numPr>
      </w:pPr>
      <w:r>
        <w:t xml:space="preserve">the Health Research Authority; and</w:t>
      </w:r>
    </w:p>
    <w:p>
      <w:pPr>
        <w:pStyle w:val="Compact"/>
        <w:numPr>
          <w:ilvl w:val="1"/>
          <w:numId w:val="1226"/>
        </w:numPr>
      </w:pPr>
      <w:r>
        <w:t xml:space="preserve">a</w:t>
      </w:r>
      <w:r>
        <w:t xml:space="preserve"> </w:t>
      </w:r>
      <w:r>
        <w:rPr>
          <w:b/>
          <w:bCs/>
        </w:rPr>
        <w:t xml:space="preserve">strategic highways company</w:t>
      </w:r>
      <w:r>
        <w:t xml:space="preserve"> </w:t>
      </w:r>
      <w:r>
        <w:t xml:space="preserve">(National Highways), appointed under section 1 of the Infrastructure Act 2015.</w:t>
      </w:r>
    </w:p>
    <w:p>
      <w:pPr>
        <w:pStyle w:val="Compact"/>
        <w:numPr>
          <w:ilvl w:val="0"/>
          <w:numId w:val="1000"/>
        </w:numPr>
      </w:pPr>
      <w:r>
        <w:t xml:space="preserve">Two former entries have been omitted: the Health and Social Care Information Centre (by SI 2023/98) and Health Education England (by SI 2023/368).</w:t>
      </w:r>
    </w:p>
    <w:p>
      <w:pPr>
        <w:pStyle w:val="Compact"/>
        <w:numPr>
          <w:ilvl w:val="0"/>
          <w:numId w:val="1224"/>
        </w:numPr>
      </w:pPr>
      <w:r>
        <w:rPr>
          <w:b/>
          <w:bCs/>
        </w:rPr>
        <w:t xml:space="preserve">Section 41(8)</w:t>
      </w:r>
      <w:r>
        <w:t xml:space="preserve"> </w:t>
      </w:r>
      <w:r>
        <w:t xml:space="preserve">defines Northern Ireland health and social services bodies and trusts.</w:t>
      </w:r>
    </w:p>
    <w:p>
      <w:pPr>
        <w:pStyle w:val="FirstParagraph"/>
      </w:pPr>
      <w:r>
        <w:rPr>
          <w:b/>
          <w:bCs/>
        </w:rPr>
        <w:t xml:space="preserve">HMRC’s list of qualifying bodies.</w:t>
      </w:r>
      <w:r>
        <w:t xml:space="preserve"> </w:t>
      </w:r>
      <w:r>
        <w:t xml:space="preserve">HMRC’s manual page VATGPB9720, last updated 25 May 2021, sets out the bodies</w:t>
      </w:r>
      <w:r>
        <w:t xml:space="preserve"> </w:t>
      </w:r>
      <w:r>
        <w:t xml:space="preserve">“</w:t>
      </w:r>
      <w:r>
        <w:t xml:space="preserve">eligible to claim VAT under section 41(3)</w:t>
      </w:r>
      <w:r>
        <w:t xml:space="preserve">”</w:t>
      </w:r>
      <w:r>
        <w:t xml:space="preserve"> </w:t>
      </w:r>
      <w:r>
        <w:t xml:space="preserve">(</w:t>
      </w:r>
      <w:hyperlink w:anchor="ref-hmrc_vatgpb">
        <w:r>
          <w:rPr>
            <w:rStyle w:val="Hyperlink"/>
          </w:rPr>
          <w:t xml:space="preserve">HMRC, 2026n, sec. VATGPB9720</w:t>
        </w:r>
      </w:hyperlink>
      <w:r>
        <w:t xml:space="preserve">)</w:t>
      </w:r>
      <w:r>
        <w:t xml:space="preserve">. Here it is with the nesting restored. The notes in square brackets are this guide’s.</w:t>
      </w:r>
    </w:p>
    <w:p>
      <w:pPr>
        <w:pStyle w:val="Compact"/>
        <w:numPr>
          <w:ilvl w:val="0"/>
          <w:numId w:val="1227"/>
        </w:numPr>
      </w:pPr>
      <w:r>
        <w:rPr>
          <w:b/>
          <w:bCs/>
        </w:rPr>
        <w:t xml:space="preserve">Government departments and non-ministerial departments (including their executive agencies).</w:t>
      </w:r>
      <w:r>
        <w:t xml:space="preserve"> </w:t>
      </w:r>
      <w:r>
        <w:t xml:space="preserve">This is where the Department sits. Under this item HMRC also lists:</w:t>
      </w:r>
    </w:p>
    <w:p>
      <w:pPr>
        <w:pStyle w:val="Compact"/>
        <w:numPr>
          <w:ilvl w:val="1"/>
          <w:numId w:val="1228"/>
        </w:numPr>
      </w:pPr>
      <w:r>
        <w:t xml:space="preserve">NHS Trusts</w:t>
      </w:r>
    </w:p>
    <w:p>
      <w:pPr>
        <w:pStyle w:val="Compact"/>
        <w:numPr>
          <w:ilvl w:val="1"/>
          <w:numId w:val="1228"/>
        </w:numPr>
      </w:pPr>
      <w:r>
        <w:t xml:space="preserve">NHS Foundation Trusts</w:t>
      </w:r>
    </w:p>
    <w:p>
      <w:pPr>
        <w:pStyle w:val="Compact"/>
        <w:numPr>
          <w:ilvl w:val="1"/>
          <w:numId w:val="1228"/>
        </w:numPr>
      </w:pPr>
      <w:r>
        <w:t xml:space="preserve">Clinical Commissioning Groups</w:t>
      </w:r>
      <w:r>
        <w:t xml:space="preserve"> </w:t>
      </w:r>
      <w:r>
        <w:rPr>
          <w:i/>
          <w:iCs/>
        </w:rPr>
        <w:t xml:space="preserve">[replaced by integrated care boards from 1 July 2022]</w:t>
      </w:r>
    </w:p>
    <w:p>
      <w:pPr>
        <w:pStyle w:val="Compact"/>
        <w:numPr>
          <w:ilvl w:val="1"/>
          <w:numId w:val="1228"/>
        </w:numPr>
      </w:pPr>
      <w:r>
        <w:t xml:space="preserve">Commissioning Support Units</w:t>
      </w:r>
    </w:p>
    <w:p>
      <w:pPr>
        <w:pStyle w:val="Compact"/>
        <w:numPr>
          <w:ilvl w:val="0"/>
          <w:numId w:val="1227"/>
        </w:numPr>
      </w:pPr>
      <w:r>
        <w:rPr>
          <w:b/>
          <w:bCs/>
        </w:rPr>
        <w:t xml:space="preserve">The Scottish administration</w:t>
      </w:r>
      <w:r>
        <w:t xml:space="preserve">, which HMRC says comprises:</w:t>
      </w:r>
    </w:p>
    <w:p>
      <w:pPr>
        <w:pStyle w:val="Compact"/>
        <w:numPr>
          <w:ilvl w:val="1"/>
          <w:numId w:val="1229"/>
        </w:numPr>
      </w:pPr>
      <w:r>
        <w:t xml:space="preserve">the Scottish Parliamentary Corporate Body</w:t>
      </w:r>
    </w:p>
    <w:p>
      <w:pPr>
        <w:pStyle w:val="Compact"/>
        <w:numPr>
          <w:ilvl w:val="1"/>
          <w:numId w:val="1229"/>
        </w:numPr>
      </w:pPr>
      <w:r>
        <w:t xml:space="preserve">Scottish departments and their executive agencies</w:t>
      </w:r>
    </w:p>
    <w:p>
      <w:pPr>
        <w:pStyle w:val="Compact"/>
        <w:numPr>
          <w:ilvl w:val="1"/>
          <w:numId w:val="1229"/>
        </w:numPr>
      </w:pPr>
      <w:r>
        <w:t xml:space="preserve">Scottish non-ministerial departments</w:t>
      </w:r>
    </w:p>
    <w:p>
      <w:pPr>
        <w:pStyle w:val="Compact"/>
        <w:numPr>
          <w:ilvl w:val="1"/>
          <w:numId w:val="1229"/>
        </w:numPr>
      </w:pPr>
      <w:r>
        <w:t xml:space="preserve">the Accountant in Bankruptcy; Disclosure Scotland; Education Scotland; the Scottish Public Pensions Agency; the Student Awards Agency for Scotland; Transport Scotland; the Scottish Courts and Tribunals Service; the Mental Health Tribunal for Scotland; National Records of Scotland; the Parole Board for Scotland; the Scottish Housing Regulator; the Scottish Law Commission; Revenue Scotland; Food Standards Scotland</w:t>
      </w:r>
    </w:p>
    <w:p>
      <w:pPr>
        <w:pStyle w:val="Compact"/>
        <w:numPr>
          <w:ilvl w:val="0"/>
          <w:numId w:val="1227"/>
        </w:numPr>
      </w:pPr>
      <w:r>
        <w:rPr>
          <w:b/>
          <w:bCs/>
        </w:rPr>
        <w:t xml:space="preserve">The Scottish Charity Regulator</w:t>
      </w:r>
      <w:r>
        <w:t xml:space="preserve"> </w:t>
      </w:r>
      <w:r>
        <w:rPr>
          <w:i/>
          <w:iCs/>
        </w:rPr>
        <w:t xml:space="preserve">[HMRC lists it as a separate top-level item; it appears to belong with the Scottish bodies]</w:t>
      </w:r>
    </w:p>
    <w:p>
      <w:pPr>
        <w:pStyle w:val="Compact"/>
        <w:numPr>
          <w:ilvl w:val="0"/>
          <w:numId w:val="1227"/>
        </w:numPr>
      </w:pPr>
      <w:r>
        <w:rPr>
          <w:b/>
          <w:bCs/>
        </w:rPr>
        <w:t xml:space="preserve">The Welsh administration</w:t>
      </w:r>
      <w:r>
        <w:t xml:space="preserve">, which HMRC says comprises:</w:t>
      </w:r>
    </w:p>
    <w:p>
      <w:pPr>
        <w:pStyle w:val="Compact"/>
        <w:numPr>
          <w:ilvl w:val="1"/>
          <w:numId w:val="1230"/>
        </w:numPr>
      </w:pPr>
      <w:r>
        <w:t xml:space="preserve">the Welsh Government; Estyn; the Wales Office; the Welsh Revenue Authority; the Welsh Parliament</w:t>
      </w:r>
    </w:p>
    <w:p>
      <w:pPr>
        <w:pStyle w:val="Compact"/>
        <w:numPr>
          <w:ilvl w:val="0"/>
          <w:numId w:val="1227"/>
        </w:numPr>
      </w:pPr>
      <w:r>
        <w:rPr>
          <w:b/>
          <w:bCs/>
        </w:rPr>
        <w:t xml:space="preserve">Security and intelligence bodies:</w:t>
      </w:r>
      <w:r>
        <w:t xml:space="preserve"> </w:t>
      </w:r>
      <w:r>
        <w:t xml:space="preserve">the Government Communications Bureau; Government Communications Headquarters; HM Government Communications Centre; the Secret Intelligence Service; the Security Service</w:t>
      </w:r>
    </w:p>
    <w:p>
      <w:pPr>
        <w:pStyle w:val="Compact"/>
        <w:numPr>
          <w:ilvl w:val="0"/>
          <w:numId w:val="1227"/>
        </w:numPr>
      </w:pPr>
      <w:r>
        <w:rPr>
          <w:b/>
          <w:bCs/>
        </w:rPr>
        <w:t xml:space="preserve">Parliament:</w:t>
      </w:r>
      <w:r>
        <w:t xml:space="preserve"> </w:t>
      </w:r>
      <w:r>
        <w:t xml:space="preserve">the House of Commons; the House of Lords</w:t>
      </w:r>
    </w:p>
    <w:p>
      <w:pPr>
        <w:pStyle w:val="Compact"/>
        <w:numPr>
          <w:ilvl w:val="0"/>
          <w:numId w:val="1227"/>
        </w:numPr>
      </w:pPr>
      <w:r>
        <w:rPr>
          <w:b/>
          <w:bCs/>
        </w:rPr>
        <w:t xml:space="preserve">The Privy Council Office</w:t>
      </w:r>
    </w:p>
    <w:p>
      <w:pPr>
        <w:pStyle w:val="Compact"/>
        <w:numPr>
          <w:ilvl w:val="0"/>
          <w:numId w:val="1227"/>
        </w:numPr>
      </w:pPr>
      <w:r>
        <w:rPr>
          <w:b/>
          <w:bCs/>
        </w:rPr>
        <w:t xml:space="preserve">Crown Non-Departmental Public Bodies,</w:t>
      </w:r>
      <w:r>
        <w:rPr>
          <w:b/>
          <w:bCs/>
        </w:rPr>
        <w:t xml:space="preserve"> </w:t>
      </w:r>
      <w:r>
        <w:rPr>
          <w:b/>
          <w:bCs/>
        </w:rPr>
        <w:t xml:space="preserve">“</w:t>
      </w:r>
      <w:r>
        <w:rPr>
          <w:b/>
          <w:bCs/>
        </w:rPr>
        <w:t xml:space="preserve">presently</w:t>
      </w:r>
      <w:r>
        <w:rPr>
          <w:b/>
          <w:bCs/>
        </w:rPr>
        <w:t xml:space="preserve">”</w:t>
      </w:r>
      <w:r>
        <w:rPr>
          <w:b/>
          <w:bCs/>
        </w:rPr>
        <w:t xml:space="preserve">:</w:t>
      </w:r>
    </w:p>
    <w:p>
      <w:pPr>
        <w:pStyle w:val="Compact"/>
        <w:numPr>
          <w:ilvl w:val="1"/>
          <w:numId w:val="1231"/>
        </w:numPr>
      </w:pPr>
      <w:r>
        <w:t xml:space="preserve">the Advisory, Conciliation and Arbitration Service</w:t>
      </w:r>
    </w:p>
    <w:p>
      <w:pPr>
        <w:pStyle w:val="Compact"/>
        <w:numPr>
          <w:ilvl w:val="1"/>
          <w:numId w:val="1231"/>
        </w:numPr>
      </w:pPr>
      <w:r>
        <w:t xml:space="preserve">the Health and Safety Executive</w:t>
      </w:r>
    </w:p>
    <w:p>
      <w:pPr>
        <w:pStyle w:val="Compact"/>
        <w:numPr>
          <w:ilvl w:val="1"/>
          <w:numId w:val="1231"/>
        </w:numPr>
      </w:pPr>
      <w:r>
        <w:t xml:space="preserve">the Institute for Apprenticeships and Technical Education</w:t>
      </w:r>
      <w:r>
        <w:t xml:space="preserve"> </w:t>
      </w:r>
      <w:r>
        <w:rPr>
          <w:i/>
          <w:iCs/>
        </w:rPr>
        <w:t xml:space="preserve">[abolished on 1 June 2025, when its functions transferred under the Institute for Apprenticeships and Technical Education (Transfer of Functions etc) Act 2025, ss. 1 and 3]</w:t>
      </w:r>
    </w:p>
    <w:p>
      <w:pPr>
        <w:pStyle w:val="FirstParagraph"/>
      </w:pPr>
      <w:r>
        <w:t xml:space="preserve">The statute (Value Added Tax Act 1994, s. 41) also covers</w:t>
      </w:r>
      <w:r>
        <w:t xml:space="preserve"> </w:t>
      </w:r>
      <w:r>
        <w:rPr>
          <w:b/>
          <w:bCs/>
        </w:rPr>
        <w:t xml:space="preserve">National Highways</w:t>
      </w:r>
      <w:r>
        <w:t xml:space="preserve"> </w:t>
      </w:r>
      <w:r>
        <w:t xml:space="preserve">(section 41(7)(l)) and</w:t>
      </w:r>
      <w:r>
        <w:t xml:space="preserve"> </w:t>
      </w:r>
      <w:r>
        <w:rPr>
          <w:b/>
          <w:bCs/>
        </w:rPr>
        <w:t xml:space="preserve">Northern Ireland health and social care bodies</w:t>
      </w:r>
      <w:r>
        <w:t xml:space="preserve"> </w:t>
      </w:r>
      <w:r>
        <w:t xml:space="preserve">(section 41(6) and (8)). HMRC’s VATGPB9720 list does not name either</w:t>
      </w:r>
      <w:r>
        <w:t xml:space="preserve"> </w:t>
      </w:r>
      <w:r>
        <w:t xml:space="preserve">(</w:t>
      </w:r>
      <w:hyperlink w:anchor="ref-hmrc_vatgpb">
        <w:r>
          <w:rPr>
            <w:rStyle w:val="Hyperlink"/>
          </w:rPr>
          <w:t xml:space="preserve">HMRC, 2026n, sec. VATGPB9720</w:t>
        </w:r>
      </w:hyperlink>
      <w:r>
        <w:t xml:space="preserve">)</w:t>
      </w:r>
      <w:r>
        <w:t xml:space="preserve">, but HM Treasury lists both</w:t>
      </w:r>
      <w:r>
        <w:t xml:space="preserve"> </w:t>
      </w:r>
      <w:r>
        <w:t xml:space="preserve">“</w:t>
      </w:r>
      <w:r>
        <w:t xml:space="preserve">Highways England</w:t>
      </w:r>
      <w:r>
        <w:t xml:space="preserve">”</w:t>
      </w:r>
      <w:r>
        <w:t xml:space="preserve"> </w:t>
      </w:r>
      <w:r>
        <w:t xml:space="preserve">and</w:t>
      </w:r>
      <w:r>
        <w:t xml:space="preserve"> </w:t>
      </w:r>
      <w:r>
        <w:t xml:space="preserve">“</w:t>
      </w:r>
      <w:r>
        <w:t xml:space="preserve">Health and Social Care in Northern Ireland</w:t>
      </w:r>
      <w:r>
        <w:t xml:space="preserve">”</w:t>
      </w:r>
      <w:r>
        <w:t xml:space="preserve"> </w:t>
      </w:r>
      <w:r>
        <w:t xml:space="preserve">among section 41 bodies</w:t>
      </w:r>
      <w:r>
        <w:t xml:space="preserve"> </w:t>
      </w:r>
      <w:r>
        <w:t xml:space="preserve">(</w:t>
      </w:r>
      <w:hyperlink w:anchor="ref-hmt_s41_paper_2020">
        <w:r>
          <w:rPr>
            <w:rStyle w:val="Hyperlink"/>
          </w:rPr>
          <w:t xml:space="preserve">HM Treasury, 2020a, p. 5</w:t>
        </w:r>
      </w:hyperlink>
      <w:r>
        <w:t xml:space="preserve">;</w:t>
      </w:r>
      <w:r>
        <w:t xml:space="preserve"> </w:t>
      </w:r>
      <w:hyperlink w:anchor="ref-hmt_s41_response_2021">
        <w:r>
          <w:rPr>
            <w:rStyle w:val="Hyperlink"/>
          </w:rPr>
          <w:t xml:space="preserve">2021, p. 7</w:t>
        </w:r>
      </w:hyperlink>
      <w:r>
        <w:t xml:space="preserve">)</w:t>
      </w:r>
      <w:r>
        <w:t xml:space="preserve">. HMRC’s list is partly out of date, and no official replacement list was found. If in doubt about a particular body, ask HMRC.</w:t>
      </w:r>
    </w:p>
    <w:p>
      <w:pPr>
        <w:pStyle w:val="BodyText"/>
      </w:pPr>
      <w:r>
        <w:rPr>
          <w:b/>
          <w:bCs/>
        </w:rPr>
        <w:t xml:space="preserve">Registration.</w:t>
      </w:r>
      <w:r>
        <w:t xml:space="preserve"> </w:t>
      </w:r>
      <w:r>
        <w:t xml:space="preserve">Government departments</w:t>
      </w:r>
      <w:r>
        <w:t xml:space="preserve"> </w:t>
      </w:r>
      <w:r>
        <w:t xml:space="preserve">“</w:t>
      </w:r>
      <w:r>
        <w:t xml:space="preserve">must register for VAT regardless of the value of the taxable supplies they make</w:t>
      </w:r>
      <w:r>
        <w:t xml:space="preserve">”</w:t>
      </w:r>
      <w:r>
        <w:t xml:space="preserve"> </w:t>
      </w:r>
      <w:r>
        <w:t xml:space="preserve">(</w:t>
      </w:r>
      <w:hyperlink w:anchor="ref-hmrc_vatgpb">
        <w:r>
          <w:rPr>
            <w:rStyle w:val="Hyperlink"/>
          </w:rPr>
          <w:t xml:space="preserve">HMRC, 2026n, sec. VATGPB9400</w:t>
        </w:r>
      </w:hyperlink>
      <w:r>
        <w:t xml:space="preserve">)</w:t>
      </w:r>
      <w:r>
        <w:t xml:space="preserve">.</w:t>
      </w:r>
    </w:p>
    <w:p>
      <w:pPr>
        <w:pStyle w:val="Compact"/>
        <w:numPr>
          <w:ilvl w:val="0"/>
          <w:numId w:val="1232"/>
        </w:numPr>
      </w:pPr>
      <w:r>
        <w:t xml:space="preserve">They are registered in a special series. The</w:t>
      </w:r>
      <w:r>
        <w:t xml:space="preserve"> </w:t>
      </w:r>
      <w:r>
        <w:t xml:space="preserve">“</w:t>
      </w:r>
      <w:r>
        <w:t xml:space="preserve">GD</w:t>
      </w:r>
      <w:r>
        <w:t xml:space="preserve">”</w:t>
      </w:r>
      <w:r>
        <w:t xml:space="preserve"> </w:t>
      </w:r>
      <w:r>
        <w:t xml:space="preserve">number is a GD prefix followed by a three-digit number</w:t>
      </w:r>
      <w:r>
        <w:t xml:space="preserve"> </w:t>
      </w:r>
      <w:r>
        <w:t xml:space="preserve">(</w:t>
      </w:r>
      <w:hyperlink w:anchor="ref-hmrc_vatgpb">
        <w:r>
          <w:rPr>
            <w:rStyle w:val="Hyperlink"/>
          </w:rPr>
          <w:t xml:space="preserve">HMRC, 2026n, sec. VATGPB9400</w:t>
        </w:r>
      </w:hyperlink>
      <w:r>
        <w:t xml:space="preserve">)</w:t>
      </w:r>
      <w:r>
        <w:t xml:space="preserve">.</w:t>
      </w:r>
    </w:p>
    <w:p>
      <w:pPr>
        <w:pStyle w:val="Compact"/>
        <w:numPr>
          <w:ilvl w:val="0"/>
          <w:numId w:val="1232"/>
        </w:numPr>
      </w:pPr>
      <w:r>
        <w:t xml:space="preserve">Each department also has a nine-digit number, which begins 888 8</w:t>
      </w:r>
      <w:r>
        <w:t xml:space="preserve"> </w:t>
      </w:r>
      <w:r>
        <w:t xml:space="preserve">(</w:t>
      </w:r>
      <w:hyperlink w:anchor="ref-hmrc_vatgpb">
        <w:r>
          <w:rPr>
            <w:rStyle w:val="Hyperlink"/>
          </w:rPr>
          <w:t xml:space="preserve">HMRC, 2026n, sec. VATGPB9400</w:t>
        </w:r>
      </w:hyperlink>
      <w:r>
        <w:t xml:space="preserve">)</w:t>
      </w:r>
      <w:r>
        <w:t xml:space="preserve">.</w:t>
      </w:r>
    </w:p>
    <w:p>
      <w:pPr>
        <w:pStyle w:val="Compact"/>
        <w:numPr>
          <w:ilvl w:val="0"/>
          <w:numId w:val="1232"/>
        </w:numPr>
      </w:pPr>
      <w:r>
        <w:t xml:space="preserve">Some departments include executive agencies and other entities within their single VAT registration, which HMRC likens to a VAT group</w:t>
      </w:r>
      <w:r>
        <w:t xml:space="preserve"> </w:t>
      </w:r>
      <w:r>
        <w:t xml:space="preserve">(</w:t>
      </w:r>
      <w:hyperlink w:anchor="ref-hmrc_gdpef">
        <w:r>
          <w:rPr>
            <w:rStyle w:val="Hyperlink"/>
          </w:rPr>
          <w:t xml:space="preserve">HMRC, 2023c</w:t>
        </w:r>
      </w:hyperlink>
      <w:r>
        <w:t xml:space="preserve">)</w:t>
      </w:r>
      <w:r>
        <w:t xml:space="preserve">. Where that is the case, the department’s VAT returns and COS claims cover those entities too.</w:t>
      </w:r>
    </w:p>
    <w:bookmarkEnd w:id="193"/>
    <w:bookmarkStart w:id="194" w:name="X58d2880810d4ac5edc33647c5ea086c273381aa"/>
    <w:p>
      <w:pPr>
        <w:pStyle w:val="Heading4"/>
      </w:pPr>
      <w:r>
        <w:t xml:space="preserve">2. Section 33E bodies: named non-departmental public bodies</w:t>
      </w:r>
    </w:p>
    <w:p>
      <w:pPr>
        <w:pStyle w:val="Compact"/>
        <w:numPr>
          <w:ilvl w:val="0"/>
          <w:numId w:val="1233"/>
        </w:numPr>
      </w:pPr>
      <w:r>
        <w:rPr>
          <w:b/>
          <w:bCs/>
        </w:rPr>
        <w:t xml:space="preserve">The law:</w:t>
      </w:r>
      <w:r>
        <w:t xml:space="preserve"> </w:t>
      </w:r>
      <w:r>
        <w:t xml:space="preserve">section 33E VATA 1994 (added by Finance Act 2016, s. 122) lets the Treasury name non-departmental public bodies and similar bodies by</w:t>
      </w:r>
      <w:r>
        <w:t xml:space="preserve"> </w:t>
      </w:r>
      <w:r>
        <w:rPr>
          <w:b/>
          <w:bCs/>
        </w:rPr>
        <w:t xml:space="preserve">Treasury order</w:t>
      </w:r>
      <w:r>
        <w:t xml:space="preserve"> </w:t>
      </w:r>
      <w:r>
        <w:t xml:space="preserve">(Value Added Tax Act 1994, s. 33E(8))</w:t>
      </w:r>
      <w:r>
        <w:t xml:space="preserve"> </w:t>
      </w:r>
      <w:r>
        <w:t xml:space="preserve">(</w:t>
      </w:r>
      <w:hyperlink w:anchor="ref-hmrc_vatgpb">
        <w:r>
          <w:rPr>
            <w:rStyle w:val="Hyperlink"/>
          </w:rPr>
          <w:t xml:space="preserve">HMRC, 2026n, sec. VATGPB9650</w:t>
        </w:r>
      </w:hyperlink>
      <w:r>
        <w:t xml:space="preserve">)</w:t>
      </w:r>
      <w:r>
        <w:t xml:space="preserve">.</w:t>
      </w:r>
    </w:p>
    <w:p>
      <w:pPr>
        <w:pStyle w:val="Compact"/>
        <w:numPr>
          <w:ilvl w:val="0"/>
          <w:numId w:val="1233"/>
        </w:numPr>
      </w:pPr>
      <w:r>
        <w:rPr>
          <w:b/>
          <w:bCs/>
        </w:rPr>
        <w:t xml:space="preserve">What they can recover:</w:t>
      </w:r>
      <w:r>
        <w:t xml:space="preserve"> </w:t>
      </w:r>
      <w:r>
        <w:t xml:space="preserve">refunds are</w:t>
      </w:r>
      <w:r>
        <w:t xml:space="preserve"> </w:t>
      </w:r>
      <w:r>
        <w:t xml:space="preserve">“</w:t>
      </w:r>
      <w:r>
        <w:t xml:space="preserve">confined to the purchase of services listed in the current Treasury’s Contracted Out Services Direction</w:t>
      </w:r>
      <w:r>
        <w:t xml:space="preserve">”</w:t>
      </w:r>
      <w:r>
        <w:t xml:space="preserve"> </w:t>
      </w:r>
      <w:r>
        <w:t xml:space="preserve">(</w:t>
      </w:r>
      <w:hyperlink w:anchor="ref-hmrc_vatgpb">
        <w:r>
          <w:rPr>
            <w:rStyle w:val="Hyperlink"/>
          </w:rPr>
          <w:t xml:space="preserve">HMRC, 2026n, sec. VATGPB9650</w:t>
        </w:r>
      </w:hyperlink>
      <w:r>
        <w:t xml:space="preserve">)</w:t>
      </w:r>
      <w:r>
        <w:t xml:space="preserve">. The same 2020 Direction was made under both section 41(3) and section 33E</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0"/>
          <w:numId w:val="1233"/>
        </w:numPr>
      </w:pPr>
      <w:r>
        <w:rPr>
          <w:b/>
          <w:bCs/>
        </w:rPr>
        <w:t xml:space="preserve">Conditions:</w:t>
      </w:r>
      <w:r>
        <w:t xml:space="preserve"> </w:t>
      </w:r>
      <w:r>
        <w:t xml:space="preserve">a claim also needs a prior agreement with the Treasury about reducing the body’s funding (Value Added Tax Act 1994, s. 33E(3)). Claims are subject to a</w:t>
      </w:r>
      <w:r>
        <w:t xml:space="preserve"> </w:t>
      </w:r>
      <w:r>
        <w:rPr>
          <w:b/>
          <w:bCs/>
        </w:rPr>
        <w:t xml:space="preserve">statutory deadline</w:t>
      </w:r>
      <w:r>
        <w:t xml:space="preserve"> </w:t>
      </w:r>
      <w:r>
        <w:t xml:space="preserve">(Value Added Tax Act 1994, s. 33E(4)–(5); see</w:t>
      </w:r>
      <w:r>
        <w:t xml:space="preserve"> </w:t>
      </w:r>
      <w:hyperlink w:anchor="how-and-when-to-claim">
        <w:r>
          <w:rPr>
            <w:rStyle w:val="Hyperlink"/>
          </w:rPr>
          <w:t xml:space="preserve">How and when to claim</w:t>
        </w:r>
      </w:hyperlink>
      <w:r>
        <w:t xml:space="preserve">).</w:t>
      </w:r>
    </w:p>
    <w:p>
      <w:pPr>
        <w:pStyle w:val="Compact"/>
        <w:numPr>
          <w:ilvl w:val="0"/>
          <w:numId w:val="1233"/>
        </w:numPr>
      </w:pPr>
      <w:r>
        <w:rPr>
          <w:b/>
          <w:bCs/>
        </w:rPr>
        <w:t xml:space="preserve">Who is named today</w:t>
      </w:r>
      <w:r>
        <w:t xml:space="preserve"> </w:t>
      </w:r>
      <w:r>
        <w:t xml:space="preserve">(as listed at VATGPB9660, updated 20 April 2026)</w:t>
      </w:r>
      <w:r>
        <w:t xml:space="preserve"> </w:t>
      </w:r>
      <w:r>
        <w:t xml:space="preserve">(</w:t>
      </w:r>
      <w:hyperlink w:anchor="ref-hmrc_vatgpb">
        <w:r>
          <w:rPr>
            <w:rStyle w:val="Hyperlink"/>
          </w:rPr>
          <w:t xml:space="preserve">HMRC, 2026n, sec. VATGPB9660</w:t>
        </w:r>
      </w:hyperlink>
      <w:r>
        <w:t xml:space="preserve">)</w:t>
      </w:r>
      <w:r>
        <w:t xml:space="preserve">:</w:t>
      </w:r>
    </w:p>
    <w:p>
      <w:pPr>
        <w:pStyle w:val="Compact"/>
        <w:numPr>
          <w:ilvl w:val="1"/>
          <w:numId w:val="1234"/>
        </w:numPr>
      </w:pPr>
      <w:r>
        <w:t xml:space="preserve">East West Railway Company Limited</w:t>
      </w:r>
    </w:p>
    <w:p>
      <w:pPr>
        <w:pStyle w:val="Compact"/>
        <w:numPr>
          <w:ilvl w:val="1"/>
          <w:numId w:val="1234"/>
        </w:numPr>
      </w:pPr>
      <w:r>
        <w:t xml:space="preserve">Great British Energy – Nuclear</w:t>
      </w:r>
    </w:p>
    <w:p>
      <w:pPr>
        <w:pStyle w:val="Compact"/>
        <w:numPr>
          <w:ilvl w:val="1"/>
          <w:numId w:val="1234"/>
        </w:numPr>
      </w:pPr>
      <w:r>
        <w:t xml:space="preserve">Health Services Safety Investigations Body</w:t>
      </w:r>
    </w:p>
    <w:p>
      <w:pPr>
        <w:pStyle w:val="Compact"/>
        <w:numPr>
          <w:ilvl w:val="1"/>
          <w:numId w:val="1234"/>
        </w:numPr>
      </w:pPr>
      <w:r>
        <w:t xml:space="preserve">High Speed Two (HS2) Limited</w:t>
      </w:r>
    </w:p>
    <w:p>
      <w:pPr>
        <w:pStyle w:val="Compact"/>
        <w:numPr>
          <w:ilvl w:val="1"/>
          <w:numId w:val="1234"/>
        </w:numPr>
      </w:pPr>
      <w:r>
        <w:t xml:space="preserve">Single Financial Guidance Body</w:t>
      </w:r>
    </w:p>
    <w:p>
      <w:pPr>
        <w:pStyle w:val="Compact"/>
        <w:numPr>
          <w:ilvl w:val="1"/>
          <w:numId w:val="1234"/>
        </w:numPr>
      </w:pPr>
      <w:r>
        <w:t xml:space="preserve">Transport for Wales</w:t>
      </w:r>
    </w:p>
    <w:p>
      <w:pPr>
        <w:pStyle w:val="Compact"/>
        <w:numPr>
          <w:ilvl w:val="0"/>
          <w:numId w:val="1233"/>
        </w:numPr>
      </w:pPr>
      <w:r>
        <w:rPr>
          <w:b/>
          <w:bCs/>
        </w:rPr>
        <w:t xml:space="preserve">Not automatic:</w:t>
      </w:r>
      <w:r>
        <w:t xml:space="preserve"> </w:t>
      </w:r>
      <w:r>
        <w:t xml:space="preserve">an NDPB is not covered unless an order names it, and orders cannot apply retrospectively</w:t>
      </w:r>
      <w:r>
        <w:t xml:space="preserve"> </w:t>
      </w:r>
      <w:r>
        <w:t xml:space="preserve">(</w:t>
      </w:r>
      <w:hyperlink w:anchor="ref-hmrc_vatgpb">
        <w:r>
          <w:rPr>
            <w:rStyle w:val="Hyperlink"/>
          </w:rPr>
          <w:t xml:space="preserve">HMRC, 2026n, sec. VATGPB9650</w:t>
        </w:r>
      </w:hyperlink>
      <w:r>
        <w:t xml:space="preserve">)</w:t>
      </w:r>
      <w:r>
        <w:t xml:space="preserve">.</w:t>
      </w:r>
    </w:p>
    <w:bookmarkEnd w:id="194"/>
    <w:bookmarkStart w:id="195" w:name="Xbfedcf61eee5a8d5d4f88b6cc26695f04c75b6f"/>
    <w:p>
      <w:pPr>
        <w:pStyle w:val="Heading4"/>
      </w:pPr>
      <w:r>
        <w:t xml:space="preserve">3. Section 99: Northern Ireland government departments</w:t>
      </w:r>
    </w:p>
    <w:p>
      <w:pPr>
        <w:pStyle w:val="Compact"/>
        <w:numPr>
          <w:ilvl w:val="0"/>
          <w:numId w:val="1235"/>
        </w:numPr>
      </w:pPr>
      <w:r>
        <w:t xml:space="preserve">Northern Ireland departments fall within the section 41(6) definition (Value Added Tax Act 1994, s. 41(6)). In practice, however, the Government of Northern Ireland recovers non-business VAT under</w:t>
      </w:r>
      <w:r>
        <w:t xml:space="preserve"> </w:t>
      </w:r>
      <w:r>
        <w:rPr>
          <w:b/>
          <w:bCs/>
        </w:rPr>
        <w:t xml:space="preserve">section 99 VATA 1994</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35"/>
        </w:numPr>
      </w:pPr>
      <w:r>
        <w:t xml:space="preserve">HMRC says the Government of Northern Ireland</w:t>
      </w:r>
      <w:r>
        <w:t xml:space="preserve"> </w:t>
      </w:r>
      <w:r>
        <w:t xml:space="preserve">“</w:t>
      </w:r>
      <w:r>
        <w:t xml:space="preserve">is not subject to the Treasury’s Contracting Out Direction</w:t>
      </w:r>
      <w:r>
        <w:t xml:space="preserve">”</w:t>
      </w:r>
      <w:r>
        <w:t xml:space="preserve">. This is because it carries out activities that elsewhere in the UK fall to local authorities</w:t>
      </w:r>
      <w:r>
        <w:t xml:space="preserve"> </w:t>
      </w:r>
      <w:r>
        <w:t xml:space="preserve">(</w:t>
      </w:r>
      <w:hyperlink w:anchor="ref-hmrc_vatgpb">
        <w:r>
          <w:rPr>
            <w:rStyle w:val="Hyperlink"/>
          </w:rPr>
          <w:t xml:space="preserve">HMRC, 2026n, sec. VATGPB9350</w:t>
        </w:r>
      </w:hyperlink>
      <w:r>
        <w:t xml:space="preserve">)</w:t>
      </w:r>
      <w:r>
        <w:t xml:space="preserve">.</w:t>
      </w:r>
    </w:p>
    <w:p>
      <w:pPr>
        <w:pStyle w:val="Compact"/>
        <w:numPr>
          <w:ilvl w:val="0"/>
          <w:numId w:val="1235"/>
        </w:numPr>
      </w:pPr>
      <w:r>
        <w:t xml:space="preserve">Section 99 refunds VAT on</w:t>
      </w:r>
      <w:r>
        <w:t xml:space="preserve"> </w:t>
      </w:r>
      <w:r>
        <w:rPr>
          <w:b/>
          <w:bCs/>
        </w:rPr>
        <w:t xml:space="preserve">goods and services</w:t>
      </w:r>
      <w:r>
        <w:t xml:space="preserve"> </w:t>
      </w:r>
      <w:r>
        <w:t xml:space="preserve">alike. The only deduction is the share agreed as relating to business, which each department agrees with the Department of Finance (Value Added Tax Act 1994, s. 99)</w:t>
      </w:r>
      <w:r>
        <w:t xml:space="preserve"> </w:t>
      </w:r>
      <w:r>
        <w:t xml:space="preserve">(</w:t>
      </w:r>
      <w:hyperlink w:anchor="ref-hmrc_vatgpb">
        <w:r>
          <w:rPr>
            <w:rStyle w:val="Hyperlink"/>
          </w:rPr>
          <w:t xml:space="preserve">HMRC, 2026n, sec. VATGPB9350</w:t>
        </w:r>
      </w:hyperlink>
      <w:r>
        <w:t xml:space="preserve">)</w:t>
      </w:r>
      <w:r>
        <w:t xml:space="preserve">.</w:t>
      </w:r>
    </w:p>
    <w:bookmarkEnd w:id="195"/>
    <w:bookmarkStart w:id="196" w:name="X50e422ca6dec36487a29888e931415e435f0f68"/>
    <w:p>
      <w:pPr>
        <w:pStyle w:val="Heading4"/>
      </w:pPr>
      <w:r>
        <w:t xml:space="preserve">4. How this compares with other bodies</w:t>
      </w:r>
    </w:p>
    <w:p>
      <w:pPr>
        <w:pStyle w:val="FirstParagraph"/>
      </w:pPr>
      <w:r>
        <w:t xml:space="preserve">The table below compares how each type of body can get back VAT on its non-business costs</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secs VATGPB9340, VATGPB9350</w:t>
        </w:r>
      </w:hyperlink>
      <w:r>
        <w:t xml:space="preserve"> </w:t>
      </w:r>
      <w:r>
        <w:t xml:space="preserve">and VATGPB9650)</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1641"/>
        <w:gridCol w:w="1707"/>
        <w:gridCol w:w="3151"/>
        <w:gridCol w:w="2525"/>
      </w:tblGrid>
      <w:tr>
        <w:trPr>
          <w:tblHeader w:val="true"/>
          <w:cantSplit w:val="true"/>
        </w:trPr>
        <w:tc>
          <w:tcPr>
            <w:tcW w:w="1641" w:type="dxa"/>
            <w:shd w:val="clear" w:color="auto" w:fill="1B3A5C"/>
          </w:tcPr>
          <w:p>
            <w:pPr>
              <w:pStyle w:val="Compact"/>
              <w:spacing w:after="40" w:before="40"/>
              <w:jc w:val="left"/>
            </w:pPr>
            <w:r>
              <w:rPr>
                <w:rFonts w:ascii="Tahoma" w:hAnsi="Tahoma"/>
                <w:b/>
                <w:color w:val="FFFFFF"/>
                <w:sz w:val="22"/>
              </w:rPr>
              <w:t xml:space="preserve">Type of body</w:t>
            </w:r>
          </w:p>
        </w:tc>
        <w:tc>
          <w:tcPr>
            <w:tcW w:w="1707" w:type="dxa"/>
            <w:shd w:val="clear" w:color="auto" w:fill="1B3A5C"/>
          </w:tcPr>
          <w:p>
            <w:pPr>
              <w:pStyle w:val="Compact"/>
              <w:spacing w:after="40" w:before="40"/>
              <w:jc w:val="left"/>
            </w:pPr>
            <w:r>
              <w:rPr>
                <w:rFonts w:ascii="Tahoma" w:hAnsi="Tahoma"/>
                <w:b/>
                <w:color w:val="FFFFFF"/>
                <w:sz w:val="22"/>
              </w:rPr>
              <w:t xml:space="preserve">Legal basis</w:t>
            </w:r>
          </w:p>
        </w:tc>
        <w:tc>
          <w:tcPr>
            <w:tcW w:w="3151" w:type="dxa"/>
            <w:shd w:val="clear" w:color="auto" w:fill="1B3A5C"/>
          </w:tcPr>
          <w:p>
            <w:pPr>
              <w:pStyle w:val="Compact"/>
              <w:spacing w:after="40" w:before="40"/>
              <w:jc w:val="left"/>
            </w:pPr>
            <w:r>
              <w:rPr>
                <w:rFonts w:ascii="Tahoma" w:hAnsi="Tahoma"/>
                <w:b/>
                <w:color w:val="FFFFFF"/>
                <w:sz w:val="22"/>
              </w:rPr>
              <w:t xml:space="preserve">Which non-business VAT can be refunded?</w:t>
            </w:r>
          </w:p>
        </w:tc>
        <w:tc>
          <w:tcPr>
            <w:tcW w:w="2525" w:type="dxa"/>
            <w:shd w:val="clear" w:color="auto" w:fill="1B3A5C"/>
          </w:tcPr>
          <w:p>
            <w:pPr>
              <w:pStyle w:val="Compact"/>
              <w:spacing w:after="40" w:before="40"/>
              <w:jc w:val="left"/>
            </w:pPr>
            <w:r>
              <w:rPr>
                <w:rFonts w:ascii="Tahoma" w:hAnsi="Tahoma"/>
                <w:b/>
                <w:color w:val="FFFFFF"/>
                <w:sz w:val="22"/>
              </w:rPr>
              <w:t xml:space="preserve">Examples</w:t>
            </w:r>
          </w:p>
        </w:tc>
      </w:tr>
      <w:tr>
        <w:trPr>
          <w:cantSplit w:val="true"/>
        </w:trPr>
        <w:tc>
          <w:tcPr>
            <w:tcW w:w="1641" w:type="dxa"/>
            <w:shd w:val="clear" w:color="auto" w:fill="EAF3FA"/>
          </w:tcPr>
          <w:p>
            <w:pPr>
              <w:pStyle w:val="Compact"/>
              <w:spacing w:after="40" w:before="40"/>
              <w:jc w:val="left"/>
            </w:pPr>
            <w:r>
              <w:rPr>
                <w:rFonts w:ascii="Tahoma" w:hAnsi="Tahoma"/>
                <w:sz w:val="22"/>
              </w:rPr>
              <w:t xml:space="preserve">Section 41(3) body</w:t>
            </w:r>
          </w:p>
        </w:tc>
        <w:tc>
          <w:tcPr>
            <w:tcW w:w="1707" w:type="dxa"/>
            <w:shd w:val="clear" w:color="auto" w:fill="EAF3FA"/>
          </w:tcPr>
          <w:p>
            <w:pPr>
              <w:pStyle w:val="Compact"/>
              <w:spacing w:after="40" w:before="40"/>
              <w:jc w:val="left"/>
            </w:pPr>
            <w:r>
              <w:rPr>
                <w:rFonts w:ascii="Tahoma" w:hAnsi="Tahoma"/>
                <w:sz w:val="22"/>
              </w:rPr>
              <w:t xml:space="preserve">s41(3) VATA 1994 + Contracting Out Direction</w:t>
            </w:r>
          </w:p>
        </w:tc>
        <w:tc>
          <w:tcPr>
            <w:tcW w:w="3151" w:type="dxa"/>
            <w:shd w:val="clear" w:color="auto" w:fill="EAF3FA"/>
          </w:tcPr>
          <w:p>
            <w:pPr>
              <w:pStyle w:val="Compact"/>
              <w:spacing w:after="40" w:before="40"/>
              <w:jc w:val="left"/>
            </w:pPr>
            <w:r>
              <w:rPr>
                <w:rFonts w:ascii="Tahoma" w:hAnsi="Tahoma"/>
                <w:b/>
                <w:bCs/>
                <w:sz w:val="22"/>
              </w:rPr>
              <w:t xml:space="preserve">Only</w:t>
            </w:r>
            <w:r>
              <w:rPr>
                <w:rFonts w:ascii="Tahoma" w:hAnsi="Tahoma"/>
                <w:sz w:val="22"/>
              </w:rPr>
              <w:t xml:space="preserve"> </w:t>
            </w:r>
            <w:r>
              <w:rPr>
                <w:rFonts w:ascii="Tahoma" w:hAnsi="Tahoma"/>
                <w:sz w:val="22"/>
              </w:rPr>
              <w:t xml:space="preserve">services in List 2 (plus closely related goods and certain long leases supplied as part of them)</w:t>
            </w:r>
          </w:p>
        </w:tc>
        <w:tc>
          <w:tcPr>
            <w:tcW w:w="2525" w:type="dxa"/>
            <w:shd w:val="clear" w:color="auto" w:fill="EAF3FA"/>
          </w:tcPr>
          <w:p>
            <w:pPr>
              <w:pStyle w:val="Compact"/>
              <w:spacing w:after="40" w:before="40"/>
              <w:jc w:val="left"/>
            </w:pPr>
            <w:r>
              <w:rPr>
                <w:rFonts w:ascii="Tahoma" w:hAnsi="Tahoma"/>
                <w:sz w:val="22"/>
              </w:rPr>
              <w:t xml:space="preserve">The Department; other UK and devolved government departments; NHS trusts; National Highways</w:t>
            </w:r>
          </w:p>
        </w:tc>
      </w:tr>
      <w:tr>
        <w:trPr>
          <w:cantSplit w:val="true"/>
        </w:trPr>
        <w:tc>
          <w:tcPr>
            <w:tcW w:w="1641" w:type="dxa"/>
            <w:shd w:val="clear" w:color="auto" w:fill="FFFFFF"/>
          </w:tcPr>
          <w:p>
            <w:pPr>
              <w:pStyle w:val="Compact"/>
              <w:spacing w:after="40" w:before="40"/>
              <w:jc w:val="left"/>
            </w:pPr>
            <w:r>
              <w:rPr>
                <w:rFonts w:ascii="Tahoma" w:hAnsi="Tahoma"/>
                <w:sz w:val="22"/>
              </w:rPr>
              <w:t xml:space="preserve">Section 33E body</w:t>
            </w:r>
          </w:p>
        </w:tc>
        <w:tc>
          <w:tcPr>
            <w:tcW w:w="1707" w:type="dxa"/>
            <w:shd w:val="clear" w:color="auto" w:fill="FFFFFF"/>
          </w:tcPr>
          <w:p>
            <w:pPr>
              <w:pStyle w:val="Compact"/>
              <w:spacing w:after="40" w:before="40"/>
              <w:jc w:val="left"/>
            </w:pPr>
            <w:r>
              <w:rPr>
                <w:rFonts w:ascii="Tahoma" w:hAnsi="Tahoma"/>
                <w:sz w:val="22"/>
              </w:rPr>
              <w:t xml:space="preserve">s33E VATA 1994 + the same Direction</w:t>
            </w:r>
          </w:p>
        </w:tc>
        <w:tc>
          <w:tcPr>
            <w:tcW w:w="3151" w:type="dxa"/>
            <w:shd w:val="clear" w:color="auto" w:fill="FFFFFF"/>
          </w:tcPr>
          <w:p>
            <w:pPr>
              <w:pStyle w:val="Compact"/>
              <w:spacing w:after="40" w:before="40"/>
              <w:jc w:val="left"/>
            </w:pPr>
            <w:r>
              <w:rPr>
                <w:rFonts w:ascii="Tahoma" w:hAnsi="Tahoma"/>
                <w:b/>
                <w:bCs/>
                <w:sz w:val="22"/>
              </w:rPr>
              <w:t xml:space="preserve">Only</w:t>
            </w:r>
            <w:r>
              <w:rPr>
                <w:rFonts w:ascii="Tahoma" w:hAnsi="Tahoma"/>
                <w:sz w:val="22"/>
              </w:rPr>
              <w:t xml:space="preserve"> </w:t>
            </w:r>
            <w:r>
              <w:rPr>
                <w:rFonts w:ascii="Tahoma" w:hAnsi="Tahoma"/>
                <w:sz w:val="22"/>
              </w:rPr>
              <w:t xml:space="preserve">services in List 2, after a Treasury funding agreement</w:t>
            </w:r>
          </w:p>
        </w:tc>
        <w:tc>
          <w:tcPr>
            <w:tcW w:w="2525" w:type="dxa"/>
            <w:shd w:val="clear" w:color="auto" w:fill="FFFFFF"/>
          </w:tcPr>
          <w:p>
            <w:pPr>
              <w:pStyle w:val="Compact"/>
              <w:spacing w:after="40" w:before="40"/>
              <w:jc w:val="left"/>
            </w:pPr>
            <w:r>
              <w:rPr>
                <w:rFonts w:ascii="Tahoma" w:hAnsi="Tahoma"/>
                <w:sz w:val="22"/>
              </w:rPr>
              <w:t xml:space="preserve">HS2 Ltd; Transport for Wales</w:t>
            </w:r>
          </w:p>
        </w:tc>
      </w:tr>
      <w:tr>
        <w:trPr>
          <w:cantSplit w:val="true"/>
        </w:trPr>
        <w:tc>
          <w:tcPr>
            <w:tcW w:w="1641" w:type="dxa"/>
            <w:shd w:val="clear" w:color="auto" w:fill="FBEAF1"/>
          </w:tcPr>
          <w:p>
            <w:pPr>
              <w:pStyle w:val="Compact"/>
              <w:spacing w:after="40" w:before="40"/>
              <w:jc w:val="left"/>
            </w:pPr>
            <w:r>
              <w:rPr>
                <w:rFonts w:ascii="Tahoma" w:hAnsi="Tahoma"/>
                <w:sz w:val="22"/>
              </w:rPr>
              <w:t xml:space="preserve">Northern Ireland departments</w:t>
            </w:r>
          </w:p>
        </w:tc>
        <w:tc>
          <w:tcPr>
            <w:tcW w:w="1707" w:type="dxa"/>
            <w:shd w:val="clear" w:color="auto" w:fill="FBEAF1"/>
          </w:tcPr>
          <w:p>
            <w:pPr>
              <w:pStyle w:val="Compact"/>
              <w:spacing w:after="40" w:before="40"/>
              <w:jc w:val="left"/>
            </w:pPr>
            <w:r>
              <w:rPr>
                <w:rFonts w:ascii="Tahoma" w:hAnsi="Tahoma"/>
                <w:sz w:val="22"/>
              </w:rPr>
              <w:t xml:space="preserve">s99 VATA 1994</w:t>
            </w:r>
          </w:p>
        </w:tc>
        <w:tc>
          <w:tcPr>
            <w:tcW w:w="3151" w:type="dxa"/>
            <w:shd w:val="clear" w:color="auto" w:fill="FBEAF1"/>
          </w:tcPr>
          <w:p>
            <w:pPr>
              <w:pStyle w:val="Compact"/>
              <w:spacing w:after="40" w:before="40"/>
              <w:jc w:val="left"/>
            </w:pPr>
            <w:r>
              <w:rPr>
                <w:rFonts w:ascii="Tahoma" w:hAnsi="Tahoma"/>
                <w:sz w:val="22"/>
              </w:rPr>
              <w:t xml:space="preserve">All VAT on goods and services, less the agreed business share</w:t>
            </w:r>
          </w:p>
        </w:tc>
        <w:tc>
          <w:tcPr>
            <w:tcW w:w="2525" w:type="dxa"/>
            <w:shd w:val="clear" w:color="auto" w:fill="FBEAF1"/>
          </w:tcPr>
          <w:p>
            <w:pPr>
              <w:pStyle w:val="Compact"/>
              <w:spacing w:after="40" w:before="40"/>
              <w:jc w:val="left"/>
            </w:pPr>
            <w:r>
              <w:rPr>
                <w:rFonts w:ascii="Tahoma" w:hAnsi="Tahoma"/>
                <w:sz w:val="22"/>
              </w:rPr>
              <w:t xml:space="preserve">Northern Ireland Executive departments</w:t>
            </w:r>
          </w:p>
        </w:tc>
      </w:tr>
      <w:tr>
        <w:trPr>
          <w:cantSplit w:val="true"/>
        </w:trPr>
        <w:tc>
          <w:tcPr>
            <w:tcW w:w="1641" w:type="dxa"/>
            <w:shd w:val="clear" w:color="auto" w:fill="EAF3FA"/>
          </w:tcPr>
          <w:p>
            <w:pPr>
              <w:pStyle w:val="Compact"/>
              <w:spacing w:after="40" w:before="40"/>
              <w:jc w:val="left"/>
            </w:pPr>
            <w:r>
              <w:rPr>
                <w:rFonts w:ascii="Tahoma" w:hAnsi="Tahoma"/>
                <w:sz w:val="22"/>
              </w:rPr>
              <w:t xml:space="preserve">Section 33 bodies</w:t>
            </w:r>
          </w:p>
        </w:tc>
        <w:tc>
          <w:tcPr>
            <w:tcW w:w="1707" w:type="dxa"/>
            <w:shd w:val="clear" w:color="auto" w:fill="EAF3FA"/>
          </w:tcPr>
          <w:p>
            <w:pPr>
              <w:pStyle w:val="Compact"/>
              <w:spacing w:after="40" w:before="40"/>
              <w:jc w:val="left"/>
            </w:pPr>
            <w:r>
              <w:rPr>
                <w:rFonts w:ascii="Tahoma" w:hAnsi="Tahoma"/>
                <w:sz w:val="22"/>
              </w:rPr>
              <w:t xml:space="preserve">s33 VATA 1994</w:t>
            </w:r>
          </w:p>
        </w:tc>
        <w:tc>
          <w:tcPr>
            <w:tcW w:w="3151" w:type="dxa"/>
            <w:shd w:val="clear" w:color="auto" w:fill="EAF3FA"/>
          </w:tcPr>
          <w:p>
            <w:pPr>
              <w:pStyle w:val="Compact"/>
              <w:spacing w:after="40" w:before="40"/>
              <w:jc w:val="left"/>
            </w:pPr>
            <w:r>
              <w:rPr>
                <w:rFonts w:ascii="Tahoma" w:hAnsi="Tahoma"/>
                <w:b/>
                <w:bCs/>
                <w:sz w:val="22"/>
              </w:rPr>
              <w:t xml:space="preserve">All</w:t>
            </w:r>
            <w:r>
              <w:rPr>
                <w:rFonts w:ascii="Tahoma" w:hAnsi="Tahoma"/>
                <w:sz w:val="22"/>
              </w:rPr>
              <w:t xml:space="preserve"> </w:t>
            </w:r>
            <w:r>
              <w:rPr>
                <w:rFonts w:ascii="Tahoma" w:hAnsi="Tahoma"/>
                <w:sz w:val="22"/>
              </w:rPr>
              <w:t xml:space="preserve">VAT on goods and services for non-business purposes, plus exempt-related VAT if it is an</w:t>
            </w:r>
            <w:r>
              <w:rPr>
                <w:rFonts w:ascii="Tahoma" w:hAnsi="Tahoma"/>
                <w:sz w:val="22"/>
              </w:rPr>
              <w:t xml:space="preserve"> </w:t>
            </w:r>
            <w:r>
              <w:rPr>
                <w:rFonts w:ascii="Tahoma" w:hAnsi="Tahoma"/>
                <w:sz w:val="22"/>
              </w:rPr>
              <w:t xml:space="preserve">“</w:t>
            </w:r>
            <w:r>
              <w:rPr>
                <w:rFonts w:ascii="Tahoma" w:hAnsi="Tahoma"/>
                <w:sz w:val="22"/>
              </w:rPr>
              <w:t xml:space="preserve">insignificant proportion</w:t>
            </w:r>
            <w:r>
              <w:rPr>
                <w:rFonts w:ascii="Tahoma" w:hAnsi="Tahoma"/>
                <w:sz w:val="22"/>
              </w:rPr>
              <w:t xml:space="preserve">”</w:t>
            </w:r>
          </w:p>
        </w:tc>
        <w:tc>
          <w:tcPr>
            <w:tcW w:w="2525" w:type="dxa"/>
            <w:shd w:val="clear" w:color="auto" w:fill="EAF3FA"/>
          </w:tcPr>
          <w:p>
            <w:pPr>
              <w:pStyle w:val="Compact"/>
              <w:spacing w:after="40" w:before="40"/>
              <w:jc w:val="left"/>
            </w:pPr>
            <w:r>
              <w:rPr>
                <w:rFonts w:ascii="Tahoma" w:hAnsi="Tahoma"/>
                <w:sz w:val="22"/>
              </w:rPr>
              <w:t xml:space="preserve">Local authorities, combined authorities, fire and rescue authorities, police and crime commissioners, the BBC</w:t>
            </w:r>
          </w:p>
        </w:tc>
      </w:tr>
      <w:tr>
        <w:trPr>
          <w:cantSplit w:val="true"/>
        </w:trPr>
        <w:tc>
          <w:tcPr>
            <w:tcW w:w="1641" w:type="dxa"/>
            <w:shd w:val="clear" w:color="auto" w:fill="FFFFFF"/>
          </w:tcPr>
          <w:p>
            <w:pPr>
              <w:pStyle w:val="Compact"/>
              <w:spacing w:after="40" w:before="40"/>
              <w:jc w:val="left"/>
            </w:pPr>
            <w:r>
              <w:rPr>
                <w:rFonts w:ascii="Tahoma" w:hAnsi="Tahoma"/>
                <w:sz w:val="22"/>
              </w:rPr>
              <w:t xml:space="preserve">Ordinary VAT-registered business</w:t>
            </w:r>
          </w:p>
        </w:tc>
        <w:tc>
          <w:tcPr>
            <w:tcW w:w="1707" w:type="dxa"/>
            <w:shd w:val="clear" w:color="auto" w:fill="FFFFFF"/>
          </w:tcPr>
          <w:p>
            <w:pPr>
              <w:pStyle w:val="Compact"/>
              <w:spacing w:after="40" w:before="40"/>
              <w:jc w:val="left"/>
            </w:pPr>
            <w:r>
              <w:rPr>
                <w:rFonts w:ascii="Tahoma" w:hAnsi="Tahoma"/>
                <w:sz w:val="22"/>
              </w:rPr>
              <w:t xml:space="preserve">ss24–26 VATA 1994</w:t>
            </w:r>
          </w:p>
        </w:tc>
        <w:tc>
          <w:tcPr>
            <w:tcW w:w="3151" w:type="dxa"/>
            <w:shd w:val="clear" w:color="auto" w:fill="FFFFFF"/>
          </w:tcPr>
          <w:p>
            <w:pPr>
              <w:pStyle w:val="Compact"/>
              <w:spacing w:after="40" w:before="40"/>
              <w:jc w:val="left"/>
            </w:pPr>
            <w:r>
              <w:rPr>
                <w:rFonts w:ascii="Tahoma" w:hAnsi="Tahoma"/>
                <w:sz w:val="22"/>
              </w:rPr>
              <w:t xml:space="preserve">None. Only input tax on costs of taxable (business) supplies is deductible</w:t>
            </w:r>
          </w:p>
        </w:tc>
        <w:tc>
          <w:tcPr>
            <w:tcW w:w="2525" w:type="dxa"/>
            <w:shd w:val="clear" w:color="auto" w:fill="FFFFFF"/>
          </w:tcPr>
          <w:p>
            <w:pPr>
              <w:pStyle w:val="Compact"/>
              <w:spacing w:after="40" w:before="40"/>
              <w:jc w:val="left"/>
            </w:pPr>
            <w:r>
              <w:rPr>
                <w:rFonts w:ascii="Tahoma" w:hAnsi="Tahoma"/>
                <w:sz w:val="22"/>
              </w:rPr>
              <w:t xml:space="preserve">A private company</w:t>
            </w:r>
          </w:p>
        </w:tc>
      </w:tr>
    </w:tbl>
    <w:bookmarkEnd w:id="196"/>
    <w:bookmarkStart w:id="197" w:name="who-cos-does-not-apply-to"/>
    <w:p>
      <w:pPr>
        <w:pStyle w:val="Heading4"/>
      </w:pPr>
      <w:r>
        <w:t xml:space="preserve">Who COS does</w:t>
      </w:r>
      <w:r>
        <w:t xml:space="preserve"> </w:t>
      </w:r>
      <w:r>
        <w:rPr>
          <w:b/>
          <w:bCs/>
        </w:rPr>
        <w:t xml:space="preserve">not</w:t>
      </w:r>
      <w:r>
        <w:t xml:space="preserve"> </w:t>
      </w:r>
      <w:r>
        <w:t xml:space="preserve">apply to</w:t>
      </w:r>
    </w:p>
    <w:p>
      <w:pPr>
        <w:pStyle w:val="Compact"/>
        <w:numPr>
          <w:ilvl w:val="0"/>
          <w:numId w:val="1236"/>
        </w:numPr>
      </w:pPr>
      <w:r>
        <w:rPr>
          <w:b/>
          <w:bCs/>
        </w:rPr>
        <w:t xml:space="preserve">Local authorities and other section 33 bodies.</w:t>
      </w:r>
      <w:r>
        <w:t xml:space="preserve"> </w:t>
      </w:r>
      <w:r>
        <w:t xml:space="preserve">They use their own, wider scheme (Value Added Tax Act 1994, s. 33)</w:t>
      </w:r>
      <w:r>
        <w:t xml:space="preserve"> </w:t>
      </w:r>
      <w:r>
        <w:t xml:space="preserve">(</w:t>
      </w:r>
      <w:hyperlink w:anchor="ref-hmrc_vatgpb">
        <w:r>
          <w:rPr>
            <w:rStyle w:val="Hyperlink"/>
          </w:rPr>
          <w:t xml:space="preserve">HMRC, 2026n, sec. VATGPB9340</w:t>
        </w:r>
      </w:hyperlink>
      <w:r>
        <w:t xml:space="preserve">)</w:t>
      </w:r>
      <w:r>
        <w:t xml:space="preserve">.</w:t>
      </w:r>
    </w:p>
    <w:p>
      <w:pPr>
        <w:pStyle w:val="Compact"/>
        <w:numPr>
          <w:ilvl w:val="0"/>
          <w:numId w:val="1236"/>
        </w:numPr>
      </w:pPr>
      <w:r>
        <w:rPr>
          <w:b/>
          <w:bCs/>
        </w:rPr>
        <w:t xml:space="preserve">Northern Ireland departments.</w:t>
      </w:r>
      <w:r>
        <w:t xml:space="preserve"> </w:t>
      </w:r>
      <w:r>
        <w:t xml:space="preserve">They use section 99</w:t>
      </w:r>
      <w:r>
        <w:t xml:space="preserve"> </w:t>
      </w:r>
      <w:r>
        <w:t xml:space="preserve">(</w:t>
      </w:r>
      <w:hyperlink w:anchor="ref-hmrc_vatgpb">
        <w:r>
          <w:rPr>
            <w:rStyle w:val="Hyperlink"/>
          </w:rPr>
          <w:t xml:space="preserve">HMRC, 2026n, sec. VATGPB9350</w:t>
        </w:r>
      </w:hyperlink>
      <w:r>
        <w:t xml:space="preserve">)</w:t>
      </w:r>
      <w:r>
        <w:t xml:space="preserve">.</w:t>
      </w:r>
    </w:p>
    <w:p>
      <w:pPr>
        <w:pStyle w:val="Compact"/>
        <w:numPr>
          <w:ilvl w:val="0"/>
          <w:numId w:val="1236"/>
        </w:numPr>
      </w:pPr>
      <w:r>
        <w:rPr>
          <w:b/>
          <w:bCs/>
        </w:rPr>
        <w:t xml:space="preserve">Arm’s-length bodies and NDPBs that are not named.</w:t>
      </w:r>
      <w:r>
        <w:t xml:space="preserve"> </w:t>
      </w:r>
      <w:r>
        <w:t xml:space="preserve">COS is not available unless the body is a section 41(3) body (for example a listed Crown NDPB) or is named in a section 33E order</w:t>
      </w:r>
      <w:r>
        <w:t xml:space="preserve"> </w:t>
      </w:r>
      <w:r>
        <w:t xml:space="preserve">(</w:t>
      </w:r>
      <w:hyperlink w:anchor="ref-hmrc_vatgpb">
        <w:r>
          <w:rPr>
            <w:rStyle w:val="Hyperlink"/>
          </w:rPr>
          <w:t xml:space="preserve">HMRC, 2026n, secs VATGPB9650, VATGPB9720</w:t>
        </w:r>
      </w:hyperlink>
      <w:r>
        <w:t xml:space="preserve">)</w:t>
      </w:r>
      <w:r>
        <w:t xml:space="preserve">.</w:t>
      </w:r>
    </w:p>
    <w:p>
      <w:pPr>
        <w:pStyle w:val="Compact"/>
        <w:numPr>
          <w:ilvl w:val="0"/>
          <w:numId w:val="1236"/>
        </w:numPr>
      </w:pPr>
      <w:r>
        <w:rPr>
          <w:b/>
          <w:bCs/>
        </w:rPr>
        <w:t xml:space="preserve">Charities, universities, private companies and other businesses</w:t>
      </w:r>
      <w:r>
        <w:t xml:space="preserve">, including the Department’s own contractors and suppliers</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0"/>
          <w:numId w:val="1236"/>
        </w:numPr>
      </w:pPr>
      <w:r>
        <w:rPr>
          <w:b/>
          <w:bCs/>
        </w:rPr>
        <w:t xml:space="preserve">Individual staff.</w:t>
      </w:r>
      <w:r>
        <w:t xml:space="preserve"> </w:t>
      </w:r>
      <w:r>
        <w:t xml:space="preserve">VAT on something an employee buys personally is not a supply to the Department. See the Heading 57 and Heading 67 exclusions in Part 6, Sending staff abroad</w:t>
      </w:r>
      <w:r>
        <w:t xml:space="preserve"> </w:t>
      </w:r>
      <w:r>
        <w:t xml:space="preserve">(</w:t>
      </w:r>
      <w:hyperlink w:anchor="ref-hmrc_vatgpb">
        <w:r>
          <w:rPr>
            <w:rStyle w:val="Hyperlink"/>
          </w:rPr>
          <w:t xml:space="preserve">HMRC, 2026n, secs VATGPB10870, VATGPB11070</w:t>
        </w:r>
      </w:hyperlink>
      <w:r>
        <w:t xml:space="preserve">)</w:t>
      </w:r>
      <w:r>
        <w:t xml:space="preserve">.</w:t>
      </w:r>
    </w:p>
    <w:p>
      <w:pPr>
        <w:pStyle w:val="Compact"/>
        <w:numPr>
          <w:ilvl w:val="0"/>
          <w:numId w:val="1236"/>
        </w:numPr>
      </w:pPr>
      <w:r>
        <w:rPr>
          <w:b/>
          <w:bCs/>
        </w:rPr>
        <w:t xml:space="preserve">Overseas governments and international organisations.</w:t>
      </w:r>
      <w:r>
        <w:t xml:space="preserve"> </w:t>
      </w:r>
      <w:r>
        <w:t xml:space="preserve">They cannot claim UK COS refunds</w:t>
      </w:r>
      <w:r>
        <w:t xml:space="preserve"> </w:t>
      </w:r>
      <w:r>
        <w:t xml:space="preserve">(</w:t>
      </w:r>
      <w:hyperlink w:anchor="ref-gazette_2020">
        <w:r>
          <w:rPr>
            <w:rStyle w:val="Hyperlink"/>
          </w:rPr>
          <w:t xml:space="preserve">HM Treasury, 2020b</w:t>
        </w:r>
      </w:hyperlink>
      <w:r>
        <w:t xml:space="preserve">)</w:t>
      </w:r>
      <w:r>
        <w:t xml:space="preserve">. Separate reliefs may apply to supplies made to them, as explained in Part 6, Providing items to overseas governments.</w:t>
      </w:r>
    </w:p>
    <w:bookmarkEnd w:id="197"/>
    <w:bookmarkEnd w:id="198"/>
    <w:bookmarkStart w:id="203" w:name="business-vs-non-business-the-key-test"/>
    <w:p>
      <w:pPr>
        <w:pStyle w:val="Heading3"/>
      </w:pPr>
      <w:r>
        <w:t xml:space="preserve">Business vs non-business: the key test</w:t>
      </w:r>
    </w:p>
    <w:p>
      <w:pPr>
        <w:pStyle w:val="FirstParagraph"/>
      </w:pPr>
      <w:r>
        <w:t xml:space="preserve">This section is a short summary for COS purposes. Part 2 covers the business test, section 41A and defence in full (see Part 2, Business and non-business activity).</w:t>
      </w:r>
    </w:p>
    <w:p>
      <w:pPr>
        <w:pStyle w:val="BodyText"/>
      </w:pPr>
      <w:r>
        <w:rPr>
          <w:b/>
          <w:bCs/>
        </w:rPr>
        <w:t xml:space="preserve">COS refunds are only for VAT on costs used for non-business purposes.</w:t>
      </w:r>
      <w:r>
        <w:t xml:space="preserve"> </w:t>
      </w:r>
      <w:r>
        <w:t xml:space="preserve">The Direction says so expressly: a refund is granted only if the supply</w:t>
      </w:r>
      <w:r>
        <w:t xml:space="preserve"> </w:t>
      </w:r>
      <w:r>
        <w:t xml:space="preserve">“</w:t>
      </w:r>
      <w:r>
        <w:t xml:space="preserve">is not for the purpose of… any business carried on by a Government department</w:t>
      </w:r>
      <w:r>
        <w:t xml:space="preserve">”</w:t>
      </w:r>
      <w:r>
        <w:t xml:space="preserve">, or of any supply treated as business under section 41A</w:t>
      </w:r>
      <w:r>
        <w:t xml:space="preserve"> </w:t>
      </w:r>
      <w:r>
        <w:t xml:space="preserve">(</w:t>
      </w:r>
      <w:hyperlink w:anchor="ref-gazette_2020">
        <w:r>
          <w:rPr>
            <w:rStyle w:val="Hyperlink"/>
          </w:rPr>
          <w:t xml:space="preserve">HM Treasury, 2020b</w:t>
        </w:r>
      </w:hyperlink>
      <w:r>
        <w:t xml:space="preserve">)</w:t>
      </w:r>
      <w:r>
        <w:t xml:space="preserve">.</w:t>
      </w:r>
    </w:p>
    <w:bookmarkStart w:id="199" w:name="Xce366d345d7bf2535b6afe72751a9e932c9c50c"/>
    <w:p>
      <w:pPr>
        <w:pStyle w:val="Heading4"/>
      </w:pPr>
      <w:r>
        <w:t xml:space="preserve">What counts as business for the Department?</w:t>
      </w:r>
    </w:p>
    <w:p>
      <w:pPr>
        <w:pStyle w:val="Compact"/>
        <w:numPr>
          <w:ilvl w:val="0"/>
          <w:numId w:val="1237"/>
        </w:numPr>
      </w:pPr>
      <w:r>
        <w:rPr>
          <w:b/>
          <w:bCs/>
        </w:rPr>
        <w:t xml:space="preserve">Non-business:</w:t>
      </w:r>
      <w:r>
        <w:t xml:space="preserve"> </w:t>
      </w:r>
      <w:r>
        <w:t xml:space="preserve">the Department’s statutory functions, carried out without charge. Examples are policy work, regulation, running programmes, training its own staff for that work, and gifting equipment to an overseas government</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VATGPB3100</w:t>
        </w:r>
      </w:hyperlink>
      <w:r>
        <w:t xml:space="preserve">)</w:t>
      </w:r>
      <w:r>
        <w:t xml:space="preserve">.</w:t>
      </w:r>
    </w:p>
    <w:p>
      <w:pPr>
        <w:pStyle w:val="Compact"/>
        <w:numPr>
          <w:ilvl w:val="0"/>
          <w:numId w:val="1237"/>
        </w:numPr>
      </w:pPr>
      <w:r>
        <w:rPr>
          <w:b/>
          <w:bCs/>
        </w:rPr>
        <w:t xml:space="preserve">Business:</w:t>
      </w:r>
      <w:r>
        <w:t xml:space="preserve"> </w:t>
      </w:r>
      <w:r>
        <w:t xml:space="preserve">activities carried on for payment</w:t>
      </w:r>
      <w:r>
        <w:t xml:space="preserve"> </w:t>
      </w:r>
      <w:r>
        <w:t xml:space="preserve">(</w:t>
      </w:r>
      <w:hyperlink w:anchor="ref-hmrc_n700">
        <w:r>
          <w:rPr>
            <w:rStyle w:val="Hyperlink"/>
          </w:rPr>
          <w:t xml:space="preserve">HMRC, 2026o, para. 4.6.2</w:t>
        </w:r>
      </w:hyperlink>
      <w:r>
        <w:t xml:space="preserve">)</w:t>
      </w:r>
      <w:r>
        <w:t xml:space="preserve">. HMRC’s framework for government departments gives</w:t>
      </w:r>
      <w:r>
        <w:t xml:space="preserve"> </w:t>
      </w:r>
      <w:r>
        <w:t xml:space="preserve">“</w:t>
      </w:r>
      <w:r>
        <w:t xml:space="preserve">sale of assets</w:t>
      </w:r>
      <w:r>
        <w:t xml:space="preserve">”</w:t>
      </w:r>
      <w:r>
        <w:t xml:space="preserve"> </w:t>
      </w:r>
      <w:r>
        <w:t xml:space="preserve">and</w:t>
      </w:r>
      <w:r>
        <w:t xml:space="preserve"> </w:t>
      </w:r>
      <w:r>
        <w:t xml:space="preserve">“</w:t>
      </w:r>
      <w:r>
        <w:t xml:space="preserve">publications</w:t>
      </w:r>
      <w:r>
        <w:t xml:space="preserve">”</w:t>
      </w:r>
      <w:r>
        <w:t xml:space="preserve"> </w:t>
      </w:r>
      <w:r>
        <w:t xml:space="preserve">as examples of standard-rated supplies</w:t>
      </w:r>
      <w:r>
        <w:t xml:space="preserve"> </w:t>
      </w:r>
      <w:r>
        <w:t xml:space="preserve">(</w:t>
      </w:r>
      <w:hyperlink w:anchor="ref-hmrc_gdpef">
        <w:r>
          <w:rPr>
            <w:rStyle w:val="Hyperlink"/>
          </w:rPr>
          <w:t xml:space="preserve">HMRC, 2023c</w:t>
        </w:r>
      </w:hyperlink>
      <w:r>
        <w:t xml:space="preserve">)</w:t>
      </w:r>
      <w:r>
        <w:t xml:space="preserve">. So when the Department sells surplus equipment, publications or data licences, it is carrying on business.</w:t>
      </w:r>
    </w:p>
    <w:p>
      <w:pPr>
        <w:pStyle w:val="Compact"/>
        <w:numPr>
          <w:ilvl w:val="0"/>
          <w:numId w:val="1237"/>
        </w:numPr>
      </w:pPr>
      <w:r>
        <w:rPr>
          <w:b/>
          <w:bCs/>
        </w:rPr>
        <w:t xml:space="preserve">Section 41A</w:t>
      </w:r>
      <w:r>
        <w:t xml:space="preserve"> </w:t>
      </w:r>
      <w:r>
        <w:t xml:space="preserve">adds a further rule for public bodies. An activity carried on</w:t>
      </w:r>
      <w:r>
        <w:t xml:space="preserve"> </w:t>
      </w:r>
      <w:r>
        <w:t xml:space="preserve">“</w:t>
      </w:r>
      <w:r>
        <w:t xml:space="preserve">as a public authority</w:t>
      </w:r>
      <w:r>
        <w:t xml:space="preserve">”</w:t>
      </w:r>
      <w:r>
        <w:t xml:space="preserve"> </w:t>
      </w:r>
      <w:r>
        <w:t xml:space="preserve">is normally non-business. It is treated as business where treating it as non-business would lead to a significant distortion of competition, or where it appears on a statutory list of activities, unless the scale is negligible (Value Added Tax Act 1994, s. 41A)</w:t>
      </w:r>
      <w:r>
        <w:t xml:space="preserve"> </w:t>
      </w:r>
      <w:r>
        <w:t xml:space="preserve">(</w:t>
      </w:r>
      <w:hyperlink w:anchor="ref-hmrc_vatgpb">
        <w:r>
          <w:rPr>
            <w:rStyle w:val="Hyperlink"/>
          </w:rPr>
          <w:t xml:space="preserve">HMRC, 2026n, sec. VATGPB2200</w:t>
        </w:r>
      </w:hyperlink>
      <w:r>
        <w:t xml:space="preserve">)</w:t>
      </w:r>
      <w:r>
        <w:t xml:space="preserve">. If the Department’s status on an activity is unclear, get it confirmed.</w:t>
      </w:r>
    </w:p>
    <w:bookmarkEnd w:id="199"/>
    <w:bookmarkStart w:id="200" w:name="the-rule-in-practice"/>
    <w:p>
      <w:pPr>
        <w:pStyle w:val="Heading4"/>
      </w:pPr>
      <w:r>
        <w:t xml:space="preserve">The rule in practice</w:t>
      </w:r>
    </w:p>
    <w:p>
      <w:pPr>
        <w:pStyle w:val="FirstParagraph"/>
      </w:pPr>
      <w:r>
        <w:t xml:space="preserve">The table below shows where the VAT on a cost goes, depending on how the Department uses that cost</w:t>
      </w:r>
      <w:r>
        <w:t xml:space="preserve"> </w:t>
      </w:r>
      <w:r>
        <w:t xml:space="preserve">(</w:t>
      </w:r>
      <w:hyperlink w:anchor="ref-hmrc_gdpef">
        <w:r>
          <w:rPr>
            <w:rStyle w:val="Hyperlink"/>
          </w:rPr>
          <w:t xml:space="preserve">HMRC, 2023c</w:t>
        </w:r>
      </w:hyperlink>
      <w:r>
        <w:t xml:space="preserve">;</w:t>
      </w:r>
      <w:r>
        <w:t xml:space="preserve"> </w:t>
      </w:r>
      <w:hyperlink w:anchor="ref-hmrc_n706">
        <w:r>
          <w:rPr>
            <w:rStyle w:val="Hyperlink"/>
          </w:rPr>
          <w:t xml:space="preserve">HMRC, 2025h, paras 2.2, 2.3</w:t>
        </w:r>
      </w:hyperlink>
      <w:r>
        <w:t xml:space="preserve"> </w:t>
      </w:r>
      <w:r>
        <w:t xml:space="preserve">and 11.1)</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454"/>
        <w:gridCol w:w="2793"/>
        <w:gridCol w:w="2777"/>
      </w:tblGrid>
      <w:tr>
        <w:trPr>
          <w:tblHeader w:val="true"/>
          <w:cantSplit w:val="true"/>
        </w:trPr>
        <w:tc>
          <w:tcPr>
            <w:tcW w:w="3454" w:type="dxa"/>
            <w:shd w:val="clear" w:color="auto" w:fill="1B3A5C"/>
          </w:tcPr>
          <w:p>
            <w:pPr>
              <w:pStyle w:val="Compact"/>
              <w:spacing w:after="40" w:before="40"/>
              <w:jc w:val="left"/>
            </w:pPr>
            <w:r>
              <w:rPr>
                <w:rFonts w:ascii="Tahoma" w:hAnsi="Tahoma"/>
                <w:b/>
                <w:color w:val="FFFFFF"/>
                <w:sz w:val="22"/>
              </w:rPr>
              <w:t xml:space="preserve">How the cost is used</w:t>
            </w:r>
          </w:p>
        </w:tc>
        <w:tc>
          <w:tcPr>
            <w:tcW w:w="2793" w:type="dxa"/>
            <w:shd w:val="clear" w:color="auto" w:fill="1B3A5C"/>
          </w:tcPr>
          <w:p>
            <w:pPr>
              <w:pStyle w:val="Compact"/>
              <w:spacing w:after="40" w:before="40"/>
              <w:jc w:val="left"/>
            </w:pPr>
            <w:r>
              <w:rPr>
                <w:rFonts w:ascii="Tahoma" w:hAnsi="Tahoma"/>
                <w:b/>
                <w:color w:val="FFFFFF"/>
                <w:sz w:val="22"/>
              </w:rPr>
              <w:t xml:space="preserve">VAT treatment</w:t>
            </w:r>
          </w:p>
        </w:tc>
        <w:tc>
          <w:tcPr>
            <w:tcW w:w="2777" w:type="dxa"/>
            <w:shd w:val="clear" w:color="auto" w:fill="1B3A5C"/>
          </w:tcPr>
          <w:p>
            <w:pPr>
              <w:pStyle w:val="Compact"/>
              <w:spacing w:after="40" w:before="40"/>
              <w:jc w:val="left"/>
            </w:pPr>
            <w:r>
              <w:rPr>
                <w:rFonts w:ascii="Tahoma" w:hAnsi="Tahoma"/>
                <w:b/>
                <w:color w:val="FFFFFF"/>
                <w:sz w:val="22"/>
              </w:rPr>
              <w:t xml:space="preserve">Where it goes</w:t>
            </w:r>
          </w:p>
        </w:tc>
      </w:tr>
      <w:tr>
        <w:trPr>
          <w:cantSplit w:val="true"/>
        </w:trPr>
        <w:tc>
          <w:tcPr>
            <w:tcW w:w="3454" w:type="dxa"/>
            <w:shd w:val="clear" w:color="auto" w:fill="EAF3FA"/>
          </w:tcPr>
          <w:p>
            <w:pPr>
              <w:pStyle w:val="Compact"/>
              <w:spacing w:after="40" w:before="40"/>
              <w:jc w:val="left"/>
            </w:pPr>
            <w:r>
              <w:rPr>
                <w:rFonts w:ascii="Tahoma" w:hAnsi="Tahoma"/>
                <w:sz w:val="22"/>
              </w:rPr>
              <w:t xml:space="preserve">Wholly for</w:t>
            </w:r>
            <w:r>
              <w:rPr>
                <w:rFonts w:ascii="Tahoma" w:hAnsi="Tahoma"/>
                <w:sz w:val="22"/>
              </w:rPr>
              <w:t xml:space="preserve"> </w:t>
            </w:r>
            <w:r>
              <w:rPr>
                <w:rFonts w:ascii="Tahoma" w:hAnsi="Tahoma"/>
                <w:b/>
                <w:bCs/>
                <w:sz w:val="22"/>
              </w:rPr>
              <w:t xml:space="preserve">taxable</w:t>
            </w:r>
            <w:r>
              <w:rPr>
                <w:rFonts w:ascii="Tahoma" w:hAnsi="Tahoma"/>
                <w:sz w:val="22"/>
              </w:rPr>
              <w:t xml:space="preserve"> </w:t>
            </w:r>
            <w:r>
              <w:rPr>
                <w:rFonts w:ascii="Tahoma" w:hAnsi="Tahoma"/>
                <w:sz w:val="22"/>
              </w:rPr>
              <w:t xml:space="preserve">business supplies (standard-, reduced- or zero-rated, or outside-the-UK supplies that would be taxable here)</w:t>
            </w:r>
          </w:p>
        </w:tc>
        <w:tc>
          <w:tcPr>
            <w:tcW w:w="2793" w:type="dxa"/>
            <w:shd w:val="clear" w:color="auto" w:fill="EAF3FA"/>
          </w:tcPr>
          <w:p>
            <w:pPr>
              <w:pStyle w:val="Compact"/>
              <w:spacing w:after="40" w:before="40"/>
              <w:jc w:val="left"/>
            </w:pPr>
            <w:r>
              <w:rPr>
                <w:rFonts w:ascii="Tahoma" w:hAnsi="Tahoma"/>
                <w:b/>
                <w:bCs/>
                <w:sz w:val="22"/>
              </w:rPr>
              <w:t xml:space="preserve">Input tax</w:t>
            </w:r>
            <w:r>
              <w:rPr>
                <w:rFonts w:ascii="Tahoma" w:hAnsi="Tahoma"/>
                <w:sz w:val="22"/>
              </w:rPr>
              <w:t xml:space="preserve">, deductible under the normal rules (s24–26 VATA 1994)</w:t>
            </w:r>
          </w:p>
        </w:tc>
        <w:tc>
          <w:tcPr>
            <w:tcW w:w="2777" w:type="dxa"/>
            <w:shd w:val="clear" w:color="auto" w:fill="EAF3FA"/>
          </w:tcPr>
          <w:p>
            <w:pPr>
              <w:pStyle w:val="Compact"/>
              <w:spacing w:after="40" w:before="40"/>
              <w:jc w:val="left"/>
            </w:pPr>
            <w:r>
              <w:rPr>
                <w:rFonts w:ascii="Tahoma" w:hAnsi="Tahoma"/>
                <w:sz w:val="22"/>
              </w:rPr>
              <w:t xml:space="preserve">Normal input tax.</w:t>
            </w:r>
            <w:r>
              <w:rPr>
                <w:rFonts w:ascii="Tahoma" w:hAnsi="Tahoma"/>
                <w:sz w:val="22"/>
              </w:rPr>
              <w:t xml:space="preserve"> </w:t>
            </w:r>
            <w:r>
              <w:rPr>
                <w:rFonts w:ascii="Tahoma" w:hAnsi="Tahoma"/>
                <w:b/>
                <w:bCs/>
                <w:sz w:val="22"/>
              </w:rPr>
              <w:t xml:space="preserve">Not</w:t>
            </w:r>
            <w:r>
              <w:rPr>
                <w:rFonts w:ascii="Tahoma" w:hAnsi="Tahoma"/>
                <w:sz w:val="22"/>
              </w:rPr>
              <w:t xml:space="preserve"> </w:t>
            </w:r>
            <w:r>
              <w:rPr>
                <w:rFonts w:ascii="Tahoma" w:hAnsi="Tahoma"/>
                <w:sz w:val="22"/>
              </w:rPr>
              <w:t xml:space="preserve">COS, even if the service is one listed in a COS heading</w:t>
            </w:r>
          </w:p>
        </w:tc>
      </w:tr>
      <w:tr>
        <w:trPr>
          <w:cantSplit w:val="true"/>
        </w:trPr>
        <w:tc>
          <w:tcPr>
            <w:tcW w:w="3454" w:type="dxa"/>
            <w:shd w:val="clear" w:color="auto" w:fill="FFFFFF"/>
          </w:tcPr>
          <w:p>
            <w:pPr>
              <w:pStyle w:val="Compact"/>
              <w:spacing w:after="40" w:before="40"/>
              <w:jc w:val="left"/>
            </w:pPr>
            <w:r>
              <w:rPr>
                <w:rFonts w:ascii="Tahoma" w:hAnsi="Tahoma"/>
                <w:sz w:val="22"/>
              </w:rPr>
              <w:t xml:space="preserve">Wholly for</w:t>
            </w:r>
            <w:r>
              <w:rPr>
                <w:rFonts w:ascii="Tahoma" w:hAnsi="Tahoma"/>
                <w:sz w:val="22"/>
              </w:rPr>
              <w:t xml:space="preserve"> </w:t>
            </w:r>
            <w:r>
              <w:rPr>
                <w:rFonts w:ascii="Tahoma" w:hAnsi="Tahoma"/>
                <w:b/>
                <w:bCs/>
                <w:sz w:val="22"/>
              </w:rPr>
              <w:t xml:space="preserve">exempt</w:t>
            </w:r>
            <w:r>
              <w:rPr>
                <w:rFonts w:ascii="Tahoma" w:hAnsi="Tahoma"/>
                <w:sz w:val="22"/>
              </w:rPr>
              <w:t xml:space="preserve"> </w:t>
            </w:r>
            <w:r>
              <w:rPr>
                <w:rFonts w:ascii="Tahoma" w:hAnsi="Tahoma"/>
                <w:sz w:val="22"/>
              </w:rPr>
              <w:t xml:space="preserve">business supplies</w:t>
            </w:r>
          </w:p>
        </w:tc>
        <w:tc>
          <w:tcPr>
            <w:tcW w:w="2793" w:type="dxa"/>
            <w:shd w:val="clear" w:color="auto" w:fill="FFFFFF"/>
          </w:tcPr>
          <w:p>
            <w:pPr>
              <w:pStyle w:val="Compact"/>
              <w:spacing w:after="40" w:before="40"/>
              <w:jc w:val="left"/>
            </w:pPr>
            <w:r>
              <w:rPr>
                <w:rFonts w:ascii="Tahoma" w:hAnsi="Tahoma"/>
                <w:sz w:val="22"/>
              </w:rPr>
              <w:t xml:space="preserve">Exempt input tax, not normally recoverable (subject to the partial exemption de minimis rules)</w:t>
            </w:r>
          </w:p>
        </w:tc>
        <w:tc>
          <w:tcPr>
            <w:tcW w:w="2777" w:type="dxa"/>
            <w:shd w:val="clear" w:color="auto" w:fill="FFFFFF"/>
          </w:tcPr>
          <w:p>
            <w:pPr>
              <w:pStyle w:val="Compact"/>
              <w:spacing w:after="40" w:before="40"/>
              <w:jc w:val="left"/>
            </w:pPr>
            <w:r>
              <w:rPr>
                <w:rFonts w:ascii="Tahoma" w:hAnsi="Tahoma"/>
                <w:sz w:val="22"/>
              </w:rPr>
              <w:t xml:space="preserve">Not recoverable, and not COS</w:t>
            </w:r>
          </w:p>
        </w:tc>
      </w:tr>
      <w:tr>
        <w:trPr>
          <w:cantSplit w:val="true"/>
        </w:trPr>
        <w:tc>
          <w:tcPr>
            <w:tcW w:w="3454" w:type="dxa"/>
            <w:shd w:val="clear" w:color="auto" w:fill="FBEAF1"/>
          </w:tcPr>
          <w:p>
            <w:pPr>
              <w:pStyle w:val="Compact"/>
              <w:spacing w:after="40" w:before="40"/>
              <w:jc w:val="left"/>
            </w:pPr>
            <w:r>
              <w:rPr>
                <w:rFonts w:ascii="Tahoma" w:hAnsi="Tahoma"/>
                <w:sz w:val="22"/>
              </w:rPr>
              <w:t xml:space="preserve">Wholly for</w:t>
            </w:r>
            <w:r>
              <w:rPr>
                <w:rFonts w:ascii="Tahoma" w:hAnsi="Tahoma"/>
                <w:sz w:val="22"/>
              </w:rPr>
              <w:t xml:space="preserve"> </w:t>
            </w:r>
            <w:r>
              <w:rPr>
                <w:rFonts w:ascii="Tahoma" w:hAnsi="Tahoma"/>
                <w:b/>
                <w:bCs/>
                <w:sz w:val="22"/>
              </w:rPr>
              <w:t xml:space="preserve">non-business</w:t>
            </w:r>
            <w:r>
              <w:rPr>
                <w:rFonts w:ascii="Tahoma" w:hAnsi="Tahoma"/>
                <w:sz w:val="22"/>
              </w:rPr>
              <w:t xml:space="preserve"> </w:t>
            </w:r>
            <w:r>
              <w:rPr>
                <w:rFonts w:ascii="Tahoma" w:hAnsi="Tahoma"/>
                <w:sz w:val="22"/>
              </w:rPr>
              <w:t xml:space="preserve">activity, and the service is within a COS heading</w:t>
            </w:r>
          </w:p>
        </w:tc>
        <w:tc>
          <w:tcPr>
            <w:tcW w:w="2793" w:type="dxa"/>
            <w:shd w:val="clear" w:color="auto" w:fill="FBEAF1"/>
          </w:tcPr>
          <w:p>
            <w:pPr>
              <w:pStyle w:val="Compact"/>
              <w:spacing w:after="40" w:before="40"/>
              <w:jc w:val="left"/>
            </w:pPr>
            <w:r>
              <w:rPr>
                <w:rFonts w:ascii="Tahoma" w:hAnsi="Tahoma"/>
                <w:sz w:val="22"/>
              </w:rPr>
              <w:t xml:space="preserve">Not input tax, but</w:t>
            </w:r>
            <w:r>
              <w:rPr>
                <w:rFonts w:ascii="Tahoma" w:hAnsi="Tahoma"/>
                <w:sz w:val="22"/>
              </w:rPr>
              <w:t xml:space="preserve"> </w:t>
            </w:r>
            <w:r>
              <w:rPr>
                <w:rFonts w:ascii="Tahoma" w:hAnsi="Tahoma"/>
                <w:b/>
                <w:bCs/>
                <w:sz w:val="22"/>
              </w:rPr>
              <w:t xml:space="preserve">refundable under s41(3)</w:t>
            </w:r>
          </w:p>
        </w:tc>
        <w:tc>
          <w:tcPr>
            <w:tcW w:w="2777" w:type="dxa"/>
            <w:shd w:val="clear" w:color="auto" w:fill="FBEAF1"/>
          </w:tcPr>
          <w:p>
            <w:pPr>
              <w:pStyle w:val="Compact"/>
              <w:spacing w:after="40" w:before="40"/>
              <w:jc w:val="left"/>
            </w:pPr>
            <w:r>
              <w:rPr>
                <w:rFonts w:ascii="Tahoma" w:hAnsi="Tahoma"/>
                <w:sz w:val="22"/>
              </w:rPr>
              <w:t xml:space="preserve">COS claim</w:t>
            </w:r>
          </w:p>
        </w:tc>
      </w:tr>
      <w:tr>
        <w:trPr>
          <w:cantSplit w:val="true"/>
        </w:trPr>
        <w:tc>
          <w:tcPr>
            <w:tcW w:w="3454" w:type="dxa"/>
            <w:shd w:val="clear" w:color="auto" w:fill="EAF3FA"/>
          </w:tcPr>
          <w:p>
            <w:pPr>
              <w:pStyle w:val="Compact"/>
              <w:spacing w:after="40" w:before="40"/>
              <w:jc w:val="left"/>
            </w:pPr>
            <w:r>
              <w:rPr>
                <w:rFonts w:ascii="Tahoma" w:hAnsi="Tahoma"/>
                <w:sz w:val="22"/>
              </w:rPr>
              <w:t xml:space="preserve">Wholly for</w:t>
            </w:r>
            <w:r>
              <w:rPr>
                <w:rFonts w:ascii="Tahoma" w:hAnsi="Tahoma"/>
                <w:sz w:val="22"/>
              </w:rPr>
              <w:t xml:space="preserve"> </w:t>
            </w:r>
            <w:r>
              <w:rPr>
                <w:rFonts w:ascii="Tahoma" w:hAnsi="Tahoma"/>
                <w:b/>
                <w:bCs/>
                <w:sz w:val="22"/>
              </w:rPr>
              <w:t xml:space="preserve">non-business</w:t>
            </w:r>
            <w:r>
              <w:rPr>
                <w:rFonts w:ascii="Tahoma" w:hAnsi="Tahoma"/>
                <w:sz w:val="22"/>
              </w:rPr>
              <w:t xml:space="preserve"> </w:t>
            </w:r>
            <w:r>
              <w:rPr>
                <w:rFonts w:ascii="Tahoma" w:hAnsi="Tahoma"/>
                <w:sz w:val="22"/>
              </w:rPr>
              <w:t xml:space="preserve">activity, and</w:t>
            </w:r>
            <w:r>
              <w:rPr>
                <w:rFonts w:ascii="Tahoma" w:hAnsi="Tahoma"/>
                <w:sz w:val="22"/>
              </w:rPr>
              <w:t xml:space="preserve"> </w:t>
            </w:r>
            <w:r>
              <w:rPr>
                <w:rFonts w:ascii="Tahoma" w:hAnsi="Tahoma"/>
                <w:b/>
                <w:bCs/>
                <w:sz w:val="22"/>
              </w:rPr>
              <w:t xml:space="preserve">not</w:t>
            </w:r>
            <w:r>
              <w:rPr>
                <w:rFonts w:ascii="Tahoma" w:hAnsi="Tahoma"/>
                <w:sz w:val="22"/>
              </w:rPr>
              <w:t xml:space="preserve"> </w:t>
            </w:r>
            <w:r>
              <w:rPr>
                <w:rFonts w:ascii="Tahoma" w:hAnsi="Tahoma"/>
                <w:sz w:val="22"/>
              </w:rPr>
              <w:t xml:space="preserve">within a COS heading (including most goods)</w:t>
            </w:r>
          </w:p>
        </w:tc>
        <w:tc>
          <w:tcPr>
            <w:tcW w:w="2793" w:type="dxa"/>
            <w:shd w:val="clear" w:color="auto" w:fill="EAF3FA"/>
          </w:tcPr>
          <w:p>
            <w:pPr>
              <w:pStyle w:val="Compact"/>
              <w:spacing w:after="40" w:before="40"/>
              <w:jc w:val="left"/>
            </w:pPr>
            <w:r>
              <w:rPr>
                <w:rFonts w:ascii="Tahoma" w:hAnsi="Tahoma"/>
                <w:sz w:val="22"/>
              </w:rPr>
              <w:t xml:space="preserve">Not input tax and not refundable</w:t>
            </w:r>
          </w:p>
        </w:tc>
        <w:tc>
          <w:tcPr>
            <w:tcW w:w="2777" w:type="dxa"/>
            <w:shd w:val="clear" w:color="auto" w:fill="EAF3FA"/>
          </w:tcPr>
          <w:p>
            <w:pPr>
              <w:pStyle w:val="Compact"/>
              <w:spacing w:after="40" w:before="40"/>
              <w:jc w:val="left"/>
            </w:pPr>
            <w:r>
              <w:rPr>
                <w:rFonts w:ascii="Tahoma" w:hAnsi="Tahoma"/>
                <w:sz w:val="22"/>
              </w:rPr>
              <w:t xml:space="preserve">A real cost to the Department</w:t>
            </w:r>
          </w:p>
        </w:tc>
      </w:tr>
      <w:tr>
        <w:trPr>
          <w:cantSplit w:val="true"/>
        </w:trPr>
        <w:tc>
          <w:tcPr>
            <w:tcW w:w="3454" w:type="dxa"/>
            <w:shd w:val="clear" w:color="auto" w:fill="FFFFFF"/>
          </w:tcPr>
          <w:p>
            <w:pPr>
              <w:pStyle w:val="Compact"/>
              <w:spacing w:after="40" w:before="40"/>
              <w:jc w:val="left"/>
            </w:pPr>
            <w:r>
              <w:rPr>
                <w:rFonts w:ascii="Tahoma" w:hAnsi="Tahoma"/>
                <w:b/>
                <w:bCs/>
                <w:sz w:val="22"/>
              </w:rPr>
              <w:t xml:space="preserve">Mixed use</w:t>
            </w:r>
            <w:r>
              <w:rPr>
                <w:rFonts w:ascii="Tahoma" w:hAnsi="Tahoma"/>
                <w:sz w:val="22"/>
              </w:rPr>
              <w:t xml:space="preserve"> </w:t>
            </w:r>
            <w:r>
              <w:rPr>
                <w:rFonts w:ascii="Tahoma" w:hAnsi="Tahoma"/>
                <w:sz w:val="22"/>
              </w:rPr>
              <w:t xml:space="preserve">(business and non-business, such as overheads)</w:t>
            </w:r>
          </w:p>
        </w:tc>
        <w:tc>
          <w:tcPr>
            <w:tcW w:w="2793" w:type="dxa"/>
            <w:shd w:val="clear" w:color="auto" w:fill="FFFFFF"/>
          </w:tcPr>
          <w:p>
            <w:pPr>
              <w:pStyle w:val="Compact"/>
              <w:spacing w:after="40" w:before="40"/>
              <w:jc w:val="left"/>
            </w:pPr>
            <w:r>
              <w:rPr>
                <w:rFonts w:ascii="Tahoma" w:hAnsi="Tahoma"/>
                <w:sz w:val="22"/>
              </w:rPr>
              <w:t xml:space="preserve">Apportion first</w:t>
            </w:r>
          </w:p>
        </w:tc>
        <w:tc>
          <w:tcPr>
            <w:tcW w:w="2777" w:type="dxa"/>
            <w:shd w:val="clear" w:color="auto" w:fill="FFFFFF"/>
          </w:tcPr>
          <w:p>
            <w:pPr>
              <w:pStyle w:val="Compact"/>
              <w:spacing w:after="40" w:before="40"/>
              <w:jc w:val="left"/>
            </w:pPr>
            <w:r>
              <w:rPr>
                <w:rFonts w:ascii="Tahoma" w:hAnsi="Tahoma"/>
                <w:sz w:val="22"/>
              </w:rPr>
              <w:t xml:space="preserve">Non-business share: COS if within a heading. Business share: input tax, subject to partial exemption</w:t>
            </w:r>
          </w:p>
        </w:tc>
      </w:tr>
    </w:tbl>
    <w:p>
      <w:pPr>
        <w:pStyle w:val="BodyText"/>
        <w:spacing w:before="200"/>
      </w:pPr>
      <w:r>
        <w:t xml:space="preserve">HMRC warns:</w:t>
      </w:r>
      <w:r>
        <w:t xml:space="preserve"> </w:t>
      </w:r>
      <w:r>
        <w:t xml:space="preserve">“</w:t>
      </w:r>
      <w:r>
        <w:t xml:space="preserve">Care must be taken not to simply identify everything from a certain supplier as a COS. Each COS heading has its own conditions on what is refundable, and what is not</w:t>
      </w:r>
      <w:r>
        <w:t xml:space="preserve">”</w:t>
      </w:r>
      <w:r>
        <w:t xml:space="preserve"> </w:t>
      </w:r>
      <w:r>
        <w:t xml:space="preserve">(</w:t>
      </w:r>
      <w:hyperlink w:anchor="ref-hmrc_gdpef">
        <w:r>
          <w:rPr>
            <w:rStyle w:val="Hyperlink"/>
          </w:rPr>
          <w:t xml:space="preserve">HMRC, 2023c</w:t>
        </w:r>
      </w:hyperlink>
      <w:r>
        <w:t xml:space="preserve">)</w:t>
      </w:r>
      <w:r>
        <w:t xml:space="preserve">.</w:t>
      </w:r>
    </w:p>
    <w:bookmarkEnd w:id="200"/>
    <w:bookmarkStart w:id="201" w:name="partial-exemption-in-one-paragraph"/>
    <w:p>
      <w:pPr>
        <w:pStyle w:val="Heading4"/>
      </w:pPr>
      <w:r>
        <w:t xml:space="preserve">Partial exemption in one paragraph</w:t>
      </w:r>
    </w:p>
    <w:p>
      <w:pPr>
        <w:pStyle w:val="FirstParagraph"/>
      </w:pPr>
      <w:r>
        <w:rPr>
          <w:b/>
          <w:bCs/>
        </w:rPr>
        <w:t xml:space="preserve">Partial exemption</w:t>
      </w:r>
      <w:r>
        <w:t xml:space="preserve"> </w:t>
      </w:r>
      <w:r>
        <w:t xml:space="preserve">is the set of rules for a VAT-registered person that makes both taxable and exempt supplies. Such a person cannot deduct all of its input tax: the part linked to exempt supplies is normally lost</w:t>
      </w:r>
      <w:r>
        <w:t xml:space="preserve"> </w:t>
      </w:r>
      <w:r>
        <w:t xml:space="preserve">(</w:t>
      </w:r>
      <w:hyperlink w:anchor="ref-hmrc_n706">
        <w:r>
          <w:rPr>
            <w:rStyle w:val="Hyperlink"/>
          </w:rPr>
          <w:t xml:space="preserve">HMRC, 2025h, paras 2.1, 2.3</w:t>
        </w:r>
      </w:hyperlink>
      <w:r>
        <w:t xml:space="preserve">)</w:t>
      </w:r>
      <w:r>
        <w:t xml:space="preserve">.</w:t>
      </w:r>
    </w:p>
    <w:p>
      <w:pPr>
        <w:pStyle w:val="Compact"/>
        <w:numPr>
          <w:ilvl w:val="0"/>
          <w:numId w:val="1238"/>
        </w:numPr>
      </w:pPr>
      <w:r>
        <w:t xml:space="preserve">The</w:t>
      </w:r>
      <w:r>
        <w:t xml:space="preserve"> </w:t>
      </w:r>
      <w:r>
        <w:rPr>
          <w:b/>
          <w:bCs/>
        </w:rPr>
        <w:t xml:space="preserve">standard method</w:t>
      </w:r>
      <w:r>
        <w:t xml:space="preserve"> </w:t>
      </w:r>
      <w:r>
        <w:t xml:space="preserve">apportions by value of supplies. It is the default and needs no HMRC approval</w:t>
      </w:r>
      <w:r>
        <w:t xml:space="preserve"> </w:t>
      </w:r>
      <w:r>
        <w:t xml:space="preserve">(</w:t>
      </w:r>
      <w:hyperlink w:anchor="ref-hmrc_gdpef">
        <w:r>
          <w:rPr>
            <w:rStyle w:val="Hyperlink"/>
          </w:rPr>
          <w:t xml:space="preserve">HMRC, 2023c</w:t>
        </w:r>
      </w:hyperlink>
      <w:r>
        <w:t xml:space="preserve">;</w:t>
      </w:r>
      <w:r>
        <w:t xml:space="preserve"> </w:t>
      </w:r>
      <w:hyperlink w:anchor="ref-hmrc_n706">
        <w:r>
          <w:rPr>
            <w:rStyle w:val="Hyperlink"/>
          </w:rPr>
          <w:t xml:space="preserve">2025h, paras 3.9, 4.3</w:t>
        </w:r>
      </w:hyperlink>
      <w:r>
        <w:t xml:space="preserve">)</w:t>
      </w:r>
      <w:r>
        <w:t xml:space="preserve">.</w:t>
      </w:r>
    </w:p>
    <w:p>
      <w:pPr>
        <w:pStyle w:val="Compact"/>
        <w:numPr>
          <w:ilvl w:val="0"/>
          <w:numId w:val="1238"/>
        </w:numPr>
      </w:pPr>
      <w:r>
        <w:t xml:space="preserve">A department can ask HMRC to approve a</w:t>
      </w:r>
      <w:r>
        <w:t xml:space="preserve"> </w:t>
      </w:r>
      <w:r>
        <w:rPr>
          <w:b/>
          <w:bCs/>
        </w:rPr>
        <w:t xml:space="preserve">special method (PESM)</w:t>
      </w:r>
      <w:r>
        <w:t xml:space="preserve">, or a</w:t>
      </w:r>
      <w:r>
        <w:t xml:space="preserve"> </w:t>
      </w:r>
      <w:r>
        <w:rPr>
          <w:b/>
          <w:bCs/>
        </w:rPr>
        <w:t xml:space="preserve">combined method</w:t>
      </w:r>
      <w:r>
        <w:t xml:space="preserve"> </w:t>
      </w:r>
      <w:r>
        <w:t xml:space="preserve">that covers business/non-business and partial exemption together</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38"/>
        </w:numPr>
      </w:pPr>
      <w:r>
        <w:t xml:space="preserve">HMRC’s framework (published 29 March 2023) says the</w:t>
      </w:r>
      <w:r>
        <w:t xml:space="preserve"> </w:t>
      </w:r>
      <w:r>
        <w:rPr>
          <w:b/>
          <w:bCs/>
        </w:rPr>
        <w:t xml:space="preserve">business/non-business apportionment must be done before the partial exemption calculation</w:t>
      </w:r>
      <w:r>
        <w:t xml:space="preserve"> </w:t>
      </w:r>
      <w:r>
        <w:t xml:space="preserve">(</w:t>
      </w:r>
      <w:hyperlink w:anchor="ref-hmrc_gdpef">
        <w:r>
          <w:rPr>
            <w:rStyle w:val="Hyperlink"/>
          </w:rPr>
          <w:t xml:space="preserve">HMRC, 2023c</w:t>
        </w:r>
      </w:hyperlink>
      <w:r>
        <w:t xml:space="preserve">)</w:t>
      </w:r>
      <w:r>
        <w:t xml:space="preserve">.</w:t>
      </w:r>
    </w:p>
    <w:bookmarkEnd w:id="201"/>
    <w:bookmarkStart w:id="202" w:name="worked-example-a-mixed-use-it-contract"/>
    <w:p>
      <w:pPr>
        <w:pStyle w:val="Heading4"/>
      </w:pPr>
      <w:r>
        <w:t xml:space="preserve">Worked example: a mixed-use IT contract</w:t>
      </w:r>
    </w:p>
    <w:p>
      <w:pPr>
        <w:pStyle w:val="FirstParagraph"/>
      </w:pPr>
      <w:r>
        <w:t xml:space="preserve">The Department pays £100,000 + £20,000 VAT for a managed IT service built to its specification (within Heading 14)</w:t>
      </w:r>
      <w:r>
        <w:t xml:space="preserve"> </w:t>
      </w:r>
      <w:r>
        <w:t xml:space="preserve">(</w:t>
      </w:r>
      <w:hyperlink w:anchor="ref-hmrc_vatgpb">
        <w:r>
          <w:rPr>
            <w:rStyle w:val="Hyperlink"/>
          </w:rPr>
          <w:t xml:space="preserve">HMRC, 2026n, sec. VATGPB10010</w:t>
        </w:r>
      </w:hyperlink>
      <w:r>
        <w:t xml:space="preserve">)</w:t>
      </w:r>
      <w:r>
        <w:t xml:space="preserve">. The system supports everything the Department does. Its agreed business/non-business method shows 90% non-business use and 10% business use (the surplus-sales and data-licensing unit).</w:t>
      </w:r>
    </w:p>
    <w:p>
      <w:pPr>
        <w:pStyle w:val="Compact"/>
        <w:numPr>
          <w:ilvl w:val="0"/>
          <w:numId w:val="1239"/>
        </w:numPr>
      </w:pPr>
      <w:r>
        <w:t xml:space="preserve">Non-business share: £20,000 × 90% =</w:t>
      </w:r>
      <w:r>
        <w:t xml:space="preserve"> </w:t>
      </w:r>
      <w:r>
        <w:rPr>
          <w:b/>
          <w:bCs/>
        </w:rPr>
        <w:t xml:space="preserve">£18,000</w:t>
      </w:r>
      <w:r>
        <w:t xml:space="preserve">, refundable under</w:t>
      </w:r>
      <w:r>
        <w:t xml:space="preserve"> </w:t>
      </w:r>
      <w:r>
        <w:rPr>
          <w:b/>
          <w:bCs/>
        </w:rPr>
        <w:t xml:space="preserve">Heading 14</w:t>
      </w:r>
      <w:r>
        <w:t xml:space="preserve">.</w:t>
      </w:r>
    </w:p>
    <w:p>
      <w:pPr>
        <w:pStyle w:val="Compact"/>
        <w:numPr>
          <w:ilvl w:val="0"/>
          <w:numId w:val="1239"/>
        </w:numPr>
      </w:pPr>
      <w:r>
        <w:t xml:space="preserve">Business share: £20,000 × 10% =</w:t>
      </w:r>
      <w:r>
        <w:t xml:space="preserve"> </w:t>
      </w:r>
      <w:r>
        <w:rPr>
          <w:b/>
          <w:bCs/>
        </w:rPr>
        <w:t xml:space="preserve">£2,000</w:t>
      </w:r>
      <w:r>
        <w:t xml:space="preserve">. This is input tax, dealt with under the partial exemption method. If the business activities are all taxable, it is recoverable in full</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39"/>
        </w:numPr>
      </w:pPr>
      <w:r>
        <w:t xml:space="preserve">If the contract were not within any heading, for example off-the-shelf software licences</w:t>
      </w:r>
      <w:r>
        <w:t xml:space="preserve"> </w:t>
      </w:r>
      <w:r>
        <w:t xml:space="preserve">(</w:t>
      </w:r>
      <w:hyperlink w:anchor="ref-hmrc_vatgpb">
        <w:r>
          <w:rPr>
            <w:rStyle w:val="Hyperlink"/>
          </w:rPr>
          <w:t xml:space="preserve">HMRC, 2026n, sec. VATGPB10010</w:t>
        </w:r>
      </w:hyperlink>
      <w:r>
        <w:t xml:space="preserve">)</w:t>
      </w:r>
      <w:r>
        <w:t xml:space="preserve">, the £18,000 non-business share would be a</w:t>
      </w:r>
      <w:r>
        <w:t xml:space="preserve"> </w:t>
      </w:r>
      <w:r>
        <w:rPr>
          <w:b/>
          <w:bCs/>
        </w:rPr>
        <w:t xml:space="preserve">cost</w:t>
      </w:r>
      <w:r>
        <w:t xml:space="preserve">. Only the £2,000 business share could be recovered, and then as input tax</w:t>
      </w:r>
      <w:r>
        <w:t xml:space="preserve"> </w:t>
      </w:r>
      <w:r>
        <w:t xml:space="preserve">(</w:t>
      </w:r>
      <w:hyperlink w:anchor="ref-hmrc_gdpef">
        <w:r>
          <w:rPr>
            <w:rStyle w:val="Hyperlink"/>
          </w:rPr>
          <w:t xml:space="preserve">HMRC, 2023c</w:t>
        </w:r>
      </w:hyperlink>
      <w:r>
        <w:t xml:space="preserve">)</w:t>
      </w:r>
      <w:r>
        <w:t xml:space="preserve">.</w:t>
      </w:r>
    </w:p>
    <w:bookmarkEnd w:id="202"/>
    <w:bookmarkEnd w:id="203"/>
    <w:bookmarkStart w:id="212" w:name="how-and-when-to-claim"/>
    <w:p>
      <w:pPr>
        <w:pStyle w:val="Heading3"/>
      </w:pPr>
      <w:r>
        <w:t xml:space="preserve">How and when to claim</w:t>
      </w:r>
    </w:p>
    <w:bookmarkStart w:id="204" w:name="where-the-claim-goes"/>
    <w:p>
      <w:pPr>
        <w:pStyle w:val="Heading4"/>
      </w:pPr>
      <w:r>
        <w:t xml:space="preserve">Where the claim goes</w:t>
      </w:r>
    </w:p>
    <w:p>
      <w:pPr>
        <w:pStyle w:val="Compact"/>
        <w:numPr>
          <w:ilvl w:val="0"/>
          <w:numId w:val="1240"/>
        </w:numPr>
      </w:pPr>
      <w:r>
        <w:t xml:space="preserve">Section 41(3) bodies recover COS VAT</w:t>
      </w:r>
      <w:r>
        <w:t xml:space="preserve"> </w:t>
      </w:r>
      <w:r>
        <w:t xml:space="preserve">“</w:t>
      </w:r>
      <w:r>
        <w:t xml:space="preserve">through their VAT return</w:t>
      </w:r>
      <w:r>
        <w:t xml:space="preserve">”</w:t>
      </w:r>
      <w:r>
        <w:t xml:space="preserve"> </w:t>
      </w:r>
      <w:r>
        <w:t xml:space="preserve">(</w:t>
      </w:r>
      <w:hyperlink w:anchor="ref-hmt_s41_paper_2020">
        <w:r>
          <w:rPr>
            <w:rStyle w:val="Hyperlink"/>
          </w:rPr>
          <w:t xml:space="preserve">HM Treasury, 2020a, p. 7</w:t>
        </w:r>
      </w:hyperlink>
      <w:r>
        <w:t xml:space="preserve">)</w:t>
      </w:r>
      <w:r>
        <w:t xml:space="preserve">. The claim is made at the time, and in the form, HMRC sets (Value Added Tax Act 1994, s. 41(3)).</w:t>
      </w:r>
    </w:p>
    <w:p>
      <w:pPr>
        <w:pStyle w:val="Compact"/>
        <w:numPr>
          <w:ilvl w:val="0"/>
          <w:numId w:val="1240"/>
        </w:numPr>
      </w:pPr>
      <w:r>
        <w:t xml:space="preserve">HMRC’s manual also mentions form VAT 21 alongside the VAT return. It refers to inclusion</w:t>
      </w:r>
      <w:r>
        <w:t xml:space="preserve"> </w:t>
      </w:r>
      <w:r>
        <w:t xml:space="preserve">“</w:t>
      </w:r>
      <w:r>
        <w:t xml:space="preserve">on the monthly VAT 100 and accompanying VAT21</w:t>
      </w:r>
      <w:r>
        <w:t xml:space="preserve">”</w:t>
      </w:r>
      <w:r>
        <w:t xml:space="preserve"> </w:t>
      </w:r>
      <w:r>
        <w:t xml:space="preserve">for NHS bodies</w:t>
      </w:r>
      <w:r>
        <w:t xml:space="preserve"> </w:t>
      </w:r>
      <w:r>
        <w:t xml:space="preserve">(</w:t>
      </w:r>
      <w:hyperlink w:anchor="ref-hmrc_vatgpb">
        <w:r>
          <w:rPr>
            <w:rStyle w:val="Hyperlink"/>
          </w:rPr>
          <w:t xml:space="preserve">HMRC, 2026n, sec. VATGPB10430</w:t>
        </w:r>
      </w:hyperlink>
      <w:r>
        <w:t xml:space="preserve">)</w:t>
      </w:r>
      <w:r>
        <w:t xml:space="preserve">, and to government departments’ systems</w:t>
      </w:r>
      <w:r>
        <w:t xml:space="preserve"> </w:t>
      </w:r>
      <w:r>
        <w:t xml:space="preserve">“</w:t>
      </w:r>
      <w:r>
        <w:t xml:space="preserve">for submission of VAT 21 claims</w:t>
      </w:r>
      <w:r>
        <w:t xml:space="preserve">”</w:t>
      </w:r>
      <w:r>
        <w:t xml:space="preserve"> </w:t>
      </w:r>
      <w:r>
        <w:t xml:space="preserve">(</w:t>
      </w:r>
      <w:hyperlink w:anchor="ref-hmrc_vatgpb">
        <w:r>
          <w:rPr>
            <w:rStyle w:val="Hyperlink"/>
          </w:rPr>
          <w:t xml:space="preserve">HMRC, 2026n, sec. VATGPB9650</w:t>
        </w:r>
      </w:hyperlink>
      <w:r>
        <w:t xml:space="preserve">)</w:t>
      </w:r>
      <w:r>
        <w:t xml:space="preserve">.</w:t>
      </w:r>
    </w:p>
    <w:p>
      <w:pPr>
        <w:pStyle w:val="Compact"/>
        <w:numPr>
          <w:ilvl w:val="0"/>
          <w:numId w:val="1240"/>
        </w:numPr>
      </w:pPr>
      <w:r>
        <w:t xml:space="preserve">Follow the return and claim procedure agreed between your department and HMRC.</w:t>
      </w:r>
    </w:p>
    <w:p>
      <w:pPr>
        <w:pStyle w:val="Compact"/>
        <w:numPr>
          <w:ilvl w:val="0"/>
          <w:numId w:val="1240"/>
        </w:numPr>
      </w:pPr>
      <w:r>
        <w:t xml:space="preserve">For</w:t>
      </w:r>
      <w:r>
        <w:t xml:space="preserve"> </w:t>
      </w:r>
      <w:r>
        <w:rPr>
          <w:b/>
          <w:bCs/>
        </w:rPr>
        <w:t xml:space="preserve">registered section 33E bodies</w:t>
      </w:r>
      <w:r>
        <w:t xml:space="preserve">, HMRC’s guidance is explicit. They include the refund in</w:t>
      </w:r>
      <w:r>
        <w:t xml:space="preserve"> </w:t>
      </w:r>
      <w:r>
        <w:rPr>
          <w:b/>
          <w:bCs/>
        </w:rPr>
        <w:t xml:space="preserve">box 4</w:t>
      </w:r>
      <w:r>
        <w:t xml:space="preserve"> </w:t>
      </w:r>
      <w:r>
        <w:t xml:space="preserve">with their input tax, put the net purchases in</w:t>
      </w:r>
      <w:r>
        <w:t xml:space="preserve"> </w:t>
      </w:r>
      <w:r>
        <w:rPr>
          <w:b/>
          <w:bCs/>
        </w:rPr>
        <w:t xml:space="preserve">box 7</w:t>
      </w:r>
      <w:r>
        <w:t xml:space="preserve">, and also complete a</w:t>
      </w:r>
      <w:r>
        <w:t xml:space="preserve"> </w:t>
      </w:r>
      <w:r>
        <w:rPr>
          <w:b/>
          <w:bCs/>
        </w:rPr>
        <w:t xml:space="preserve">VAT 21</w:t>
      </w:r>
      <w:r>
        <w:t xml:space="preserve">. Unregistered section 33E bodies use form</w:t>
      </w:r>
      <w:r>
        <w:t xml:space="preserve"> </w:t>
      </w:r>
      <w:r>
        <w:rPr>
          <w:b/>
          <w:bCs/>
        </w:rPr>
        <w:t xml:space="preserve">VAT 126</w:t>
      </w:r>
      <w:r>
        <w:t xml:space="preserve"> </w:t>
      </w:r>
      <w:r>
        <w:t xml:space="preserve">(</w:t>
      </w:r>
      <w:hyperlink w:anchor="ref-hmrc_vatgpb">
        <w:r>
          <w:rPr>
            <w:rStyle w:val="Hyperlink"/>
          </w:rPr>
          <w:t xml:space="preserve">HMRC, 2026n, sec. VATGPB9650</w:t>
        </w:r>
      </w:hyperlink>
      <w:r>
        <w:t xml:space="preserve">)</w:t>
      </w:r>
      <w:r>
        <w:t xml:space="preserve">.</w:t>
      </w:r>
    </w:p>
    <w:bookmarkEnd w:id="204"/>
    <w:bookmarkStart w:id="205" w:name="X9853e66d473d1eb5ea083b08c81327f0af8b0d2"/>
    <w:p>
      <w:pPr>
        <w:pStyle w:val="Heading4"/>
      </w:pPr>
      <w:r>
        <w:t xml:space="preserve">The financial-year rule (section 41(3) bodies)</w:t>
      </w:r>
    </w:p>
    <w:p>
      <w:pPr>
        <w:pStyle w:val="FirstParagraph"/>
      </w:pPr>
      <w:r>
        <w:t xml:space="preserve">HMRC’s rule</w:t>
      </w:r>
      <w:r>
        <w:t xml:space="preserve"> </w:t>
      </w:r>
      <w:r>
        <w:t xml:space="preserve">(</w:t>
      </w:r>
      <w:hyperlink w:anchor="ref-hmrc_vatgpb">
        <w:r>
          <w:rPr>
            <w:rStyle w:val="Hyperlink"/>
          </w:rPr>
          <w:t xml:space="preserve">HMRC, 2026n, sec. VATGPB9720</w:t>
        </w:r>
      </w:hyperlink>
      <w:r>
        <w:t xml:space="preserve">)</w:t>
      </w:r>
      <w:r>
        <w:t xml:space="preserve">:</w:t>
      </w:r>
    </w:p>
    <w:p>
      <w:pPr>
        <w:pStyle w:val="BlockText"/>
      </w:pPr>
      <w:r>
        <w:t xml:space="preserve">“</w:t>
      </w:r>
      <w:r>
        <w:t xml:space="preserve">Because refunds of VAT under this measure are met from public expenditure rather than VAT revenues, VAT should be claimed within the financial year in which the supply in question has been received - subject to a 3-month adjustment period, meaning the claim can be made no later than the June VAT return following the financial year end.</w:t>
      </w:r>
      <w:r>
        <w:t xml:space="preserve">”</w:t>
      </w:r>
    </w:p>
    <w:p>
      <w:pPr>
        <w:pStyle w:val="Compact"/>
        <w:numPr>
          <w:ilvl w:val="0"/>
          <w:numId w:val="1241"/>
        </w:numPr>
      </w:pPr>
      <w:r>
        <w:rPr>
          <w:b/>
          <w:bCs/>
        </w:rPr>
        <w:t xml:space="preserve">“</w:t>
      </w:r>
      <w:r>
        <w:rPr>
          <w:b/>
          <w:bCs/>
        </w:rPr>
        <w:t xml:space="preserve">Received</w:t>
      </w:r>
      <w:r>
        <w:rPr>
          <w:b/>
          <w:bCs/>
        </w:rPr>
        <w:t xml:space="preserve">”</w:t>
      </w:r>
      <w:r>
        <w:rPr>
          <w:b/>
          <w:bCs/>
        </w:rPr>
        <w:t xml:space="preserve"> </w:t>
      </w:r>
      <w:r>
        <w:rPr>
          <w:b/>
          <w:bCs/>
        </w:rPr>
        <w:t xml:space="preserve">means the tax point.</w:t>
      </w:r>
      <w:r>
        <w:t xml:space="preserve"> </w:t>
      </w:r>
      <w:r>
        <w:t xml:space="preserve">The</w:t>
      </w:r>
      <w:r>
        <w:t xml:space="preserve"> </w:t>
      </w:r>
      <w:r>
        <w:rPr>
          <w:b/>
          <w:bCs/>
        </w:rPr>
        <w:t xml:space="preserve">tax point</w:t>
      </w:r>
      <w:r>
        <w:t xml:space="preserve"> </w:t>
      </w:r>
      <w:r>
        <w:t xml:space="preserve">is the date the supply is treated as taking place for VAT. It is normally the invoice date, but continuous supplies may have a tax point on payment</w:t>
      </w:r>
      <w:r>
        <w:t xml:space="preserve"> </w:t>
      </w:r>
      <w:r>
        <w:t xml:space="preserve">(</w:t>
      </w:r>
      <w:hyperlink w:anchor="ref-hmrc_vatgpb">
        <w:r>
          <w:rPr>
            <w:rStyle w:val="Hyperlink"/>
          </w:rPr>
          <w:t xml:space="preserve">HMRC, 2026n, sec. VATGPB9720</w:t>
        </w:r>
      </w:hyperlink>
      <w:r>
        <w:t xml:space="preserve">;</w:t>
      </w:r>
      <w:r>
        <w:t xml:space="preserve"> </w:t>
      </w:r>
      <w:hyperlink w:anchor="ref-hmrc_n700">
        <w:r>
          <w:rPr>
            <w:rStyle w:val="Hyperlink"/>
          </w:rPr>
          <w:t xml:space="preserve">2026o, paras 14.1, 14.3</w:t>
        </w:r>
      </w:hyperlink>
      <w:r>
        <w:t xml:space="preserve">)</w:t>
      </w:r>
      <w:r>
        <w:t xml:space="preserve">.</w:t>
      </w:r>
    </w:p>
    <w:p>
      <w:pPr>
        <w:pStyle w:val="Compact"/>
        <w:numPr>
          <w:ilvl w:val="0"/>
          <w:numId w:val="1241"/>
        </w:numPr>
      </w:pPr>
      <w:r>
        <w:rPr>
          <w:b/>
          <w:bCs/>
        </w:rPr>
        <w:t xml:space="preserve">Example:</w:t>
      </w:r>
      <w:r>
        <w:t xml:space="preserve"> </w:t>
      </w:r>
      <w:r>
        <w:t xml:space="preserve">an invoice dated 15 March 2027 falls in financial year 2026-27 (1 April 2026 to 31 March 2027). The COS VAT must be claimed no later than the June 2027 VAT return.</w:t>
      </w:r>
    </w:p>
    <w:p>
      <w:pPr>
        <w:pStyle w:val="Compact"/>
        <w:numPr>
          <w:ilvl w:val="0"/>
          <w:numId w:val="1241"/>
        </w:numPr>
      </w:pPr>
      <w:r>
        <w:rPr>
          <w:b/>
          <w:bCs/>
        </w:rPr>
        <w:t xml:space="preserve">A grey area:</w:t>
      </w:r>
      <w:r>
        <w:t xml:space="preserve"> </w:t>
      </w:r>
      <w:r>
        <w:t xml:space="preserve">HMRC does not say whether</w:t>
      </w:r>
      <w:r>
        <w:t xml:space="preserve"> </w:t>
      </w:r>
      <w:r>
        <w:t xml:space="preserve">“</w:t>
      </w:r>
      <w:r>
        <w:t xml:space="preserve">the June VAT return</w:t>
      </w:r>
      <w:r>
        <w:t xml:space="preserve">”</w:t>
      </w:r>
      <w:r>
        <w:t xml:space="preserve"> </w:t>
      </w:r>
      <w:r>
        <w:t xml:space="preserve">means the return for the period ending in June or a return filed in June</w:t>
      </w:r>
      <w:r>
        <w:t xml:space="preserve"> </w:t>
      </w:r>
      <w:r>
        <w:t xml:space="preserve">(</w:t>
      </w:r>
      <w:hyperlink w:anchor="ref-hmrc_vatgpb">
        <w:r>
          <w:rPr>
            <w:rStyle w:val="Hyperlink"/>
          </w:rPr>
          <w:t xml:space="preserve">HMRC, 2026n, sec. VATGPB9720</w:t>
        </w:r>
      </w:hyperlink>
      <w:r>
        <w:t xml:space="preserve">)</w:t>
      </w:r>
      <w:r>
        <w:t xml:space="preserve">. The reference to a 3-month adjustment period suggests the return covering the period to 30 June. If a claim is close to the deadline, confirm with HMRC.</w:t>
      </w:r>
    </w:p>
    <w:p>
      <w:pPr>
        <w:pStyle w:val="Compact"/>
        <w:numPr>
          <w:ilvl w:val="0"/>
          <w:numId w:val="1241"/>
        </w:numPr>
      </w:pPr>
      <w:r>
        <w:rPr>
          <w:b/>
          <w:bCs/>
        </w:rPr>
        <w:t xml:space="preserve">Late VAT-only invoices:</w:t>
      </w:r>
      <w:r>
        <w:t xml:space="preserve"> </w:t>
      </w:r>
      <w:r>
        <w:t xml:space="preserve">if a supplier charged no VAT at first and later issues a VAT-only invoice, the VAT can be recovered in the period in which that VAT invoice is received</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41"/>
        </w:numPr>
      </w:pPr>
      <w:r>
        <w:rPr>
          <w:b/>
          <w:bCs/>
        </w:rPr>
        <w:t xml:space="preserve">Section 33E bodies have a different deadline, set in statute.</w:t>
      </w:r>
      <w:r>
        <w:t xml:space="preserve"> </w:t>
      </w:r>
      <w:r>
        <w:t xml:space="preserve">A registered 33E body must claim no later than the return for the period that contains the last day of the financial year (for 2020-21, the return covering 31 March 2021). It does not get the June window (Value Added Tax Act 1994, s. 33E(4)–(5))</w:t>
      </w:r>
      <w:r>
        <w:t xml:space="preserve"> </w:t>
      </w:r>
      <w:r>
        <w:t xml:space="preserve">(</w:t>
      </w:r>
      <w:hyperlink w:anchor="ref-hmrc_vatgpb">
        <w:r>
          <w:rPr>
            <w:rStyle w:val="Hyperlink"/>
          </w:rPr>
          <w:t xml:space="preserve">HMRC, 2026n, sec. VATGPB9650</w:t>
        </w:r>
      </w:hyperlink>
      <w:r>
        <w:t xml:space="preserve">)</w:t>
      </w:r>
      <w:r>
        <w:t xml:space="preserve">.</w:t>
      </w:r>
    </w:p>
    <w:bookmarkEnd w:id="205"/>
    <w:bookmarkStart w:id="206" w:name="exceptions-when-a-late-claim-is-allowed"/>
    <w:p>
      <w:pPr>
        <w:pStyle w:val="Heading4"/>
      </w:pPr>
      <w:r>
        <w:t xml:space="preserve">Exceptions: when a late claim is allowed</w:t>
      </w:r>
    </w:p>
    <w:p>
      <w:pPr>
        <w:pStyle w:val="FirstParagraph"/>
      </w:pPr>
      <w:r>
        <w:t xml:space="preserve">HMRC accepts claims outside the financial year in only three cases. In each, the</w:t>
      </w:r>
      <w:r>
        <w:t xml:space="preserve"> </w:t>
      </w:r>
      <w:r>
        <w:rPr>
          <w:b/>
          <w:bCs/>
        </w:rPr>
        <w:t xml:space="preserve">four-year cap</w:t>
      </w:r>
      <w:r>
        <w:t xml:space="preserve"> </w:t>
      </w:r>
      <w:r>
        <w:t xml:space="preserve">applies instead</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42"/>
        </w:numPr>
      </w:pPr>
      <w:r>
        <w:t xml:space="preserve">HMRC told the body it could not claim COS VAT on a supply, and that turned out to be wrong.</w:t>
      </w:r>
    </w:p>
    <w:p>
      <w:pPr>
        <w:pStyle w:val="Compact"/>
        <w:numPr>
          <w:ilvl w:val="0"/>
          <w:numId w:val="1242"/>
        </w:numPr>
      </w:pPr>
      <w:r>
        <w:t xml:space="preserve">The body asked HMRC whether a supply was covered, and HMRC’s confirmation came after the time limit had passed.</w:t>
      </w:r>
    </w:p>
    <w:p>
      <w:pPr>
        <w:pStyle w:val="Compact"/>
        <w:numPr>
          <w:ilvl w:val="0"/>
          <w:numId w:val="1242"/>
        </w:numPr>
      </w:pPr>
      <w:r>
        <w:t xml:space="preserve">There was uncertainty across the NHS as a whole, or across government departments as a whole, that HMRC did not resolve until after the time limit.</w:t>
      </w:r>
    </w:p>
    <w:p>
      <w:pPr>
        <w:pStyle w:val="FirstParagraph"/>
      </w:pPr>
      <w:r>
        <w:t xml:space="preserve">HMRC:</w:t>
      </w:r>
      <w:r>
        <w:t xml:space="preserve"> </w:t>
      </w:r>
      <w:r>
        <w:t xml:space="preserve">“</w:t>
      </w:r>
      <w:r>
        <w:t xml:space="preserve">These exceptions only relate to events where HMRC or HM Treasury are the specific cause of the delay in making a claim</w:t>
      </w:r>
      <w:r>
        <w:t xml:space="preserve">”</w:t>
      </w:r>
      <w:r>
        <w:t xml:space="preserve"> </w:t>
      </w:r>
      <w:r>
        <w:t xml:space="preserve">(</w:t>
      </w:r>
      <w:hyperlink w:anchor="ref-hmrc_vatgpb">
        <w:r>
          <w:rPr>
            <w:rStyle w:val="Hyperlink"/>
          </w:rPr>
          <w:t xml:space="preserve">HMRC, 2026n, sec. VATGPB9720</w:t>
        </w:r>
      </w:hyperlink>
      <w:r>
        <w:t xml:space="preserve">)</w:t>
      </w:r>
      <w:r>
        <w:t xml:space="preserve">. Forgetting to claim, or finding an invoice late, is not covered.</w:t>
      </w:r>
    </w:p>
    <w:bookmarkEnd w:id="206"/>
    <w:bookmarkStart w:id="207" w:name="adjusting-a-claim-already-made"/>
    <w:p>
      <w:pPr>
        <w:pStyle w:val="Heading4"/>
      </w:pPr>
      <w:r>
        <w:t xml:space="preserve">Adjusting a claim already made</w:t>
      </w:r>
    </w:p>
    <w:p>
      <w:pPr>
        <w:pStyle w:val="FirstParagraph"/>
      </w:pPr>
      <w:r>
        <w:t xml:space="preserve">The financial-year rule applies only to</w:t>
      </w:r>
      <w:r>
        <w:t xml:space="preserve"> </w:t>
      </w:r>
      <w:r>
        <w:rPr>
          <w:b/>
          <w:bCs/>
        </w:rPr>
        <w:t xml:space="preserve">making</w:t>
      </w:r>
      <w:r>
        <w:t xml:space="preserve"> </w:t>
      </w:r>
      <w:r>
        <w:t xml:space="preserve">the claim. Once a claim has been made on time, adjustments follow the normal input tax time limits in VAT Notice 700/45</w:t>
      </w:r>
      <w:r>
        <w:t xml:space="preserve"> </w:t>
      </w:r>
      <w:r>
        <w:t xml:space="preserve">(</w:t>
      </w:r>
      <w:hyperlink w:anchor="ref-hmrc_n70045">
        <w:r>
          <w:rPr>
            <w:rStyle w:val="Hyperlink"/>
          </w:rPr>
          <w:t xml:space="preserve">HMRC, 2025e, paras 4.7, 6.1</w:t>
        </w:r>
      </w:hyperlink>
      <w:r>
        <w:t xml:space="preserve">;</w:t>
      </w:r>
      <w:r>
        <w:t xml:space="preserve"> </w:t>
      </w:r>
      <w:hyperlink w:anchor="ref-hmrc_vatgpb">
        <w:r>
          <w:rPr>
            <w:rStyle w:val="Hyperlink"/>
          </w:rPr>
          <w:t xml:space="preserve">2026n, sec. VATGPB9720</w:t>
        </w:r>
      </w:hyperlink>
      <w:r>
        <w:t xml:space="preserve">)</w:t>
      </w:r>
      <w:r>
        <w:t xml:space="preserve">. HMRC’s examples:</w:t>
      </w:r>
    </w:p>
    <w:p>
      <w:pPr>
        <w:pStyle w:val="Compact"/>
        <w:numPr>
          <w:ilvl w:val="0"/>
          <w:numId w:val="1243"/>
        </w:numPr>
      </w:pPr>
      <w:r>
        <w:t xml:space="preserve">an error in the amount claimed (but</w:t>
      </w:r>
      <w:r>
        <w:t xml:space="preserve"> </w:t>
      </w:r>
      <w:r>
        <w:t xml:space="preserve">“</w:t>
      </w:r>
      <w:r>
        <w:t xml:space="preserve">an amount has to have been claimed</w:t>
      </w:r>
      <w:r>
        <w:t xml:space="preserve">”</w:t>
      </w:r>
      <w:r>
        <w:t xml:space="preserve">);</w:t>
      </w:r>
    </w:p>
    <w:p>
      <w:pPr>
        <w:pStyle w:val="Compact"/>
        <w:numPr>
          <w:ilvl w:val="0"/>
          <w:numId w:val="1243"/>
        </w:numPr>
      </w:pPr>
      <w:r>
        <w:t xml:space="preserve">a later increase or decrease in the price; and</w:t>
      </w:r>
    </w:p>
    <w:p>
      <w:pPr>
        <w:pStyle w:val="Compact"/>
        <w:numPr>
          <w:ilvl w:val="0"/>
          <w:numId w:val="1243"/>
        </w:numPr>
      </w:pPr>
      <w:r>
        <w:t xml:space="preserve">a change to a business/non-business calculation, for example when the annual non-business ratio turns out higher or lower.</w:t>
      </w:r>
    </w:p>
    <w:bookmarkEnd w:id="207"/>
    <w:bookmarkStart w:id="208" w:name="evidence-the-vat-invoice"/>
    <w:p>
      <w:pPr>
        <w:pStyle w:val="Heading4"/>
      </w:pPr>
      <w:r>
        <w:t xml:space="preserve">Evidence: the VAT invoice</w:t>
      </w:r>
    </w:p>
    <w:p>
      <w:pPr>
        <w:pStyle w:val="Compact"/>
        <w:numPr>
          <w:ilvl w:val="0"/>
          <w:numId w:val="1244"/>
        </w:numPr>
      </w:pPr>
      <w:r>
        <w:t xml:space="preserve">The Direction requires compliance with HMRC’s requirements on</w:t>
      </w:r>
      <w:r>
        <w:t xml:space="preserve"> </w:t>
      </w:r>
      <w:r>
        <w:t xml:space="preserve">“</w:t>
      </w:r>
      <w:r>
        <w:t xml:space="preserve">the time, form and manner of making the claim and also on the keeping, preservation and production of records</w:t>
      </w:r>
      <w:r>
        <w:t xml:space="preserve">”</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0"/>
          <w:numId w:val="1244"/>
        </w:numPr>
      </w:pPr>
      <w:r>
        <w:t xml:space="preserve">HMRC’s heading pages expect a proper</w:t>
      </w:r>
      <w:r>
        <w:t xml:space="preserve"> </w:t>
      </w:r>
      <w:r>
        <w:rPr>
          <w:b/>
          <w:bCs/>
        </w:rPr>
        <w:t xml:space="preserve">VAT invoice from the supplier</w:t>
      </w:r>
      <w:r>
        <w:t xml:space="preserve">. Heading 47, for example, requires that the department</w:t>
      </w:r>
      <w:r>
        <w:t xml:space="preserve"> </w:t>
      </w:r>
      <w:r>
        <w:t xml:space="preserve">“</w:t>
      </w:r>
      <w:r>
        <w:t xml:space="preserve">has entered into a contract with the firm and receives a tax invoice</w:t>
      </w:r>
      <w:r>
        <w:t xml:space="preserve">”</w:t>
      </w:r>
      <w:r>
        <w:t xml:space="preserve"> </w:t>
      </w:r>
      <w:r>
        <w:t xml:space="preserve">(</w:t>
      </w:r>
      <w:hyperlink w:anchor="ref-hmrc_vatgpb">
        <w:r>
          <w:rPr>
            <w:rStyle w:val="Hyperlink"/>
          </w:rPr>
          <w:t xml:space="preserve">HMRC, 2026n, sec. VATGPB10670</w:t>
        </w:r>
      </w:hyperlink>
      <w:r>
        <w:t xml:space="preserve">)</w:t>
      </w:r>
      <w:r>
        <w:t xml:space="preserve">.</w:t>
      </w:r>
    </w:p>
    <w:p>
      <w:pPr>
        <w:pStyle w:val="Compact"/>
        <w:numPr>
          <w:ilvl w:val="0"/>
          <w:numId w:val="1244"/>
        </w:numPr>
      </w:pPr>
      <w:r>
        <w:rPr>
          <w:b/>
          <w:bCs/>
        </w:rPr>
        <w:t xml:space="preserve">Practical rule:</w:t>
      </w:r>
      <w:r>
        <w:t xml:space="preserve"> </w:t>
      </w:r>
      <w:r>
        <w:t xml:space="preserve">the service should be ordered by, supplied to and paid for by the Department, with a valid VAT invoice in the Department’s name. HMRC states this rule in those words only for section 33 bodies</w:t>
      </w:r>
      <w:r>
        <w:t xml:space="preserve"> </w:t>
      </w:r>
      <w:r>
        <w:t xml:space="preserve">(</w:t>
      </w:r>
      <w:hyperlink w:anchor="ref-hmrc_vatgpb">
        <w:r>
          <w:rPr>
            <w:rStyle w:val="Hyperlink"/>
          </w:rPr>
          <w:t xml:space="preserve">HMRC, 2026n, sec. VATGPB4415</w:t>
        </w:r>
      </w:hyperlink>
      <w:r>
        <w:t xml:space="preserve">)</w:t>
      </w:r>
      <w:r>
        <w:t xml:space="preserve">. For COS it is an inference from the wording of section 41(3) and the Direction, which refer to a supply</w:t>
      </w:r>
      <w:r>
        <w:t xml:space="preserve"> </w:t>
      </w:r>
      <w:r>
        <w:t xml:space="preserve">“</w:t>
      </w:r>
      <w:r>
        <w:t xml:space="preserve">to it</w:t>
      </w:r>
      <w:r>
        <w:t xml:space="preserve">”</w:t>
      </w:r>
      <w:r>
        <w:t xml:space="preserve"> </w:t>
      </w:r>
      <w:r>
        <w:t xml:space="preserve">(Value Added Tax Act 1994, s. 41(3))</w:t>
      </w:r>
      <w:r>
        <w:t xml:space="preserve"> </w:t>
      </w:r>
      <w:r>
        <w:t xml:space="preserve">(</w:t>
      </w:r>
      <w:hyperlink w:anchor="ref-gazette_2020">
        <w:r>
          <w:rPr>
            <w:rStyle w:val="Hyperlink"/>
          </w:rPr>
          <w:t xml:space="preserve">HM Treasury, 2020b, para. 2</w:t>
        </w:r>
      </w:hyperlink>
      <w:r>
        <w:t xml:space="preserve">)</w:t>
      </w:r>
      <w:r>
        <w:t xml:space="preserve">. It is the safe approach.</w:t>
      </w:r>
    </w:p>
    <w:p>
      <w:pPr>
        <w:pStyle w:val="Compact"/>
        <w:numPr>
          <w:ilvl w:val="0"/>
          <w:numId w:val="1244"/>
        </w:numPr>
      </w:pPr>
      <w:r>
        <w:rPr>
          <w:b/>
          <w:bCs/>
        </w:rPr>
        <w:t xml:space="preserve">Things staff arrange themselves are a warning sign.</w:t>
      </w:r>
      <w:r>
        <w:t xml:space="preserve"> </w:t>
      </w:r>
      <w:r>
        <w:t xml:space="preserve">HMRC excludes</w:t>
      </w:r>
      <w:r>
        <w:t xml:space="preserve"> </w:t>
      </w:r>
      <w:r>
        <w:t xml:space="preserve">“</w:t>
      </w:r>
      <w:r>
        <w:t xml:space="preserve">VAT incurred on removal firms hired by staff</w:t>
      </w:r>
      <w:r>
        <w:t xml:space="preserve">”</w:t>
      </w:r>
      <w:r>
        <w:t xml:space="preserve"> </w:t>
      </w:r>
      <w:r>
        <w:t xml:space="preserve">(Heading 57)</w:t>
      </w:r>
      <w:r>
        <w:t xml:space="preserve"> </w:t>
      </w:r>
      <w:r>
        <w:t xml:space="preserve">(</w:t>
      </w:r>
      <w:hyperlink w:anchor="ref-hmrc_vatgpb">
        <w:r>
          <w:rPr>
            <w:rStyle w:val="Hyperlink"/>
          </w:rPr>
          <w:t xml:space="preserve">HMRC, 2026n, sec. VATGPB10870</w:t>
        </w:r>
      </w:hyperlink>
      <w:r>
        <w:t xml:space="preserve">)</w:t>
      </w:r>
      <w:r>
        <w:t xml:space="preserve"> </w:t>
      </w:r>
      <w:r>
        <w:t xml:space="preserve">and</w:t>
      </w:r>
      <w:r>
        <w:t xml:space="preserve"> </w:t>
      </w:r>
      <w:r>
        <w:t xml:space="preserve">“</w:t>
      </w:r>
      <w:r>
        <w:t xml:space="preserve">VAT paid by third parties in respect of taxis and hire cars</w:t>
      </w:r>
      <w:r>
        <w:t xml:space="preserve">”</w:t>
      </w:r>
      <w:r>
        <w:t xml:space="preserve"> </w:t>
      </w:r>
      <w:r>
        <w:t xml:space="preserve">(Heading 67)</w:t>
      </w:r>
      <w:r>
        <w:t xml:space="preserve"> </w:t>
      </w:r>
      <w:r>
        <w:t xml:space="preserve">(</w:t>
      </w:r>
      <w:hyperlink w:anchor="ref-hmrc_vatgpb">
        <w:r>
          <w:rPr>
            <w:rStyle w:val="Hyperlink"/>
          </w:rPr>
          <w:t xml:space="preserve">HMRC, 2026n, sec. VATGPB11070</w:t>
        </w:r>
      </w:hyperlink>
      <w:r>
        <w:t xml:space="preserve">)</w:t>
      </w:r>
      <w:r>
        <w:t xml:space="preserve">.</w:t>
      </w:r>
    </w:p>
    <w:bookmarkEnd w:id="208"/>
    <w:bookmarkStart w:id="209" w:name="single-or-multiple-supply"/>
    <w:p>
      <w:pPr>
        <w:pStyle w:val="Heading4"/>
      </w:pPr>
      <w:r>
        <w:t xml:space="preserve">Single or multiple supply?</w:t>
      </w:r>
    </w:p>
    <w:p>
      <w:pPr>
        <w:pStyle w:val="FirstParagraph"/>
      </w:pPr>
      <w:r>
        <w:t xml:space="preserve">First decide whether you have received</w:t>
      </w:r>
      <w:r>
        <w:t xml:space="preserve"> </w:t>
      </w:r>
      <w:r>
        <w:rPr>
          <w:b/>
          <w:bCs/>
        </w:rPr>
        <w:t xml:space="preserve">one supply or several</w:t>
      </w:r>
      <w:r>
        <w:t xml:space="preserve"> </w:t>
      </w:r>
      <w:r>
        <w:t xml:space="preserve">(HMRC’s VAT Supply and Consideration manual explains how)</w:t>
      </w:r>
      <w:r>
        <w:t xml:space="preserve"> </w:t>
      </w:r>
      <w:r>
        <w:t xml:space="preserve">(</w:t>
      </w:r>
      <w:hyperlink w:anchor="ref-hmrc_vatsc">
        <w:r>
          <w:rPr>
            <w:rStyle w:val="Hyperlink"/>
          </w:rPr>
          <w:t xml:space="preserve">HMRC, 2025l, sec. VATSC11100</w:t>
        </w:r>
      </w:hyperlink>
      <w:r>
        <w:t xml:space="preserve">)</w:t>
      </w:r>
      <w:r>
        <w:t xml:space="preserve">. Then apply the headings</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45"/>
        </w:numPr>
      </w:pPr>
      <w:r>
        <w:rPr>
          <w:b/>
          <w:bCs/>
        </w:rPr>
        <w:t xml:space="preserve">Single supply:</w:t>
      </w:r>
      <w:r>
        <w:t xml:space="preserve"> </w:t>
      </w:r>
      <w:r>
        <w:t xml:space="preserve">“</w:t>
      </w:r>
      <w:r>
        <w:t xml:space="preserve">the predominant nature of the supply will determine whether it is eligible for recovery under only one of the COS headings. You cannot carve out different elements from a single supply in order to reclaim under different headings.</w:t>
      </w:r>
      <w:r>
        <w:t xml:space="preserve">”</w:t>
      </w:r>
    </w:p>
    <w:p>
      <w:pPr>
        <w:pStyle w:val="Compact"/>
        <w:numPr>
          <w:ilvl w:val="0"/>
          <w:numId w:val="1245"/>
        </w:numPr>
      </w:pPr>
      <w:r>
        <w:rPr>
          <w:b/>
          <w:bCs/>
        </w:rPr>
        <w:t xml:space="preserve">Multiple supply:</w:t>
      </w:r>
      <w:r>
        <w:t xml:space="preserve"> </w:t>
      </w:r>
      <w:r>
        <w:t xml:space="preserve">each separate supply is tested under the appropriate heading.</w:t>
      </w:r>
    </w:p>
    <w:p>
      <w:pPr>
        <w:pStyle w:val="FirstParagraph"/>
      </w:pPr>
      <w:r>
        <w:rPr>
          <w:b/>
          <w:bCs/>
        </w:rPr>
        <w:t xml:space="preserve">Example A (single supply that qualifies).</w:t>
      </w:r>
      <w:r>
        <w:t xml:space="preserve"> </w:t>
      </w:r>
      <w:r>
        <w:t xml:space="preserve">An events company runs the Department’s annual stakeholder conference for one inclusive price: £40,000 + £8,000 VAT. The price covers the venue, staffing, audio-visual equipment and catering during the conference. No overnight rooms are included.</w:t>
      </w:r>
    </w:p>
    <w:p>
      <w:pPr>
        <w:pStyle w:val="Compact"/>
        <w:numPr>
          <w:ilvl w:val="0"/>
          <w:numId w:val="1246"/>
        </w:numPr>
      </w:pPr>
      <w:r>
        <w:t xml:space="preserve">This is a composite conference service,</w:t>
      </w:r>
      <w:r>
        <w:t xml:space="preserve"> </w:t>
      </w:r>
      <w:r>
        <w:t xml:space="preserve">“</w:t>
      </w:r>
      <w:r>
        <w:t xml:space="preserve">more than a supply of accommodation and catering</w:t>
      </w:r>
      <w:r>
        <w:t xml:space="preserve">”</w:t>
      </w:r>
      <w:r>
        <w:t xml:space="preserve">. HMRC’s Heading 15 guidance expressly includes</w:t>
      </w:r>
      <w:r>
        <w:t xml:space="preserve"> </w:t>
      </w:r>
      <w:r>
        <w:t xml:space="preserve">“</w:t>
      </w:r>
      <w:r>
        <w:t xml:space="preserve">A composite service which could include supplies of staff, hire of venue, equipment, hotel accommodation, catering etc.</w:t>
      </w:r>
      <w:r>
        <w:t xml:space="preserve">”</w:t>
      </w:r>
      <w:r>
        <w:t xml:space="preserve"> </w:t>
      </w:r>
      <w:r>
        <w:t xml:space="preserve">(</w:t>
      </w:r>
      <w:hyperlink w:anchor="ref-hmrc_vatgpb">
        <w:r>
          <w:rPr>
            <w:rStyle w:val="Hyperlink"/>
          </w:rPr>
          <w:t xml:space="preserve">HMRC, 2026n, sec. VATGPB10030</w:t>
        </w:r>
      </w:hyperlink>
      <w:r>
        <w:t xml:space="preserve">)</w:t>
      </w:r>
      <w:r>
        <w:t xml:space="preserve">.</w:t>
      </w:r>
    </w:p>
    <w:p>
      <w:pPr>
        <w:pStyle w:val="Compact"/>
        <w:numPr>
          <w:ilvl w:val="0"/>
          <w:numId w:val="1246"/>
        </w:numPr>
      </w:pPr>
      <w:r>
        <w:rPr>
          <w:b/>
          <w:bCs/>
        </w:rPr>
        <w:t xml:space="preserve">£8,000 is refundable under Heading 15</w:t>
      </w:r>
      <w:r>
        <w:t xml:space="preserve">, assuming the conference is for non-business purposes.</w:t>
      </w:r>
    </w:p>
    <w:p>
      <w:pPr>
        <w:pStyle w:val="Compact"/>
        <w:numPr>
          <w:ilvl w:val="0"/>
          <w:numId w:val="1246"/>
        </w:numPr>
      </w:pPr>
      <w:r>
        <w:rPr>
          <w:b/>
          <w:bCs/>
        </w:rPr>
        <w:t xml:space="preserve">Watch out for accommodation.</w:t>
      </w:r>
      <w:r>
        <w:t xml:space="preserve"> </w:t>
      </w:r>
      <w:r>
        <w:t xml:space="preserve">If the organiser buys in hotel rooms or transport and resells them to the Department as part of the package, it must account for the whole package under the</w:t>
      </w:r>
      <w:r>
        <w:t xml:space="preserve"> </w:t>
      </w:r>
      <w:r>
        <w:rPr>
          <w:b/>
          <w:bCs/>
        </w:rPr>
        <w:t xml:space="preserve">Tour Operators’ Margin Scheme (TOMS)</w:t>
      </w:r>
      <w:r>
        <w:t xml:space="preserve">, as set out in VAT Notice 709/5</w:t>
      </w:r>
      <w:r>
        <w:t xml:space="preserve"> </w:t>
      </w:r>
      <w:r>
        <w:t xml:space="preserve">(</w:t>
      </w:r>
      <w:hyperlink w:anchor="ref-hmrc_n7095">
        <w:r>
          <w:rPr>
            <w:rStyle w:val="Hyperlink"/>
          </w:rPr>
          <w:t xml:space="preserve">HMRC, 2024e, paras 2.2, 2.13</w:t>
        </w:r>
      </w:hyperlink>
      <w:r>
        <w:t xml:space="preserve"> </w:t>
      </w:r>
      <w:r>
        <w:t xml:space="preserve">and 7.13)</w:t>
      </w:r>
      <w:r>
        <w:t xml:space="preserve">. It cannot issue a VAT invoice for a TOMS supply</w:t>
      </w:r>
      <w:r>
        <w:t xml:space="preserve"> </w:t>
      </w:r>
      <w:r>
        <w:t xml:space="preserve">(</w:t>
      </w:r>
      <w:hyperlink w:anchor="ref-hmrc_n7095">
        <w:r>
          <w:rPr>
            <w:rStyle w:val="Hyperlink"/>
          </w:rPr>
          <w:t xml:space="preserve">HMRC, 2024e, para. 4.19</w:t>
        </w:r>
      </w:hyperlink>
      <w:r>
        <w:t xml:space="preserve">)</w:t>
      </w:r>
      <w:r>
        <w:t xml:space="preserve">, so there is nothing to claim, not even on the conference itself.</w:t>
      </w:r>
    </w:p>
    <w:p>
      <w:pPr>
        <w:pStyle w:val="Compact"/>
        <w:numPr>
          <w:ilvl w:val="1"/>
          <w:numId w:val="1247"/>
        </w:numPr>
      </w:pPr>
      <w:r>
        <w:t xml:space="preserve">HMRC’s Heading 15 wording mentions hotel accommodation</w:t>
      </w:r>
      <w:r>
        <w:t xml:space="preserve"> </w:t>
      </w:r>
      <w:r>
        <w:t xml:space="preserve">(</w:t>
      </w:r>
      <w:hyperlink w:anchor="ref-hmrc_vatgpb">
        <w:r>
          <w:rPr>
            <w:rStyle w:val="Hyperlink"/>
          </w:rPr>
          <w:t xml:space="preserve">HMRC, 2026n, sec. VATGPB10030</w:t>
        </w:r>
      </w:hyperlink>
      <w:r>
        <w:t xml:space="preserve">)</w:t>
      </w:r>
      <w:r>
        <w:t xml:space="preserve">, but a refund still needs UK VAT shown on a valid VAT invoice (see Evidence: the VAT invoice, above).</w:t>
      </w:r>
    </w:p>
    <w:p>
      <w:pPr>
        <w:pStyle w:val="Compact"/>
        <w:numPr>
          <w:ilvl w:val="1"/>
          <w:numId w:val="1247"/>
        </w:numPr>
      </w:pPr>
      <w:r>
        <w:t xml:space="preserve">In practice, rooms can be part of a refundable package only where the venue provides its own rooms (an</w:t>
      </w:r>
      <w:r>
        <w:t xml:space="preserve"> </w:t>
      </w:r>
      <w:r>
        <w:t xml:space="preserve">“</w:t>
      </w:r>
      <w:r>
        <w:t xml:space="preserve">in-house</w:t>
      </w:r>
      <w:r>
        <w:t xml:space="preserve">”</w:t>
      </w:r>
      <w:r>
        <w:t xml:space="preserve"> </w:t>
      </w:r>
      <w:r>
        <w:t xml:space="preserve">supply, outside TOMS)</w:t>
      </w:r>
      <w:r>
        <w:t xml:space="preserve"> </w:t>
      </w:r>
      <w:r>
        <w:t xml:space="preserve">(</w:t>
      </w:r>
      <w:hyperlink w:anchor="ref-hmrc_n7095">
        <w:r>
          <w:rPr>
            <w:rStyle w:val="Hyperlink"/>
          </w:rPr>
          <w:t xml:space="preserve">HMRC, 2024e, paras 2.12, 2.13</w:t>
        </w:r>
      </w:hyperlink>
      <w:r>
        <w:t xml:space="preserve"> </w:t>
      </w:r>
      <w:r>
        <w:t xml:space="preserve">and 7.6)</w:t>
      </w:r>
      <w:r>
        <w:t xml:space="preserve">.</w:t>
      </w:r>
    </w:p>
    <w:p>
      <w:pPr>
        <w:pStyle w:val="Compact"/>
        <w:numPr>
          <w:ilvl w:val="1"/>
          <w:numId w:val="1247"/>
        </w:numPr>
      </w:pPr>
      <w:r>
        <w:t xml:space="preserve">Otherwise, book the rooms separately. The conference VAT is then refundable, and the hotel VAT is a cost (see Example B)</w:t>
      </w:r>
      <w:r>
        <w:t xml:space="preserve"> </w:t>
      </w:r>
      <w:r>
        <w:t xml:space="preserve">(</w:t>
      </w:r>
      <w:hyperlink w:anchor="ref-hmrc_vatgpb">
        <w:r>
          <w:rPr>
            <w:rStyle w:val="Hyperlink"/>
          </w:rPr>
          <w:t xml:space="preserve">HMRC, 2026n, sec. VATGPB10030</w:t>
        </w:r>
      </w:hyperlink>
      <w:r>
        <w:t xml:space="preserve">)</w:t>
      </w:r>
      <w:r>
        <w:t xml:space="preserve">.</w:t>
      </w:r>
    </w:p>
    <w:p>
      <w:pPr>
        <w:pStyle w:val="FirstParagraph"/>
      </w:pPr>
      <w:r>
        <w:rPr>
          <w:b/>
          <w:bCs/>
        </w:rPr>
        <w:t xml:space="preserve">Example B (multiple supplies, only one qualifies).</w:t>
      </w:r>
      <w:r>
        <w:t xml:space="preserve"> </w:t>
      </w:r>
      <w:r>
        <w:t xml:space="preserve">A training company invoices £6,000 + £1,200 VAT for tuition. The Department separately books and pays a hotel £2,000 + £400 VAT for rooms and meals.</w:t>
      </w:r>
    </w:p>
    <w:p>
      <w:pPr>
        <w:pStyle w:val="Compact"/>
        <w:numPr>
          <w:ilvl w:val="0"/>
          <w:numId w:val="1248"/>
        </w:numPr>
      </w:pPr>
      <w:r>
        <w:t xml:space="preserve">The tuition is within</w:t>
      </w:r>
      <w:r>
        <w:t xml:space="preserve"> </w:t>
      </w:r>
      <w:r>
        <w:rPr>
          <w:b/>
          <w:bCs/>
        </w:rPr>
        <w:t xml:space="preserve">Heading 65: £1,200 refundable</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48"/>
        </w:numPr>
      </w:pPr>
      <w:r>
        <w:t xml:space="preserve">The hotel is a separate supply of accommodation and meals, which HMRC excludes from Heading 65</w:t>
      </w:r>
      <w:r>
        <w:t xml:space="preserve"> </w:t>
      </w:r>
      <w:r>
        <w:t xml:space="preserve">(</w:t>
      </w:r>
      <w:hyperlink w:anchor="ref-hmrc_vatgpb">
        <w:r>
          <w:rPr>
            <w:rStyle w:val="Hyperlink"/>
          </w:rPr>
          <w:t xml:space="preserve">HMRC, 2026n, sec. VATGPB11030</w:t>
        </w:r>
      </w:hyperlink>
      <w:r>
        <w:t xml:space="preserve">)</w:t>
      </w:r>
      <w:r>
        <w:t xml:space="preserve">. It is also excluded from Heading 15 as</w:t>
      </w:r>
      <w:r>
        <w:t xml:space="preserve"> </w:t>
      </w:r>
      <w:r>
        <w:t xml:space="preserve">“</w:t>
      </w:r>
      <w:r>
        <w:t xml:space="preserve">hire of hotel accommodation on its own</w:t>
      </w:r>
      <w:r>
        <w:t xml:space="preserve">”</w:t>
      </w:r>
      <w:r>
        <w:t xml:space="preserve">, so</w:t>
      </w:r>
      <w:r>
        <w:t xml:space="preserve"> </w:t>
      </w:r>
      <w:r>
        <w:rPr>
          <w:b/>
          <w:bCs/>
        </w:rPr>
        <w:t xml:space="preserve">£400 is not refundable</w:t>
      </w:r>
      <w:r>
        <w:t xml:space="preserve"> </w:t>
      </w:r>
      <w:r>
        <w:t xml:space="preserve">(</w:t>
      </w:r>
      <w:hyperlink w:anchor="ref-hmrc_vatgpb">
        <w:r>
          <w:rPr>
            <w:rStyle w:val="Hyperlink"/>
          </w:rPr>
          <w:t xml:space="preserve">HMRC, 2026n, sec. VATGPB10030</w:t>
        </w:r>
      </w:hyperlink>
      <w:r>
        <w:t xml:space="preserve">)</w:t>
      </w:r>
      <w:r>
        <w:t xml:space="preserve">.</w:t>
      </w:r>
    </w:p>
    <w:p>
      <w:pPr>
        <w:pStyle w:val="FirstParagraph"/>
      </w:pPr>
      <w:r>
        <w:rPr>
          <w:b/>
          <w:bCs/>
        </w:rPr>
        <w:t xml:space="preserve">Two exceptions where HMRC requires a split:</w:t>
      </w:r>
    </w:p>
    <w:p>
      <w:pPr>
        <w:pStyle w:val="Compact"/>
        <w:numPr>
          <w:ilvl w:val="0"/>
          <w:numId w:val="1249"/>
        </w:numPr>
      </w:pPr>
      <w:r>
        <w:rPr>
          <w:b/>
          <w:bCs/>
        </w:rPr>
        <w:t xml:space="preserve">Heading 26:</w:t>
      </w:r>
      <w:r>
        <w:t xml:space="preserve"> </w:t>
      </w:r>
      <w:r>
        <w:t xml:space="preserve">if one vehicle contract mixes hire with and without maintenance, recover only on the part with maintenance</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0"/>
          <w:numId w:val="1249"/>
        </w:numPr>
      </w:pPr>
      <w:r>
        <w:rPr>
          <w:b/>
          <w:bCs/>
        </w:rPr>
        <w:t xml:space="preserve">Heading 14:</w:t>
      </w:r>
      <w:r>
        <w:t xml:space="preserve"> </w:t>
      </w:r>
      <w:r>
        <w:t xml:space="preserve">where an IT system contract includes telephony, the VAT must be apportioned and the telephony share is not refundable</w:t>
      </w:r>
      <w:r>
        <w:t xml:space="preserve"> </w:t>
      </w:r>
      <w:r>
        <w:t xml:space="preserve">(</w:t>
      </w:r>
      <w:hyperlink w:anchor="ref-hmrc_vatgpb">
        <w:r>
          <w:rPr>
            <w:rStyle w:val="Hyperlink"/>
          </w:rPr>
          <w:t xml:space="preserve">HMRC, 2026n, sec. VATGPB10010</w:t>
        </w:r>
      </w:hyperlink>
      <w:r>
        <w:t xml:space="preserve">)</w:t>
      </w:r>
      <w:r>
        <w:t xml:space="preserve">.</w:t>
      </w:r>
    </w:p>
    <w:bookmarkEnd w:id="209"/>
    <w:bookmarkStart w:id="210" w:name="the-in-house-test"/>
    <w:p>
      <w:pPr>
        <w:pStyle w:val="Heading4"/>
      </w:pPr>
      <w:r>
        <w:t xml:space="preserve">The in-house test</w:t>
      </w:r>
    </w:p>
    <w:p>
      <w:pPr>
        <w:pStyle w:val="FirstParagraph"/>
      </w:pPr>
      <w:r>
        <w:t xml:space="preserve">Before claiming, ask:</w:t>
      </w:r>
      <w:r>
        <w:t xml:space="preserve"> </w:t>
      </w:r>
      <w:r>
        <w:rPr>
          <w:b/>
          <w:bCs/>
        </w:rPr>
        <w:t xml:space="preserve">“</w:t>
      </w:r>
      <w:r>
        <w:rPr>
          <w:b/>
          <w:bCs/>
        </w:rPr>
        <w:t xml:space="preserve">Is this a kind of service that central government or the NHS has done in-house?</w:t>
      </w:r>
      <w:r>
        <w:rPr>
          <w:b/>
          <w:bCs/>
        </w:rPr>
        <w:t xml:space="preserve">”</w:t>
      </w:r>
      <w:r>
        <w:t xml:space="preserve"> </w:t>
      </w:r>
      <w:r>
        <w:t xml:space="preserve">(</w:t>
      </w:r>
      <w:hyperlink w:anchor="ref-hmrc_vatgpb">
        <w:r>
          <w:rPr>
            <w:rStyle w:val="Hyperlink"/>
          </w:rPr>
          <w:t xml:space="preserve">HMRC, 2026n, sec. VATGPB9720</w:t>
        </w:r>
      </w:hyperlink>
      <w:r>
        <w:t xml:space="preserve">)</w:t>
      </w:r>
    </w:p>
    <w:p>
      <w:pPr>
        <w:pStyle w:val="Compact"/>
        <w:numPr>
          <w:ilvl w:val="0"/>
          <w:numId w:val="1250"/>
        </w:numPr>
      </w:pPr>
      <w:r>
        <w:t xml:space="preserve">HMRC excludes external audit from Heading 1, because</w:t>
      </w:r>
      <w:r>
        <w:t xml:space="preserve"> </w:t>
      </w:r>
      <w:r>
        <w:t xml:space="preserve">“</w:t>
      </w:r>
      <w:r>
        <w:t xml:space="preserve">by their very nature, they would never have been performed in-house</w:t>
      </w:r>
      <w:r>
        <w:t xml:space="preserve">”</w:t>
      </w:r>
      <w:r>
        <w:t xml:space="preserve"> </w:t>
      </w:r>
      <w:r>
        <w:t xml:space="preserve">(</w:t>
      </w:r>
      <w:hyperlink w:anchor="ref-hmrc_vatgpb">
        <w:r>
          <w:rPr>
            <w:rStyle w:val="Hyperlink"/>
          </w:rPr>
          <w:t xml:space="preserve">HMRC, 2026n, sec. VATGPB9750</w:t>
        </w:r>
      </w:hyperlink>
      <w:r>
        <w:t xml:space="preserve">)</w:t>
      </w:r>
      <w:r>
        <w:t xml:space="preserve">.</w:t>
      </w:r>
    </w:p>
    <w:p>
      <w:pPr>
        <w:pStyle w:val="Compact"/>
        <w:numPr>
          <w:ilvl w:val="0"/>
          <w:numId w:val="1250"/>
        </w:numPr>
      </w:pPr>
      <w:r>
        <w:t xml:space="preserve">HMRC excludes professional exam charges from Heading 65 for the same reason</w:t>
      </w:r>
      <w:r>
        <w:t xml:space="preserve"> </w:t>
      </w:r>
      <w:r>
        <w:t xml:space="preserve">(</w:t>
      </w:r>
      <w:hyperlink w:anchor="ref-hmrc_vatgpb">
        <w:r>
          <w:rPr>
            <w:rStyle w:val="Hyperlink"/>
          </w:rPr>
          <w:t xml:space="preserve">HMRC, 2026n, sec. VATGPB11030</w:t>
        </w:r>
      </w:hyperlink>
      <w:r>
        <w:t xml:space="preserve">)</w:t>
      </w:r>
      <w:r>
        <w:t xml:space="preserve">.</w:t>
      </w:r>
    </w:p>
    <w:bookmarkEnd w:id="210"/>
    <w:bookmarkStart w:id="211" w:name="asking-for-a-new-heading"/>
    <w:p>
      <w:pPr>
        <w:pStyle w:val="Heading4"/>
      </w:pPr>
      <w:r>
        <w:t xml:space="preserve">Asking for a new heading</w:t>
      </w:r>
    </w:p>
    <w:p>
      <w:pPr>
        <w:pStyle w:val="FirstParagraph"/>
      </w:pPr>
      <w:r>
        <w:t xml:space="preserve">If the Department wants to contract out a service that no heading covers, HM Treasury will consider adding one, but</w:t>
      </w:r>
      <w:r>
        <w:t xml:space="preserve"> </w:t>
      </w:r>
      <w:r>
        <w:t xml:space="preserve">“</w:t>
      </w:r>
      <w:r>
        <w:t xml:space="preserve">they will require a detailed business case</w:t>
      </w:r>
      <w:r>
        <w:t xml:space="preserve">”</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51"/>
        </w:numPr>
      </w:pPr>
      <w:r>
        <w:rPr>
          <w:b/>
          <w:bCs/>
        </w:rPr>
        <w:t xml:space="preserve">Where to send it:</w:t>
      </w:r>
      <w:r>
        <w:t xml:space="preserve"> </w:t>
      </w:r>
      <w:r>
        <w:t xml:space="preserve">to your HMRC CCM, or, if you do not have one, to nhs.pbg@hmrc.gov.uk. HMRC notes that email is not secure</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51"/>
        </w:numPr>
      </w:pPr>
      <w:r>
        <w:rPr>
          <w:b/>
          <w:bCs/>
        </w:rPr>
        <w:t xml:space="preserve">What the Treasury needs</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1"/>
          <w:numId w:val="1252"/>
        </w:numPr>
      </w:pPr>
      <w:r>
        <w:t xml:space="preserve">a full description of the service;</w:t>
      </w:r>
    </w:p>
    <w:p>
      <w:pPr>
        <w:pStyle w:val="Compact"/>
        <w:numPr>
          <w:ilvl w:val="1"/>
          <w:numId w:val="1252"/>
        </w:numPr>
      </w:pPr>
      <w:r>
        <w:t xml:space="preserve">how it is provided now and the options considered;</w:t>
      </w:r>
    </w:p>
    <w:p>
      <w:pPr>
        <w:pStyle w:val="Compact"/>
        <w:numPr>
          <w:ilvl w:val="1"/>
          <w:numId w:val="1252"/>
        </w:numPr>
      </w:pPr>
      <w:r>
        <w:t xml:space="preserve">why outsourcing gives value for money;</w:t>
      </w:r>
    </w:p>
    <w:p>
      <w:pPr>
        <w:pStyle w:val="Compact"/>
        <w:numPr>
          <w:ilvl w:val="1"/>
          <w:numId w:val="1252"/>
        </w:numPr>
      </w:pPr>
      <w:r>
        <w:t xml:space="preserve">an estimate of the VAT to be recovered each year for five years; and</w:t>
      </w:r>
    </w:p>
    <w:p>
      <w:pPr>
        <w:pStyle w:val="Compact"/>
        <w:numPr>
          <w:ilvl w:val="1"/>
          <w:numId w:val="1252"/>
        </w:numPr>
      </w:pPr>
      <w:r>
        <w:t xml:space="preserve">the start date wanted.</w:t>
      </w:r>
    </w:p>
    <w:p>
      <w:pPr>
        <w:pStyle w:val="Compact"/>
        <w:numPr>
          <w:ilvl w:val="0"/>
          <w:numId w:val="1251"/>
        </w:numPr>
      </w:pPr>
      <w:r>
        <w:rPr>
          <w:b/>
          <w:bCs/>
        </w:rPr>
        <w:t xml:space="preserve">How long it takes:</w:t>
      </w:r>
      <w:r>
        <w:t xml:space="preserve"> </w:t>
      </w:r>
      <w:r>
        <w:t xml:space="preserve">new headings need Ministerial approval and a new Direction published in the Gazettes, and HMRC warns the process</w:t>
      </w:r>
      <w:r>
        <w:t xml:space="preserve"> </w:t>
      </w:r>
      <w:r>
        <w:t xml:space="preserve">“</w:t>
      </w:r>
      <w:r>
        <w:t xml:space="preserve">can be a lengthy one</w:t>
      </w:r>
      <w:r>
        <w:t xml:space="preserve">”</w:t>
      </w:r>
      <w:r>
        <w:t xml:space="preserve"> </w:t>
      </w:r>
      <w:r>
        <w:t xml:space="preserve">(</w:t>
      </w:r>
      <w:hyperlink w:anchor="ref-hmrc_vatgpb">
        <w:r>
          <w:rPr>
            <w:rStyle w:val="Hyperlink"/>
          </w:rPr>
          <w:t xml:space="preserve">HMRC, 2026n, sec. VATGPB9720</w:t>
        </w:r>
      </w:hyperlink>
      <w:r>
        <w:t xml:space="preserve">)</w:t>
      </w:r>
      <w:r>
        <w:t xml:space="preserve">.</w:t>
      </w:r>
    </w:p>
    <w:bookmarkEnd w:id="211"/>
    <w:bookmarkEnd w:id="212"/>
    <w:bookmarkStart w:id="213" w:name="common-reasons-a-cos-claim-fails"/>
    <w:p>
      <w:pPr>
        <w:pStyle w:val="Heading3"/>
      </w:pPr>
      <w:r>
        <w:t xml:space="preserve">Common reasons a COS claim fails</w:t>
      </w:r>
    </w:p>
    <w:p>
      <w:pPr>
        <w:pStyle w:val="Compact"/>
        <w:numPr>
          <w:ilvl w:val="0"/>
          <w:numId w:val="1253"/>
        </w:numPr>
      </w:pPr>
      <w:r>
        <w:rPr>
          <w:b/>
          <w:bCs/>
        </w:rPr>
        <w:t xml:space="preserve">It is goods, not a service.</w:t>
      </w:r>
      <w:r>
        <w:t xml:space="preserve"> </w:t>
      </w:r>
      <w:r>
        <w:t xml:space="preserve">Examples are furniture, laptops, stationery, promotional mugs, security cameras bought on their own, and utilities bought separately (utilities within a PFI unitary charge under Heading 53 are the exception)</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HMRC, 2026n, secs VATGPB10790, VATGPB10810</w:t>
        </w:r>
      </w:hyperlink>
      <w:r>
        <w:t xml:space="preserve"> </w:t>
      </w:r>
      <w:r>
        <w:t xml:space="preserve">and VATGPB10930)</w:t>
      </w:r>
      <w:r>
        <w:t xml:space="preserve">. Only goods</w:t>
      </w:r>
      <w:r>
        <w:t xml:space="preserve"> </w:t>
      </w:r>
      <w:r>
        <w:t xml:space="preserve">“</w:t>
      </w:r>
      <w:r>
        <w:t xml:space="preserve">closely related</w:t>
      </w:r>
      <w:r>
        <w:t xml:space="preserve">”</w:t>
      </w:r>
      <w:r>
        <w:t xml:space="preserve"> </w:t>
      </w:r>
      <w:r>
        <w:t xml:space="preserve">to a qualifying service, and supplied as part of it, can be covered</w:t>
      </w:r>
      <w:r>
        <w:t xml:space="preserve"> </w:t>
      </w:r>
      <w:r>
        <w:t xml:space="preserve">(</w:t>
      </w:r>
      <w:hyperlink w:anchor="ref-gazette_2020">
        <w:r>
          <w:rPr>
            <w:rStyle w:val="Hyperlink"/>
          </w:rPr>
          <w:t xml:space="preserve">HM Treasury, 2020b, para. 2</w:t>
        </w:r>
      </w:hyperlink>
      <w:r>
        <w:t xml:space="preserve">;</w:t>
      </w:r>
      <w:r>
        <w:t xml:space="preserve"> </w:t>
      </w:r>
      <w:hyperlink w:anchor="ref-hmrc_vatgpb">
        <w:r>
          <w:rPr>
            <w:rStyle w:val="Hyperlink"/>
          </w:rPr>
          <w:t xml:space="preserve">HMRC, 2026n, sec. VATGPB11370</w:t>
        </w:r>
      </w:hyperlink>
      <w:r>
        <w:t xml:space="preserve">)</w:t>
      </w:r>
      <w:r>
        <w:t xml:space="preserve">.</w:t>
      </w:r>
    </w:p>
    <w:p>
      <w:pPr>
        <w:pStyle w:val="Compact"/>
        <w:numPr>
          <w:ilvl w:val="0"/>
          <w:numId w:val="1253"/>
        </w:numPr>
      </w:pPr>
      <w:r>
        <w:rPr>
          <w:b/>
          <w:bCs/>
        </w:rPr>
        <w:t xml:space="preserve">It is a supply of staff.</w:t>
      </w:r>
      <w:r>
        <w:t xml:space="preserve"> </w:t>
      </w:r>
      <w:r>
        <w:t xml:space="preserve">Agency temps, contractors working under the Department’s day-to-day control, secondees and</w:t>
      </w:r>
      <w:r>
        <w:t xml:space="preserve"> </w:t>
      </w:r>
      <w:r>
        <w:t xml:space="preserve">“</w:t>
      </w:r>
      <w:r>
        <w:t xml:space="preserve">holiday cover</w:t>
      </w:r>
      <w:r>
        <w:t xml:space="preserve">”</w:t>
      </w:r>
      <w:r>
        <w:t xml:space="preserve"> </w:t>
      </w:r>
      <w:r>
        <w:t xml:space="preserve">are excluded across several headings (for example 14, 52, 60 and 69)</w:t>
      </w:r>
      <w:r>
        <w:t xml:space="preserve"> </w:t>
      </w:r>
      <w:r>
        <w:t xml:space="preserve">(</w:t>
      </w:r>
      <w:hyperlink w:anchor="ref-hmrc_vatgpb">
        <w:r>
          <w:rPr>
            <w:rStyle w:val="Hyperlink"/>
          </w:rPr>
          <w:t xml:space="preserve">HMRC, 2026n, secs VATGPB10010, VATGPB10770, VATGPB10930</w:t>
        </w:r>
      </w:hyperlink>
      <w:r>
        <w:t xml:space="preserve"> </w:t>
      </w:r>
      <w:r>
        <w:t xml:space="preserve">and VATGPB11110)</w:t>
      </w:r>
      <w:r>
        <w:t xml:space="preserve">. Heading 81 (accredited GCO secondments) is a narrow exception</w:t>
      </w:r>
      <w:r>
        <w:t xml:space="preserve"> </w:t>
      </w:r>
      <w:r>
        <w:t xml:space="preserve">(</w:t>
      </w:r>
      <w:hyperlink w:anchor="ref-hmrc_vatgpb">
        <w:r>
          <w:rPr>
            <w:rStyle w:val="Hyperlink"/>
          </w:rPr>
          <w:t xml:space="preserve">HMRC, 2026n, sec. VATGPB11350</w:t>
        </w:r>
      </w:hyperlink>
      <w:r>
        <w:t xml:space="preserve">)</w:t>
      </w:r>
      <w:r>
        <w:t xml:space="preserve">.</w:t>
      </w:r>
    </w:p>
    <w:p>
      <w:pPr>
        <w:pStyle w:val="Compact"/>
        <w:numPr>
          <w:ilvl w:val="0"/>
          <w:numId w:val="1253"/>
        </w:numPr>
      </w:pPr>
      <w:r>
        <w:rPr>
          <w:b/>
          <w:bCs/>
        </w:rPr>
        <w:t xml:space="preserve">Advice and implementation in the same contract.</w:t>
      </w:r>
      <w:r>
        <w:t xml:space="preserve"> </w:t>
      </w:r>
      <w:r>
        <w:t xml:space="preserve">Under Heading 52:</w:t>
      </w:r>
      <w:r>
        <w:t xml:space="preserve"> </w:t>
      </w:r>
      <w:r>
        <w:t xml:space="preserve">“</w:t>
      </w:r>
      <w:r>
        <w:t xml:space="preserve">Where the advice and implementation form part of the same contract, none of the services can be recovered</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253"/>
        </w:numPr>
      </w:pPr>
      <w:r>
        <w:rPr>
          <w:b/>
          <w:bCs/>
        </w:rPr>
        <w:t xml:space="preserve">The heading’s own conditions are not met.</w:t>
      </w:r>
      <w:r>
        <w:t xml:space="preserve"> </w:t>
      </w:r>
      <w:r>
        <w:t xml:space="preserve">Examples:</w:t>
      </w:r>
    </w:p>
    <w:p>
      <w:pPr>
        <w:pStyle w:val="Compact"/>
        <w:numPr>
          <w:ilvl w:val="1"/>
          <w:numId w:val="1254"/>
        </w:numPr>
      </w:pPr>
      <w:r>
        <w:t xml:space="preserve">off-the-shelf software (Heading 14)</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1"/>
          <w:numId w:val="1254"/>
        </w:numPr>
      </w:pPr>
      <w:r>
        <w:t xml:space="preserve">vehicle hire for 30 days or less, or without a maintenance obligation (Heading 26)</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1"/>
          <w:numId w:val="1254"/>
        </w:numPr>
      </w:pPr>
      <w:r>
        <w:t xml:space="preserve">venue hire alone (Heading 15)</w:t>
      </w:r>
      <w:r>
        <w:t xml:space="preserve"> </w:t>
      </w:r>
      <w:r>
        <w:t xml:space="preserve">(</w:t>
      </w:r>
      <w:hyperlink w:anchor="ref-hmrc_vatgpb">
        <w:r>
          <w:rPr>
            <w:rStyle w:val="Hyperlink"/>
          </w:rPr>
          <w:t xml:space="preserve">HMRC, 2026n, sec. VATGPB10030</w:t>
        </w:r>
      </w:hyperlink>
      <w:r>
        <w:t xml:space="preserve">)</w:t>
      </w:r>
      <w:r>
        <w:t xml:space="preserve">;</w:t>
      </w:r>
    </w:p>
    <w:p>
      <w:pPr>
        <w:pStyle w:val="Compact"/>
        <w:numPr>
          <w:ilvl w:val="1"/>
          <w:numId w:val="1254"/>
        </w:numPr>
      </w:pPr>
      <w:r>
        <w:t xml:space="preserve">hotel accommodation and fares (Heading 67)</w:t>
      </w:r>
      <w:r>
        <w:t xml:space="preserve"> </w:t>
      </w:r>
      <w:r>
        <w:t xml:space="preserve">(</w:t>
      </w:r>
      <w:hyperlink w:anchor="ref-hmrc_vatgpb">
        <w:r>
          <w:rPr>
            <w:rStyle w:val="Hyperlink"/>
          </w:rPr>
          <w:t xml:space="preserve">HMRC, 2026n, sec. VATGPB11070</w:t>
        </w:r>
      </w:hyperlink>
      <w:r>
        <w:t xml:space="preserve">)</w:t>
      </w:r>
      <w:r>
        <w:t xml:space="preserve">;</w:t>
      </w:r>
    </w:p>
    <w:p>
      <w:pPr>
        <w:pStyle w:val="Compact"/>
        <w:numPr>
          <w:ilvl w:val="1"/>
          <w:numId w:val="1254"/>
        </w:numPr>
      </w:pPr>
      <w:r>
        <w:t xml:space="preserve">structural alterations (Heading 35)</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1"/>
          <w:numId w:val="1254"/>
        </w:numPr>
      </w:pPr>
      <w:r>
        <w:t xml:space="preserve">placing an advert directly in a newspaper (Headings 54 and 57)</w:t>
      </w:r>
      <w:r>
        <w:t xml:space="preserve"> </w:t>
      </w:r>
      <w:r>
        <w:t xml:space="preserve">(</w:t>
      </w:r>
      <w:hyperlink w:anchor="ref-hmrc_vatgpb">
        <w:r>
          <w:rPr>
            <w:rStyle w:val="Hyperlink"/>
          </w:rPr>
          <w:t xml:space="preserve">HMRC, 2026n, secs VATGPB10810, VATGPB10870</w:t>
        </w:r>
      </w:hyperlink>
      <w:r>
        <w:t xml:space="preserve">)</w:t>
      </w:r>
      <w:r>
        <w:t xml:space="preserve">.</w:t>
      </w:r>
    </w:p>
    <w:p>
      <w:pPr>
        <w:pStyle w:val="Compact"/>
        <w:numPr>
          <w:ilvl w:val="0"/>
          <w:numId w:val="1253"/>
        </w:numPr>
      </w:pPr>
      <w:r>
        <w:rPr>
          <w:b/>
          <w:bCs/>
        </w:rPr>
        <w:t xml:space="preserve">It was used for a business activity.</w:t>
      </w:r>
      <w:r>
        <w:t xml:space="preserve"> </w:t>
      </w:r>
      <w:r>
        <w:t xml:space="preserve">That VAT is input tax under the normal rules, not COS. Mixed-use costs must be apportioned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53"/>
        </w:numPr>
      </w:pPr>
      <w:r>
        <w:rPr>
          <w:b/>
          <w:bCs/>
        </w:rPr>
        <w:t xml:space="preserve">It is foreign VAT.</w:t>
      </w:r>
      <w:r>
        <w:t xml:space="preserve"> </w:t>
      </w:r>
      <w:r>
        <w:t xml:space="preserve">COS refunds only UK VAT (Value Added Tax Act 1994, ss. 1 and 41(3)). French, German or Kenyan VAT cannot be refunded through it.</w:t>
      </w:r>
    </w:p>
    <w:p>
      <w:pPr>
        <w:pStyle w:val="Compact"/>
        <w:numPr>
          <w:ilvl w:val="0"/>
          <w:numId w:val="1253"/>
        </w:numPr>
      </w:pPr>
      <w:r>
        <w:rPr>
          <w:b/>
          <w:bCs/>
        </w:rPr>
        <w:t xml:space="preserve">No UK VAT was charged.</w:t>
      </w:r>
      <w:r>
        <w:t xml:space="preserve"> </w:t>
      </w:r>
      <w:r>
        <w:t xml:space="preserve">Fares, education from eligible bodies and international freight are often zero-rated or exempt, so there is nothing to refund (Value Added Tax Act 1994, Sch. 8, Group 8 and Sch. 9, Group 6)</w:t>
      </w:r>
      <w:r>
        <w:t xml:space="preserve"> </w:t>
      </w:r>
      <w:r>
        <w:t xml:space="preserve">(</w:t>
      </w:r>
      <w:hyperlink w:anchor="ref-hmrc_vatgpb">
        <w:r>
          <w:rPr>
            <w:rStyle w:val="Hyperlink"/>
          </w:rPr>
          <w:t xml:space="preserve">HMRC, 2026n, secs VATGPB11030, VATGPB11070</w:t>
        </w:r>
      </w:hyperlink>
      <w:r>
        <w:t xml:space="preserve">)</w:t>
      </w:r>
      <w:r>
        <w:t xml:space="preserve">.</w:t>
      </w:r>
    </w:p>
    <w:p>
      <w:pPr>
        <w:pStyle w:val="Compact"/>
        <w:numPr>
          <w:ilvl w:val="0"/>
          <w:numId w:val="1253"/>
        </w:numPr>
      </w:pPr>
      <w:r>
        <w:rPr>
          <w:b/>
          <w:bCs/>
        </w:rPr>
        <w:t xml:space="preserve">It was claimed too late,</w:t>
      </w:r>
      <w:r>
        <w:t xml:space="preserve"> </w:t>
      </w:r>
      <w:r>
        <w:t xml:space="preserve">after the June VAT return following the end of the financial year, and none of the HMRC-caused exceptions applies</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253"/>
        </w:numPr>
      </w:pPr>
      <w:r>
        <w:rPr>
          <w:b/>
          <w:bCs/>
        </w:rPr>
        <w:t xml:space="preserve">There is no valid VAT invoice to the Department.</w:t>
      </w:r>
      <w:r>
        <w:t xml:space="preserve"> </w:t>
      </w:r>
      <w:r>
        <w:t xml:space="preserve">Watch especially for services hired by staff and reimbursed through expenses</w:t>
      </w:r>
      <w:r>
        <w:t xml:space="preserve"> </w:t>
      </w:r>
      <w:r>
        <w:t xml:space="preserve">(</w:t>
      </w:r>
      <w:hyperlink w:anchor="ref-hmrc_vatgpb">
        <w:r>
          <w:rPr>
            <w:rStyle w:val="Hyperlink"/>
          </w:rPr>
          <w:t xml:space="preserve">HMRC, 2026n, secs VATGPB10870, VATGPB11070</w:t>
        </w:r>
      </w:hyperlink>
      <w:r>
        <w:t xml:space="preserve">)</w:t>
      </w:r>
      <w:r>
        <w:t xml:space="preserve">.</w:t>
      </w:r>
    </w:p>
    <w:p>
      <w:pPr>
        <w:pStyle w:val="Compact"/>
        <w:numPr>
          <w:ilvl w:val="0"/>
          <w:numId w:val="1253"/>
        </w:numPr>
      </w:pPr>
      <w:r>
        <w:rPr>
          <w:b/>
          <w:bCs/>
        </w:rPr>
        <w:t xml:space="preserve">The service was never something government did in-house,</w:t>
      </w:r>
      <w:r>
        <w:t xml:space="preserve"> </w:t>
      </w:r>
      <w:r>
        <w:t xml:space="preserve">such as external audit or professional exam fees</w:t>
      </w:r>
      <w:r>
        <w:t xml:space="preserve"> </w:t>
      </w:r>
      <w:r>
        <w:t xml:space="preserve">(</w:t>
      </w:r>
      <w:hyperlink w:anchor="ref-hmrc_vatgpb">
        <w:r>
          <w:rPr>
            <w:rStyle w:val="Hyperlink"/>
          </w:rPr>
          <w:t xml:space="preserve">HMRC, 2026n, secs VATGPB9720, VATGPB9750</w:t>
        </w:r>
      </w:hyperlink>
      <w:r>
        <w:t xml:space="preserve"> </w:t>
      </w:r>
      <w:r>
        <w:t xml:space="preserve">and VATGPB11030)</w:t>
      </w:r>
      <w:r>
        <w:t xml:space="preserve">.</w:t>
      </w:r>
    </w:p>
    <w:p>
      <w:pPr>
        <w:pStyle w:val="Compact"/>
        <w:numPr>
          <w:ilvl w:val="0"/>
          <w:numId w:val="1253"/>
        </w:numPr>
      </w:pPr>
      <w:r>
        <w:rPr>
          <w:b/>
          <w:bCs/>
        </w:rPr>
        <w:t xml:space="preserve">The heading belongs to another department,</w:t>
      </w:r>
      <w:r>
        <w:t xml:space="preserve"> </w:t>
      </w:r>
      <w:r>
        <w:t xml:space="preserve">under paragraph 4 of the Direction</w:t>
      </w:r>
      <w:r>
        <w:t xml:space="preserve"> </w:t>
      </w:r>
      <w:r>
        <w:t xml:space="preserve">(</w:t>
      </w:r>
      <w:hyperlink w:anchor="ref-gazette_2020">
        <w:r>
          <w:rPr>
            <w:rStyle w:val="Hyperlink"/>
          </w:rPr>
          <w:t xml:space="preserve">HM Treasury, 2020b, para. 4</w:t>
        </w:r>
      </w:hyperlink>
      <w:r>
        <w:t xml:space="preserve">)</w:t>
      </w:r>
      <w:r>
        <w:t xml:space="preserve">.</w:t>
      </w:r>
    </w:p>
    <w:p>
      <w:pPr>
        <w:pStyle w:val="Compact"/>
        <w:numPr>
          <w:ilvl w:val="0"/>
          <w:numId w:val="1253"/>
        </w:numPr>
      </w:pPr>
      <w:r>
        <w:rPr>
          <w:b/>
          <w:bCs/>
        </w:rPr>
        <w:t xml:space="preserve">The claim relied on HMRC’s short title</w:t>
      </w:r>
      <w:r>
        <w:t xml:space="preserve"> </w:t>
      </w:r>
      <w:r>
        <w:t xml:space="preserve">instead of the full wording of the Direction</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0"/>
          <w:numId w:val="1253"/>
        </w:numPr>
      </w:pPr>
      <w:r>
        <w:rPr>
          <w:b/>
          <w:bCs/>
        </w:rPr>
        <w:t xml:space="preserve">A single supply was split between headings,</w:t>
      </w:r>
      <w:r>
        <w:t xml:space="preserve"> </w:t>
      </w:r>
      <w:r>
        <w:t xml:space="preserve">which HMRC does not allow, or everything from one supplier was assumed to be COS</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VATGPB9720</w:t>
        </w:r>
      </w:hyperlink>
      <w:r>
        <w:t xml:space="preserve">)</w:t>
      </w:r>
      <w:r>
        <w:t xml:space="preserve">.</w:t>
      </w:r>
    </w:p>
    <w:p>
      <w:r>
        <w:pict>
          <v:rect style="width:0;height:1.5pt" o:hralign="center" o:hrstd="t" o:hr="t"/>
        </w:pict>
      </w:r>
    </w:p>
    <w:bookmarkEnd w:id="213"/>
    <w:bookmarkEnd w:id="214"/>
    <w:bookmarkStart w:id="242" w:name="X612431b1c35d5d80c9ec303def490770be144d7"/>
    <w:p>
      <w:pPr>
        <w:pStyle w:val="Heading2"/>
      </w:pPr>
      <w:r>
        <w:t xml:space="preserve">Part 6: The Department’s activities, step by step</w:t>
      </w:r>
    </w:p>
    <w:p>
      <w:pPr>
        <w:pStyle w:val="FirstParagraph"/>
      </w:pPr>
      <w:r>
        <w:rPr>
          <w:b/>
          <w:bCs/>
        </w:rPr>
        <w:t xml:space="preserve">The Department’s VAT profile.</w:t>
      </w:r>
      <w:r>
        <w:t xml:space="preserve"> </w:t>
      </w:r>
      <w:r>
        <w:t xml:space="preserve">The fictional Department is a section 41(3) body. It is VAT-registered, as all departments must be</w:t>
      </w:r>
      <w:r>
        <w:t xml:space="preserve"> </w:t>
      </w:r>
      <w:r>
        <w:t xml:space="preserve">(</w:t>
      </w:r>
      <w:hyperlink w:anchor="ref-hmrc_vatgpb">
        <w:r>
          <w:rPr>
            <w:rStyle w:val="Hyperlink"/>
          </w:rPr>
          <w:t xml:space="preserve">HMRC, 2026n, sec. VATGPB9400</w:t>
        </w:r>
      </w:hyperlink>
      <w:r>
        <w:t xml:space="preserve">)</w:t>
      </w:r>
      <w:r>
        <w:t xml:space="preserve">.</w:t>
      </w:r>
    </w:p>
    <w:p>
      <w:pPr>
        <w:pStyle w:val="Compact"/>
        <w:numPr>
          <w:ilvl w:val="0"/>
          <w:numId w:val="1255"/>
        </w:numPr>
      </w:pPr>
      <w:r>
        <w:rPr>
          <w:b/>
          <w:bCs/>
        </w:rPr>
        <w:t xml:space="preserve">Most of its work is non-business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55"/>
        </w:numPr>
      </w:pPr>
      <w:r>
        <w:rPr>
          <w:b/>
          <w:bCs/>
        </w:rPr>
        <w:t xml:space="preserve">It also has some business activities:</w:t>
      </w:r>
      <w:r>
        <w:t xml:space="preserve"> </w:t>
      </w:r>
      <w:r>
        <w:t xml:space="preserve">selling surplus equipment, publications and data licences.</w:t>
      </w:r>
    </w:p>
    <w:p>
      <w:pPr>
        <w:pStyle w:val="FirstParagraph"/>
      </w:pPr>
      <w:r>
        <w:t xml:space="preserve">Those business activities matter for more than the sales themselves. They make the Department a</w:t>
      </w:r>
      <w:r>
        <w:t xml:space="preserve"> </w:t>
      </w:r>
      <w:r>
        <w:rPr>
          <w:b/>
          <w:bCs/>
        </w:rPr>
        <w:t xml:space="preserve">“</w:t>
      </w:r>
      <w:r>
        <w:rPr>
          <w:b/>
          <w:bCs/>
        </w:rPr>
        <w:t xml:space="preserve">relevant business person</w:t>
      </w:r>
      <w:r>
        <w:rPr>
          <w:b/>
          <w:bCs/>
        </w:rPr>
        <w:t xml:space="preserve">”</w:t>
      </w:r>
      <w:r>
        <w:t xml:space="preserve"> </w:t>
      </w:r>
      <w:r>
        <w:t xml:space="preserve">under the place-of-supply rules (Value Added Tax Act 1994, s. 7A(4)), so it is treated as a business customer when it buys services from abroad</w:t>
      </w:r>
      <w:r>
        <w:t xml:space="preserve"> </w:t>
      </w:r>
      <w:r>
        <w:t xml:space="preserve">(</w:t>
      </w:r>
      <w:hyperlink w:anchor="ref-hmrc_vatposs">
        <w:r>
          <w:rPr>
            <w:rStyle w:val="Hyperlink"/>
          </w:rPr>
          <w:t xml:space="preserve">HMRC, 2022j, sec. VATPOSS01350</w:t>
        </w:r>
      </w:hyperlink>
      <w:r>
        <w:t xml:space="preserve">;</w:t>
      </w:r>
      <w:r>
        <w:t xml:space="preserve"> </w:t>
      </w:r>
      <w:hyperlink w:anchor="ref-hmrc_n741a">
        <w:r>
          <w:rPr>
            <w:rStyle w:val="Hyperlink"/>
          </w:rPr>
          <w:t xml:space="preserve">2022d, para. 2.4</w:t>
        </w:r>
      </w:hyperlink>
      <w:r>
        <w:t xml:space="preserve">)</w:t>
      </w:r>
      <w:r>
        <w:t xml:space="preserve">. See Part 4, Is the Department a business customer?</w:t>
      </w:r>
    </w:p>
    <w:p>
      <w:pPr>
        <w:pStyle w:val="BodyText"/>
      </w:pPr>
      <w:r>
        <w:rPr>
          <w:b/>
          <w:bCs/>
        </w:rPr>
        <w:t xml:space="preserve">Five ideas you will need in this Part:</w:t>
      </w:r>
    </w:p>
    <w:p>
      <w:pPr>
        <w:pStyle w:val="Compact"/>
        <w:numPr>
          <w:ilvl w:val="0"/>
          <w:numId w:val="1256"/>
        </w:numPr>
      </w:pPr>
      <w:r>
        <w:rPr>
          <w:b/>
          <w:bCs/>
        </w:rPr>
        <w:t xml:space="preserve">Foreign VAT is never COS</w:t>
      </w:r>
      <w:r>
        <w:t xml:space="preserve"> </w:t>
      </w:r>
      <w:r>
        <w:t xml:space="preserve">(see Part 4, Foreign VAT charged abroad).</w:t>
      </w:r>
    </w:p>
    <w:p>
      <w:pPr>
        <w:pStyle w:val="Compact"/>
        <w:numPr>
          <w:ilvl w:val="1"/>
          <w:numId w:val="1257"/>
        </w:numPr>
      </w:pPr>
      <w:r>
        <w:t xml:space="preserve">Section 1 of the Value Added Tax Act 1994 charges VAT on supplies in the UK and on imports into the UK, and</w:t>
      </w:r>
      <w:r>
        <w:t xml:space="preserve"> </w:t>
      </w:r>
      <w:r>
        <w:t xml:space="preserve">“</w:t>
      </w:r>
      <w:r>
        <w:t xml:space="preserve">VAT</w:t>
      </w:r>
      <w:r>
        <w:t xml:space="preserve">”</w:t>
      </w:r>
      <w:r>
        <w:t xml:space="preserve"> </w:t>
      </w:r>
      <w:r>
        <w:t xml:space="preserve">in the Act means that tax. Section 41(3) refunds VAT</w:t>
      </w:r>
      <w:r>
        <w:t xml:space="preserve"> </w:t>
      </w:r>
      <w:r>
        <w:t xml:space="preserve">“</w:t>
      </w:r>
      <w:r>
        <w:t xml:space="preserve">chargeable</w:t>
      </w:r>
      <w:r>
        <w:t xml:space="preserve">”</w:t>
      </w:r>
      <w:r>
        <w:t xml:space="preserve"> </w:t>
      </w:r>
      <w:r>
        <w:t xml:space="preserve">under the Act (Value Added Tax Act 1994, ss. 1 and 41(3)).</w:t>
      </w:r>
    </w:p>
    <w:p>
      <w:pPr>
        <w:pStyle w:val="Compact"/>
        <w:numPr>
          <w:ilvl w:val="1"/>
          <w:numId w:val="1257"/>
        </w:numPr>
      </w:pPr>
      <w:r>
        <w:t xml:space="preserve">So VAT charged by another country (French TVA, German USt and so on) cannot be refunded through COS. HMRC’s COS pages do not say this in terms, but it follows from the statute.</w:t>
      </w:r>
    </w:p>
    <w:p>
      <w:pPr>
        <w:pStyle w:val="Compact"/>
        <w:numPr>
          <w:ilvl w:val="1"/>
          <w:numId w:val="1257"/>
        </w:numPr>
      </w:pPr>
      <w:r>
        <w:t xml:space="preserve">Foreign refund procedures (for example the EU’s procedures for non-EU businesses) only refund VAT used for activities that carry a right to deduct. They do not refund VAT on non-business costs (Council Directive 86/560/EEC, arts. 2(1) and 3(1)).</w:t>
      </w:r>
    </w:p>
    <w:p>
      <w:pPr>
        <w:pStyle w:val="Compact"/>
        <w:numPr>
          <w:ilvl w:val="1"/>
          <w:numId w:val="1257"/>
        </w:numPr>
      </w:pPr>
      <w:r>
        <w:t xml:space="preserve">HMRC’s guidance on certificates of status (form VAT66), which those procedures may require, is written for</w:t>
      </w:r>
      <w:r>
        <w:t xml:space="preserve"> </w:t>
      </w:r>
      <w:r>
        <w:t xml:space="preserve">“</w:t>
      </w:r>
      <w:r>
        <w:t xml:space="preserve">businesses</w:t>
      </w:r>
      <w:r>
        <w:t xml:space="preserve">”</w:t>
      </w:r>
      <w:r>
        <w:t xml:space="preserve"> </w:t>
      </w:r>
      <w:r>
        <w:t xml:space="preserve">and does not mention government departments</w:t>
      </w:r>
      <w:r>
        <w:t xml:space="preserve"> </w:t>
      </w:r>
      <w:r>
        <w:t xml:space="preserve">(</w:t>
      </w:r>
      <w:hyperlink w:anchor="ref-hmrc_vat66">
        <w:r>
          <w:rPr>
            <w:rStyle w:val="Hyperlink"/>
          </w:rPr>
          <w:t xml:space="preserve">HMRC, 2023b</w:t>
        </w:r>
      </w:hyperlink>
      <w:r>
        <w:t xml:space="preserve">;</w:t>
      </w:r>
      <w:r>
        <w:t xml:space="preserve"> </w:t>
      </w:r>
      <w:hyperlink w:anchor="ref-hmrc_n723a">
        <w:r>
          <w:rPr>
            <w:rStyle w:val="Hyperlink"/>
          </w:rPr>
          <w:t xml:space="preserve">2026l, sec. 3</w:t>
        </w:r>
      </w:hyperlink>
      <w:r>
        <w:t xml:space="preserve">)</w:t>
      </w:r>
      <w:r>
        <w:t xml:space="preserve">.</w:t>
      </w:r>
    </w:p>
    <w:p>
      <w:pPr>
        <w:pStyle w:val="Compact"/>
        <w:numPr>
          <w:ilvl w:val="1"/>
          <w:numId w:val="1257"/>
        </w:numPr>
      </w:pPr>
      <w:r>
        <w:rPr>
          <w:b/>
          <w:bCs/>
        </w:rPr>
        <w:t xml:space="preserve">In practice, foreign VAT on non-business travel and training is a sunk cost.</w:t>
      </w:r>
    </w:p>
    <w:p>
      <w:pPr>
        <w:pStyle w:val="Compact"/>
        <w:numPr>
          <w:ilvl w:val="0"/>
          <w:numId w:val="1256"/>
        </w:numPr>
      </w:pPr>
      <w:r>
        <w:rPr>
          <w:b/>
          <w:bCs/>
        </w:rPr>
        <w:t xml:space="preserve">The reverse charge</w:t>
      </w:r>
      <w:r>
        <w:t xml:space="preserve"> </w:t>
      </w:r>
      <w:r>
        <w:t xml:space="preserve">(see Part 4, The reverse charge and the Department).</w:t>
      </w:r>
    </w:p>
    <w:p>
      <w:pPr>
        <w:pStyle w:val="Compact"/>
        <w:numPr>
          <w:ilvl w:val="1"/>
          <w:numId w:val="1258"/>
        </w:numPr>
      </w:pPr>
      <w:r>
        <w:t xml:space="preserve">When the Department buys most services from a supplier outside the UK, the supplier charges no UK VAT. Instead the Department</w:t>
      </w:r>
      <w:r>
        <w:t xml:space="preserve"> </w:t>
      </w:r>
      <w:r>
        <w:t xml:space="preserve">“</w:t>
      </w:r>
      <w:r>
        <w:t xml:space="preserve">charges itself</w:t>
      </w:r>
      <w:r>
        <w:t xml:space="preserve">”</w:t>
      </w:r>
      <w:r>
        <w:t xml:space="preserve"> </w:t>
      </w:r>
      <w:r>
        <w:t xml:space="preserve">the UK VAT. It accounts for it as output tax on its own return, under section 8 of the Value Added Tax Act 1994</w:t>
      </w:r>
      <w:r>
        <w:t xml:space="preserve"> </w:t>
      </w:r>
      <w:r>
        <w:t xml:space="preserve">(</w:t>
      </w:r>
      <w:hyperlink w:anchor="ref-hmrc_n741a">
        <w:r>
          <w:rPr>
            <w:rStyle w:val="Hyperlink"/>
          </w:rPr>
          <w:t xml:space="preserve">HMRC, 2022d</w:t>
        </w:r>
      </w:hyperlink>
      <w:r>
        <w:t xml:space="preserve">, paras. 5.1 and 5.2)</w:t>
      </w:r>
      <w:r>
        <w:t xml:space="preserve">.</w:t>
      </w:r>
    </w:p>
    <w:p>
      <w:pPr>
        <w:pStyle w:val="Compact"/>
        <w:numPr>
          <w:ilvl w:val="1"/>
          <w:numId w:val="1258"/>
        </w:numPr>
      </w:pPr>
      <w:r>
        <w:t xml:space="preserve">HMRC confirms this applies to a department with both business and non-business activities,</w:t>
      </w:r>
      <w:r>
        <w:t xml:space="preserve"> </w:t>
      </w:r>
      <w:r>
        <w:t xml:space="preserve">“</w:t>
      </w:r>
      <w:r>
        <w:t xml:space="preserve">even if they relate solely to its non-business activities</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1"/>
          <w:numId w:val="1258"/>
        </w:numPr>
      </w:pPr>
      <w:r>
        <w:t xml:space="preserve">HMRC also says:</w:t>
      </w:r>
      <w:r>
        <w:t xml:space="preserve"> </w:t>
      </w:r>
      <w:r>
        <w:t xml:space="preserve">“</w:t>
      </w:r>
      <w:r>
        <w:t xml:space="preserve">Where the reverse charge services relate to non-business activities, any proportion of VAT relating to COS should be dealt with under section 41(3)</w:t>
      </w:r>
      <w:r>
        <w:t xml:space="preserv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1"/>
          <w:numId w:val="1258"/>
        </w:numPr>
      </w:pPr>
      <w:r>
        <w:rPr>
          <w:b/>
          <w:bCs/>
        </w:rPr>
        <w:t xml:space="preserve">Result:</w:t>
      </w:r>
      <w:r>
        <w:t xml:space="preserve"> </w:t>
      </w:r>
      <w:r>
        <w:t xml:space="preserve">if the service is within a COS heading, the self-charged VAT is refunded and the net cost is nil. If it is not within a heading, the self-charged VAT is a real cost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1"/>
          <w:numId w:val="1258"/>
        </w:numPr>
      </w:pPr>
      <w:r>
        <w:t xml:space="preserve">HMRC’s older manual page VATGPB9340 (2016) describes COS as covering services</w:t>
      </w:r>
      <w:r>
        <w:t xml:space="preserve"> </w:t>
      </w:r>
      <w:r>
        <w:t xml:space="preserve">“</w:t>
      </w:r>
      <w:r>
        <w:t xml:space="preserve">on which the contractor then charges VAT</w:t>
      </w:r>
      <w:r>
        <w:t xml:space="preserve">”</w:t>
      </w:r>
      <w:r>
        <w:t xml:space="preserve"> </w:t>
      </w:r>
      <w:r>
        <w:t xml:space="preserve">(</w:t>
      </w:r>
      <w:hyperlink w:anchor="ref-hmrc_vatgpb">
        <w:r>
          <w:rPr>
            <w:rStyle w:val="Hyperlink"/>
          </w:rPr>
          <w:t xml:space="preserve">HMRC, 2026n, sec. VATGPB9340</w:t>
        </w:r>
      </w:hyperlink>
      <w:r>
        <w:t xml:space="preserve">)</w:t>
      </w:r>
      <w:r>
        <w:t xml:space="preserve">. HMRC’s 2023 partial exemption framework deals specifically with reverse-charged services, and this guide follows it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56"/>
        </w:numPr>
      </w:pPr>
      <w:r>
        <w:rPr>
          <w:b/>
          <w:bCs/>
        </w:rPr>
        <w:t xml:space="preserve">Place of supply.</w:t>
      </w:r>
      <w:r>
        <w:t xml:space="preserve"> </w:t>
      </w:r>
      <w:r>
        <w:t xml:space="preserve">These rules decide which country’s VAT applies (see Part 4, Services across borders: place of supply).</w:t>
      </w:r>
    </w:p>
    <w:p>
      <w:pPr>
        <w:pStyle w:val="Compact"/>
        <w:numPr>
          <w:ilvl w:val="1"/>
          <w:numId w:val="1259"/>
        </w:numPr>
      </w:pPr>
      <w:r>
        <w:t xml:space="preserve">For business customers, most services are taxed where the</w:t>
      </w:r>
      <w:r>
        <w:t xml:space="preserve"> </w:t>
      </w:r>
      <w:r>
        <w:rPr>
          <w:b/>
          <w:bCs/>
        </w:rPr>
        <w:t xml:space="preserve">customer</w:t>
      </w:r>
      <w:r>
        <w:t xml:space="preserve"> </w:t>
      </w:r>
      <w:r>
        <w:t xml:space="preserve">belongs. This is the</w:t>
      </w:r>
      <w:r>
        <w:t xml:space="preserve"> </w:t>
      </w:r>
      <w:r>
        <w:t xml:space="preserve">“</w:t>
      </w:r>
      <w:r>
        <w:t xml:space="preserve">general rule</w:t>
      </w:r>
      <w:r>
        <w:t xml:space="preserve">”</w:t>
      </w:r>
      <w:r>
        <w:t xml:space="preserve"> </w:t>
      </w:r>
      <w:r>
        <w:t xml:space="preserve">in section 7A(2) of the Value Added Tax Act 1994</w:t>
      </w:r>
      <w:r>
        <w:t xml:space="preserve"> </w:t>
      </w:r>
      <w:r>
        <w:t xml:space="preserve">(</w:t>
      </w:r>
      <w:hyperlink w:anchor="ref-hmrc_n741a">
        <w:r>
          <w:rPr>
            <w:rStyle w:val="Hyperlink"/>
          </w:rPr>
          <w:t xml:space="preserve">HMRC, 2022d, para. 6.3</w:t>
        </w:r>
      </w:hyperlink>
      <w:r>
        <w:t xml:space="preserve">)</w:t>
      </w:r>
      <w:r>
        <w:t xml:space="preserve">.</w:t>
      </w:r>
    </w:p>
    <w:p>
      <w:pPr>
        <w:pStyle w:val="Compact"/>
        <w:numPr>
          <w:ilvl w:val="1"/>
          <w:numId w:val="1259"/>
        </w:numPr>
      </w:pPr>
      <w:r>
        <w:t xml:space="preserve">Some services are taxed where they physically happen. Hotel accommodation is taxed where the property is, and admission to events such as conferences is taxed where the event takes place</w:t>
      </w:r>
      <w:r>
        <w:t xml:space="preserve"> </w:t>
      </w:r>
      <w:r>
        <w:t xml:space="preserve">(</w:t>
      </w:r>
      <w:hyperlink w:anchor="ref-hmrc_n741a">
        <w:r>
          <w:rPr>
            <w:rStyle w:val="Hyperlink"/>
          </w:rPr>
          <w:t xml:space="preserve">HMRC, 2022d</w:t>
        </w:r>
      </w:hyperlink>
      <w:r>
        <w:t xml:space="preserve">, paras. 7.4, 9.2 and 9.3)</w:t>
      </w:r>
      <w:r>
        <w:t xml:space="preserve">.</w:t>
      </w:r>
    </w:p>
    <w:p>
      <w:pPr>
        <w:pStyle w:val="Compact"/>
        <w:numPr>
          <w:ilvl w:val="1"/>
          <w:numId w:val="1259"/>
        </w:numPr>
      </w:pPr>
      <w:r>
        <w:t xml:space="preserve">That is why an overseas hotel or conference ticket carries foreign VAT.</w:t>
      </w:r>
    </w:p>
    <w:p>
      <w:pPr>
        <w:pStyle w:val="Compact"/>
        <w:numPr>
          <w:ilvl w:val="0"/>
          <w:numId w:val="1256"/>
        </w:numPr>
      </w:pPr>
      <w:r>
        <w:rPr>
          <w:b/>
          <w:bCs/>
        </w:rPr>
        <w:t xml:space="preserve">Zero-rated, exempt and outside the scope</w:t>
      </w:r>
      <w:r>
        <w:t xml:space="preserve"> </w:t>
      </w:r>
      <w:r>
        <w:t xml:space="preserve">(see Part 3, Zero rate (0%); Part 3, Exempt supplies; and Part 3, Outside the scope of VAT).</w:t>
      </w:r>
    </w:p>
    <w:p>
      <w:pPr>
        <w:pStyle w:val="Compact"/>
        <w:numPr>
          <w:ilvl w:val="1"/>
          <w:numId w:val="1260"/>
        </w:numPr>
      </w:pPr>
      <w:r>
        <w:rPr>
          <w:b/>
          <w:bCs/>
        </w:rPr>
        <w:t xml:space="preserve">Zero-rated:</w:t>
      </w:r>
      <w:r>
        <w:t xml:space="preserve"> </w:t>
      </w:r>
      <w:r>
        <w:t xml:space="preserve">VAT is charged at 0%. Examples are international flights and exported goods</w:t>
      </w:r>
      <w:r>
        <w:t xml:space="preserve"> </w:t>
      </w:r>
      <w:r>
        <w:t xml:space="preserve">(</w:t>
      </w:r>
      <w:hyperlink w:anchor="ref-hmrc_n744a">
        <w:r>
          <w:rPr>
            <w:rStyle w:val="Hyperlink"/>
          </w:rPr>
          <w:t xml:space="preserve">HMRC, 2022g</w:t>
        </w:r>
      </w:hyperlink>
      <w:r>
        <w:t xml:space="preserve">, paras. 3.2 and 5.2;</w:t>
      </w:r>
      <w:r>
        <w:t xml:space="preserve"> </w:t>
      </w:r>
      <w:hyperlink w:anchor="ref-hmrc_n703">
        <w:r>
          <w:rPr>
            <w:rStyle w:val="Hyperlink"/>
          </w:rPr>
          <w:t xml:space="preserve">HMRC, 2026p, para. 2.1</w:t>
        </w:r>
      </w:hyperlink>
      <w:r>
        <w:t xml:space="preserve">)</w:t>
      </w:r>
      <w:r>
        <w:t xml:space="preserve">.</w:t>
      </w:r>
    </w:p>
    <w:p>
      <w:pPr>
        <w:pStyle w:val="Compact"/>
        <w:numPr>
          <w:ilvl w:val="1"/>
          <w:numId w:val="1260"/>
        </w:numPr>
      </w:pPr>
      <w:r>
        <w:rPr>
          <w:b/>
          <w:bCs/>
        </w:rPr>
        <w:t xml:space="preserve">Exempt:</w:t>
      </w:r>
      <w:r>
        <w:t xml:space="preserve"> </w:t>
      </w:r>
      <w:r>
        <w:t xml:space="preserve">no VAT is charged, and the supplier cannot recover its related input tax</w:t>
      </w:r>
      <w:r>
        <w:t xml:space="preserve"> </w:t>
      </w:r>
      <w:r>
        <w:t xml:space="preserve">(</w:t>
      </w:r>
      <w:hyperlink w:anchor="ref-hmrc_exemption">
        <w:r>
          <w:rPr>
            <w:rStyle w:val="Hyperlink"/>
          </w:rPr>
          <w:t xml:space="preserve">HMRC, 2022a</w:t>
        </w:r>
      </w:hyperlink>
      <w:r>
        <w:t xml:space="preserve">)</w:t>
      </w:r>
      <w:r>
        <w:t xml:space="preserve">. An example is training from a university</w:t>
      </w:r>
      <w:r>
        <w:t xml:space="preserve"> </w:t>
      </w:r>
      <w:r>
        <w:t xml:space="preserve">(</w:t>
      </w:r>
      <w:hyperlink w:anchor="ref-hmrc_n70130">
        <w:r>
          <w:rPr>
            <w:rStyle w:val="Hyperlink"/>
          </w:rPr>
          <w:t xml:space="preserve">HMRC, 2025d, para. 4.1</w:t>
        </w:r>
      </w:hyperlink>
      <w:r>
        <w:t xml:space="preserve">)</w:t>
      </w:r>
      <w:r>
        <w:t xml:space="preserve">.</w:t>
      </w:r>
    </w:p>
    <w:p>
      <w:pPr>
        <w:pStyle w:val="Compact"/>
        <w:numPr>
          <w:ilvl w:val="1"/>
          <w:numId w:val="1260"/>
        </w:numPr>
      </w:pPr>
      <w:r>
        <w:rPr>
          <w:b/>
          <w:bCs/>
        </w:rPr>
        <w:t xml:space="preserve">Outside the scope:</w:t>
      </w:r>
      <w:r>
        <w:t xml:space="preserve"> </w:t>
      </w:r>
      <w:r>
        <w:t xml:space="preserve">the transaction is not subject to UK VAT at all, for example a supply that takes place abroad</w:t>
      </w:r>
      <w:r>
        <w:t xml:space="preserve"> </w:t>
      </w:r>
      <w:r>
        <w:t xml:space="preserve">(</w:t>
      </w:r>
      <w:hyperlink w:anchor="ref-hmrc_vatposs">
        <w:r>
          <w:rPr>
            <w:rStyle w:val="Hyperlink"/>
          </w:rPr>
          <w:t xml:space="preserve">HMRC, 2022j, sec. VATPOSS03100</w:t>
        </w:r>
      </w:hyperlink>
      <w:r>
        <w:t xml:space="preserve">)</w:t>
      </w:r>
      <w:r>
        <w:t xml:space="preserve">.</w:t>
      </w:r>
    </w:p>
    <w:p>
      <w:pPr>
        <w:pStyle w:val="Compact"/>
        <w:numPr>
          <w:ilvl w:val="1"/>
          <w:numId w:val="1260"/>
        </w:numPr>
      </w:pPr>
      <w:r>
        <w:t xml:space="preserve">In all three cases</w:t>
      </w:r>
      <w:r>
        <w:t xml:space="preserve"> </w:t>
      </w:r>
      <w:r>
        <w:rPr>
          <w:b/>
          <w:bCs/>
        </w:rPr>
        <w:t xml:space="preserve">there is no UK VAT for COS to refund.</w:t>
      </w:r>
    </w:p>
    <w:p>
      <w:pPr>
        <w:pStyle w:val="Compact"/>
        <w:numPr>
          <w:ilvl w:val="0"/>
          <w:numId w:val="1256"/>
        </w:numPr>
      </w:pPr>
      <w:r>
        <w:rPr>
          <w:b/>
          <w:bCs/>
        </w:rPr>
        <w:t xml:space="preserve">Goods vs services.</w:t>
      </w:r>
      <w:r>
        <w:t xml:space="preserve"> </w:t>
      </w:r>
      <w:r>
        <w:t xml:space="preserve">COS covers services. Buying goods, whether to use or to give away, is almost never refundable for non-business use</w:t>
      </w:r>
      <w:r>
        <w:t xml:space="preserve"> </w:t>
      </w:r>
      <w:r>
        <w:t xml:space="preserve">(</w:t>
      </w:r>
      <w:hyperlink w:anchor="ref-gazette_2020">
        <w:r>
          <w:rPr>
            <w:rStyle w:val="Hyperlink"/>
          </w:rPr>
          <w:t xml:space="preserve">HM Treasury, 2020b, para. 2</w:t>
        </w:r>
      </w:hyperlink>
      <w:r>
        <w:t xml:space="preserve">;</w:t>
      </w:r>
      <w:r>
        <w:t xml:space="preserve"> </w:t>
      </w:r>
      <w:hyperlink w:anchor="ref-hmrc_vatgpb">
        <w:r>
          <w:rPr>
            <w:rStyle w:val="Hyperlink"/>
          </w:rPr>
          <w:t xml:space="preserve">HMRC, 2026n, sec. VATGPB11370</w:t>
        </w:r>
      </w:hyperlink>
      <w:r>
        <w:t xml:space="preserve">)</w:t>
      </w:r>
      <w:r>
        <w:t xml:space="preserve">. See Part 5, What are COS headings?</w:t>
      </w:r>
    </w:p>
    <w:bookmarkStart w:id="220" w:name="X882479dbb0f2598aed75d66972ad735c461c4f7"/>
    <w:p>
      <w:pPr>
        <w:pStyle w:val="Heading3"/>
      </w:pPr>
      <w:r>
        <w:t xml:space="preserve">1. Buying training for staff</w:t>
      </w:r>
    </w:p>
    <w:bookmarkStart w:id="215" w:name="the-vat-position-in-plain-english"/>
    <w:p>
      <w:pPr>
        <w:pStyle w:val="Heading4"/>
      </w:pPr>
      <w:r>
        <w:t xml:space="preserve">The VAT position in plain English</w:t>
      </w:r>
    </w:p>
    <w:p>
      <w:pPr>
        <w:pStyle w:val="Compact"/>
        <w:numPr>
          <w:ilvl w:val="0"/>
          <w:numId w:val="1261"/>
        </w:numPr>
      </w:pPr>
      <w:r>
        <w:t xml:space="preserve">Training the Department’s own staff for its public duties is a</w:t>
      </w:r>
      <w:r>
        <w:t xml:space="preserve"> </w:t>
      </w:r>
      <w:r>
        <w:rPr>
          <w:b/>
          <w:bCs/>
        </w:rPr>
        <w:t xml:space="preserve">non-business</w:t>
      </w:r>
      <w:r>
        <w:t xml:space="preserve"> </w:t>
      </w:r>
      <w:r>
        <w:t xml:space="preserve">cost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61"/>
        </w:numPr>
      </w:pPr>
      <w:r>
        <w:t xml:space="preserve">Training from a commercial (VAT-registered, non-exempt) provider usually carries 20% VAT</w:t>
      </w:r>
      <w:r>
        <w:t xml:space="preserve"> </w:t>
      </w:r>
      <w:r>
        <w:t xml:space="preserve">(</w:t>
      </w:r>
      <w:hyperlink w:anchor="ref-hmrc_n70130">
        <w:r>
          <w:rPr>
            <w:rStyle w:val="Hyperlink"/>
          </w:rPr>
          <w:t xml:space="preserve">HMRC, 2025d, para. 4.2</w:t>
        </w:r>
      </w:hyperlink>
      <w:r>
        <w:t xml:space="preserve">;</w:t>
      </w:r>
      <w:r>
        <w:t xml:space="preserve"> </w:t>
      </w:r>
      <w:hyperlink w:anchor="ref-hmrc_vat_rates">
        <w:r>
          <w:rPr>
            <w:rStyle w:val="Hyperlink"/>
          </w:rPr>
          <w:t xml:space="preserve">2026r</w:t>
        </w:r>
      </w:hyperlink>
      <w:r>
        <w:t xml:space="preserve">)</w:t>
      </w:r>
      <w:r>
        <w:t xml:space="preserve">.</w:t>
      </w:r>
    </w:p>
    <w:p>
      <w:pPr>
        <w:pStyle w:val="Compact"/>
        <w:numPr>
          <w:ilvl w:val="0"/>
          <w:numId w:val="1261"/>
        </w:numPr>
      </w:pPr>
      <w:r>
        <w:rPr>
          <w:b/>
          <w:bCs/>
        </w:rPr>
        <w:t xml:space="preserve">Heading 65,</w:t>
      </w:r>
      <w:r>
        <w:rPr>
          <w:b/>
          <w:bCs/>
        </w:rPr>
        <w:t xml:space="preserve"> </w:t>
      </w:r>
      <w:r>
        <w:rPr>
          <w:b/>
          <w:bCs/>
        </w:rPr>
        <w:t xml:space="preserve">“</w:t>
      </w:r>
      <w:r>
        <w:rPr>
          <w:b/>
          <w:bCs/>
        </w:rPr>
        <w:t xml:space="preserve">Training, tuition or education</w:t>
      </w:r>
      <w:r>
        <w:rPr>
          <w:b/>
          <w:bCs/>
        </w:rPr>
        <w:t xml:space="preserve">”</w:t>
      </w:r>
      <w:r>
        <w:t xml:space="preserve">, lets the Department reclaim that VAT, provided the training meets HMRC’s conditions</w:t>
      </w:r>
      <w:r>
        <w:t xml:space="preserve"> </w:t>
      </w:r>
      <w:r>
        <w:t xml:space="preserve">(</w:t>
      </w:r>
      <w:hyperlink w:anchor="ref-hmrc_vatgpb">
        <w:r>
          <w:rPr>
            <w:rStyle w:val="Hyperlink"/>
          </w:rPr>
          <w:t xml:space="preserve">HMRC, 2026n, sec. VATGPB11030</w:t>
        </w:r>
      </w:hyperlink>
      <w:r>
        <w:t xml:space="preserve">)</w:t>
      </w:r>
      <w:r>
        <w:t xml:space="preserve">.</w:t>
      </w:r>
    </w:p>
    <w:bookmarkEnd w:id="215"/>
    <w:bookmarkStart w:id="216" w:name="X01af94bd2f29078757db5d7992e0e71cb9d0e67"/>
    <w:p>
      <w:pPr>
        <w:pStyle w:val="Heading4"/>
      </w:pPr>
      <w:r>
        <w:t xml:space="preserve">What Heading 65 covers (HMRC manual page VATGPB11030, updated 17 March 2023)</w:t>
      </w:r>
    </w:p>
    <w:p>
      <w:pPr>
        <w:pStyle w:val="FirstParagraph"/>
      </w:pPr>
      <w:r>
        <w:t xml:space="preserve">All the points in this list come from HMRC’s guidance on Heading 65</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62"/>
        </w:numPr>
      </w:pPr>
      <w:r>
        <w:rPr>
          <w:b/>
          <w:bCs/>
        </w:rPr>
        <w:t xml:space="preserve">Included:</w:t>
      </w:r>
    </w:p>
    <w:p>
      <w:pPr>
        <w:pStyle w:val="Compact"/>
        <w:numPr>
          <w:ilvl w:val="1"/>
          <w:numId w:val="1263"/>
        </w:numPr>
      </w:pPr>
      <w:r>
        <w:t xml:space="preserve">training</w:t>
      </w:r>
      <w:r>
        <w:t xml:space="preserve"> </w:t>
      </w:r>
      <w:r>
        <w:t xml:space="preserve">“</w:t>
      </w:r>
      <w:r>
        <w:t xml:space="preserve">delivered face to face and/or online by a trainer, teacher or tutor</w:t>
      </w:r>
      <w:r>
        <w:t xml:space="preserve">”</w:t>
      </w:r>
      <w:r>
        <w:t xml:space="preserve">;</w:t>
      </w:r>
    </w:p>
    <w:p>
      <w:pPr>
        <w:pStyle w:val="Compact"/>
        <w:numPr>
          <w:ilvl w:val="1"/>
          <w:numId w:val="1263"/>
        </w:numPr>
      </w:pPr>
      <w:r>
        <w:t xml:space="preserve">packages not delivered by a person that require</w:t>
      </w:r>
      <w:r>
        <w:t xml:space="preserve"> </w:t>
      </w:r>
      <w:r>
        <w:t xml:space="preserve">“</w:t>
      </w:r>
      <w:r>
        <w:t xml:space="preserve">a significant amount of interaction</w:t>
      </w:r>
      <w:r>
        <w:t xml:space="preserve">”</w:t>
      </w:r>
      <w:r>
        <w:t xml:space="preserve"> </w:t>
      </w:r>
      <w:r>
        <w:t xml:space="preserve">from the learner. HMRC gives examples: real-time interactions with feedback, and assessments with results recorded. Some e-learning qualifies on this basis.</w:t>
      </w:r>
    </w:p>
    <w:p>
      <w:pPr>
        <w:pStyle w:val="Compact"/>
        <w:numPr>
          <w:ilvl w:val="0"/>
          <w:numId w:val="1262"/>
        </w:numPr>
      </w:pPr>
      <w:r>
        <w:rPr>
          <w:b/>
          <w:bCs/>
        </w:rPr>
        <w:t xml:space="preserve">Normally for the Department’s own employees.</w:t>
      </w:r>
      <w:r>
        <w:t xml:space="preserve"> </w:t>
      </w:r>
      <w:r>
        <w:t xml:space="preserve">It</w:t>
      </w:r>
      <w:r>
        <w:t xml:space="preserve"> </w:t>
      </w:r>
      <w:r>
        <w:t xml:space="preserve">“</w:t>
      </w:r>
      <w:r>
        <w:t xml:space="preserve">could also apply to supplies delivered to non-employees where the qualifying body acts under its own statutory remit to deliver training to those non-employees in a non-business capacity</w:t>
      </w:r>
      <w:r>
        <w:t xml:space="preserve">”</w:t>
      </w:r>
      <w:r>
        <w:t xml:space="preserve">. In that case HMRC</w:t>
      </w:r>
      <w:r>
        <w:t xml:space="preserve"> </w:t>
      </w:r>
      <w:r>
        <w:t xml:space="preserve">“</w:t>
      </w:r>
      <w:r>
        <w:t xml:space="preserve">would expect the cost to be paid from the qualifying body’s own budget and that no recharge would be made</w:t>
      </w:r>
      <w:r>
        <w:t xml:space="preserve">”</w:t>
      </w:r>
      <w:r>
        <w:t xml:space="preserve">.</w:t>
      </w:r>
    </w:p>
    <w:p>
      <w:pPr>
        <w:pStyle w:val="Compact"/>
        <w:numPr>
          <w:ilvl w:val="0"/>
          <w:numId w:val="1262"/>
        </w:numPr>
      </w:pPr>
      <w:r>
        <w:rPr>
          <w:b/>
          <w:bCs/>
        </w:rPr>
        <w:t xml:space="preserve">The in-house test, applied generously.</w:t>
      </w:r>
      <w:r>
        <w:t xml:space="preserve"> </w:t>
      </w:r>
      <w:r>
        <w:t xml:space="preserve">HMRC asks whether the type of training</w:t>
      </w:r>
      <w:r>
        <w:t xml:space="preserve"> </w:t>
      </w:r>
      <w:r>
        <w:t xml:space="preserve">“</w:t>
      </w:r>
      <w:r>
        <w:t xml:space="preserve">is, on a balance of probabilities, likely to have been performed in-house within Government previously</w:t>
      </w:r>
      <w:r>
        <w:t xml:space="preserve">”</w:t>
      </w:r>
      <w:r>
        <w:t xml:space="preserve">. If so, the VAT is recoverable.</w:t>
      </w:r>
    </w:p>
    <w:bookmarkEnd w:id="216"/>
    <w:bookmarkStart w:id="217" w:name="what-is-not-claimable"/>
    <w:p>
      <w:pPr>
        <w:pStyle w:val="Heading4"/>
      </w:pPr>
      <w:r>
        <w:t xml:space="preserve">What is NOT claimable</w:t>
      </w:r>
    </w:p>
    <w:p>
      <w:pPr>
        <w:pStyle w:val="Compact"/>
        <w:numPr>
          <w:ilvl w:val="0"/>
          <w:numId w:val="1264"/>
        </w:numPr>
      </w:pPr>
      <w:r>
        <w:rPr>
          <w:b/>
          <w:bCs/>
        </w:rPr>
        <w:t xml:space="preserve">Separate supplies of accommodation, meals and room hire</w:t>
      </w:r>
      <w:r>
        <w:t xml:space="preserve"> </w:t>
      </w:r>
      <w:r>
        <w:t xml:space="preserve">linked to the training</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64"/>
        </w:numPr>
      </w:pPr>
      <w:r>
        <w:rPr>
          <w:b/>
          <w:bCs/>
        </w:rPr>
        <w:t xml:space="preserve">All-in packages with bought-in hotel rooms.</w:t>
      </w:r>
      <w:r>
        <w:t xml:space="preserve"> </w:t>
      </w:r>
      <w:r>
        <w:t xml:space="preserve">If a training company resells bought-in hotel rooms or transport as part of the package, the whole package falls within the Tour Operators’ Margin Scheme (TOMS) under VAT Notice 709/5 and no VAT invoice will be issued, so even the tuition VAT cannot be claimed</w:t>
      </w:r>
      <w:r>
        <w:t xml:space="preserve"> </w:t>
      </w:r>
      <w:r>
        <w:t xml:space="preserve">(</w:t>
      </w:r>
      <w:hyperlink w:anchor="ref-hmrc_n7095">
        <w:r>
          <w:rPr>
            <w:rStyle w:val="Hyperlink"/>
          </w:rPr>
          <w:t xml:space="preserve">HMRC, 2024e</w:t>
        </w:r>
      </w:hyperlink>
      <w:r>
        <w:t xml:space="preserve">, paras. 2.13, 7.11 and 4.19)</w:t>
      </w:r>
      <w:r>
        <w:t xml:space="preserve">. Book accommodation separately.</w:t>
      </w:r>
    </w:p>
    <w:p>
      <w:pPr>
        <w:pStyle w:val="Compact"/>
        <w:numPr>
          <w:ilvl w:val="0"/>
          <w:numId w:val="1264"/>
        </w:numPr>
      </w:pPr>
      <w:r>
        <w:rPr>
          <w:b/>
          <w:bCs/>
        </w:rPr>
        <w:t xml:space="preserve">Learning materials and access to information</w:t>
      </w:r>
      <w:r>
        <w:t xml:space="preserve">, such as online manuals and</w:t>
      </w:r>
      <w:r>
        <w:t xml:space="preserve"> </w:t>
      </w:r>
      <w:r>
        <w:rPr>
          <w:b/>
          <w:bCs/>
        </w:rPr>
        <w:t xml:space="preserve">webinars</w:t>
      </w:r>
      <w:r>
        <w:t xml:space="preserve">. HMRC treats these as materials, not training</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64"/>
        </w:numPr>
      </w:pPr>
      <w:r>
        <w:rPr>
          <w:b/>
          <w:bCs/>
        </w:rPr>
        <w:t xml:space="preserve">Non-interactive</w:t>
      </w:r>
      <w:r>
        <w:t xml:space="preserve"> </w:t>
      </w:r>
      <w:r>
        <w:t xml:space="preserve">e-learning packages and libraries</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64"/>
        </w:numPr>
      </w:pPr>
      <w:r>
        <w:rPr>
          <w:b/>
          <w:bCs/>
        </w:rPr>
        <w:t xml:space="preserve">Things government could not have done in-house</w:t>
      </w:r>
      <w:r>
        <w:t xml:space="preserve">, such as professional exam fees. HMRC notes these are likely to be exempt anyway</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64"/>
        </w:numPr>
      </w:pPr>
      <w:r>
        <w:rPr>
          <w:b/>
          <w:bCs/>
        </w:rPr>
        <w:t xml:space="preserve">Training linked to a business activity.</w:t>
      </w:r>
      <w:r>
        <w:t xml:space="preserve"> </w:t>
      </w:r>
      <w:r>
        <w:t xml:space="preserve">HMRC:</w:t>
      </w:r>
      <w:r>
        <w:t xml:space="preserve"> </w:t>
      </w:r>
      <w:r>
        <w:t xml:space="preserve">“</w:t>
      </w:r>
      <w:r>
        <w:t xml:space="preserve">when the training, tuition or education relates to a business activity, VAT should not be reclaimed under this Heading</w:t>
      </w:r>
      <w:r>
        <w:t xml:space="preserve">”</w:t>
      </w:r>
      <w:r>
        <w:t xml:space="preserve"> </w:t>
      </w:r>
      <w:r>
        <w:t xml:space="preserve">(</w:t>
      </w:r>
      <w:hyperlink w:anchor="ref-hmrc_vatgpb">
        <w:r>
          <w:rPr>
            <w:rStyle w:val="Hyperlink"/>
          </w:rPr>
          <w:t xml:space="preserve">HMRC, 2026n, sec. VATGPB11030</w:t>
        </w:r>
      </w:hyperlink>
      <w:r>
        <w:t xml:space="preserve">)</w:t>
      </w:r>
      <w:r>
        <w:t xml:space="preserve">. Recover it instead as input tax under the normal rules. If the training supports staff who themselves deliver</w:t>
      </w:r>
      <w:r>
        <w:t xml:space="preserve"> </w:t>
      </w:r>
      <w:r>
        <w:rPr>
          <w:b/>
          <w:bCs/>
        </w:rPr>
        <w:t xml:space="preserve">exempt</w:t>
      </w:r>
      <w:r>
        <w:t xml:space="preserve"> </w:t>
      </w:r>
      <w:r>
        <w:t xml:space="preserve">training, the VAT is exempt input tax and is generally lost, subject to the partial exemption de minimis rules</w:t>
      </w:r>
      <w:r>
        <w:t xml:space="preserve"> </w:t>
      </w:r>
      <w:r>
        <w:t xml:space="preserve">(</w:t>
      </w:r>
      <w:hyperlink w:anchor="ref-hmrc_n706">
        <w:r>
          <w:rPr>
            <w:rStyle w:val="Hyperlink"/>
          </w:rPr>
          <w:t xml:space="preserve">HMRC, 2025h, sec. 11</w:t>
        </w:r>
      </w:hyperlink>
      <w:r>
        <w:t xml:space="preserve">)</w:t>
      </w:r>
      <w:r>
        <w:t xml:space="preserve">. If staff serve both business and non-business work, apportion</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64"/>
        </w:numPr>
      </w:pPr>
      <w:r>
        <w:rPr>
          <w:b/>
          <w:bCs/>
        </w:rPr>
        <w:t xml:space="preserve">Training from</w:t>
      </w:r>
      <w:r>
        <w:rPr>
          <w:b/>
          <w:bCs/>
        </w:rPr>
        <w:t xml:space="preserve"> </w:t>
      </w:r>
      <w:r>
        <w:rPr>
          <w:b/>
          <w:bCs/>
        </w:rPr>
        <w:t xml:space="preserve">“</w:t>
      </w:r>
      <w:r>
        <w:rPr>
          <w:b/>
          <w:bCs/>
        </w:rPr>
        <w:t xml:space="preserve">eligible bodies</w:t>
      </w:r>
      <w:r>
        <w:rPr>
          <w:b/>
          <w:bCs/>
        </w:rPr>
        <w:t xml:space="preserve">”</w:t>
      </w:r>
      <w:r>
        <w:t xml:space="preserve">, such as universities, further and higher education colleges, other public bodies and qualifying non-profit bodies. This is</w:t>
      </w:r>
      <w:r>
        <w:t xml:space="preserve"> </w:t>
      </w:r>
      <w:r>
        <w:rPr>
          <w:b/>
          <w:bCs/>
        </w:rPr>
        <w:t xml:space="preserve">exempt</w:t>
      </w:r>
      <w:r>
        <w:t xml:space="preserve">, so there is no VAT to recover</w:t>
      </w:r>
      <w:r>
        <w:t xml:space="preserve"> </w:t>
      </w:r>
      <w:r>
        <w:t xml:space="preserve">(</w:t>
      </w:r>
      <w:hyperlink w:anchor="ref-hmrc_n70130">
        <w:r>
          <w:rPr>
            <w:rStyle w:val="Hyperlink"/>
          </w:rPr>
          <w:t xml:space="preserve">HMRC, 2025d</w:t>
        </w:r>
      </w:hyperlink>
      <w:r>
        <w:t xml:space="preserve">, paras. 4.1 and 5.4;</w:t>
      </w:r>
      <w:r>
        <w:t xml:space="preserve"> </w:t>
      </w:r>
      <w:hyperlink w:anchor="ref-hmrc_vatgpb">
        <w:r>
          <w:rPr>
            <w:rStyle w:val="Hyperlink"/>
          </w:rPr>
          <w:t xml:space="preserve">HMRC, 2026n, sec. VATGPB11030</w:t>
        </w:r>
      </w:hyperlink>
      <w:r>
        <w:t xml:space="preserve">)</w:t>
      </w:r>
      <w:r>
        <w:t xml:space="preserve">.</w:t>
      </w:r>
    </w:p>
    <w:p>
      <w:pPr>
        <w:pStyle w:val="Compact"/>
        <w:numPr>
          <w:ilvl w:val="0"/>
          <w:numId w:val="1264"/>
        </w:numPr>
      </w:pPr>
      <w:r>
        <w:rPr>
          <w:b/>
          <w:bCs/>
        </w:rPr>
        <w:t xml:space="preserve">Foreign VAT</w:t>
      </w:r>
      <w:r>
        <w:t xml:space="preserve"> </w:t>
      </w:r>
      <w:r>
        <w:t xml:space="preserve">on a course or seminar held abroad (Value Added Tax Act 1994, ss. 1 and 41(3)).</w:t>
      </w:r>
    </w:p>
    <w:bookmarkEnd w:id="217"/>
    <w:bookmarkStart w:id="218" w:name="training-from-overseas-providers"/>
    <w:p>
      <w:pPr>
        <w:pStyle w:val="Heading4"/>
      </w:pPr>
      <w:r>
        <w:t xml:space="preserve">Training from overseas providers</w:t>
      </w:r>
    </w:p>
    <w:p>
      <w:pPr>
        <w:pStyle w:val="FirstParagraph"/>
      </w:pPr>
      <w:r>
        <w:t xml:space="preserve">For the general rules, see Part 4, Services across borders: place of supply.</w:t>
      </w:r>
    </w:p>
    <w:p>
      <w:pPr>
        <w:pStyle w:val="Compact"/>
        <w:numPr>
          <w:ilvl w:val="0"/>
          <w:numId w:val="1265"/>
        </w:numPr>
      </w:pPr>
      <w:r>
        <w:rPr>
          <w:b/>
          <w:bCs/>
        </w:rPr>
        <w:t xml:space="preserve">Online or tutor-led training from a provider outside the UK</w:t>
      </w:r>
      <w:r>
        <w:t xml:space="preserve"> </w:t>
      </w:r>
      <w:r>
        <w:t xml:space="preserve">(for example a US e-learning company), or an overseas trainer who comes to the Department’s UK office:</w:t>
      </w:r>
    </w:p>
    <w:p>
      <w:pPr>
        <w:pStyle w:val="Compact"/>
        <w:numPr>
          <w:ilvl w:val="1"/>
          <w:numId w:val="1266"/>
        </w:numPr>
      </w:pPr>
      <w:r>
        <w:t xml:space="preserve">For a business customer this falls under the general rule, so the place of supply is the UK</w:t>
      </w:r>
      <w:r>
        <w:t xml:space="preserve"> </w:t>
      </w:r>
      <w:r>
        <w:t xml:space="preserve">(</w:t>
      </w:r>
      <w:hyperlink w:anchor="ref-hmrc_n741a">
        <w:r>
          <w:rPr>
            <w:rStyle w:val="Hyperlink"/>
          </w:rPr>
          <w:t xml:space="preserve">HMRC, 2022d</w:t>
        </w:r>
      </w:hyperlink>
      <w:r>
        <w:t xml:space="preserve">, paras. 6.3 and 9.3)</w:t>
      </w:r>
      <w:r>
        <w:t xml:space="preserve">.</w:t>
      </w:r>
    </w:p>
    <w:p>
      <w:pPr>
        <w:pStyle w:val="Compact"/>
        <w:numPr>
          <w:ilvl w:val="1"/>
          <w:numId w:val="1266"/>
        </w:numPr>
      </w:pPr>
      <w:r>
        <w:t xml:space="preserve">The Department accounts for UK VAT under the</w:t>
      </w:r>
      <w:r>
        <w:t xml:space="preserve"> </w:t>
      </w:r>
      <w:r>
        <w:rPr>
          <w:b/>
          <w:bCs/>
        </w:rPr>
        <w:t xml:space="preserve">reverse charge</w:t>
      </w:r>
      <w:r>
        <w:t xml:space="preserve"> </w:t>
      </w:r>
      <w:r>
        <w:t xml:space="preserve">(</w:t>
      </w:r>
      <w:hyperlink w:anchor="ref-hmrc_n741a">
        <w:r>
          <w:rPr>
            <w:rStyle w:val="Hyperlink"/>
          </w:rPr>
          <w:t xml:space="preserve">HMRC, 2022d, para. 5.6</w:t>
        </w:r>
      </w:hyperlink>
      <w:r>
        <w:t xml:space="preserve">;</w:t>
      </w:r>
      <w:r>
        <w:t xml:space="preserve"> </w:t>
      </w:r>
      <w:hyperlink w:anchor="ref-hmrc_gdpef">
        <w:r>
          <w:rPr>
            <w:rStyle w:val="Hyperlink"/>
          </w:rPr>
          <w:t xml:space="preserve">2023c</w:t>
        </w:r>
      </w:hyperlink>
      <w:r>
        <w:t xml:space="preserve">)</w:t>
      </w:r>
      <w:r>
        <w:t xml:space="preserve">.</w:t>
      </w:r>
    </w:p>
    <w:p>
      <w:pPr>
        <w:pStyle w:val="Compact"/>
        <w:numPr>
          <w:ilvl w:val="1"/>
          <w:numId w:val="1266"/>
        </w:numPr>
      </w:pPr>
      <w:r>
        <w:t xml:space="preserve">If the training is within Heading 65 and used for non-business purposes, that VAT is refunded under Heading 65</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VATGPB11030</w:t>
        </w:r>
      </w:hyperlink>
      <w:r>
        <w:t xml:space="preserve">)</w:t>
      </w:r>
      <w:r>
        <w:t xml:space="preserve">.</w:t>
      </w:r>
      <w:r>
        <w:t xml:space="preserve"> </w:t>
      </w:r>
      <w:r>
        <w:rPr>
          <w:b/>
          <w:bCs/>
        </w:rPr>
        <w:t xml:space="preserve">Net effect: nil.</w:t>
      </w:r>
    </w:p>
    <w:p>
      <w:pPr>
        <w:pStyle w:val="Compact"/>
        <w:numPr>
          <w:ilvl w:val="0"/>
          <w:numId w:val="1265"/>
        </w:numPr>
      </w:pPr>
      <w:r>
        <w:rPr>
          <w:b/>
          <w:bCs/>
        </w:rPr>
        <w:t xml:space="preserve">A non-interactive e-learning library from the same provider:</w:t>
      </w:r>
    </w:p>
    <w:p>
      <w:pPr>
        <w:pStyle w:val="Compact"/>
        <w:numPr>
          <w:ilvl w:val="1"/>
          <w:numId w:val="1267"/>
        </w:numPr>
      </w:pPr>
      <w:r>
        <w:t xml:space="preserve">The reverse charge still applies, but Heading 65 does not cover it</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1"/>
          <w:numId w:val="1267"/>
        </w:numPr>
      </w:pPr>
      <w:r>
        <w:rPr>
          <w:b/>
          <w:bCs/>
        </w:rPr>
        <w:t xml:space="preserve">Net effect: a 20% cost.</w:t>
      </w:r>
      <w:r>
        <w:t xml:space="preserve"> </w:t>
      </w:r>
      <w:r>
        <w:t xml:space="preserve">It costs the same as it would from a UK supplier</w:t>
      </w:r>
      <w:r>
        <w:t xml:space="preserve"> </w:t>
      </w:r>
      <w:r>
        <w:t xml:space="preserve">(</w:t>
      </w:r>
      <w:hyperlink w:anchor="ref-hmrc_n741a">
        <w:r>
          <w:rPr>
            <w:rStyle w:val="Hyperlink"/>
          </w:rPr>
          <w:t xml:space="preserve">HMRC, 2022d, para. 5.4</w:t>
        </w:r>
      </w:hyperlink>
      <w:r>
        <w:t xml:space="preserve">)</w:t>
      </w:r>
      <w:r>
        <w:t xml:space="preserve">.</w:t>
      </w:r>
    </w:p>
    <w:p>
      <w:pPr>
        <w:pStyle w:val="Compact"/>
        <w:numPr>
          <w:ilvl w:val="0"/>
          <w:numId w:val="1265"/>
        </w:numPr>
      </w:pPr>
      <w:r>
        <w:rPr>
          <w:b/>
          <w:bCs/>
        </w:rPr>
        <w:t xml:space="preserve">A course or seminar held abroad:</w:t>
      </w:r>
    </w:p>
    <w:p>
      <w:pPr>
        <w:pStyle w:val="Compact"/>
        <w:numPr>
          <w:ilvl w:val="1"/>
          <w:numId w:val="1268"/>
        </w:numPr>
      </w:pPr>
      <w:r>
        <w:t xml:space="preserve">If it counts as</w:t>
      </w:r>
      <w:r>
        <w:t xml:space="preserve"> </w:t>
      </w:r>
      <w:r>
        <w:rPr>
          <w:b/>
          <w:bCs/>
        </w:rPr>
        <w:t xml:space="preserve">admission to an event</w:t>
      </w:r>
      <w:r>
        <w:t xml:space="preserve">, it is taxed where the event takes place. HMRC’s Notice 741A gives</w:t>
      </w:r>
      <w:r>
        <w:t xml:space="preserve"> </w:t>
      </w:r>
      <w:r>
        <w:t xml:space="preserve">“</w:t>
      </w:r>
      <w:r>
        <w:t xml:space="preserve">a short-term educational conference or seminar</w:t>
      </w:r>
      <w:r>
        <w:t xml:space="preserve">”</w:t>
      </w:r>
      <w:r>
        <w:t xml:space="preserve"> </w:t>
      </w:r>
      <w:r>
        <w:t xml:space="preserve">as an example</w:t>
      </w:r>
      <w:r>
        <w:t xml:space="preserve"> </w:t>
      </w:r>
      <w:r>
        <w:t xml:space="preserve">(</w:t>
      </w:r>
      <w:hyperlink w:anchor="ref-hmrc_n741a">
        <w:r>
          <w:rPr>
            <w:rStyle w:val="Hyperlink"/>
          </w:rPr>
          <w:t xml:space="preserve">HMRC, 2022d</w:t>
        </w:r>
      </w:hyperlink>
      <w:r>
        <w:t xml:space="preserve">, paras. 9.2 and 9.3)</w:t>
      </w:r>
      <w:r>
        <w:t xml:space="preserve">. Any local VAT is</w:t>
      </w:r>
      <w:r>
        <w:t xml:space="preserve"> </w:t>
      </w:r>
      <w:r>
        <w:rPr>
          <w:b/>
          <w:bCs/>
        </w:rPr>
        <w:t xml:space="preserve">foreign VAT and not refundable</w:t>
      </w:r>
      <w:r>
        <w:t xml:space="preserve">.</w:t>
      </w:r>
    </w:p>
    <w:p>
      <w:pPr>
        <w:pStyle w:val="Compact"/>
        <w:numPr>
          <w:ilvl w:val="1"/>
          <w:numId w:val="1268"/>
        </w:numPr>
      </w:pPr>
      <w:r>
        <w:t xml:space="preserve">Under UK rules, a longer course with ongoing attendance or significant coursework is not</w:t>
      </w:r>
      <w:r>
        <w:t xml:space="preserve"> </w:t>
      </w:r>
      <w:r>
        <w:t xml:space="preserve">“</w:t>
      </w:r>
      <w:r>
        <w:t xml:space="preserve">admission to an event</w:t>
      </w:r>
      <w:r>
        <w:t xml:space="preserve">”</w:t>
      </w:r>
      <w:r>
        <w:t xml:space="preserve">, so the general rule applies</w:t>
      </w:r>
      <w:r>
        <w:t xml:space="preserve"> </w:t>
      </w:r>
      <w:r>
        <w:t xml:space="preserve">(</w:t>
      </w:r>
      <w:hyperlink w:anchor="ref-hmrc_n741a">
        <w:r>
          <w:rPr>
            <w:rStyle w:val="Hyperlink"/>
          </w:rPr>
          <w:t xml:space="preserve">HMRC, 2022d, para. 9.3</w:t>
        </w:r>
      </w:hyperlink>
      <w:r>
        <w:t xml:space="preserve">)</w:t>
      </w:r>
      <w:r>
        <w:t xml:space="preserve">. The place of supply is then the UK, and the Department must account for UK VAT under the</w:t>
      </w:r>
      <w:r>
        <w:t xml:space="preserve"> </w:t>
      </w:r>
      <w:r>
        <w:rPr>
          <w:b/>
          <w:bCs/>
        </w:rPr>
        <w:t xml:space="preserve">reverse charge</w:t>
      </w:r>
      <w:r>
        <w:t xml:space="preserve">. If the course is within Heading 65 and used for non-business purposes, that VAT is refunded under Heading 65</w:t>
      </w:r>
      <w:r>
        <w:t xml:space="preserve"> </w:t>
      </w:r>
      <w:r>
        <w:t xml:space="preserve">(</w:t>
      </w:r>
      <w:hyperlink w:anchor="ref-hmrc_gdpef">
        <w:r>
          <w:rPr>
            <w:rStyle w:val="Hyperlink"/>
          </w:rPr>
          <w:t xml:space="preserve">HMRC, 2023c</w:t>
        </w:r>
      </w:hyperlink>
      <w:r>
        <w:t xml:space="preserve">)</w:t>
      </w:r>
      <w:r>
        <w:t xml:space="preserve">, so the net cost is nil.</w:t>
      </w:r>
    </w:p>
    <w:p>
      <w:pPr>
        <w:pStyle w:val="Compact"/>
        <w:numPr>
          <w:ilvl w:val="1"/>
          <w:numId w:val="1268"/>
        </w:numPr>
      </w:pPr>
      <w:r>
        <w:t xml:space="preserve">How the foreign supplier treats it depends on its own country’s law</w:t>
      </w:r>
      <w:r>
        <w:t xml:space="preserve"> </w:t>
      </w:r>
      <w:r>
        <w:t xml:space="preserve">(</w:t>
      </w:r>
      <w:hyperlink w:anchor="ref-hmrc_vatposs">
        <w:r>
          <w:rPr>
            <w:rStyle w:val="Hyperlink"/>
          </w:rPr>
          <w:t xml:space="preserve">HMRC, 2022j, sec. VATPOSS03100</w:t>
        </w:r>
      </w:hyperlink>
      <w:r>
        <w:t xml:space="preserve">)</w:t>
      </w:r>
      <w:r>
        <w:t xml:space="preserve">. If it charges local VAT as well, that VAT is an extra cost: it is not refundable through COS.</w:t>
      </w:r>
    </w:p>
    <w:bookmarkEnd w:id="218"/>
    <w:bookmarkStart w:id="219" w:name="worked-examples-4"/>
    <w:p>
      <w:pPr>
        <w:pStyle w:val="Heading4"/>
      </w:pPr>
      <w:r>
        <w:t xml:space="preserve">Worked examples</w:t>
      </w:r>
    </w:p>
    <w:p>
      <w:pPr>
        <w:pStyle w:val="FirstParagraph"/>
      </w:pPr>
      <w:r>
        <w:rPr>
          <w:b/>
          <w:bCs/>
        </w:rPr>
        <w:t xml:space="preserve">(a) UK leadership course, delivered in-house by a commercial trainer</w:t>
      </w:r>
    </w:p>
    <w:p>
      <w:pPr>
        <w:pStyle w:val="BodyText"/>
      </w:pPr>
      <w:r>
        <w:t xml:space="preserve">The table shows the course fee, the VAT charged and the amount refunded.</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5211"/>
        <w:gridCol w:w="3814"/>
      </w:tblGrid>
      <w:tr>
        <w:trPr>
          <w:tblHeader w:val="true"/>
          <w:cantSplit w:val="true"/>
        </w:trPr>
        <w:tc>
          <w:tcPr>
            <w:tcW w:w="5211" w:type="dxa"/>
            <w:shd w:val="clear" w:color="auto" w:fill="1B3A5C"/>
          </w:tcPr>
          <w:p>
            <w:pPr>
              <w:pStyle w:val="Compact"/>
              <w:spacing w:after="40" w:before="40"/>
              <w:jc w:val="left"/>
            </w:pPr>
            <w:r>
              <w:rPr>
                <w:rFonts w:ascii="Tahoma" w:hAnsi="Tahoma"/>
                <w:b/>
                <w:color w:val="FFFFFF"/>
                <w:sz w:val="22"/>
              </w:rPr>
              <w:t xml:space="preserve">Item</w:t>
            </w:r>
          </w:p>
        </w:tc>
        <w:tc>
          <w:tcPr>
            <w:tcW w:w="3814" w:type="dxa"/>
            <w:shd w:val="clear" w:color="auto" w:fill="1B3A5C"/>
          </w:tcPr>
          <w:p>
            <w:pPr>
              <w:pStyle w:val="Compact"/>
              <w:spacing w:after="40" w:before="40"/>
              <w:jc w:val="left"/>
            </w:pPr>
            <w:r>
              <w:rPr>
                <w:rFonts w:ascii="Tahoma" w:hAnsi="Tahoma"/>
                <w:b/>
                <w:color w:val="FFFFFF"/>
                <w:sz w:val="22"/>
              </w:rPr>
              <w:t xml:space="preserve">£</w:t>
            </w:r>
          </w:p>
        </w:tc>
      </w:tr>
      <w:tr>
        <w:trPr>
          <w:cantSplit w:val="true"/>
        </w:trPr>
        <w:tc>
          <w:tcPr>
            <w:tcW w:w="5211" w:type="dxa"/>
            <w:shd w:val="clear" w:color="auto" w:fill="EAF3FA"/>
          </w:tcPr>
          <w:p>
            <w:pPr>
              <w:pStyle w:val="Compact"/>
              <w:spacing w:after="40" w:before="40"/>
              <w:jc w:val="left"/>
            </w:pPr>
            <w:r>
              <w:rPr>
                <w:rFonts w:ascii="Tahoma" w:hAnsi="Tahoma"/>
                <w:sz w:val="22"/>
              </w:rPr>
              <w:t xml:space="preserve">Fee for a 3-day course for 20 staff</w:t>
            </w:r>
          </w:p>
        </w:tc>
        <w:tc>
          <w:tcPr>
            <w:tcW w:w="3814" w:type="dxa"/>
            <w:shd w:val="clear" w:color="auto" w:fill="EAF3FA"/>
          </w:tcPr>
          <w:p>
            <w:pPr>
              <w:pStyle w:val="Compact"/>
              <w:spacing w:after="40" w:before="40"/>
              <w:jc w:val="left"/>
            </w:pPr>
            <w:r>
              <w:rPr>
                <w:rFonts w:ascii="Tahoma" w:hAnsi="Tahoma"/>
                <w:sz w:val="22"/>
              </w:rPr>
              <w:t xml:space="preserve">10,000</w:t>
            </w:r>
          </w:p>
        </w:tc>
      </w:tr>
      <w:tr>
        <w:trPr>
          <w:cantSplit w:val="true"/>
        </w:trPr>
        <w:tc>
          <w:tcPr>
            <w:tcW w:w="5211" w:type="dxa"/>
            <w:shd w:val="clear" w:color="auto" w:fill="FFFFFF"/>
          </w:tcPr>
          <w:p>
            <w:pPr>
              <w:pStyle w:val="Compact"/>
              <w:spacing w:after="40" w:before="40"/>
              <w:jc w:val="left"/>
            </w:pPr>
            <w:r>
              <w:rPr>
                <w:rFonts w:ascii="Tahoma" w:hAnsi="Tahoma"/>
                <w:sz w:val="22"/>
              </w:rPr>
              <w:t xml:space="preserve">VAT at 20%</w:t>
            </w:r>
          </w:p>
        </w:tc>
        <w:tc>
          <w:tcPr>
            <w:tcW w:w="3814" w:type="dxa"/>
            <w:shd w:val="clear" w:color="auto" w:fill="FFFFFF"/>
          </w:tcPr>
          <w:p>
            <w:pPr>
              <w:pStyle w:val="Compact"/>
              <w:spacing w:after="40" w:before="40"/>
              <w:jc w:val="left"/>
            </w:pPr>
            <w:r>
              <w:rPr>
                <w:rFonts w:ascii="Tahoma" w:hAnsi="Tahoma"/>
                <w:sz w:val="22"/>
              </w:rPr>
              <w:t xml:space="preserve">2,000</w:t>
            </w:r>
          </w:p>
        </w:tc>
      </w:tr>
      <w:tr>
        <w:trPr>
          <w:cantSplit w:val="true"/>
        </w:trPr>
        <w:tc>
          <w:tcPr>
            <w:tcW w:w="5211" w:type="dxa"/>
            <w:shd w:val="clear" w:color="auto" w:fill="FBEAF1"/>
          </w:tcPr>
          <w:p>
            <w:pPr>
              <w:pStyle w:val="Compact"/>
              <w:spacing w:after="40" w:before="40"/>
              <w:jc w:val="left"/>
            </w:pPr>
            <w:r>
              <w:rPr>
                <w:rFonts w:ascii="Tahoma" w:hAnsi="Tahoma"/>
                <w:b/>
                <w:bCs/>
                <w:sz w:val="22"/>
              </w:rPr>
              <w:t xml:space="preserve">Refundable under Heading 65</w:t>
            </w:r>
          </w:p>
        </w:tc>
        <w:tc>
          <w:tcPr>
            <w:tcW w:w="3814" w:type="dxa"/>
            <w:shd w:val="clear" w:color="auto" w:fill="FBEAF1"/>
          </w:tcPr>
          <w:p>
            <w:pPr>
              <w:pStyle w:val="Compact"/>
              <w:spacing w:after="40" w:before="40"/>
              <w:jc w:val="left"/>
            </w:pPr>
            <w:r>
              <w:rPr>
                <w:rFonts w:ascii="Tahoma" w:hAnsi="Tahoma"/>
                <w:b/>
                <w:bCs/>
                <w:sz w:val="22"/>
              </w:rPr>
              <w:t xml:space="preserve">2,000</w:t>
            </w:r>
          </w:p>
        </w:tc>
      </w:tr>
      <w:tr>
        <w:trPr>
          <w:cantSplit w:val="true"/>
        </w:trPr>
        <w:tc>
          <w:tcPr>
            <w:tcW w:w="5211" w:type="dxa"/>
            <w:shd w:val="clear" w:color="auto" w:fill="EAF3FA"/>
          </w:tcPr>
          <w:p>
            <w:pPr>
              <w:pStyle w:val="Compact"/>
              <w:spacing w:after="40" w:before="40"/>
              <w:jc w:val="left"/>
            </w:pPr>
            <w:r>
              <w:rPr>
                <w:rFonts w:ascii="Tahoma" w:hAnsi="Tahoma"/>
                <w:sz w:val="22"/>
              </w:rPr>
              <w:t xml:space="preserve">Net cost</w:t>
            </w:r>
          </w:p>
        </w:tc>
        <w:tc>
          <w:tcPr>
            <w:tcW w:w="3814" w:type="dxa"/>
            <w:shd w:val="clear" w:color="auto" w:fill="EAF3FA"/>
          </w:tcPr>
          <w:p>
            <w:pPr>
              <w:pStyle w:val="Compact"/>
              <w:spacing w:after="40" w:before="40"/>
              <w:jc w:val="left"/>
            </w:pPr>
            <w:r>
              <w:rPr>
                <w:rFonts w:ascii="Tahoma" w:hAnsi="Tahoma"/>
                <w:sz w:val="22"/>
              </w:rPr>
              <w:t xml:space="preserve">10,000</w:t>
            </w:r>
          </w:p>
        </w:tc>
      </w:tr>
    </w:tbl>
    <w:p>
      <w:pPr>
        <w:pStyle w:val="BodyText"/>
        <w:spacing w:before="200"/>
      </w:pPr>
      <w:r>
        <w:rPr>
          <w:b/>
          <w:bCs/>
        </w:rPr>
        <w:t xml:space="preserve">(b) The same course run at a hotel booked separately by the Department</w:t>
      </w:r>
    </w:p>
    <w:p>
      <w:pPr>
        <w:pStyle w:val="BodyText"/>
      </w:pPr>
      <w:r>
        <w:t xml:space="preserve">The table shows each cost, its VAT and whether that VAT can be refunded.</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379"/>
        <w:gridCol w:w="1664"/>
        <w:gridCol w:w="1664"/>
        <w:gridCol w:w="3318"/>
      </w:tblGrid>
      <w:tr>
        <w:trPr>
          <w:tblHeader w:val="true"/>
          <w:cantSplit w:val="true"/>
        </w:trPr>
        <w:tc>
          <w:tcPr>
            <w:tcW w:w="2379" w:type="dxa"/>
            <w:shd w:val="clear" w:color="auto" w:fill="1B3A5C"/>
          </w:tcPr>
          <w:p>
            <w:pPr>
              <w:pStyle w:val="Compact"/>
              <w:spacing w:after="40" w:before="40"/>
              <w:jc w:val="left"/>
            </w:pPr>
            <w:r>
              <w:rPr>
                <w:rFonts w:ascii="Tahoma" w:hAnsi="Tahoma"/>
                <w:b/>
                <w:color w:val="FFFFFF"/>
                <w:sz w:val="22"/>
              </w:rPr>
              <w:t xml:space="preserve">Item</w:t>
            </w:r>
          </w:p>
        </w:tc>
        <w:tc>
          <w:tcPr>
            <w:tcW w:w="1664" w:type="dxa"/>
            <w:shd w:val="clear" w:color="auto" w:fill="1B3A5C"/>
          </w:tcPr>
          <w:p>
            <w:pPr>
              <w:pStyle w:val="Compact"/>
              <w:spacing w:after="40" w:before="40"/>
              <w:jc w:val="left"/>
            </w:pPr>
            <w:r>
              <w:rPr>
                <w:rFonts w:ascii="Tahoma" w:hAnsi="Tahoma"/>
                <w:b/>
                <w:color w:val="FFFFFF"/>
                <w:sz w:val="22"/>
              </w:rPr>
              <w:t xml:space="preserve">Net (£)</w:t>
            </w:r>
          </w:p>
        </w:tc>
        <w:tc>
          <w:tcPr>
            <w:tcW w:w="1664" w:type="dxa"/>
            <w:shd w:val="clear" w:color="auto" w:fill="1B3A5C"/>
          </w:tcPr>
          <w:p>
            <w:pPr>
              <w:pStyle w:val="Compact"/>
              <w:spacing w:after="40" w:before="40"/>
              <w:jc w:val="left"/>
            </w:pPr>
            <w:r>
              <w:rPr>
                <w:rFonts w:ascii="Tahoma" w:hAnsi="Tahoma"/>
                <w:b/>
                <w:color w:val="FFFFFF"/>
                <w:sz w:val="22"/>
              </w:rPr>
              <w:t xml:space="preserve">VAT (£)</w:t>
            </w:r>
          </w:p>
        </w:tc>
        <w:tc>
          <w:tcPr>
            <w:tcW w:w="3318" w:type="dxa"/>
            <w:shd w:val="clear" w:color="auto" w:fill="1B3A5C"/>
          </w:tcPr>
          <w:p>
            <w:pPr>
              <w:pStyle w:val="Compact"/>
              <w:spacing w:after="40" w:before="40"/>
              <w:jc w:val="left"/>
            </w:pPr>
            <w:r>
              <w:rPr>
                <w:rFonts w:ascii="Tahoma" w:hAnsi="Tahoma"/>
                <w:b/>
                <w:color w:val="FFFFFF"/>
                <w:sz w:val="22"/>
              </w:rPr>
              <w:t xml:space="preserve">Refundable?</w:t>
            </w:r>
          </w:p>
        </w:tc>
      </w:tr>
      <w:tr>
        <w:trPr>
          <w:cantSplit w:val="true"/>
        </w:trPr>
        <w:tc>
          <w:tcPr>
            <w:tcW w:w="2379" w:type="dxa"/>
            <w:shd w:val="clear" w:color="auto" w:fill="EAF3FA"/>
          </w:tcPr>
          <w:p>
            <w:pPr>
              <w:pStyle w:val="Compact"/>
              <w:spacing w:after="40" w:before="40"/>
              <w:jc w:val="left"/>
            </w:pPr>
            <w:r>
              <w:rPr>
                <w:rFonts w:ascii="Tahoma" w:hAnsi="Tahoma"/>
                <w:sz w:val="22"/>
              </w:rPr>
              <w:t xml:space="preserve">Trainer’s fee</w:t>
            </w:r>
          </w:p>
        </w:tc>
        <w:tc>
          <w:tcPr>
            <w:tcW w:w="1664" w:type="dxa"/>
            <w:shd w:val="clear" w:color="auto" w:fill="EAF3FA"/>
          </w:tcPr>
          <w:p>
            <w:pPr>
              <w:pStyle w:val="Compact"/>
              <w:spacing w:after="40" w:before="40"/>
              <w:jc w:val="left"/>
            </w:pPr>
            <w:r>
              <w:rPr>
                <w:rFonts w:ascii="Tahoma" w:hAnsi="Tahoma"/>
                <w:sz w:val="22"/>
              </w:rPr>
              <w:t xml:space="preserve">10,000</w:t>
            </w:r>
          </w:p>
        </w:tc>
        <w:tc>
          <w:tcPr>
            <w:tcW w:w="1664" w:type="dxa"/>
            <w:shd w:val="clear" w:color="auto" w:fill="EAF3FA"/>
          </w:tcPr>
          <w:p>
            <w:pPr>
              <w:pStyle w:val="Compact"/>
              <w:spacing w:after="40" w:before="40"/>
              <w:jc w:val="left"/>
            </w:pPr>
            <w:r>
              <w:rPr>
                <w:rFonts w:ascii="Tahoma" w:hAnsi="Tahoma"/>
                <w:sz w:val="22"/>
              </w:rPr>
              <w:t xml:space="preserve">2,000</w:t>
            </w:r>
          </w:p>
        </w:tc>
        <w:tc>
          <w:tcPr>
            <w:tcW w:w="3318" w:type="dxa"/>
            <w:shd w:val="clear" w:color="auto" w:fill="EAF3FA"/>
          </w:tcPr>
          <w:p>
            <w:pPr>
              <w:pStyle w:val="Compact"/>
              <w:spacing w:after="40" w:before="40"/>
              <w:jc w:val="left"/>
            </w:pPr>
            <w:r>
              <w:rPr>
                <w:rFonts w:ascii="Tahoma" w:hAnsi="Tahoma"/>
                <w:sz w:val="22"/>
              </w:rPr>
              <w:t xml:space="preserve">Yes, Heading 65: £2,000</w:t>
            </w:r>
          </w:p>
        </w:tc>
      </w:tr>
      <w:tr>
        <w:trPr>
          <w:cantSplit w:val="true"/>
        </w:trPr>
        <w:tc>
          <w:tcPr>
            <w:tcW w:w="2379" w:type="dxa"/>
            <w:shd w:val="clear" w:color="auto" w:fill="FFFFFF"/>
          </w:tcPr>
          <w:p>
            <w:pPr>
              <w:pStyle w:val="Compact"/>
              <w:spacing w:after="40" w:before="40"/>
              <w:jc w:val="left"/>
            </w:pPr>
            <w:r>
              <w:rPr>
                <w:rFonts w:ascii="Tahoma" w:hAnsi="Tahoma"/>
                <w:sz w:val="22"/>
              </w:rPr>
              <w:t xml:space="preserve">Meeting-room hire (hotel)</w:t>
            </w:r>
          </w:p>
        </w:tc>
        <w:tc>
          <w:tcPr>
            <w:tcW w:w="1664" w:type="dxa"/>
            <w:shd w:val="clear" w:color="auto" w:fill="FFFFFF"/>
          </w:tcPr>
          <w:p>
            <w:pPr>
              <w:pStyle w:val="Compact"/>
              <w:spacing w:after="40" w:before="40"/>
              <w:jc w:val="left"/>
            </w:pPr>
            <w:r>
              <w:rPr>
                <w:rFonts w:ascii="Tahoma" w:hAnsi="Tahoma"/>
                <w:sz w:val="22"/>
              </w:rPr>
              <w:t xml:space="preserve">1,500</w:t>
            </w:r>
          </w:p>
        </w:tc>
        <w:tc>
          <w:tcPr>
            <w:tcW w:w="1664" w:type="dxa"/>
            <w:shd w:val="clear" w:color="auto" w:fill="FFFFFF"/>
          </w:tcPr>
          <w:p>
            <w:pPr>
              <w:pStyle w:val="Compact"/>
              <w:spacing w:after="40" w:before="40"/>
              <w:jc w:val="left"/>
            </w:pPr>
            <w:r>
              <w:rPr>
                <w:rFonts w:ascii="Tahoma" w:hAnsi="Tahoma"/>
                <w:sz w:val="22"/>
              </w:rPr>
              <w:t xml:space="preserve">300</w:t>
            </w:r>
          </w:p>
        </w:tc>
        <w:tc>
          <w:tcPr>
            <w:tcW w:w="3318" w:type="dxa"/>
            <w:shd w:val="clear" w:color="auto" w:fill="FFFFFF"/>
          </w:tcPr>
          <w:p>
            <w:pPr>
              <w:pStyle w:val="Compact"/>
              <w:spacing w:after="40" w:before="40"/>
              <w:jc w:val="left"/>
            </w:pPr>
            <w:r>
              <w:rPr>
                <w:rFonts w:ascii="Tahoma" w:hAnsi="Tahoma"/>
                <w:b/>
                <w:bCs/>
                <w:sz w:val="22"/>
              </w:rPr>
              <w:t xml:space="preserve">No.</w:t>
            </w:r>
            <w:r>
              <w:rPr>
                <w:rFonts w:ascii="Tahoma" w:hAnsi="Tahoma"/>
                <w:sz w:val="22"/>
              </w:rPr>
              <w:t xml:space="preserve"> </w:t>
            </w:r>
            <w:r>
              <w:rPr>
                <w:rFonts w:ascii="Tahoma" w:hAnsi="Tahoma"/>
                <w:sz w:val="22"/>
              </w:rPr>
              <w:t xml:space="preserve">Room hire is excluded from Heading 65, and</w:t>
            </w:r>
            <w:r>
              <w:rPr>
                <w:rFonts w:ascii="Tahoma" w:hAnsi="Tahoma"/>
                <w:sz w:val="22"/>
              </w:rPr>
              <w:t xml:space="preserve"> </w:t>
            </w:r>
            <w:r>
              <w:rPr>
                <w:rFonts w:ascii="Tahoma" w:hAnsi="Tahoma"/>
                <w:sz w:val="22"/>
              </w:rPr>
              <w:t xml:space="preserve">“</w:t>
            </w:r>
            <w:r>
              <w:rPr>
                <w:rFonts w:ascii="Tahoma" w:hAnsi="Tahoma"/>
                <w:sz w:val="22"/>
              </w:rPr>
              <w:t xml:space="preserve">the hire of venues alone</w:t>
            </w:r>
            <w:r>
              <w:rPr>
                <w:rFonts w:ascii="Tahoma" w:hAnsi="Tahoma"/>
                <w:sz w:val="22"/>
              </w:rPr>
              <w:t xml:space="preserve">”</w:t>
            </w:r>
            <w:r>
              <w:rPr>
                <w:rFonts w:ascii="Tahoma" w:hAnsi="Tahoma"/>
                <w:sz w:val="22"/>
              </w:rPr>
              <w:t xml:space="preserve"> </w:t>
            </w:r>
            <w:r>
              <w:rPr>
                <w:rFonts w:ascii="Tahoma" w:hAnsi="Tahoma"/>
                <w:sz w:val="22"/>
              </w:rPr>
              <w:t xml:space="preserve">is excluded from Heading 15</w:t>
            </w:r>
          </w:p>
        </w:tc>
      </w:tr>
      <w:tr>
        <w:trPr>
          <w:cantSplit w:val="true"/>
        </w:trPr>
        <w:tc>
          <w:tcPr>
            <w:tcW w:w="2379" w:type="dxa"/>
            <w:shd w:val="clear" w:color="auto" w:fill="FBEAF1"/>
          </w:tcPr>
          <w:p>
            <w:pPr>
              <w:pStyle w:val="Compact"/>
              <w:spacing w:after="40" w:before="40"/>
              <w:jc w:val="left"/>
            </w:pPr>
            <w:r>
              <w:rPr>
                <w:rFonts w:ascii="Tahoma" w:hAnsi="Tahoma"/>
                <w:sz w:val="22"/>
              </w:rPr>
              <w:t xml:space="preserve">Lunches and refreshments (hotel)</w:t>
            </w:r>
          </w:p>
        </w:tc>
        <w:tc>
          <w:tcPr>
            <w:tcW w:w="1664" w:type="dxa"/>
            <w:shd w:val="clear" w:color="auto" w:fill="FBEAF1"/>
          </w:tcPr>
          <w:p>
            <w:pPr>
              <w:pStyle w:val="Compact"/>
              <w:spacing w:after="40" w:before="40"/>
              <w:jc w:val="left"/>
            </w:pPr>
            <w:r>
              <w:rPr>
                <w:rFonts w:ascii="Tahoma" w:hAnsi="Tahoma"/>
                <w:sz w:val="22"/>
              </w:rPr>
              <w:t xml:space="preserve">600</w:t>
            </w:r>
          </w:p>
        </w:tc>
        <w:tc>
          <w:tcPr>
            <w:tcW w:w="1664" w:type="dxa"/>
            <w:shd w:val="clear" w:color="auto" w:fill="FBEAF1"/>
          </w:tcPr>
          <w:p>
            <w:pPr>
              <w:pStyle w:val="Compact"/>
              <w:spacing w:after="40" w:before="40"/>
              <w:jc w:val="left"/>
            </w:pPr>
            <w:r>
              <w:rPr>
                <w:rFonts w:ascii="Tahoma" w:hAnsi="Tahoma"/>
                <w:sz w:val="22"/>
              </w:rPr>
              <w:t xml:space="preserve">120</w:t>
            </w:r>
          </w:p>
        </w:tc>
        <w:tc>
          <w:tcPr>
            <w:tcW w:w="3318" w:type="dxa"/>
            <w:shd w:val="clear" w:color="auto" w:fill="FBEAF1"/>
          </w:tcPr>
          <w:p>
            <w:pPr>
              <w:pStyle w:val="Compact"/>
              <w:spacing w:after="40" w:before="40"/>
              <w:jc w:val="left"/>
            </w:pPr>
            <w:r>
              <w:rPr>
                <w:rFonts w:ascii="Tahoma" w:hAnsi="Tahoma"/>
                <w:b/>
                <w:bCs/>
                <w:sz w:val="22"/>
              </w:rPr>
              <w:t xml:space="preserve">No.</w:t>
            </w:r>
            <w:r>
              <w:rPr>
                <w:rFonts w:ascii="Tahoma" w:hAnsi="Tahoma"/>
                <w:sz w:val="22"/>
              </w:rPr>
              <w:t xml:space="preserve"> </w:t>
            </w:r>
            <w:r>
              <w:rPr>
                <w:rFonts w:ascii="Tahoma" w:hAnsi="Tahoma"/>
                <w:sz w:val="22"/>
              </w:rPr>
              <w:t xml:space="preserve">Separate supply of meals</w:t>
            </w:r>
          </w:p>
        </w:tc>
      </w:tr>
      <w:tr>
        <w:trPr>
          <w:cantSplit w:val="true"/>
        </w:trPr>
        <w:tc>
          <w:tcPr>
            <w:tcW w:w="2379" w:type="dxa"/>
            <w:shd w:val="clear" w:color="auto" w:fill="EAF3FA"/>
          </w:tcPr>
          <w:p>
            <w:pPr>
              <w:pStyle w:val="Compact"/>
              <w:spacing w:after="40" w:before="40"/>
              <w:jc w:val="left"/>
            </w:pPr>
            <w:r>
              <w:rPr>
                <w:rFonts w:ascii="Tahoma" w:hAnsi="Tahoma"/>
                <w:b/>
                <w:bCs/>
                <w:sz w:val="22"/>
              </w:rPr>
              <w:t xml:space="preserve">Total VAT refunded</w:t>
            </w:r>
          </w:p>
        </w:tc>
        <w:tc>
          <w:tcPr>
            <w:tcW w:w="1664" w:type="dxa"/>
            <w:shd w:val="clear" w:color="auto" w:fill="EAF3FA"/>
          </w:tcPr>
          <w:p>
            <w:pPr>
              <w:pStyle w:val="Compact"/>
              <w:spacing w:after="40" w:before="40"/>
            </w:pPr>
          </w:p>
        </w:tc>
        <w:tc>
          <w:tcPr>
            <w:tcW w:w="1664" w:type="dxa"/>
            <w:shd w:val="clear" w:color="auto" w:fill="EAF3FA"/>
          </w:tcPr>
          <w:p>
            <w:pPr>
              <w:pStyle w:val="Compact"/>
              <w:spacing w:after="40" w:before="40"/>
            </w:pPr>
          </w:p>
        </w:tc>
        <w:tc>
          <w:tcPr>
            <w:tcW w:w="3318" w:type="dxa"/>
            <w:shd w:val="clear" w:color="auto" w:fill="EAF3FA"/>
          </w:tcPr>
          <w:p>
            <w:pPr>
              <w:pStyle w:val="Compact"/>
              <w:spacing w:after="40" w:before="40"/>
              <w:jc w:val="left"/>
            </w:pPr>
            <w:r>
              <w:rPr>
                <w:rFonts w:ascii="Tahoma" w:hAnsi="Tahoma"/>
                <w:b/>
                <w:bCs/>
                <w:sz w:val="22"/>
              </w:rPr>
              <w:t xml:space="preserve">£2,000 of £2,420</w:t>
            </w:r>
          </w:p>
        </w:tc>
      </w:tr>
    </w:tbl>
    <w:p>
      <w:pPr>
        <w:pStyle w:val="BodyText"/>
        <w:spacing w:before="200"/>
      </w:pPr>
      <w:r>
        <w:t xml:space="preserve">The exclusions applied here come from HMRC’s guidance on Headings 65 and 15</w:t>
      </w:r>
      <w:r>
        <w:t xml:space="preserve"> </w:t>
      </w:r>
      <w:r>
        <w:t xml:space="preserve">(</w:t>
      </w:r>
      <w:hyperlink w:anchor="ref-hmrc_vatgpb">
        <w:r>
          <w:rPr>
            <w:rStyle w:val="Hyperlink"/>
          </w:rPr>
          <w:t xml:space="preserve">HMRC, 2026n</w:t>
        </w:r>
      </w:hyperlink>
      <w:r>
        <w:t xml:space="preserve">, secs. VATGPB11030 and VATGPB10030)</w:t>
      </w:r>
      <w:r>
        <w:t xml:space="preserve">.</w:t>
      </w:r>
    </w:p>
    <w:p>
      <w:pPr>
        <w:pStyle w:val="BodyText"/>
      </w:pPr>
      <w:r>
        <w:rPr>
          <w:b/>
          <w:bCs/>
        </w:rPr>
        <w:t xml:space="preserve">(c) Same topic, bought from a university</w:t>
      </w:r>
    </w:p>
    <w:p>
      <w:pPr>
        <w:pStyle w:val="BodyText"/>
      </w:pPr>
      <w:r>
        <w:t xml:space="preserve">The £8,000 fee is</w:t>
      </w:r>
      <w:r>
        <w:t xml:space="preserve"> </w:t>
      </w:r>
      <w:r>
        <w:rPr>
          <w:b/>
          <w:bCs/>
        </w:rPr>
        <w:t xml:space="preserve">exempt</w:t>
      </w:r>
      <w:r>
        <w:t xml:space="preserve">: no VAT is charged and there is nothing to refund</w:t>
      </w:r>
      <w:r>
        <w:t xml:space="preserve"> </w:t>
      </w:r>
      <w:r>
        <w:t xml:space="preserve">(</w:t>
      </w:r>
      <w:hyperlink w:anchor="ref-hmrc_n70130">
        <w:r>
          <w:rPr>
            <w:rStyle w:val="Hyperlink"/>
          </w:rPr>
          <w:t xml:space="preserve">HMRC, 2025d</w:t>
        </w:r>
      </w:hyperlink>
      <w:r>
        <w:t xml:space="preserve">, paras. 4.1 and 5.4;</w:t>
      </w:r>
      <w:r>
        <w:t xml:space="preserve"> </w:t>
      </w:r>
      <w:hyperlink w:anchor="ref-hmrc_vatgpb">
        <w:r>
          <w:rPr>
            <w:rStyle w:val="Hyperlink"/>
          </w:rPr>
          <w:t xml:space="preserve">HMRC, 2026n, sec. VATGPB11030</w:t>
        </w:r>
      </w:hyperlink>
      <w:r>
        <w:t xml:space="preserve">)</w:t>
      </w:r>
      <w:r>
        <w:t xml:space="preserve">.</w:t>
      </w:r>
    </w:p>
    <w:p>
      <w:pPr>
        <w:pStyle w:val="BodyText"/>
      </w:pPr>
      <w:r>
        <w:rPr>
          <w:b/>
          <w:bCs/>
        </w:rPr>
        <w:t xml:space="preserve">(d) Interactive online course from a US provider</w:t>
      </w:r>
    </w:p>
    <w:p>
      <w:pPr>
        <w:pStyle w:val="BodyText"/>
      </w:pPr>
      <w:r>
        <w:t xml:space="preserve">The table shows the reverse-charge VAT the Department must account for and the matching refund.</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5775"/>
        <w:gridCol w:w="3250"/>
      </w:tblGrid>
      <w:tr>
        <w:trPr>
          <w:tblHeader w:val="true"/>
          <w:cantSplit w:val="true"/>
        </w:trPr>
        <w:tc>
          <w:tcPr>
            <w:tcW w:w="5775" w:type="dxa"/>
            <w:shd w:val="clear" w:color="auto" w:fill="1B3A5C"/>
          </w:tcPr>
          <w:p>
            <w:pPr>
              <w:pStyle w:val="Compact"/>
              <w:spacing w:after="40" w:before="40"/>
              <w:jc w:val="left"/>
            </w:pPr>
            <w:r>
              <w:rPr>
                <w:rFonts w:ascii="Tahoma" w:hAnsi="Tahoma"/>
                <w:b/>
                <w:color w:val="FFFFFF"/>
                <w:sz w:val="22"/>
              </w:rPr>
              <w:t xml:space="preserve">Item</w:t>
            </w:r>
          </w:p>
        </w:tc>
        <w:tc>
          <w:tcPr>
            <w:tcW w:w="3250" w:type="dxa"/>
            <w:shd w:val="clear" w:color="auto" w:fill="1B3A5C"/>
          </w:tcPr>
          <w:p>
            <w:pPr>
              <w:pStyle w:val="Compact"/>
              <w:spacing w:after="40" w:before="40"/>
              <w:jc w:val="left"/>
            </w:pPr>
            <w:r>
              <w:rPr>
                <w:rFonts w:ascii="Tahoma" w:hAnsi="Tahoma"/>
                <w:b/>
                <w:color w:val="FFFFFF"/>
                <w:sz w:val="22"/>
              </w:rPr>
              <w:t xml:space="preserve">£</w:t>
            </w:r>
          </w:p>
        </w:tc>
      </w:tr>
      <w:tr>
        <w:trPr>
          <w:cantSplit w:val="true"/>
        </w:trPr>
        <w:tc>
          <w:tcPr>
            <w:tcW w:w="5775" w:type="dxa"/>
            <w:shd w:val="clear" w:color="auto" w:fill="EAF3FA"/>
          </w:tcPr>
          <w:p>
            <w:pPr>
              <w:pStyle w:val="Compact"/>
              <w:spacing w:after="40" w:before="40"/>
              <w:jc w:val="left"/>
            </w:pPr>
            <w:r>
              <w:rPr>
                <w:rFonts w:ascii="Tahoma" w:hAnsi="Tahoma"/>
                <w:sz w:val="22"/>
              </w:rPr>
              <w:t xml:space="preserve">Fee (converted to sterling)</w:t>
            </w:r>
          </w:p>
        </w:tc>
        <w:tc>
          <w:tcPr>
            <w:tcW w:w="3250" w:type="dxa"/>
            <w:shd w:val="clear" w:color="auto" w:fill="EAF3FA"/>
          </w:tcPr>
          <w:p>
            <w:pPr>
              <w:pStyle w:val="Compact"/>
              <w:spacing w:after="40" w:before="40"/>
              <w:jc w:val="left"/>
            </w:pPr>
            <w:r>
              <w:rPr>
                <w:rFonts w:ascii="Tahoma" w:hAnsi="Tahoma"/>
                <w:sz w:val="22"/>
              </w:rPr>
              <w:t xml:space="preserve">8,000</w:t>
            </w:r>
          </w:p>
        </w:tc>
      </w:tr>
      <w:tr>
        <w:trPr>
          <w:cantSplit w:val="true"/>
        </w:trPr>
        <w:tc>
          <w:tcPr>
            <w:tcW w:w="5775" w:type="dxa"/>
            <w:shd w:val="clear" w:color="auto" w:fill="FFFFFF"/>
          </w:tcPr>
          <w:p>
            <w:pPr>
              <w:pStyle w:val="Compact"/>
              <w:spacing w:after="40" w:before="40"/>
              <w:jc w:val="left"/>
            </w:pPr>
            <w:r>
              <w:rPr>
                <w:rFonts w:ascii="Tahoma" w:hAnsi="Tahoma"/>
                <w:sz w:val="22"/>
              </w:rPr>
              <w:t xml:space="preserve">Reverse-charge output tax the Department must account for</w:t>
            </w:r>
          </w:p>
        </w:tc>
        <w:tc>
          <w:tcPr>
            <w:tcW w:w="3250" w:type="dxa"/>
            <w:shd w:val="clear" w:color="auto" w:fill="FFFFFF"/>
          </w:tcPr>
          <w:p>
            <w:pPr>
              <w:pStyle w:val="Compact"/>
              <w:spacing w:after="40" w:before="40"/>
              <w:jc w:val="left"/>
            </w:pPr>
            <w:r>
              <w:rPr>
                <w:rFonts w:ascii="Tahoma" w:hAnsi="Tahoma"/>
                <w:sz w:val="22"/>
              </w:rPr>
              <w:t xml:space="preserve">1,600</w:t>
            </w:r>
          </w:p>
        </w:tc>
      </w:tr>
      <w:tr>
        <w:trPr>
          <w:cantSplit w:val="true"/>
        </w:trPr>
        <w:tc>
          <w:tcPr>
            <w:tcW w:w="5775" w:type="dxa"/>
            <w:shd w:val="clear" w:color="auto" w:fill="FBEAF1"/>
          </w:tcPr>
          <w:p>
            <w:pPr>
              <w:pStyle w:val="Compact"/>
              <w:spacing w:after="40" w:before="40"/>
              <w:jc w:val="left"/>
            </w:pPr>
            <w:r>
              <w:rPr>
                <w:rFonts w:ascii="Tahoma" w:hAnsi="Tahoma"/>
                <w:sz w:val="22"/>
              </w:rPr>
              <w:t xml:space="preserve">Refund under Heading 65 (non-business use)</w:t>
            </w:r>
          </w:p>
        </w:tc>
        <w:tc>
          <w:tcPr>
            <w:tcW w:w="3250" w:type="dxa"/>
            <w:shd w:val="clear" w:color="auto" w:fill="FBEAF1"/>
          </w:tcPr>
          <w:p>
            <w:pPr>
              <w:pStyle w:val="Compact"/>
              <w:spacing w:after="40" w:before="40"/>
              <w:jc w:val="left"/>
            </w:pPr>
            <w:r>
              <w:rPr>
                <w:rFonts w:ascii="Tahoma" w:hAnsi="Tahoma"/>
                <w:sz w:val="22"/>
              </w:rPr>
              <w:t xml:space="preserve">(1,600)</w:t>
            </w:r>
          </w:p>
        </w:tc>
      </w:tr>
      <w:tr>
        <w:trPr>
          <w:cantSplit w:val="true"/>
        </w:trPr>
        <w:tc>
          <w:tcPr>
            <w:tcW w:w="5775" w:type="dxa"/>
            <w:shd w:val="clear" w:color="auto" w:fill="EAF3FA"/>
          </w:tcPr>
          <w:p>
            <w:pPr>
              <w:pStyle w:val="Compact"/>
              <w:spacing w:after="40" w:before="40"/>
              <w:jc w:val="left"/>
            </w:pPr>
            <w:r>
              <w:rPr>
                <w:rFonts w:ascii="Tahoma" w:hAnsi="Tahoma"/>
                <w:b/>
                <w:bCs/>
                <w:sz w:val="22"/>
              </w:rPr>
              <w:t xml:space="preserve">Net VAT cost</w:t>
            </w:r>
          </w:p>
        </w:tc>
        <w:tc>
          <w:tcPr>
            <w:tcW w:w="3250" w:type="dxa"/>
            <w:shd w:val="clear" w:color="auto" w:fill="EAF3FA"/>
          </w:tcPr>
          <w:p>
            <w:pPr>
              <w:pStyle w:val="Compact"/>
              <w:spacing w:after="40" w:before="40"/>
              <w:jc w:val="left"/>
            </w:pPr>
            <w:r>
              <w:rPr>
                <w:rFonts w:ascii="Tahoma" w:hAnsi="Tahoma"/>
                <w:b/>
                <w:bCs/>
                <w:sz w:val="22"/>
              </w:rPr>
              <w:t xml:space="preserve">0</w:t>
            </w:r>
          </w:p>
        </w:tc>
      </w:tr>
    </w:tbl>
    <w:p>
      <w:pPr>
        <w:pStyle w:val="BodyText"/>
        <w:spacing w:before="200"/>
      </w:pPr>
      <w:r>
        <w:t xml:space="preserve">If the purchase were a</w:t>
      </w:r>
      <w:r>
        <w:t xml:space="preserve"> </w:t>
      </w:r>
      <w:r>
        <w:rPr>
          <w:b/>
          <w:bCs/>
        </w:rPr>
        <w:t xml:space="preserve">non-interactive</w:t>
      </w:r>
      <w:r>
        <w:t xml:space="preserve"> </w:t>
      </w:r>
      <w:r>
        <w:t xml:space="preserve">content library at the same price, the Department would still account for £1,600 output tax, but</w:t>
      </w:r>
      <w:r>
        <w:t xml:space="preserve"> </w:t>
      </w:r>
      <w:r>
        <w:rPr>
          <w:b/>
          <w:bCs/>
        </w:rPr>
        <w:t xml:space="preserve">with no refund</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VATGPB11030</w:t>
        </w:r>
      </w:hyperlink>
      <w:r>
        <w:t xml:space="preserve">)</w:t>
      </w:r>
      <w:r>
        <w:t xml:space="preserve">. Net VAT cost:</w:t>
      </w:r>
      <w:r>
        <w:t xml:space="preserve"> </w:t>
      </w:r>
      <w:r>
        <w:rPr>
          <w:b/>
          <w:bCs/>
        </w:rPr>
        <w:t xml:space="preserve">£1,600</w:t>
      </w:r>
      <w:r>
        <w:t xml:space="preserve">.</w:t>
      </w:r>
    </w:p>
    <w:p>
      <w:pPr>
        <w:pStyle w:val="BodyText"/>
      </w:pPr>
      <w:r>
        <w:rPr>
          <w:b/>
          <w:bCs/>
        </w:rPr>
        <w:t xml:space="preserve">(e) Two-day seminar in Paris (admission to an event)</w:t>
      </w:r>
    </w:p>
    <w:p>
      <w:pPr>
        <w:pStyle w:val="BodyText"/>
      </w:pPr>
      <w:r>
        <w:t xml:space="preserve">The table shows the French costs and how much of their VAT COS can refund.</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6169"/>
        <w:gridCol w:w="2856"/>
      </w:tblGrid>
      <w:tr>
        <w:trPr>
          <w:tblHeader w:val="true"/>
          <w:cantSplit w:val="true"/>
        </w:trPr>
        <w:tc>
          <w:tcPr>
            <w:tcW w:w="6169" w:type="dxa"/>
            <w:shd w:val="clear" w:color="auto" w:fill="1B3A5C"/>
          </w:tcPr>
          <w:p>
            <w:pPr>
              <w:pStyle w:val="Compact"/>
              <w:spacing w:after="40" w:before="40"/>
              <w:jc w:val="left"/>
            </w:pPr>
            <w:r>
              <w:rPr>
                <w:rFonts w:ascii="Tahoma" w:hAnsi="Tahoma"/>
                <w:b/>
                <w:color w:val="FFFFFF"/>
                <w:sz w:val="22"/>
              </w:rPr>
              <w:t xml:space="preserve">Item</w:t>
            </w:r>
          </w:p>
        </w:tc>
        <w:tc>
          <w:tcPr>
            <w:tcW w:w="2856" w:type="dxa"/>
            <w:shd w:val="clear" w:color="auto" w:fill="1B3A5C"/>
          </w:tcPr>
          <w:p>
            <w:pPr>
              <w:pStyle w:val="Compact"/>
              <w:spacing w:after="40" w:before="40"/>
              <w:jc w:val="left"/>
            </w:pPr>
            <w:r>
              <w:rPr>
                <w:rFonts w:ascii="Tahoma" w:hAnsi="Tahoma"/>
                <w:b/>
                <w:color w:val="FFFFFF"/>
                <w:sz w:val="22"/>
              </w:rPr>
              <w:t xml:space="preserve">€</w:t>
            </w:r>
          </w:p>
        </w:tc>
      </w:tr>
      <w:tr>
        <w:trPr>
          <w:cantSplit w:val="true"/>
        </w:trPr>
        <w:tc>
          <w:tcPr>
            <w:tcW w:w="6169" w:type="dxa"/>
            <w:shd w:val="clear" w:color="auto" w:fill="EAF3FA"/>
          </w:tcPr>
          <w:p>
            <w:pPr>
              <w:pStyle w:val="Compact"/>
              <w:spacing w:after="40" w:before="40"/>
              <w:jc w:val="left"/>
            </w:pPr>
            <w:r>
              <w:rPr>
                <w:rFonts w:ascii="Tahoma" w:hAnsi="Tahoma"/>
                <w:sz w:val="22"/>
              </w:rPr>
              <w:t xml:space="preserve">Seminar fee charged by the French provider, including French VAT of €300 (illustrative)</w:t>
            </w:r>
          </w:p>
        </w:tc>
        <w:tc>
          <w:tcPr>
            <w:tcW w:w="2856" w:type="dxa"/>
            <w:shd w:val="clear" w:color="auto" w:fill="EAF3FA"/>
          </w:tcPr>
          <w:p>
            <w:pPr>
              <w:pStyle w:val="Compact"/>
              <w:spacing w:after="40" w:before="40"/>
              <w:jc w:val="left"/>
            </w:pPr>
            <w:r>
              <w:rPr>
                <w:rFonts w:ascii="Tahoma" w:hAnsi="Tahoma"/>
                <w:sz w:val="22"/>
              </w:rPr>
              <w:t xml:space="preserve">1,800</w:t>
            </w:r>
          </w:p>
        </w:tc>
      </w:tr>
      <w:tr>
        <w:trPr>
          <w:cantSplit w:val="true"/>
        </w:trPr>
        <w:tc>
          <w:tcPr>
            <w:tcW w:w="6169" w:type="dxa"/>
            <w:shd w:val="clear" w:color="auto" w:fill="FFFFFF"/>
          </w:tcPr>
          <w:p>
            <w:pPr>
              <w:pStyle w:val="Compact"/>
              <w:spacing w:after="40" w:before="40"/>
              <w:jc w:val="left"/>
            </w:pPr>
            <w:r>
              <w:rPr>
                <w:rFonts w:ascii="Tahoma" w:hAnsi="Tahoma"/>
                <w:sz w:val="22"/>
              </w:rPr>
              <w:t xml:space="preserve">Hotel, 3 nights, including French VAT of €90 (illustrative)</w:t>
            </w:r>
          </w:p>
        </w:tc>
        <w:tc>
          <w:tcPr>
            <w:tcW w:w="2856" w:type="dxa"/>
            <w:shd w:val="clear" w:color="auto" w:fill="FFFFFF"/>
          </w:tcPr>
          <w:p>
            <w:pPr>
              <w:pStyle w:val="Compact"/>
              <w:spacing w:after="40" w:before="40"/>
              <w:jc w:val="left"/>
            </w:pPr>
            <w:r>
              <w:rPr>
                <w:rFonts w:ascii="Tahoma" w:hAnsi="Tahoma"/>
                <w:sz w:val="22"/>
              </w:rPr>
              <w:t xml:space="preserve">990</w:t>
            </w:r>
          </w:p>
        </w:tc>
      </w:tr>
      <w:tr>
        <w:trPr>
          <w:cantSplit w:val="true"/>
        </w:trPr>
        <w:tc>
          <w:tcPr>
            <w:tcW w:w="6169" w:type="dxa"/>
            <w:shd w:val="clear" w:color="auto" w:fill="FBEAF1"/>
          </w:tcPr>
          <w:p>
            <w:pPr>
              <w:pStyle w:val="Compact"/>
              <w:spacing w:after="40" w:before="40"/>
              <w:jc w:val="left"/>
            </w:pPr>
            <w:r>
              <w:rPr>
                <w:rFonts w:ascii="Tahoma" w:hAnsi="Tahoma"/>
                <w:b/>
                <w:bCs/>
                <w:sz w:val="22"/>
              </w:rPr>
              <w:t xml:space="preserve">Refundable via COS</w:t>
            </w:r>
          </w:p>
        </w:tc>
        <w:tc>
          <w:tcPr>
            <w:tcW w:w="2856" w:type="dxa"/>
            <w:shd w:val="clear" w:color="auto" w:fill="FBEAF1"/>
          </w:tcPr>
          <w:p>
            <w:pPr>
              <w:pStyle w:val="Compact"/>
              <w:spacing w:after="40" w:before="40"/>
              <w:jc w:val="left"/>
            </w:pPr>
            <w:r>
              <w:rPr>
                <w:rFonts w:ascii="Tahoma" w:hAnsi="Tahoma"/>
                <w:b/>
                <w:bCs/>
                <w:sz w:val="22"/>
              </w:rPr>
              <w:t xml:space="preserve">€0</w:t>
            </w:r>
          </w:p>
        </w:tc>
      </w:tr>
    </w:tbl>
    <w:p>
      <w:pPr>
        <w:pStyle w:val="BodyText"/>
        <w:spacing w:before="200"/>
      </w:pPr>
      <w:r>
        <w:t xml:space="preserve">French VAT is not UK VAT and is</w:t>
      </w:r>
      <w:r>
        <w:t xml:space="preserve"> </w:t>
      </w:r>
      <w:r>
        <w:rPr>
          <w:b/>
          <w:bCs/>
        </w:rPr>
        <w:t xml:space="preserve">not refundable via COS</w:t>
      </w:r>
      <w:r>
        <w:t xml:space="preserve"> </w:t>
      </w:r>
      <w:r>
        <w:t xml:space="preserve">(Value Added Tax Act 1994, ss. 1 and 41(3)). Budget for it as a cost. If this were a longer course rather than admission to an event, the Department would also have to account for UK VAT on the fee under the reverse charge, refundable under Heading 65 if the course qualifies</w:t>
      </w:r>
      <w:r>
        <w:t xml:space="preserve"> </w:t>
      </w:r>
      <w:r>
        <w:t xml:space="preserve">(</w:t>
      </w:r>
      <w:hyperlink w:anchor="ref-hmrc_n741a">
        <w:r>
          <w:rPr>
            <w:rStyle w:val="Hyperlink"/>
          </w:rPr>
          <w:t xml:space="preserve">HMRC, 2022d, para. 9.3</w:t>
        </w:r>
      </w:hyperlink>
      <w:r>
        <w:t xml:space="preserve">;</w:t>
      </w:r>
      <w:r>
        <w:t xml:space="preserve"> </w:t>
      </w:r>
      <w:hyperlink w:anchor="ref-hmrc_gdpef">
        <w:r>
          <w:rPr>
            <w:rStyle w:val="Hyperlink"/>
          </w:rPr>
          <w:t xml:space="preserve">2023c</w:t>
        </w:r>
      </w:hyperlink>
      <w:r>
        <w:t xml:space="preserve">)</w:t>
      </w:r>
      <w:r>
        <w:t xml:space="preserve">.</w:t>
      </w:r>
    </w:p>
    <w:p>
      <w:pPr>
        <w:pStyle w:val="BodyText"/>
      </w:pPr>
      <w:r>
        <w:rPr>
          <w:b/>
          <w:bCs/>
        </w:rPr>
        <w:t xml:space="preserve">(f) Exam fees for a member of staff’s papers for the Association of Chartered Certified Accountants (ACCA) qualification.</w:t>
      </w:r>
      <w:r>
        <w:t xml:space="preserve"> </w:t>
      </w:r>
      <w:r>
        <w:t xml:space="preserve">These are not within Heading 65, because they</w:t>
      </w:r>
      <w:r>
        <w:t xml:space="preserve"> </w:t>
      </w:r>
      <w:r>
        <w:t xml:space="preserve">“</w:t>
      </w:r>
      <w:r>
        <w:t xml:space="preserve">couldn’t have been performed in-house</w:t>
      </w:r>
      <w:r>
        <w:t xml:space="preserve">”</w:t>
      </w:r>
      <w:r>
        <w:t xml:space="preserve">, and they are likely to be exempt anyway</w:t>
      </w:r>
      <w:r>
        <w:t xml:space="preserve"> </w:t>
      </w:r>
      <w:r>
        <w:t xml:space="preserve">(</w:t>
      </w:r>
      <w:hyperlink w:anchor="ref-hmrc_vatgpb">
        <w:r>
          <w:rPr>
            <w:rStyle w:val="Hyperlink"/>
          </w:rPr>
          <w:t xml:space="preserve">HMRC, 2026n, sec. VATGPB11030</w:t>
        </w:r>
      </w:hyperlink>
      <w:r>
        <w:t xml:space="preserve">)</w:t>
      </w:r>
      <w:r>
        <w:t xml:space="preserve">.</w:t>
      </w:r>
      <w:r>
        <w:t xml:space="preserve"> </w:t>
      </w:r>
      <w:r>
        <w:rPr>
          <w:b/>
          <w:bCs/>
        </w:rPr>
        <w:t xml:space="preserve">Nothing to claim.</w:t>
      </w:r>
    </w:p>
    <w:p>
      <w:pPr>
        <w:pStyle w:val="BodyText"/>
      </w:pPr>
      <w:r>
        <w:rPr>
          <w:b/>
          <w:bCs/>
        </w:rPr>
        <w:t xml:space="preserve">(g) Training for the surplus-sales team</w:t>
      </w:r>
      <w:r>
        <w:t xml:space="preserve"> </w:t>
      </w:r>
      <w:r>
        <w:t xml:space="preserve">(a business activity making taxable supplies): £2,000 + £400 VAT.</w:t>
      </w:r>
    </w:p>
    <w:p>
      <w:pPr>
        <w:pStyle w:val="Compact"/>
        <w:numPr>
          <w:ilvl w:val="0"/>
          <w:numId w:val="1269"/>
        </w:numPr>
      </w:pPr>
      <w:r>
        <w:rPr>
          <w:b/>
          <w:bCs/>
        </w:rPr>
        <w:t xml:space="preserve">Not</w:t>
      </w:r>
      <w:r>
        <w:t xml:space="preserve"> </w:t>
      </w:r>
      <w:r>
        <w:t xml:space="preserve">a Heading 65 claim</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69"/>
        </w:numPr>
      </w:pPr>
      <w:r>
        <w:t xml:space="preserve">The £400 is</w:t>
      </w:r>
      <w:r>
        <w:t xml:space="preserve"> </w:t>
      </w:r>
      <w:r>
        <w:rPr>
          <w:b/>
          <w:bCs/>
        </w:rPr>
        <w:t xml:space="preserve">input tax</w:t>
      </w:r>
      <w:r>
        <w:t xml:space="preserve"> </w:t>
      </w:r>
      <w:r>
        <w:t xml:space="preserve">attributable to taxable supplies, recoverable under the normal rules</w:t>
      </w:r>
      <w:r>
        <w:t xml:space="preserve"> </w:t>
      </w:r>
      <w:r>
        <w:t xml:space="preserve">(</w:t>
      </w:r>
      <w:hyperlink w:anchor="ref-hmrc_gdpef">
        <w:r>
          <w:rPr>
            <w:rStyle w:val="Hyperlink"/>
          </w:rPr>
          <w:t xml:space="preserve">HMRC, 2023c</w:t>
        </w:r>
      </w:hyperlink>
      <w:r>
        <w:t xml:space="preserve">)</w:t>
      </w:r>
      <w:r>
        <w:t xml:space="preserve">.</w:t>
      </w:r>
    </w:p>
    <w:bookmarkEnd w:id="219"/>
    <w:bookmarkEnd w:id="220"/>
    <w:bookmarkStart w:id="226" w:name="X494b4f5e1244d12c574b688776adbe9d2b84b1c"/>
    <w:p>
      <w:pPr>
        <w:pStyle w:val="Heading3"/>
      </w:pPr>
      <w:r>
        <w:t xml:space="preserve">2. Sending staff abroad</w:t>
      </w:r>
    </w:p>
    <w:bookmarkStart w:id="221" w:name="the-vat-position-in-plain-english-1"/>
    <w:p>
      <w:pPr>
        <w:pStyle w:val="Heading4"/>
      </w:pPr>
      <w:r>
        <w:t xml:space="preserve">The VAT position in plain English</w:t>
      </w:r>
    </w:p>
    <w:p>
      <w:pPr>
        <w:pStyle w:val="FirstParagraph"/>
      </w:pPr>
      <w:r>
        <w:t xml:space="preserve">Overseas trips for the Department’s public work are</w:t>
      </w:r>
      <w:r>
        <w:t xml:space="preserve"> </w:t>
      </w:r>
      <w:r>
        <w:rPr>
          <w:b/>
          <w:bCs/>
        </w:rPr>
        <w:t xml:space="preserve">non-business</w:t>
      </w:r>
      <w:r>
        <w:t xml:space="preserve"> </w:t>
      </w:r>
      <w:r>
        <w:t xml:space="preserve">(</w:t>
      </w:r>
      <w:hyperlink w:anchor="ref-hmrc_gdpef">
        <w:r>
          <w:rPr>
            <w:rStyle w:val="Hyperlink"/>
          </w:rPr>
          <w:t xml:space="preserve">HMRC, 2023c</w:t>
        </w:r>
      </w:hyperlink>
      <w:r>
        <w:t xml:space="preserve">)</w:t>
      </w:r>
      <w:r>
        <w:t xml:space="preserve">. Most of the cost of a trip is one of three things:</w:t>
      </w:r>
    </w:p>
    <w:p>
      <w:pPr>
        <w:pStyle w:val="Compact"/>
        <w:numPr>
          <w:ilvl w:val="0"/>
          <w:numId w:val="1270"/>
        </w:numPr>
      </w:pPr>
      <w:r>
        <w:rPr>
          <w:b/>
          <w:bCs/>
        </w:rPr>
        <w:t xml:space="preserve">zero-rated</w:t>
      </w:r>
      <w:r>
        <w:t xml:space="preserve">, such as international flights</w:t>
      </w:r>
      <w:r>
        <w:t xml:space="preserve"> </w:t>
      </w:r>
      <w:r>
        <w:t xml:space="preserve">(</w:t>
      </w:r>
      <w:hyperlink w:anchor="ref-hmrc_n744a">
        <w:r>
          <w:rPr>
            <w:rStyle w:val="Hyperlink"/>
          </w:rPr>
          <w:t xml:space="preserve">HMRC, 2022g, para. 3.2</w:t>
        </w:r>
      </w:hyperlink>
      <w:r>
        <w:t xml:space="preserve">)</w:t>
      </w:r>
      <w:r>
        <w:t xml:space="preserve">;</w:t>
      </w:r>
    </w:p>
    <w:p>
      <w:pPr>
        <w:pStyle w:val="Compact"/>
        <w:numPr>
          <w:ilvl w:val="0"/>
          <w:numId w:val="1270"/>
        </w:numPr>
      </w:pPr>
      <w:r>
        <w:rPr>
          <w:b/>
          <w:bCs/>
        </w:rPr>
        <w:t xml:space="preserve">foreign</w:t>
      </w:r>
      <w:r>
        <w:t xml:space="preserve">, such as overseas hotels and local services</w:t>
      </w:r>
      <w:r>
        <w:t xml:space="preserve"> </w:t>
      </w:r>
      <w:r>
        <w:t xml:space="preserve">(</w:t>
      </w:r>
      <w:hyperlink w:anchor="ref-hmrc_n741a">
        <w:r>
          <w:rPr>
            <w:rStyle w:val="Hyperlink"/>
          </w:rPr>
          <w:t xml:space="preserve">HMRC, 2022d, para. 7.4</w:t>
        </w:r>
      </w:hyperlink>
      <w:r>
        <w:t xml:space="preserve">)</w:t>
      </w:r>
      <w:r>
        <w:t xml:space="preserve">; or</w:t>
      </w:r>
    </w:p>
    <w:p>
      <w:pPr>
        <w:pStyle w:val="Compact"/>
        <w:numPr>
          <w:ilvl w:val="0"/>
          <w:numId w:val="1270"/>
        </w:numPr>
      </w:pPr>
      <w:r>
        <w:rPr>
          <w:b/>
          <w:bCs/>
        </w:rPr>
        <w:t xml:space="preserve">specifically excluded</w:t>
      </w:r>
      <w:r>
        <w:t xml:space="preserve"> </w:t>
      </w:r>
      <w:r>
        <w:t xml:space="preserve">from the travel heading, such as hotels and fares</w:t>
      </w:r>
      <w:r>
        <w:t xml:space="preserve"> </w:t>
      </w:r>
      <w:r>
        <w:t xml:space="preserve">(</w:t>
      </w:r>
      <w:hyperlink w:anchor="ref-hmrc_vatgpb">
        <w:r>
          <w:rPr>
            <w:rStyle w:val="Hyperlink"/>
          </w:rPr>
          <w:t xml:space="preserve">HMRC, 2026n, sec. VATGPB11070</w:t>
        </w:r>
      </w:hyperlink>
      <w:r>
        <w:t xml:space="preserve">)</w:t>
      </w:r>
      <w:r>
        <w:t xml:space="preserve">.</w:t>
      </w:r>
    </w:p>
    <w:p>
      <w:pPr>
        <w:pStyle w:val="FirstParagraph"/>
      </w:pPr>
      <w:r>
        <w:t xml:space="preserve">So the COS refund on overseas travel is usually small. It comes mainly from</w:t>
      </w:r>
      <w:r>
        <w:t xml:space="preserve"> </w:t>
      </w:r>
      <w:r>
        <w:rPr>
          <w:b/>
          <w:bCs/>
        </w:rPr>
        <w:t xml:space="preserve">agency fees</w:t>
      </w:r>
      <w:r>
        <w:t xml:space="preserve"> </w:t>
      </w:r>
      <w:r>
        <w:t xml:space="preserve">and some</w:t>
      </w:r>
      <w:r>
        <w:t xml:space="preserve"> </w:t>
      </w:r>
      <w:r>
        <w:rPr>
          <w:b/>
          <w:bCs/>
        </w:rPr>
        <w:t xml:space="preserve">support services</w:t>
      </w:r>
      <w:r>
        <w:t xml:space="preserve">.</w:t>
      </w:r>
    </w:p>
    <w:bookmarkEnd w:id="221"/>
    <w:bookmarkStart w:id="222" w:name="which-headings-can-apply"/>
    <w:p>
      <w:pPr>
        <w:pStyle w:val="Heading4"/>
      </w:pPr>
      <w:r>
        <w:t xml:space="preserve">Which headings can apply</w:t>
      </w:r>
    </w:p>
    <w:p>
      <w:pPr>
        <w:pStyle w:val="Compact"/>
        <w:numPr>
          <w:ilvl w:val="0"/>
          <w:numId w:val="1271"/>
        </w:numPr>
      </w:pPr>
      <w:r>
        <w:rPr>
          <w:b/>
          <w:bCs/>
        </w:rPr>
        <w:t xml:space="preserve">Heading 67: Travel services, excluding hotel accommodation and fares</w:t>
      </w:r>
      <w:r>
        <w:t xml:space="preserve"> </w:t>
      </w:r>
      <w:r>
        <w:t xml:space="preserve">(</w:t>
      </w:r>
      <w:hyperlink w:anchor="ref-hmrc_vatgpb">
        <w:r>
          <w:rPr>
            <w:rStyle w:val="Hyperlink"/>
          </w:rPr>
          <w:t xml:space="preserve">HMRC, 2026n, sec. VATGPB11070</w:t>
        </w:r>
      </w:hyperlink>
      <w:r>
        <w:t xml:space="preserve">)</w:t>
      </w:r>
      <w:r>
        <w:t xml:space="preserve">.</w:t>
      </w:r>
    </w:p>
    <w:p>
      <w:pPr>
        <w:pStyle w:val="Compact"/>
        <w:numPr>
          <w:ilvl w:val="1"/>
          <w:numId w:val="1272"/>
        </w:numPr>
      </w:pPr>
      <w:r>
        <w:rPr>
          <w:b/>
          <w:bCs/>
        </w:rPr>
        <w:t xml:space="preserve">Includes</w:t>
      </w:r>
      <w:r>
        <w:t xml:space="preserve"> </w:t>
      </w:r>
      <w:r>
        <w:t xml:space="preserve">“</w:t>
      </w:r>
      <w:r>
        <w:t xml:space="preserve">Travel arrangements provided by an external booking agency</w:t>
      </w:r>
      <w:r>
        <w:t xml:space="preserve">”</w:t>
      </w:r>
      <w:r>
        <w:t xml:space="preserve"> </w:t>
      </w:r>
      <w:r>
        <w:t xml:space="preserve">and</w:t>
      </w:r>
      <w:r>
        <w:t xml:space="preserve"> </w:t>
      </w:r>
      <w:r>
        <w:t xml:space="preserve">“</w:t>
      </w:r>
      <w:r>
        <w:t xml:space="preserve">Charges for use of VIP lounges at airports and stations</w:t>
      </w:r>
      <w:r>
        <w:t xml:space="preserve">”</w:t>
      </w:r>
      <w:r>
        <w:t xml:space="preserve">.</w:t>
      </w:r>
    </w:p>
    <w:p>
      <w:pPr>
        <w:pStyle w:val="Compact"/>
        <w:numPr>
          <w:ilvl w:val="1"/>
          <w:numId w:val="1272"/>
        </w:numPr>
      </w:pPr>
      <w:r>
        <w:rPr>
          <w:b/>
          <w:bCs/>
        </w:rPr>
        <w:t xml:space="preserve">Excludes</w:t>
      </w:r>
      <w:r>
        <w:t xml:space="preserve"> </w:t>
      </w:r>
      <w:r>
        <w:t xml:space="preserve">“</w:t>
      </w:r>
      <w:r>
        <w:t xml:space="preserve">Public transport fares as these are zero-rated</w:t>
      </w:r>
      <w:r>
        <w:t xml:space="preserve">”</w:t>
      </w:r>
      <w:r>
        <w:t xml:space="preserve">, and</w:t>
      </w:r>
      <w:r>
        <w:t xml:space="preserve"> </w:t>
      </w:r>
      <w:r>
        <w:t xml:space="preserve">“</w:t>
      </w:r>
      <w:r>
        <w:t xml:space="preserve">VAT paid by third parties in respect of taxis and hire cars</w:t>
      </w:r>
      <w:r>
        <w:t xml:space="preserve">”</w:t>
      </w:r>
      <w:r>
        <w:t xml:space="preserve">.</w:t>
      </w:r>
    </w:p>
    <w:p>
      <w:pPr>
        <w:pStyle w:val="Compact"/>
        <w:numPr>
          <w:ilvl w:val="1"/>
          <w:numId w:val="1272"/>
        </w:numPr>
      </w:pPr>
      <w:r>
        <w:rPr>
          <w:b/>
          <w:bCs/>
        </w:rPr>
        <w:t xml:space="preserve">Agency fees for overseas trips often carry no UK VAT.</w:t>
      </w:r>
    </w:p>
    <w:p>
      <w:pPr>
        <w:pStyle w:val="Compact"/>
        <w:numPr>
          <w:ilvl w:val="2"/>
          <w:numId w:val="1273"/>
        </w:numPr>
      </w:pPr>
      <w:r>
        <w:t xml:space="preserve">Arranging zero-rated passenger transport can itself be zero-rated under VAT Notice 709/6</w:t>
      </w:r>
      <w:r>
        <w:t xml:space="preserve"> </w:t>
      </w:r>
      <w:r>
        <w:t xml:space="preserve">(</w:t>
      </w:r>
      <w:hyperlink w:anchor="ref-hmrc_n7096">
        <w:r>
          <w:rPr>
            <w:rStyle w:val="Hyperlink"/>
          </w:rPr>
          <w:t xml:space="preserve">HMRC, 2020c, para. 3.6</w:t>
        </w:r>
      </w:hyperlink>
      <w:r>
        <w:t xml:space="preserve">)</w:t>
      </w:r>
      <w:r>
        <w:t xml:space="preserve">, and so can arranging services supplied outside the UK, under Schedule 8, Group 7, item 2(c) to the Value Added Tax Act 1994</w:t>
      </w:r>
      <w:r>
        <w:t xml:space="preserve"> </w:t>
      </w:r>
      <w:r>
        <w:t xml:space="preserve">(</w:t>
      </w:r>
      <w:hyperlink w:anchor="ref-hmrc_n741a">
        <w:r>
          <w:rPr>
            <w:rStyle w:val="Hyperlink"/>
          </w:rPr>
          <w:t xml:space="preserve">HMRC, 2022d, para. 15.2</w:t>
        </w:r>
      </w:hyperlink>
      <w:r>
        <w:t xml:space="preserve">)</w:t>
      </w:r>
      <w:r>
        <w:t xml:space="preserve">.</w:t>
      </w:r>
    </w:p>
    <w:p>
      <w:pPr>
        <w:pStyle w:val="Compact"/>
        <w:numPr>
          <w:ilvl w:val="2"/>
          <w:numId w:val="1273"/>
        </w:numPr>
      </w:pPr>
      <w:r>
        <w:t xml:space="preserve">Where the agency acts as principal under the</w:t>
      </w:r>
      <w:r>
        <w:t xml:space="preserve"> </w:t>
      </w:r>
      <w:r>
        <w:rPr>
          <w:b/>
          <w:bCs/>
        </w:rPr>
        <w:t xml:space="preserve">Tour Operators’ Margin Scheme (TOMS)</w:t>
      </w:r>
      <w:r>
        <w:t xml:space="preserve">, business customers do not receive a VAT invoice at all</w:t>
      </w:r>
      <w:r>
        <w:t xml:space="preserve"> </w:t>
      </w:r>
      <w:r>
        <w:t xml:space="preserve">(</w:t>
      </w:r>
      <w:hyperlink w:anchor="ref-hmrc_n7095">
        <w:r>
          <w:rPr>
            <w:rStyle w:val="Hyperlink"/>
          </w:rPr>
          <w:t xml:space="preserve">HMRC, 2024e</w:t>
        </w:r>
      </w:hyperlink>
      <w:r>
        <w:t xml:space="preserve">, paras. 3.1, 3.3 and 4.19)</w:t>
      </w:r>
      <w:r>
        <w:t xml:space="preserve">.</w:t>
      </w:r>
    </w:p>
    <w:p>
      <w:pPr>
        <w:pStyle w:val="Compact"/>
        <w:numPr>
          <w:ilvl w:val="2"/>
          <w:numId w:val="1273"/>
        </w:numPr>
      </w:pPr>
      <w:r>
        <w:rPr>
          <w:b/>
          <w:bCs/>
        </w:rPr>
        <w:t xml:space="preserve">So for agency fees, Heading 67 helps only where the agency actually charges UK VAT and gives a VAT invoice</w:t>
      </w:r>
      <w:r>
        <w:t xml:space="preserve">, typically on management, account or transaction fees.</w:t>
      </w:r>
    </w:p>
    <w:p>
      <w:pPr>
        <w:pStyle w:val="Compact"/>
        <w:numPr>
          <w:ilvl w:val="0"/>
          <w:numId w:val="1271"/>
        </w:numPr>
      </w:pPr>
      <w:r>
        <w:rPr>
          <w:b/>
          <w:bCs/>
        </w:rPr>
        <w:t xml:space="preserve">Heading 47: Passenger transport services.</w:t>
      </w:r>
      <w:r>
        <w:t xml:space="preserve"> </w:t>
      </w:r>
      <w:r>
        <w:t xml:space="preserve">This covers taxis and chauffeur cars,</w:t>
      </w:r>
      <w:r>
        <w:t xml:space="preserve"> </w:t>
      </w:r>
      <w:r>
        <w:t xml:space="preserve">“</w:t>
      </w:r>
      <w:r>
        <w:t xml:space="preserve">provided the government department… has entered into a contract with the firm and receives a tax invoice</w:t>
      </w:r>
      <w:r>
        <w:t xml:space="preserve">”</w:t>
      </w:r>
      <w:r>
        <w:t xml:space="preserve">. Cabs hailed in the street or picked up at a rank are excluded</w:t>
      </w:r>
      <w:r>
        <w:t xml:space="preserve"> </w:t>
      </w:r>
      <w:r>
        <w:t xml:space="preserve">(</w:t>
      </w:r>
      <w:hyperlink w:anchor="ref-hmrc_vatgpb">
        <w:r>
          <w:rPr>
            <w:rStyle w:val="Hyperlink"/>
          </w:rPr>
          <w:t xml:space="preserve">HMRC, 2026n, sec. VATGPB10670</w:t>
        </w:r>
      </w:hyperlink>
      <w:r>
        <w:t xml:space="preserve">)</w:t>
      </w:r>
      <w:r>
        <w:t xml:space="preserve">.</w:t>
      </w:r>
    </w:p>
    <w:p>
      <w:pPr>
        <w:pStyle w:val="Compact"/>
        <w:numPr>
          <w:ilvl w:val="0"/>
          <w:numId w:val="1271"/>
        </w:numPr>
      </w:pPr>
      <w:r>
        <w:rPr>
          <w:b/>
          <w:bCs/>
        </w:rPr>
        <w:t xml:space="preserve">Heading 28: Interpretation and translation services.</w:t>
      </w:r>
      <w:r>
        <w:t xml:space="preserve"> </w:t>
      </w:r>
      <w:r>
        <w:t xml:space="preserve">This includes</w:t>
      </w:r>
      <w:r>
        <w:t xml:space="preserve"> </w:t>
      </w:r>
      <w:r>
        <w:t xml:space="preserve">“</w:t>
      </w:r>
      <w:r>
        <w:t xml:space="preserve">Simultaneous translation services, for example in person, at events/meetings/interviews, via telecommunication media</w:t>
      </w:r>
      <w:r>
        <w:t xml:space="preserve">”</w:t>
      </w:r>
      <w:r>
        <w:t xml:space="preserve"> </w:t>
      </w:r>
      <w:r>
        <w:t xml:space="preserve">and</w:t>
      </w:r>
      <w:r>
        <w:t xml:space="preserve"> </w:t>
      </w:r>
      <w:r>
        <w:t xml:space="preserve">“</w:t>
      </w:r>
      <w:r>
        <w:t xml:space="preserve">Translation of documents</w:t>
      </w:r>
      <w:r>
        <w:t xml:space="preserve">”</w:t>
      </w:r>
      <w:r>
        <w:t xml:space="preserve"> </w:t>
      </w:r>
      <w:r>
        <w:t xml:space="preserve">(</w:t>
      </w:r>
      <w:hyperlink w:anchor="ref-hmrc_vatgpb">
        <w:r>
          <w:rPr>
            <w:rStyle w:val="Hyperlink"/>
          </w:rPr>
          <w:t xml:space="preserve">HMRC, 2026n, sec. VATGPB10290</w:t>
        </w:r>
      </w:hyperlink>
      <w:r>
        <w:t xml:space="preserve">)</w:t>
      </w:r>
      <w:r>
        <w:t xml:space="preserve">. An interpreter from outside the UK hired by the Department falls under the general rule. The Department accounts for the reverse charge, and the VAT is refundable under Heading 28 for non-business use</w:t>
      </w:r>
      <w:r>
        <w:t xml:space="preserve"> </w:t>
      </w:r>
      <w:r>
        <w:t xml:space="preserve">(</w:t>
      </w:r>
      <w:hyperlink w:anchor="ref-hmrc_n741a">
        <w:r>
          <w:rPr>
            <w:rStyle w:val="Hyperlink"/>
          </w:rPr>
          <w:t xml:space="preserve">HMRC, 2022d</w:t>
        </w:r>
      </w:hyperlink>
      <w:r>
        <w:t xml:space="preserve">, paras. 5.6 and 6.3;</w:t>
      </w:r>
      <w:r>
        <w:t xml:space="preserve"> </w:t>
      </w:r>
      <w:hyperlink w:anchor="ref-hmrc_gdpef">
        <w:r>
          <w:rPr>
            <w:rStyle w:val="Hyperlink"/>
          </w:rPr>
          <w:t xml:space="preserve">HMRC, 2023c</w:t>
        </w:r>
      </w:hyperlink>
      <w:r>
        <w:t xml:space="preserve">)</w:t>
      </w:r>
      <w:r>
        <w:t xml:space="preserve">.</w:t>
      </w:r>
    </w:p>
    <w:p>
      <w:pPr>
        <w:pStyle w:val="Compact"/>
        <w:numPr>
          <w:ilvl w:val="0"/>
          <w:numId w:val="1271"/>
        </w:numPr>
      </w:pPr>
      <w:r>
        <w:rPr>
          <w:b/>
          <w:bCs/>
        </w:rPr>
        <w:t xml:space="preserve">Heading 57: Recruitment and relocation of staff and other related services.</w:t>
      </w:r>
      <w:r>
        <w:t xml:space="preserve"> </w:t>
      </w:r>
      <w:r>
        <w:t xml:space="preserve">This covers postings</w:t>
      </w:r>
      <w:r>
        <w:t xml:space="preserve"> </w:t>
      </w:r>
      <w:r>
        <w:t xml:space="preserve">(</w:t>
      </w:r>
      <w:hyperlink w:anchor="ref-hmrc_vatgpb">
        <w:r>
          <w:rPr>
            <w:rStyle w:val="Hyperlink"/>
          </w:rPr>
          <w:t xml:space="preserve">HMRC, 2026n, sec. VATGPB10870</w:t>
        </w:r>
      </w:hyperlink>
      <w:r>
        <w:t xml:space="preserve">)</w:t>
      </w:r>
      <w:r>
        <w:t xml:space="preserve">.</w:t>
      </w:r>
    </w:p>
    <w:p>
      <w:pPr>
        <w:pStyle w:val="Compact"/>
        <w:numPr>
          <w:ilvl w:val="1"/>
          <w:numId w:val="1274"/>
        </w:numPr>
      </w:pPr>
      <w:r>
        <w:rPr>
          <w:b/>
          <w:bCs/>
        </w:rPr>
        <w:t xml:space="preserve">Includes</w:t>
      </w:r>
      <w:r>
        <w:t xml:space="preserve"> </w:t>
      </w:r>
      <w:r>
        <w:t xml:space="preserve">“</w:t>
      </w:r>
      <w:r>
        <w:t xml:space="preserve">Staff relocation expenses where the department commissions the removal company</w:t>
      </w:r>
      <w:r>
        <w:t xml:space="preserve">”</w:t>
      </w:r>
      <w:r>
        <w:t xml:space="preserve"> </w:t>
      </w:r>
      <w:r>
        <w:t xml:space="preserve">and security vetting, including Disclosure and Barring Service (DBS) checks.</w:t>
      </w:r>
    </w:p>
    <w:p>
      <w:pPr>
        <w:pStyle w:val="Compact"/>
        <w:numPr>
          <w:ilvl w:val="1"/>
          <w:numId w:val="1274"/>
        </w:numPr>
      </w:pPr>
      <w:r>
        <w:rPr>
          <w:b/>
          <w:bCs/>
        </w:rPr>
        <w:t xml:space="preserve">Excludes</w:t>
      </w:r>
      <w:r>
        <w:t xml:space="preserve"> </w:t>
      </w:r>
      <w:r>
        <w:t xml:space="preserve">“</w:t>
      </w:r>
      <w:r>
        <w:t xml:space="preserve">VAT incurred on removal firms hired by staff</w:t>
      </w:r>
      <w:r>
        <w:t xml:space="preserve">”</w:t>
      </w:r>
      <w:r>
        <w:t xml:space="preserve">.</w:t>
      </w:r>
    </w:p>
    <w:p>
      <w:pPr>
        <w:pStyle w:val="Compact"/>
        <w:numPr>
          <w:ilvl w:val="0"/>
          <w:numId w:val="1271"/>
        </w:numPr>
      </w:pPr>
      <w:r>
        <w:rPr>
          <w:b/>
          <w:bCs/>
        </w:rPr>
        <w:t xml:space="preserve">Heading 63: Storage, distribution and goods disposal services.</w:t>
      </w:r>
      <w:r>
        <w:t xml:space="preserve"> </w:t>
      </w:r>
      <w:r>
        <w:t xml:space="preserve">This includes</w:t>
      </w:r>
      <w:r>
        <w:t xml:space="preserve"> </w:t>
      </w:r>
      <w:r>
        <w:t xml:space="preserve">“</w:t>
      </w:r>
      <w:r>
        <w:t xml:space="preserve">Storage of employees’ possessions when they are relocated</w:t>
      </w:r>
      <w:r>
        <w:t xml:space="preserve">”</w:t>
      </w:r>
      <w:r>
        <w:t xml:space="preserve"> </w:t>
      </w:r>
      <w:r>
        <w:t xml:space="preserve">(</w:t>
      </w:r>
      <w:hyperlink w:anchor="ref-hmrc_vatgpb">
        <w:r>
          <w:rPr>
            <w:rStyle w:val="Hyperlink"/>
          </w:rPr>
          <w:t xml:space="preserve">HMRC, 2026n, sec. VATGPB10990</w:t>
        </w:r>
      </w:hyperlink>
      <w:r>
        <w:t xml:space="preserve">)</w:t>
      </w:r>
      <w:r>
        <w:t xml:space="preserve">.</w:t>
      </w:r>
    </w:p>
    <w:p>
      <w:pPr>
        <w:pStyle w:val="Compact"/>
        <w:numPr>
          <w:ilvl w:val="0"/>
          <w:numId w:val="1271"/>
        </w:numPr>
      </w:pPr>
      <w:r>
        <w:rPr>
          <w:b/>
          <w:bCs/>
        </w:rPr>
        <w:t xml:space="preserve">Heading 15: Conference and exhibition services.</w:t>
      </w:r>
      <w:r>
        <w:t xml:space="preserve"> </w:t>
      </w:r>
      <w:r>
        <w:t xml:space="preserve">It applies where the Department buys a composite conference service</w:t>
      </w:r>
      <w:r>
        <w:t xml:space="preserve"> </w:t>
      </w:r>
      <w:r>
        <w:t xml:space="preserve">(</w:t>
      </w:r>
      <w:hyperlink w:anchor="ref-hmrc_vatgpb">
        <w:r>
          <w:rPr>
            <w:rStyle w:val="Hyperlink"/>
          </w:rPr>
          <w:t xml:space="preserve">HMRC, 2026n, sec. VATGPB10030</w:t>
        </w:r>
      </w:hyperlink>
      <w:r>
        <w:t xml:space="preserve">)</w:t>
      </w:r>
      <w:r>
        <w:t xml:space="preserve">. HMRC does not say whether Heading 15 can apply to a conference held</w:t>
      </w:r>
      <w:r>
        <w:t xml:space="preserve"> </w:t>
      </w:r>
      <w:r>
        <w:rPr>
          <w:b/>
          <w:bCs/>
        </w:rPr>
        <w:t xml:space="preserve">abroad</w:t>
      </w:r>
      <w:r>
        <w:t xml:space="preserve"> </w:t>
      </w:r>
      <w:r>
        <w:t xml:space="preserve">but organised by a UK supplier. For any conference, in the UK or abroad, if the organiser buys in hotel rooms or transport and resupplies them as principal, the whole package falls within TOMS under VAT Notice 709/5 and no VAT invoice can be issued</w:t>
      </w:r>
      <w:r>
        <w:t xml:space="preserve"> </w:t>
      </w:r>
      <w:r>
        <w:t xml:space="preserve">(</w:t>
      </w:r>
      <w:hyperlink w:anchor="ref-hmrc_n7095">
        <w:r>
          <w:rPr>
            <w:rStyle w:val="Hyperlink"/>
          </w:rPr>
          <w:t xml:space="preserve">HMRC, 2024e</w:t>
        </w:r>
      </w:hyperlink>
      <w:r>
        <w:t xml:space="preserve">, paras. 2.13, 7.13 and 4.19)</w:t>
      </w:r>
      <w:r>
        <w:t xml:space="preserve">. See Example A in Part 5, Single or multiple supply?</w:t>
      </w:r>
    </w:p>
    <w:bookmarkEnd w:id="222"/>
    <w:bookmarkStart w:id="223" w:name="what-is-not-claimable-1"/>
    <w:p>
      <w:pPr>
        <w:pStyle w:val="Heading4"/>
      </w:pPr>
      <w:r>
        <w:t xml:space="preserve">What is NOT claimable</w:t>
      </w:r>
    </w:p>
    <w:p>
      <w:pPr>
        <w:pStyle w:val="Compact"/>
        <w:numPr>
          <w:ilvl w:val="0"/>
          <w:numId w:val="1275"/>
        </w:numPr>
      </w:pPr>
      <w:r>
        <w:rPr>
          <w:b/>
          <w:bCs/>
        </w:rPr>
        <w:t xml:space="preserve">Flights and rail fares.</w:t>
      </w:r>
      <w:r>
        <w:t xml:space="preserve"> </w:t>
      </w:r>
      <w:r>
        <w:t xml:space="preserve">International passenger transport is zero-rated in the UK and outside the scope abroad, and fares are excluded from Heading 67 anyway</w:t>
      </w:r>
      <w:r>
        <w:t xml:space="preserve"> </w:t>
      </w:r>
      <w:r>
        <w:t xml:space="preserve">(</w:t>
      </w:r>
      <w:hyperlink w:anchor="ref-hmrc_n744a">
        <w:r>
          <w:rPr>
            <w:rStyle w:val="Hyperlink"/>
          </w:rPr>
          <w:t xml:space="preserve">HMRC, 2022g</w:t>
        </w:r>
      </w:hyperlink>
      <w:r>
        <w:t xml:space="preserve">, paras. 2.1 and 3.2;</w:t>
      </w:r>
      <w:r>
        <w:t xml:space="preserve"> </w:t>
      </w:r>
      <w:hyperlink w:anchor="ref-hmrc_vatgpb">
        <w:r>
          <w:rPr>
            <w:rStyle w:val="Hyperlink"/>
          </w:rPr>
          <w:t xml:space="preserve">HMRC, 2026n, sec. VATGPB11070</w:t>
        </w:r>
      </w:hyperlink>
      <w:r>
        <w:t xml:space="preserve">)</w:t>
      </w:r>
      <w:r>
        <w:t xml:space="preserve">. Air Passenger Duty forms part of the fare and is not VAT</w:t>
      </w:r>
      <w:r>
        <w:t xml:space="preserve"> </w:t>
      </w:r>
      <w:r>
        <w:t xml:space="preserve">(</w:t>
      </w:r>
      <w:hyperlink w:anchor="ref-hmrc_n744a">
        <w:r>
          <w:rPr>
            <w:rStyle w:val="Hyperlink"/>
          </w:rPr>
          <w:t xml:space="preserve">HMRC, 2022g, para. 9.10</w:t>
        </w:r>
      </w:hyperlink>
      <w:r>
        <w:t xml:space="preserve">)</w:t>
      </w:r>
      <w:r>
        <w:t xml:space="preserve">.</w:t>
      </w:r>
    </w:p>
    <w:p>
      <w:pPr>
        <w:pStyle w:val="Compact"/>
        <w:numPr>
          <w:ilvl w:val="0"/>
          <w:numId w:val="1275"/>
        </w:numPr>
      </w:pPr>
      <w:r>
        <w:rPr>
          <w:b/>
          <w:bCs/>
        </w:rPr>
        <w:t xml:space="preserve">Hotels:</w:t>
      </w:r>
    </w:p>
    <w:p>
      <w:pPr>
        <w:pStyle w:val="Compact"/>
        <w:numPr>
          <w:ilvl w:val="1"/>
          <w:numId w:val="1276"/>
        </w:numPr>
      </w:pPr>
      <w:r>
        <w:rPr>
          <w:b/>
          <w:bCs/>
        </w:rPr>
        <w:t xml:space="preserve">UK hotels:</w:t>
      </w:r>
      <w:r>
        <w:t xml:space="preserve"> </w:t>
      </w:r>
      <w:r>
        <w:t xml:space="preserve">standard-rated, but excluded from Heading 67, and from Heading 15 when hired</w:t>
      </w:r>
      <w:r>
        <w:t xml:space="preserve"> </w:t>
      </w:r>
      <w:r>
        <w:t xml:space="preserve">“</w:t>
      </w:r>
      <w:r>
        <w:t xml:space="preserve">on its own</w:t>
      </w:r>
      <w:r>
        <w:t xml:space="preserve">”</w:t>
      </w:r>
      <w:r>
        <w:t xml:space="preserve">. The VAT is a cost</w:t>
      </w:r>
      <w:r>
        <w:t xml:space="preserve"> </w:t>
      </w:r>
      <w:r>
        <w:t xml:space="preserve">(</w:t>
      </w:r>
      <w:hyperlink w:anchor="ref-hmrc_n7093">
        <w:r>
          <w:rPr>
            <w:rStyle w:val="Hyperlink"/>
          </w:rPr>
          <w:t xml:space="preserve">HMRC, 2022b</w:t>
        </w:r>
      </w:hyperlink>
      <w:r>
        <w:t xml:space="preserve">;</w:t>
      </w:r>
      <w:r>
        <w:t xml:space="preserve"> </w:t>
      </w:r>
      <w:hyperlink w:anchor="ref-hmrc_vatgpb">
        <w:r>
          <w:rPr>
            <w:rStyle w:val="Hyperlink"/>
          </w:rPr>
          <w:t xml:space="preserve">HMRC, 2026n</w:t>
        </w:r>
      </w:hyperlink>
      <w:r>
        <w:t xml:space="preserve">, secs. VATGPB11070 and VATGPB10030)</w:t>
      </w:r>
      <w:r>
        <w:t xml:space="preserve">.</w:t>
      </w:r>
    </w:p>
    <w:p>
      <w:pPr>
        <w:pStyle w:val="Compact"/>
        <w:numPr>
          <w:ilvl w:val="1"/>
          <w:numId w:val="1276"/>
        </w:numPr>
      </w:pPr>
      <w:r>
        <w:rPr>
          <w:b/>
          <w:bCs/>
        </w:rPr>
        <w:t xml:space="preserve">Overseas hotels:</w:t>
      </w:r>
      <w:r>
        <w:t xml:space="preserve"> </w:t>
      </w:r>
      <w:r>
        <w:t xml:space="preserve">taxed where the property is, so any VAT is foreign VAT</w:t>
      </w:r>
      <w:r>
        <w:t xml:space="preserve"> </w:t>
      </w:r>
      <w:r>
        <w:t xml:space="preserve">(</w:t>
      </w:r>
      <w:hyperlink w:anchor="ref-hmrc_n741a">
        <w:r>
          <w:rPr>
            <w:rStyle w:val="Hyperlink"/>
          </w:rPr>
          <w:t xml:space="preserve">HMRC, 2022d, para. 7.4</w:t>
        </w:r>
      </w:hyperlink>
      <w:r>
        <w:t xml:space="preserve">)</w:t>
      </w:r>
      <w:r>
        <w:t xml:space="preserve">.</w:t>
      </w:r>
    </w:p>
    <w:p>
      <w:pPr>
        <w:pStyle w:val="Compact"/>
        <w:numPr>
          <w:ilvl w:val="0"/>
          <w:numId w:val="1275"/>
        </w:numPr>
      </w:pPr>
      <w:r>
        <w:rPr>
          <w:b/>
          <w:bCs/>
        </w:rPr>
        <w:t xml:space="preserve">Overseas conference delegate fees.</w:t>
      </w:r>
      <w:r>
        <w:t xml:space="preserve"> </w:t>
      </w:r>
      <w:r>
        <w:t xml:space="preserve">Admission to an event is taxed where the event takes place, so this is foreign VAT</w:t>
      </w:r>
      <w:r>
        <w:t xml:space="preserve"> </w:t>
      </w:r>
      <w:r>
        <w:t xml:space="preserve">(</w:t>
      </w:r>
      <w:hyperlink w:anchor="ref-hmrc_n741a">
        <w:r>
          <w:rPr>
            <w:rStyle w:val="Hyperlink"/>
          </w:rPr>
          <w:t xml:space="preserve">HMRC, 2022d</w:t>
        </w:r>
      </w:hyperlink>
      <w:r>
        <w:t xml:space="preserve">, paras. 9.2 and 9.3)</w:t>
      </w:r>
      <w:r>
        <w:t xml:space="preserve">.</w:t>
      </w:r>
    </w:p>
    <w:p>
      <w:pPr>
        <w:pStyle w:val="Compact"/>
        <w:numPr>
          <w:ilvl w:val="0"/>
          <w:numId w:val="1275"/>
        </w:numPr>
      </w:pPr>
      <w:r>
        <w:rPr>
          <w:b/>
          <w:bCs/>
        </w:rPr>
        <w:t xml:space="preserve">Overseas taxis, car hire and lounges.</w:t>
      </w:r>
      <w:r>
        <w:t xml:space="preserve"> </w:t>
      </w:r>
      <w:r>
        <w:t xml:space="preserve">Local tax, if any, is foreign</w:t>
      </w:r>
      <w:r>
        <w:t xml:space="preserve"> </w:t>
      </w:r>
      <w:r>
        <w:t xml:space="preserve">(</w:t>
      </w:r>
      <w:hyperlink w:anchor="ref-hmrc_n741a">
        <w:r>
          <w:rPr>
            <w:rStyle w:val="Hyperlink"/>
          </w:rPr>
          <w:t xml:space="preserve">HMRC, 2022d</w:t>
        </w:r>
      </w:hyperlink>
      <w:r>
        <w:t xml:space="preserve">, paras. 7.4 and 8.6;</w:t>
      </w:r>
      <w:r>
        <w:t xml:space="preserve"> </w:t>
      </w:r>
      <w:hyperlink w:anchor="ref-hmrc_n744a">
        <w:r>
          <w:rPr>
            <w:rStyle w:val="Hyperlink"/>
          </w:rPr>
          <w:t xml:space="preserve">HMRC, 2022g, para. 3.3</w:t>
        </w:r>
      </w:hyperlink>
      <w:r>
        <w:t xml:space="preserve">)</w:t>
      </w:r>
      <w:r>
        <w:t xml:space="preserve">.</w:t>
      </w:r>
    </w:p>
    <w:p>
      <w:pPr>
        <w:pStyle w:val="Compact"/>
        <w:numPr>
          <w:ilvl w:val="0"/>
          <w:numId w:val="1275"/>
        </w:numPr>
      </w:pPr>
      <w:r>
        <w:rPr>
          <w:b/>
          <w:bCs/>
        </w:rPr>
        <w:t xml:space="preserve">Anything booked and paid for by the officer personally</w:t>
      </w:r>
      <w:r>
        <w:t xml:space="preserve"> </w:t>
      </w:r>
      <w:r>
        <w:t xml:space="preserve">and reclaimed through expenses, for example a removal firm the officer hires, or a cab hailed in the street</w:t>
      </w:r>
      <w:r>
        <w:t xml:space="preserve"> </w:t>
      </w:r>
      <w:r>
        <w:t xml:space="preserve">(</w:t>
      </w:r>
      <w:hyperlink w:anchor="ref-hmrc_vatgpb">
        <w:r>
          <w:rPr>
            <w:rStyle w:val="Hyperlink"/>
          </w:rPr>
          <w:t xml:space="preserve">HMRC, 2026n</w:t>
        </w:r>
      </w:hyperlink>
      <w:r>
        <w:t xml:space="preserve">, secs. VATGPB10870 and VATGPB10670)</w:t>
      </w:r>
      <w:r>
        <w:t xml:space="preserve">. See also Part 5, Evidence: the VAT invoice.</w:t>
      </w:r>
    </w:p>
    <w:p>
      <w:pPr>
        <w:pStyle w:val="Compact"/>
        <w:numPr>
          <w:ilvl w:val="0"/>
          <w:numId w:val="1275"/>
        </w:numPr>
      </w:pPr>
      <w:r>
        <w:rPr>
          <w:b/>
          <w:bCs/>
        </w:rPr>
        <w:t xml:space="preserve">Allowances and per diems.</w:t>
      </w:r>
      <w:r>
        <w:t xml:space="preserve"> </w:t>
      </w:r>
      <w:r>
        <w:t xml:space="preserve">These are payments to staff, not purchases of services, so there is no VAT involved</w:t>
      </w:r>
      <w:r>
        <w:t xml:space="preserve"> </w:t>
      </w:r>
      <w:r>
        <w:t xml:space="preserve">(</w:t>
      </w:r>
      <w:hyperlink w:anchor="ref-hmrc_n700">
        <w:r>
          <w:rPr>
            <w:rStyle w:val="Hyperlink"/>
          </w:rPr>
          <w:t xml:space="preserve">HMRC, 2026o, para. 12.1.1</w:t>
        </w:r>
      </w:hyperlink>
      <w:r>
        <w:t xml:space="preserve">)</w:t>
      </w:r>
      <w:r>
        <w:t xml:space="preserve">.</w:t>
      </w:r>
    </w:p>
    <w:p>
      <w:pPr>
        <w:pStyle w:val="Compact"/>
        <w:numPr>
          <w:ilvl w:val="0"/>
          <w:numId w:val="1275"/>
        </w:numPr>
      </w:pPr>
      <w:r>
        <w:rPr>
          <w:b/>
          <w:bCs/>
        </w:rPr>
        <w:t xml:space="preserve">Travel insurance.</w:t>
      </w:r>
      <w:r>
        <w:t xml:space="preserve"> </w:t>
      </w:r>
      <w:r>
        <w:t xml:space="preserve">Insurance is exempt, so there is no VAT to refund</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275"/>
        </w:numPr>
      </w:pPr>
      <w:r>
        <w:rPr>
          <w:b/>
          <w:bCs/>
        </w:rPr>
        <w:t xml:space="preserve">Visa fees paid to a foreign government.</w:t>
      </w:r>
      <w:r>
        <w:t xml:space="preserve"> </w:t>
      </w:r>
      <w:r>
        <w:t xml:space="preserve">These are not UK VAT (Value Added Tax Act 1994, s. 1).</w:t>
      </w:r>
    </w:p>
    <w:p>
      <w:pPr>
        <w:pStyle w:val="Compact"/>
        <w:numPr>
          <w:ilvl w:val="1"/>
          <w:numId w:val="1277"/>
        </w:numPr>
      </w:pPr>
      <w:r>
        <w:rPr>
          <w:b/>
          <w:bCs/>
        </w:rPr>
        <w:t xml:space="preserve">Visa-agency handling fees:</w:t>
      </w:r>
      <w:r>
        <w:t xml:space="preserve"> </w:t>
      </w:r>
      <w:r>
        <w:t xml:space="preserve">HMRC’s COS guidance does not mention visas. Whether a UK agency’s VAT-bearing handling fee counts as</w:t>
      </w:r>
      <w:r>
        <w:t xml:space="preserve"> </w:t>
      </w:r>
      <w:r>
        <w:t xml:space="preserve">“</w:t>
      </w:r>
      <w:r>
        <w:t xml:space="preserve">travel arrangements provided by an external booking agency</w:t>
      </w:r>
      <w:r>
        <w:t xml:space="preserve">”</w:t>
      </w:r>
      <w:r>
        <w:t xml:space="preserve"> </w:t>
      </w:r>
      <w:r>
        <w:t xml:space="preserve">under Heading 67 is</w:t>
      </w:r>
      <w:r>
        <w:t xml:space="preserve"> </w:t>
      </w:r>
      <w:r>
        <w:rPr>
          <w:b/>
          <w:bCs/>
        </w:rPr>
        <w:t xml:space="preserve">not confirmed</w:t>
      </w:r>
      <w:r>
        <w:t xml:space="preserve"> </w:t>
      </w:r>
      <w:r>
        <w:t xml:space="preserve">(</w:t>
      </w:r>
      <w:hyperlink w:anchor="ref-hmrc_vatgpb">
        <w:r>
          <w:rPr>
            <w:rStyle w:val="Hyperlink"/>
          </w:rPr>
          <w:t xml:space="preserve">HMRC, 2026n, sec. VATGPB11070</w:t>
        </w:r>
      </w:hyperlink>
      <w:r>
        <w:t xml:space="preserve">)</w:t>
      </w:r>
      <w:r>
        <w:t xml:space="preserve">. Ask HMRC before claiming it routinely.</w:t>
      </w:r>
    </w:p>
    <w:bookmarkEnd w:id="223"/>
    <w:bookmarkStart w:id="224" w:name="international-relocations-postings"/>
    <w:p>
      <w:pPr>
        <w:pStyle w:val="Heading4"/>
      </w:pPr>
      <w:r>
        <w:t xml:space="preserve">International relocations (postings)</w:t>
      </w:r>
    </w:p>
    <w:p>
      <w:pPr>
        <w:pStyle w:val="Compact"/>
        <w:numPr>
          <w:ilvl w:val="0"/>
          <w:numId w:val="1278"/>
        </w:numPr>
      </w:pPr>
      <w:r>
        <w:t xml:space="preserve">Much of an international household removal may carry</w:t>
      </w:r>
      <w:r>
        <w:t xml:space="preserve"> </w:t>
      </w:r>
      <w:r>
        <w:rPr>
          <w:b/>
          <w:bCs/>
        </w:rPr>
        <w:t xml:space="preserve">little UK VAT</w:t>
      </w:r>
      <w:r>
        <w:t xml:space="preserve">. Transport of goods from a place in the UK to a place outside the UK, in the course of export, is zero-rated, as is some related handling and storage (Value Added Tax Act 1994, Sch. 8, Group 8, items 5 and 11). This relief depends on the supplier holding evidence that the service is part of an export journey</w:t>
      </w:r>
      <w:r>
        <w:t xml:space="preserve"> </w:t>
      </w:r>
      <w:r>
        <w:t xml:space="preserve">(</w:t>
      </w:r>
      <w:hyperlink w:anchor="ref-hmrc_vtrans">
        <w:r>
          <w:rPr>
            <w:rStyle w:val="Hyperlink"/>
          </w:rPr>
          <w:t xml:space="preserve">HMRC, 2023d, sec. VTRANS060200</w:t>
        </w:r>
      </w:hyperlink>
      <w:r>
        <w:t xml:space="preserve">)</w:t>
      </w:r>
      <w:r>
        <w:t xml:space="preserve">.</w:t>
      </w:r>
    </w:p>
    <w:p>
      <w:pPr>
        <w:pStyle w:val="Compact"/>
        <w:numPr>
          <w:ilvl w:val="0"/>
          <w:numId w:val="1278"/>
        </w:numPr>
      </w:pPr>
      <w:r>
        <w:t xml:space="preserve">Where the Department commissions the removal company and the company charges UK VAT on some elements (for example packing, or UK storage before the move), that VAT can be claimed under Heading 57, or Heading 63 for storage</w:t>
      </w:r>
      <w:r>
        <w:t xml:space="preserve"> </w:t>
      </w:r>
      <w:r>
        <w:t xml:space="preserve">(</w:t>
      </w:r>
      <w:hyperlink w:anchor="ref-hmrc_vatgpb">
        <w:r>
          <w:rPr>
            <w:rStyle w:val="Hyperlink"/>
          </w:rPr>
          <w:t xml:space="preserve">HMRC, 2026n</w:t>
        </w:r>
      </w:hyperlink>
      <w:r>
        <w:t xml:space="preserve">, secs. VATGPB10870 and VATGPB10990)</w:t>
      </w:r>
      <w:r>
        <w:t xml:space="preserve">.</w:t>
      </w:r>
    </w:p>
    <w:p>
      <w:pPr>
        <w:pStyle w:val="Compact"/>
        <w:numPr>
          <w:ilvl w:val="0"/>
          <w:numId w:val="1278"/>
        </w:numPr>
      </w:pPr>
      <w:r>
        <w:t xml:space="preserve">HMRC does not say how to split an international removal between zero-rated and standard-rated elements. That is for the supplier to decide on its invoice.</w:t>
      </w:r>
    </w:p>
    <w:bookmarkEnd w:id="224"/>
    <w:bookmarkStart w:id="225" w:name="Xe722601e49d9eccd4c7c133aebd94f318ceae7f"/>
    <w:p>
      <w:pPr>
        <w:pStyle w:val="Heading4"/>
      </w:pPr>
      <w:r>
        <w:t xml:space="preserve">Worked example: three officials to a two-day meeting in Nairobi, plus a European conference</w:t>
      </w:r>
    </w:p>
    <w:p>
      <w:pPr>
        <w:pStyle w:val="FirstParagraph"/>
      </w:pPr>
      <w:r>
        <w:t xml:space="preserve">The table lists each cost of the trip, its VAT and whether COS can refund that VAT. The rules applied are those set out above.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645"/>
        <w:gridCol w:w="1500"/>
        <w:gridCol w:w="1500"/>
        <w:gridCol w:w="2378"/>
      </w:tblGrid>
      <w:tr>
        <w:trPr>
          <w:tblHeader w:val="true"/>
          <w:cantSplit w:val="true"/>
        </w:trPr>
        <w:tc>
          <w:tcPr>
            <w:tcW w:w="3645" w:type="dxa"/>
            <w:shd w:val="clear" w:color="auto" w:fill="1B3A5C"/>
          </w:tcPr>
          <w:p>
            <w:pPr>
              <w:pStyle w:val="Compact"/>
              <w:spacing w:after="40" w:before="40"/>
              <w:jc w:val="left"/>
            </w:pPr>
            <w:r>
              <w:rPr>
                <w:rFonts w:ascii="Tahoma" w:hAnsi="Tahoma"/>
                <w:b/>
                <w:color w:val="FFFFFF"/>
                <w:sz w:val="22"/>
              </w:rPr>
              <w:t xml:space="preserve">Item</w:t>
            </w:r>
          </w:p>
        </w:tc>
        <w:tc>
          <w:tcPr>
            <w:tcW w:w="1500" w:type="dxa"/>
            <w:shd w:val="clear" w:color="auto" w:fill="1B3A5C"/>
          </w:tcPr>
          <w:p>
            <w:pPr>
              <w:pStyle w:val="Compact"/>
              <w:spacing w:after="40" w:before="40"/>
              <w:jc w:val="left"/>
            </w:pPr>
            <w:r>
              <w:rPr>
                <w:rFonts w:ascii="Tahoma" w:hAnsi="Tahoma"/>
                <w:b/>
                <w:color w:val="FFFFFF"/>
                <w:sz w:val="22"/>
              </w:rPr>
              <w:t xml:space="preserve">Net</w:t>
            </w:r>
          </w:p>
        </w:tc>
        <w:tc>
          <w:tcPr>
            <w:tcW w:w="1500" w:type="dxa"/>
            <w:shd w:val="clear" w:color="auto" w:fill="1B3A5C"/>
          </w:tcPr>
          <w:p>
            <w:pPr>
              <w:pStyle w:val="Compact"/>
              <w:spacing w:after="40" w:before="40"/>
              <w:jc w:val="left"/>
            </w:pPr>
            <w:r>
              <w:rPr>
                <w:rFonts w:ascii="Tahoma" w:hAnsi="Tahoma"/>
                <w:b/>
                <w:color w:val="FFFFFF"/>
                <w:sz w:val="22"/>
              </w:rPr>
              <w:t xml:space="preserve">VAT</w:t>
            </w:r>
          </w:p>
        </w:tc>
        <w:tc>
          <w:tcPr>
            <w:tcW w:w="2378" w:type="dxa"/>
            <w:shd w:val="clear" w:color="auto" w:fill="1B3A5C"/>
          </w:tcPr>
          <w:p>
            <w:pPr>
              <w:pStyle w:val="Compact"/>
              <w:spacing w:after="40" w:before="40"/>
              <w:jc w:val="left"/>
            </w:pPr>
            <w:r>
              <w:rPr>
                <w:rFonts w:ascii="Tahoma" w:hAnsi="Tahoma"/>
                <w:b/>
                <w:color w:val="FFFFFF"/>
                <w:sz w:val="22"/>
              </w:rPr>
              <w:t xml:space="preserve">COS?</w:t>
            </w:r>
          </w:p>
        </w:tc>
      </w:tr>
      <w:tr>
        <w:trPr>
          <w:cantSplit w:val="true"/>
        </w:trPr>
        <w:tc>
          <w:tcPr>
            <w:tcW w:w="3645" w:type="dxa"/>
            <w:shd w:val="clear" w:color="auto" w:fill="EAF3FA"/>
          </w:tcPr>
          <w:p>
            <w:pPr>
              <w:pStyle w:val="Compact"/>
              <w:spacing w:after="40" w:before="40"/>
              <w:jc w:val="left"/>
            </w:pPr>
            <w:r>
              <w:rPr>
                <w:rFonts w:ascii="Tahoma" w:hAnsi="Tahoma"/>
                <w:sz w:val="22"/>
              </w:rPr>
              <w:t xml:space="preserve">Return flights London–Nairobi (via the Department’s travel management company)</w:t>
            </w:r>
          </w:p>
        </w:tc>
        <w:tc>
          <w:tcPr>
            <w:tcW w:w="1500" w:type="dxa"/>
            <w:shd w:val="clear" w:color="auto" w:fill="EAF3FA"/>
          </w:tcPr>
          <w:p>
            <w:pPr>
              <w:pStyle w:val="Compact"/>
              <w:spacing w:after="40" w:before="40"/>
              <w:jc w:val="left"/>
            </w:pPr>
            <w:r>
              <w:rPr>
                <w:rFonts w:ascii="Tahoma" w:hAnsi="Tahoma"/>
                <w:sz w:val="22"/>
              </w:rPr>
              <w:t xml:space="preserve">£3,600</w:t>
            </w:r>
          </w:p>
        </w:tc>
        <w:tc>
          <w:tcPr>
            <w:tcW w:w="1500" w:type="dxa"/>
            <w:shd w:val="clear" w:color="auto" w:fill="EAF3FA"/>
          </w:tcPr>
          <w:p>
            <w:pPr>
              <w:pStyle w:val="Compact"/>
              <w:spacing w:after="40" w:before="40"/>
              <w:jc w:val="left"/>
            </w:pPr>
            <w:r>
              <w:rPr>
                <w:rFonts w:ascii="Tahoma" w:hAnsi="Tahoma"/>
                <w:sz w:val="22"/>
              </w:rPr>
              <w:t xml:space="preserve">£0 (zero-rated)</w:t>
            </w:r>
          </w:p>
        </w:tc>
        <w:tc>
          <w:tcPr>
            <w:tcW w:w="2378" w:type="dxa"/>
            <w:shd w:val="clear" w:color="auto" w:fill="EAF3FA"/>
          </w:tcPr>
          <w:p>
            <w:pPr>
              <w:pStyle w:val="Compact"/>
              <w:spacing w:after="40" w:before="40"/>
              <w:jc w:val="left"/>
            </w:pPr>
            <w:r>
              <w:rPr>
                <w:rFonts w:ascii="Tahoma" w:hAnsi="Tahoma"/>
                <w:sz w:val="22"/>
              </w:rPr>
              <w:t xml:space="preserve">No VAT to claim</w:t>
            </w:r>
          </w:p>
        </w:tc>
      </w:tr>
      <w:tr>
        <w:trPr>
          <w:cantSplit w:val="true"/>
        </w:trPr>
        <w:tc>
          <w:tcPr>
            <w:tcW w:w="3645" w:type="dxa"/>
            <w:shd w:val="clear" w:color="auto" w:fill="FFFFFF"/>
          </w:tcPr>
          <w:p>
            <w:pPr>
              <w:pStyle w:val="Compact"/>
              <w:spacing w:after="40" w:before="40"/>
              <w:jc w:val="left"/>
            </w:pPr>
            <w:r>
              <w:rPr>
                <w:rFonts w:ascii="Tahoma" w:hAnsi="Tahoma"/>
                <w:sz w:val="22"/>
              </w:rPr>
              <w:t xml:space="preserve">Travel management company monthly account fee (share for this trip)</w:t>
            </w:r>
          </w:p>
        </w:tc>
        <w:tc>
          <w:tcPr>
            <w:tcW w:w="1500" w:type="dxa"/>
            <w:shd w:val="clear" w:color="auto" w:fill="FFFFFF"/>
          </w:tcPr>
          <w:p>
            <w:pPr>
              <w:pStyle w:val="Compact"/>
              <w:spacing w:after="40" w:before="40"/>
              <w:jc w:val="left"/>
            </w:pPr>
            <w:r>
              <w:rPr>
                <w:rFonts w:ascii="Tahoma" w:hAnsi="Tahoma"/>
                <w:sz w:val="22"/>
              </w:rPr>
              <w:t xml:space="preserve">£500</w:t>
            </w:r>
          </w:p>
        </w:tc>
        <w:tc>
          <w:tcPr>
            <w:tcW w:w="1500" w:type="dxa"/>
            <w:shd w:val="clear" w:color="auto" w:fill="FFFFFF"/>
          </w:tcPr>
          <w:p>
            <w:pPr>
              <w:pStyle w:val="Compact"/>
              <w:spacing w:after="40" w:before="40"/>
              <w:jc w:val="left"/>
            </w:pPr>
            <w:r>
              <w:rPr>
                <w:rFonts w:ascii="Tahoma" w:hAnsi="Tahoma"/>
                <w:sz w:val="22"/>
              </w:rPr>
              <w:t xml:space="preserve">£100</w:t>
            </w:r>
          </w:p>
        </w:tc>
        <w:tc>
          <w:tcPr>
            <w:tcW w:w="2378" w:type="dxa"/>
            <w:shd w:val="clear" w:color="auto" w:fill="FFFFFF"/>
          </w:tcPr>
          <w:p>
            <w:pPr>
              <w:pStyle w:val="Compact"/>
              <w:spacing w:after="40" w:before="40"/>
              <w:jc w:val="left"/>
            </w:pPr>
            <w:r>
              <w:rPr>
                <w:rFonts w:ascii="Tahoma" w:hAnsi="Tahoma"/>
                <w:b/>
                <w:bCs/>
                <w:sz w:val="22"/>
              </w:rPr>
              <w:t xml:space="preserve">Yes: Heading 67, £100</w:t>
            </w:r>
          </w:p>
        </w:tc>
      </w:tr>
      <w:tr>
        <w:trPr>
          <w:cantSplit w:val="true"/>
        </w:trPr>
        <w:tc>
          <w:tcPr>
            <w:tcW w:w="3645" w:type="dxa"/>
            <w:shd w:val="clear" w:color="auto" w:fill="FBEAF1"/>
          </w:tcPr>
          <w:p>
            <w:pPr>
              <w:pStyle w:val="Compact"/>
              <w:spacing w:after="40" w:before="40"/>
              <w:jc w:val="left"/>
            </w:pPr>
            <w:r>
              <w:rPr>
                <w:rFonts w:ascii="Tahoma" w:hAnsi="Tahoma"/>
                <w:sz w:val="22"/>
              </w:rPr>
              <w:t xml:space="preserve">Taxi to Heathrow from the Department’s contracted car firm, invoiced to the Department</w:t>
            </w:r>
          </w:p>
        </w:tc>
        <w:tc>
          <w:tcPr>
            <w:tcW w:w="1500" w:type="dxa"/>
            <w:shd w:val="clear" w:color="auto" w:fill="FBEAF1"/>
          </w:tcPr>
          <w:p>
            <w:pPr>
              <w:pStyle w:val="Compact"/>
              <w:spacing w:after="40" w:before="40"/>
              <w:jc w:val="left"/>
            </w:pPr>
            <w:r>
              <w:rPr>
                <w:rFonts w:ascii="Tahoma" w:hAnsi="Tahoma"/>
                <w:sz w:val="22"/>
              </w:rPr>
              <w:t xml:space="preserve">£80</w:t>
            </w:r>
          </w:p>
        </w:tc>
        <w:tc>
          <w:tcPr>
            <w:tcW w:w="1500" w:type="dxa"/>
            <w:shd w:val="clear" w:color="auto" w:fill="FBEAF1"/>
          </w:tcPr>
          <w:p>
            <w:pPr>
              <w:pStyle w:val="Compact"/>
              <w:spacing w:after="40" w:before="40"/>
              <w:jc w:val="left"/>
            </w:pPr>
            <w:r>
              <w:rPr>
                <w:rFonts w:ascii="Tahoma" w:hAnsi="Tahoma"/>
                <w:sz w:val="22"/>
              </w:rPr>
              <w:t xml:space="preserve">£16</w:t>
            </w:r>
          </w:p>
        </w:tc>
        <w:tc>
          <w:tcPr>
            <w:tcW w:w="2378" w:type="dxa"/>
            <w:shd w:val="clear" w:color="auto" w:fill="FBEAF1"/>
          </w:tcPr>
          <w:p>
            <w:pPr>
              <w:pStyle w:val="Compact"/>
              <w:spacing w:after="40" w:before="40"/>
              <w:jc w:val="left"/>
            </w:pPr>
            <w:r>
              <w:rPr>
                <w:rFonts w:ascii="Tahoma" w:hAnsi="Tahoma"/>
                <w:b/>
                <w:bCs/>
                <w:sz w:val="22"/>
              </w:rPr>
              <w:t xml:space="preserve">Yes: Heading 47, £16</w:t>
            </w:r>
          </w:p>
        </w:tc>
      </w:tr>
      <w:tr>
        <w:trPr>
          <w:cantSplit w:val="true"/>
        </w:trPr>
        <w:tc>
          <w:tcPr>
            <w:tcW w:w="3645" w:type="dxa"/>
            <w:shd w:val="clear" w:color="auto" w:fill="EAF3FA"/>
          </w:tcPr>
          <w:p>
            <w:pPr>
              <w:pStyle w:val="Compact"/>
              <w:spacing w:after="40" w:before="40"/>
              <w:jc w:val="left"/>
            </w:pPr>
            <w:r>
              <w:rPr>
                <w:rFonts w:ascii="Tahoma" w:hAnsi="Tahoma"/>
                <w:sz w:val="22"/>
              </w:rPr>
              <w:t xml:space="preserve">Heathrow lounge access, booked and invoiced to the Department</w:t>
            </w:r>
          </w:p>
        </w:tc>
        <w:tc>
          <w:tcPr>
            <w:tcW w:w="1500" w:type="dxa"/>
            <w:shd w:val="clear" w:color="auto" w:fill="EAF3FA"/>
          </w:tcPr>
          <w:p>
            <w:pPr>
              <w:pStyle w:val="Compact"/>
              <w:spacing w:after="40" w:before="40"/>
              <w:jc w:val="left"/>
            </w:pPr>
            <w:r>
              <w:rPr>
                <w:rFonts w:ascii="Tahoma" w:hAnsi="Tahoma"/>
                <w:sz w:val="22"/>
              </w:rPr>
              <w:t xml:space="preserve">£60</w:t>
            </w:r>
          </w:p>
        </w:tc>
        <w:tc>
          <w:tcPr>
            <w:tcW w:w="1500" w:type="dxa"/>
            <w:shd w:val="clear" w:color="auto" w:fill="EAF3FA"/>
          </w:tcPr>
          <w:p>
            <w:pPr>
              <w:pStyle w:val="Compact"/>
              <w:spacing w:after="40" w:before="40"/>
              <w:jc w:val="left"/>
            </w:pPr>
            <w:r>
              <w:rPr>
                <w:rFonts w:ascii="Tahoma" w:hAnsi="Tahoma"/>
                <w:sz w:val="22"/>
              </w:rPr>
              <w:t xml:space="preserve">£12</w:t>
            </w:r>
          </w:p>
        </w:tc>
        <w:tc>
          <w:tcPr>
            <w:tcW w:w="2378" w:type="dxa"/>
            <w:shd w:val="clear" w:color="auto" w:fill="EAF3FA"/>
          </w:tcPr>
          <w:p>
            <w:pPr>
              <w:pStyle w:val="Compact"/>
              <w:spacing w:after="40" w:before="40"/>
              <w:jc w:val="left"/>
            </w:pPr>
            <w:r>
              <w:rPr>
                <w:rFonts w:ascii="Tahoma" w:hAnsi="Tahoma"/>
                <w:b/>
                <w:bCs/>
                <w:sz w:val="22"/>
              </w:rPr>
              <w:t xml:space="preserve">Yes: Heading 67, £12</w:t>
            </w:r>
          </w:p>
        </w:tc>
      </w:tr>
      <w:tr>
        <w:trPr>
          <w:cantSplit w:val="true"/>
        </w:trPr>
        <w:tc>
          <w:tcPr>
            <w:tcW w:w="3645" w:type="dxa"/>
            <w:shd w:val="clear" w:color="auto" w:fill="FFFFFF"/>
          </w:tcPr>
          <w:p>
            <w:pPr>
              <w:pStyle w:val="Compact"/>
              <w:spacing w:after="40" w:before="40"/>
              <w:jc w:val="left"/>
            </w:pPr>
            <w:r>
              <w:rPr>
                <w:rFonts w:ascii="Tahoma" w:hAnsi="Tahoma"/>
                <w:sz w:val="22"/>
              </w:rPr>
              <w:t xml:space="preserve">UK airport hotel the night before</w:t>
            </w:r>
          </w:p>
        </w:tc>
        <w:tc>
          <w:tcPr>
            <w:tcW w:w="1500" w:type="dxa"/>
            <w:shd w:val="clear" w:color="auto" w:fill="FFFFFF"/>
          </w:tcPr>
          <w:p>
            <w:pPr>
              <w:pStyle w:val="Compact"/>
              <w:spacing w:after="40" w:before="40"/>
              <w:jc w:val="left"/>
            </w:pPr>
            <w:r>
              <w:rPr>
                <w:rFonts w:ascii="Tahoma" w:hAnsi="Tahoma"/>
                <w:sz w:val="22"/>
              </w:rPr>
              <w:t xml:space="preserve">£150</w:t>
            </w:r>
          </w:p>
        </w:tc>
        <w:tc>
          <w:tcPr>
            <w:tcW w:w="1500" w:type="dxa"/>
            <w:shd w:val="clear" w:color="auto" w:fill="FFFFFF"/>
          </w:tcPr>
          <w:p>
            <w:pPr>
              <w:pStyle w:val="Compact"/>
              <w:spacing w:after="40" w:before="40"/>
              <w:jc w:val="left"/>
            </w:pPr>
            <w:r>
              <w:rPr>
                <w:rFonts w:ascii="Tahoma" w:hAnsi="Tahoma"/>
                <w:sz w:val="22"/>
              </w:rPr>
              <w:t xml:space="preserve">£30</w:t>
            </w:r>
          </w:p>
        </w:tc>
        <w:tc>
          <w:tcPr>
            <w:tcW w:w="2378" w:type="dxa"/>
            <w:shd w:val="clear" w:color="auto" w:fill="FFFFFF"/>
          </w:tcPr>
          <w:p>
            <w:pPr>
              <w:pStyle w:val="Compact"/>
              <w:spacing w:after="40" w:before="40"/>
              <w:jc w:val="left"/>
            </w:pPr>
            <w:r>
              <w:rPr>
                <w:rFonts w:ascii="Tahoma" w:hAnsi="Tahoma"/>
                <w:b/>
                <w:bCs/>
                <w:sz w:val="22"/>
              </w:rPr>
              <w:t xml:space="preserve">No.</w:t>
            </w:r>
            <w:r>
              <w:rPr>
                <w:rFonts w:ascii="Tahoma" w:hAnsi="Tahoma"/>
                <w:sz w:val="22"/>
              </w:rPr>
              <w:t xml:space="preserve"> </w:t>
            </w:r>
            <w:r>
              <w:rPr>
                <w:rFonts w:ascii="Tahoma" w:hAnsi="Tahoma"/>
                <w:sz w:val="22"/>
              </w:rPr>
              <w:t xml:space="preserve">Hotel accommodation is excluded</w:t>
            </w:r>
          </w:p>
        </w:tc>
      </w:tr>
      <w:tr>
        <w:trPr>
          <w:cantSplit w:val="true"/>
        </w:trPr>
        <w:tc>
          <w:tcPr>
            <w:tcW w:w="3645" w:type="dxa"/>
            <w:shd w:val="clear" w:color="auto" w:fill="FBEAF1"/>
          </w:tcPr>
          <w:p>
            <w:pPr>
              <w:pStyle w:val="Compact"/>
              <w:spacing w:after="40" w:before="40"/>
              <w:jc w:val="left"/>
            </w:pPr>
            <w:r>
              <w:rPr>
                <w:rFonts w:ascii="Tahoma" w:hAnsi="Tahoma"/>
                <w:sz w:val="22"/>
              </w:rPr>
              <w:t xml:space="preserve">Nairobi hotel (local taxes)</w:t>
            </w:r>
          </w:p>
        </w:tc>
        <w:tc>
          <w:tcPr>
            <w:tcW w:w="1500" w:type="dxa"/>
            <w:shd w:val="clear" w:color="auto" w:fill="FBEAF1"/>
          </w:tcPr>
          <w:p>
            <w:pPr>
              <w:pStyle w:val="Compact"/>
              <w:spacing w:after="40" w:before="40"/>
              <w:jc w:val="left"/>
            </w:pPr>
            <w:r>
              <w:rPr>
                <w:rFonts w:ascii="Tahoma" w:hAnsi="Tahoma"/>
                <w:sz w:val="22"/>
              </w:rPr>
              <w:t xml:space="preserve">–</w:t>
            </w:r>
          </w:p>
        </w:tc>
        <w:tc>
          <w:tcPr>
            <w:tcW w:w="1500" w:type="dxa"/>
            <w:shd w:val="clear" w:color="auto" w:fill="FBEAF1"/>
          </w:tcPr>
          <w:p>
            <w:pPr>
              <w:pStyle w:val="Compact"/>
              <w:spacing w:after="40" w:before="40"/>
              <w:jc w:val="left"/>
            </w:pPr>
            <w:r>
              <w:rPr>
                <w:rFonts w:ascii="Tahoma" w:hAnsi="Tahoma"/>
                <w:sz w:val="22"/>
              </w:rPr>
              <w:t xml:space="preserve">local tax</w:t>
            </w:r>
          </w:p>
        </w:tc>
        <w:tc>
          <w:tcPr>
            <w:tcW w:w="2378" w:type="dxa"/>
            <w:shd w:val="clear" w:color="auto" w:fill="FBEAF1"/>
          </w:tcPr>
          <w:p>
            <w:pPr>
              <w:pStyle w:val="Compact"/>
              <w:spacing w:after="40" w:before="40"/>
              <w:jc w:val="left"/>
            </w:pPr>
            <w:r>
              <w:rPr>
                <w:rFonts w:ascii="Tahoma" w:hAnsi="Tahoma"/>
                <w:b/>
                <w:bCs/>
                <w:sz w:val="22"/>
              </w:rPr>
              <w:t xml:space="preserve">No.</w:t>
            </w:r>
            <w:r>
              <w:rPr>
                <w:rFonts w:ascii="Tahoma" w:hAnsi="Tahoma"/>
                <w:sz w:val="22"/>
              </w:rPr>
              <w:t xml:space="preserve"> </w:t>
            </w:r>
            <w:r>
              <w:rPr>
                <w:rFonts w:ascii="Tahoma" w:hAnsi="Tahoma"/>
                <w:sz w:val="22"/>
              </w:rPr>
              <w:t xml:space="preserve">Foreign tax</w:t>
            </w:r>
          </w:p>
        </w:tc>
      </w:tr>
      <w:tr>
        <w:trPr>
          <w:cantSplit w:val="true"/>
        </w:trPr>
        <w:tc>
          <w:tcPr>
            <w:tcW w:w="3645" w:type="dxa"/>
            <w:shd w:val="clear" w:color="auto" w:fill="EAF3FA"/>
          </w:tcPr>
          <w:p>
            <w:pPr>
              <w:pStyle w:val="Compact"/>
              <w:spacing w:after="40" w:before="40"/>
              <w:jc w:val="left"/>
            </w:pPr>
            <w:r>
              <w:rPr>
                <w:rFonts w:ascii="Tahoma" w:hAnsi="Tahoma"/>
                <w:sz w:val="22"/>
              </w:rPr>
              <w:t xml:space="preserve">Local interpreter in Nairobi, no UK establishment, invoiced to the Department</w:t>
            </w:r>
          </w:p>
        </w:tc>
        <w:tc>
          <w:tcPr>
            <w:tcW w:w="1500" w:type="dxa"/>
            <w:shd w:val="clear" w:color="auto" w:fill="EAF3FA"/>
          </w:tcPr>
          <w:p>
            <w:pPr>
              <w:pStyle w:val="Compact"/>
              <w:spacing w:after="40" w:before="40"/>
              <w:jc w:val="left"/>
            </w:pPr>
            <w:r>
              <w:rPr>
                <w:rFonts w:ascii="Tahoma" w:hAnsi="Tahoma"/>
                <w:sz w:val="22"/>
              </w:rPr>
              <w:t xml:space="preserve">£1,000</w:t>
            </w:r>
          </w:p>
        </w:tc>
        <w:tc>
          <w:tcPr>
            <w:tcW w:w="1500" w:type="dxa"/>
            <w:shd w:val="clear" w:color="auto" w:fill="EAF3FA"/>
          </w:tcPr>
          <w:p>
            <w:pPr>
              <w:pStyle w:val="Compact"/>
              <w:spacing w:after="40" w:before="40"/>
              <w:jc w:val="left"/>
            </w:pPr>
            <w:r>
              <w:rPr>
                <w:rFonts w:ascii="Tahoma" w:hAnsi="Tahoma"/>
                <w:sz w:val="22"/>
              </w:rPr>
              <w:t xml:space="preserve">£200 reverse charge</w:t>
            </w:r>
          </w:p>
        </w:tc>
        <w:tc>
          <w:tcPr>
            <w:tcW w:w="2378" w:type="dxa"/>
            <w:shd w:val="clear" w:color="auto" w:fill="EAF3FA"/>
          </w:tcPr>
          <w:p>
            <w:pPr>
              <w:pStyle w:val="Compact"/>
              <w:spacing w:after="40" w:before="40"/>
              <w:jc w:val="left"/>
            </w:pPr>
            <w:r>
              <w:rPr>
                <w:rFonts w:ascii="Tahoma" w:hAnsi="Tahoma"/>
                <w:b/>
                <w:bCs/>
                <w:sz w:val="22"/>
              </w:rPr>
              <w:t xml:space="preserve">Yes: Heading 28, £200</w:t>
            </w:r>
            <w:r>
              <w:rPr>
                <w:rFonts w:ascii="Tahoma" w:hAnsi="Tahoma"/>
                <w:sz w:val="22"/>
              </w:rPr>
              <w:t xml:space="preserve"> </w:t>
            </w:r>
            <w:r>
              <w:rPr>
                <w:rFonts w:ascii="Tahoma" w:hAnsi="Tahoma"/>
                <w:sz w:val="22"/>
              </w:rPr>
              <w:t xml:space="preserve">(net nil)</w:t>
            </w:r>
          </w:p>
        </w:tc>
      </w:tr>
      <w:tr>
        <w:trPr>
          <w:cantSplit w:val="true"/>
        </w:trPr>
        <w:tc>
          <w:tcPr>
            <w:tcW w:w="3645" w:type="dxa"/>
            <w:shd w:val="clear" w:color="auto" w:fill="FFFFFF"/>
          </w:tcPr>
          <w:p>
            <w:pPr>
              <w:pStyle w:val="Compact"/>
              <w:spacing w:after="40" w:before="40"/>
              <w:jc w:val="left"/>
            </w:pPr>
            <w:r>
              <w:rPr>
                <w:rFonts w:ascii="Tahoma" w:hAnsi="Tahoma"/>
                <w:sz w:val="22"/>
              </w:rPr>
              <w:t xml:space="preserve">Visa-agency handling fee</w:t>
            </w:r>
          </w:p>
        </w:tc>
        <w:tc>
          <w:tcPr>
            <w:tcW w:w="1500" w:type="dxa"/>
            <w:shd w:val="clear" w:color="auto" w:fill="FFFFFF"/>
          </w:tcPr>
          <w:p>
            <w:pPr>
              <w:pStyle w:val="Compact"/>
              <w:spacing w:after="40" w:before="40"/>
              <w:jc w:val="left"/>
            </w:pPr>
            <w:r>
              <w:rPr>
                <w:rFonts w:ascii="Tahoma" w:hAnsi="Tahoma"/>
                <w:sz w:val="22"/>
              </w:rPr>
              <w:t xml:space="preserve">£50</w:t>
            </w:r>
          </w:p>
        </w:tc>
        <w:tc>
          <w:tcPr>
            <w:tcW w:w="1500" w:type="dxa"/>
            <w:shd w:val="clear" w:color="auto" w:fill="FFFFFF"/>
          </w:tcPr>
          <w:p>
            <w:pPr>
              <w:pStyle w:val="Compact"/>
              <w:spacing w:after="40" w:before="40"/>
              <w:jc w:val="left"/>
            </w:pPr>
            <w:r>
              <w:rPr>
                <w:rFonts w:ascii="Tahoma" w:hAnsi="Tahoma"/>
                <w:sz w:val="22"/>
              </w:rPr>
              <w:t xml:space="preserve">£10</w:t>
            </w:r>
          </w:p>
        </w:tc>
        <w:tc>
          <w:tcPr>
            <w:tcW w:w="2378" w:type="dxa"/>
            <w:shd w:val="clear" w:color="auto" w:fill="FFFFFF"/>
          </w:tcPr>
          <w:p>
            <w:pPr>
              <w:pStyle w:val="Compact"/>
              <w:spacing w:after="40" w:before="40"/>
              <w:jc w:val="left"/>
            </w:pPr>
            <w:r>
              <w:rPr>
                <w:rFonts w:ascii="Tahoma" w:hAnsi="Tahoma"/>
                <w:b/>
                <w:bCs/>
                <w:sz w:val="22"/>
              </w:rPr>
              <w:t xml:space="preserve">Unconfirmed.</w:t>
            </w:r>
            <w:r>
              <w:rPr>
                <w:rFonts w:ascii="Tahoma" w:hAnsi="Tahoma"/>
                <w:sz w:val="22"/>
              </w:rPr>
              <w:t xml:space="preserve"> </w:t>
            </w:r>
            <w:r>
              <w:rPr>
                <w:rFonts w:ascii="Tahoma" w:hAnsi="Tahoma"/>
                <w:sz w:val="22"/>
              </w:rPr>
              <w:t xml:space="preserve">HMRC is silent; check before claiming</w:t>
            </w:r>
          </w:p>
        </w:tc>
      </w:tr>
      <w:tr>
        <w:trPr>
          <w:cantSplit w:val="true"/>
        </w:trPr>
        <w:tc>
          <w:tcPr>
            <w:tcW w:w="3645" w:type="dxa"/>
            <w:shd w:val="clear" w:color="auto" w:fill="FBEAF1"/>
          </w:tcPr>
          <w:p>
            <w:pPr>
              <w:pStyle w:val="Compact"/>
              <w:spacing w:after="40" w:before="40"/>
              <w:jc w:val="left"/>
            </w:pPr>
            <w:r>
              <w:rPr>
                <w:rFonts w:ascii="Tahoma" w:hAnsi="Tahoma"/>
                <w:sz w:val="22"/>
              </w:rPr>
              <w:t xml:space="preserve">Brussels conference delegate fee: €1,200 + Belgian VAT €252 (illustrative)</w:t>
            </w:r>
          </w:p>
        </w:tc>
        <w:tc>
          <w:tcPr>
            <w:tcW w:w="1500" w:type="dxa"/>
            <w:shd w:val="clear" w:color="auto" w:fill="FBEAF1"/>
          </w:tcPr>
          <w:p>
            <w:pPr>
              <w:pStyle w:val="Compact"/>
              <w:spacing w:after="40" w:before="40"/>
              <w:jc w:val="left"/>
            </w:pPr>
            <w:r>
              <w:rPr>
                <w:rFonts w:ascii="Tahoma" w:hAnsi="Tahoma"/>
                <w:sz w:val="22"/>
              </w:rPr>
              <w:t xml:space="preserve">€1,200</w:t>
            </w:r>
          </w:p>
        </w:tc>
        <w:tc>
          <w:tcPr>
            <w:tcW w:w="1500" w:type="dxa"/>
            <w:shd w:val="clear" w:color="auto" w:fill="FBEAF1"/>
          </w:tcPr>
          <w:p>
            <w:pPr>
              <w:pStyle w:val="Compact"/>
              <w:spacing w:after="40" w:before="40"/>
              <w:jc w:val="left"/>
            </w:pPr>
            <w:r>
              <w:rPr>
                <w:rFonts w:ascii="Tahoma" w:hAnsi="Tahoma"/>
                <w:sz w:val="22"/>
              </w:rPr>
              <w:t xml:space="preserve">€252</w:t>
            </w:r>
          </w:p>
        </w:tc>
        <w:tc>
          <w:tcPr>
            <w:tcW w:w="2378" w:type="dxa"/>
            <w:shd w:val="clear" w:color="auto" w:fill="FBEAF1"/>
          </w:tcPr>
          <w:p>
            <w:pPr>
              <w:pStyle w:val="Compact"/>
              <w:spacing w:after="40" w:before="40"/>
              <w:jc w:val="left"/>
            </w:pPr>
            <w:r>
              <w:rPr>
                <w:rFonts w:ascii="Tahoma" w:hAnsi="Tahoma"/>
                <w:b/>
                <w:bCs/>
                <w:sz w:val="22"/>
              </w:rPr>
              <w:t xml:space="preserve">No.</w:t>
            </w:r>
            <w:r>
              <w:rPr>
                <w:rFonts w:ascii="Tahoma" w:hAnsi="Tahoma"/>
                <w:sz w:val="22"/>
              </w:rPr>
              <w:t xml:space="preserve"> </w:t>
            </w:r>
            <w:r>
              <w:rPr>
                <w:rFonts w:ascii="Tahoma" w:hAnsi="Tahoma"/>
                <w:sz w:val="22"/>
              </w:rPr>
              <w:t xml:space="preserve">Foreign VAT</w:t>
            </w:r>
          </w:p>
        </w:tc>
      </w:tr>
    </w:tbl>
    <w:p>
      <w:pPr>
        <w:pStyle w:val="BodyText"/>
        <w:spacing w:before="200"/>
      </w:pPr>
      <w:r>
        <w:rPr>
          <w:b/>
          <w:bCs/>
        </w:rPr>
        <w:t xml:space="preserve">COS refund: £100 + £16 + £12 + £200 = £328.</w:t>
      </w:r>
      <w:r>
        <w:t xml:space="preserve"> </w:t>
      </w:r>
      <w:r>
        <w:t xml:space="preserve">£200 of this simply cancels the reverse-charge output tax on the interpreter. Every other VAT figure in the table is nil or a cost, except the visa-agency fee, which is unconfirmed.</w:t>
      </w:r>
    </w:p>
    <w:bookmarkEnd w:id="225"/>
    <w:bookmarkEnd w:id="226"/>
    <w:bookmarkStart w:id="233" w:name="Xd95dad182a8637c73ac8f1c9b2a7d1ad0b08950"/>
    <w:p>
      <w:pPr>
        <w:pStyle w:val="Heading3"/>
      </w:pPr>
      <w:r>
        <w:t xml:space="preserve">3. Selling items abroad</w:t>
      </w:r>
    </w:p>
    <w:bookmarkStart w:id="227" w:name="the-vat-position-in-plain-english-2"/>
    <w:p>
      <w:pPr>
        <w:pStyle w:val="Heading4"/>
      </w:pPr>
      <w:r>
        <w:t xml:space="preserve">The VAT position in plain English</w:t>
      </w:r>
    </w:p>
    <w:p>
      <w:pPr>
        <w:pStyle w:val="FirstParagraph"/>
      </w:pPr>
      <w:r>
        <w:rPr>
          <w:b/>
          <w:bCs/>
        </w:rPr>
        <w:t xml:space="preserve">Selling is a business activity.</w:t>
      </w:r>
      <w:r>
        <w:t xml:space="preserve"> </w:t>
      </w:r>
      <w:r>
        <w:t xml:space="preserve">That means</w:t>
      </w:r>
      <w:r>
        <w:t xml:space="preserve"> </w:t>
      </w:r>
      <w:r>
        <w:rPr>
          <w:b/>
          <w:bCs/>
        </w:rPr>
        <w:t xml:space="preserve">COS does not apply</w:t>
      </w:r>
      <w:r>
        <w:t xml:space="preserve"> </w:t>
      </w:r>
      <w:r>
        <w:t xml:space="preserve">to the costs of selling</w:t>
      </w:r>
      <w:r>
        <w:t xml:space="preserve"> </w:t>
      </w:r>
      <w:r>
        <w:t xml:space="preserve">(</w:t>
      </w:r>
      <w:hyperlink w:anchor="ref-hmrc_gdpef">
        <w:r>
          <w:rPr>
            <w:rStyle w:val="Hyperlink"/>
          </w:rPr>
          <w:t xml:space="preserve">HMRC, 2023c</w:t>
        </w:r>
      </w:hyperlink>
      <w:r>
        <w:t xml:space="preserve">)</w:t>
      </w:r>
      <w:r>
        <w:t xml:space="preserve">. Instead:</w:t>
      </w:r>
    </w:p>
    <w:p>
      <w:pPr>
        <w:pStyle w:val="Compact"/>
        <w:numPr>
          <w:ilvl w:val="0"/>
          <w:numId w:val="1279"/>
        </w:numPr>
      </w:pPr>
      <w:r>
        <w:t xml:space="preserve">the</w:t>
      </w:r>
      <w:r>
        <w:t xml:space="preserve"> </w:t>
      </w:r>
      <w:r>
        <w:rPr>
          <w:b/>
          <w:bCs/>
        </w:rPr>
        <w:t xml:space="preserve">sale itself</w:t>
      </w:r>
      <w:r>
        <w:t xml:space="preserve"> </w:t>
      </w:r>
      <w:r>
        <w:t xml:space="preserve">has a VAT liability: standard-rated, zero-rated or outside the scope; and</w:t>
      </w:r>
    </w:p>
    <w:p>
      <w:pPr>
        <w:pStyle w:val="Compact"/>
        <w:numPr>
          <w:ilvl w:val="0"/>
          <w:numId w:val="1279"/>
        </w:numPr>
      </w:pPr>
      <w:r>
        <w:t xml:space="preserve">the</w:t>
      </w:r>
      <w:r>
        <w:t xml:space="preserve"> </w:t>
      </w:r>
      <w:r>
        <w:rPr>
          <w:b/>
          <w:bCs/>
        </w:rPr>
        <w:t xml:space="preserve">VAT on costs of making the sale</w:t>
      </w:r>
      <w:r>
        <w:t xml:space="preserve"> </w:t>
      </w:r>
      <w:r>
        <w:t xml:space="preserve">is</w:t>
      </w:r>
      <w:r>
        <w:t xml:space="preserve"> </w:t>
      </w:r>
      <w:r>
        <w:rPr>
          <w:b/>
          <w:bCs/>
        </w:rPr>
        <w:t xml:space="preserve">input tax</w:t>
      </w:r>
      <w:r>
        <w:t xml:space="preserve">, recovered under the normal rules (Value Added Tax Act 1994, ss. 24 to 26). If the Department also makes exempt supplies, partial exemption applies</w:t>
      </w:r>
      <w:r>
        <w:t xml:space="preserve"> </w:t>
      </w:r>
      <w:r>
        <w:t xml:space="preserve">(</w:t>
      </w:r>
      <w:hyperlink w:anchor="ref-hmrc_gdpef">
        <w:r>
          <w:rPr>
            <w:rStyle w:val="Hyperlink"/>
          </w:rPr>
          <w:t xml:space="preserve">HMRC, 2023c</w:t>
        </w:r>
      </w:hyperlink>
      <w:r>
        <w:t xml:space="preserve">,</w:t>
      </w:r>
      <w:r>
        <w:t xml:space="preserve"> </w:t>
      </w:r>
      <w:hyperlink w:anchor="ref-hmrc_n706">
        <w:r>
          <w:rPr>
            <w:rStyle w:val="Hyperlink"/>
          </w:rPr>
          <w:t xml:space="preserve">2025h</w:t>
        </w:r>
      </w:hyperlink>
      <w:r>
        <w:t xml:space="preserve">)</w:t>
      </w:r>
      <w:r>
        <w:t xml:space="preserve">. See Part 3, What partial exemption means.</w:t>
      </w:r>
    </w:p>
    <w:p>
      <w:pPr>
        <w:pStyle w:val="FirstParagraph"/>
      </w:pPr>
      <w:r>
        <w:t xml:space="preserve">This is usually</w:t>
      </w:r>
      <w:r>
        <w:t xml:space="preserve"> </w:t>
      </w:r>
      <w:r>
        <w:rPr>
          <w:b/>
          <w:bCs/>
        </w:rPr>
        <w:t xml:space="preserve">better</w:t>
      </w:r>
      <w:r>
        <w:t xml:space="preserve"> </w:t>
      </w:r>
      <w:r>
        <w:t xml:space="preserve">than COS. Input tax on costs of taxable supplies, including zero-rated exports, is recoverable under section 26(2) of the Value Added Tax Act 1994, whether or not the cost appears in a COS heading</w:t>
      </w:r>
      <w:r>
        <w:t xml:space="preserve"> </w:t>
      </w:r>
      <w:r>
        <w:t xml:space="preserve">(</w:t>
      </w:r>
      <w:hyperlink w:anchor="ref-hmrc_gdpef">
        <w:r>
          <w:rPr>
            <w:rStyle w:val="Hyperlink"/>
          </w:rPr>
          <w:t xml:space="preserve">HMRC, 2023c</w:t>
        </w:r>
      </w:hyperlink>
      <w:r>
        <w:t xml:space="preserve">)</w:t>
      </w:r>
      <w:r>
        <w:t xml:space="preserve">. That includes goods, so packing materials, spare parts and advertising space all count.</w:t>
      </w:r>
    </w:p>
    <w:p>
      <w:pPr>
        <w:pStyle w:val="BodyText"/>
      </w:pPr>
      <w:r>
        <w:rPr>
          <w:b/>
          <w:bCs/>
        </w:rPr>
        <w:t xml:space="preserve">One caution.</w:t>
      </w:r>
      <w:r>
        <w:t xml:space="preserve"> </w:t>
      </w:r>
      <w:r>
        <w:t xml:space="preserve">HMRC’s framework lists</w:t>
      </w:r>
      <w:r>
        <w:t xml:space="preserve"> </w:t>
      </w:r>
      <w:r>
        <w:t xml:space="preserve">“</w:t>
      </w:r>
      <w:r>
        <w:t xml:space="preserve">sale of assets</w:t>
      </w:r>
      <w:r>
        <w:t xml:space="preserve">”</w:t>
      </w:r>
      <w:r>
        <w:t xml:space="preserve"> </w:t>
      </w:r>
      <w:r>
        <w:t xml:space="preserve">and</w:t>
      </w:r>
      <w:r>
        <w:t xml:space="preserve"> </w:t>
      </w:r>
      <w:r>
        <w:t xml:space="preserve">“</w:t>
      </w:r>
      <w:r>
        <w:t xml:space="preserve">publications</w:t>
      </w:r>
      <w:r>
        <w:t xml:space="preserve">”</w:t>
      </w:r>
      <w:r>
        <w:t xml:space="preserve"> </w:t>
      </w:r>
      <w:r>
        <w:t xml:space="preserve">as standard-rated (business) supplies for government departments</w:t>
      </w:r>
      <w:r>
        <w:t xml:space="preserve"> </w:t>
      </w:r>
      <w:r>
        <w:t xml:space="preserve">(</w:t>
      </w:r>
      <w:hyperlink w:anchor="ref-hmrc_gdpef">
        <w:r>
          <w:rPr>
            <w:rStyle w:val="Hyperlink"/>
          </w:rPr>
          <w:t xml:space="preserve">HMRC, 2023c</w:t>
        </w:r>
      </w:hyperlink>
      <w:r>
        <w:t xml:space="preserve">)</w:t>
      </w:r>
      <w:r>
        <w:t xml:space="preserve">, and HMRC’s manual still refers to a Treasury</w:t>
      </w:r>
      <w:r>
        <w:t xml:space="preserve"> </w:t>
      </w:r>
      <w:r>
        <w:t xml:space="preserve">“</w:t>
      </w:r>
      <w:r>
        <w:t xml:space="preserve">taxing direction</w:t>
      </w:r>
      <w:r>
        <w:t xml:space="preserve">”</w:t>
      </w:r>
      <w:r>
        <w:t xml:space="preserve"> </w:t>
      </w:r>
      <w:r>
        <w:t xml:space="preserve">listing activities treated as business</w:t>
      </w:r>
      <w:r>
        <w:t xml:space="preserve"> </w:t>
      </w:r>
      <w:r>
        <w:t xml:space="preserve">(</w:t>
      </w:r>
      <w:hyperlink w:anchor="ref-hmrc_vatgpb">
        <w:r>
          <w:rPr>
            <w:rStyle w:val="Hyperlink"/>
          </w:rPr>
          <w:t xml:space="preserve">HMRC, 2026n</w:t>
        </w:r>
      </w:hyperlink>
      <w:r>
        <w:t xml:space="preserve">, secs. VATGPB9330 and VATGPB3600)</w:t>
      </w:r>
      <w:r>
        <w:t xml:space="preserve">. The legal power behind that direction (old section 41(2)) was repealed in 2012 (Finance Act 2012, s. 198). HMRC’s current flowchart applies the normal business test and section 41A to sales to non-government customers</w:t>
      </w:r>
      <w:r>
        <w:t xml:space="preserve"> </w:t>
      </w:r>
      <w:r>
        <w:t xml:space="preserve">(</w:t>
      </w:r>
      <w:hyperlink w:anchor="ref-hmrc_vatgpb">
        <w:r>
          <w:rPr>
            <w:rStyle w:val="Hyperlink"/>
          </w:rPr>
          <w:t xml:space="preserve">HMRC, 2026n, sec. VATGPB3600</w:t>
        </w:r>
      </w:hyperlink>
      <w:r>
        <w:t xml:space="preserve">)</w:t>
      </w:r>
      <w:r>
        <w:t xml:space="preserve">. For ordinary commercial sales the answer will almost always be</w:t>
      </w:r>
      <w:r>
        <w:t xml:space="preserve"> </w:t>
      </w:r>
      <w:r>
        <w:t xml:space="preserve">“</w:t>
      </w:r>
      <w:r>
        <w:t xml:space="preserve">business</w:t>
      </w:r>
      <w:r>
        <w:t xml:space="preserve">”</w:t>
      </w:r>
      <w:r>
        <w:t xml:space="preserve">. If the Department is unsure, confirm with HMRC (see Part 5, Business vs non-business: the key test).</w:t>
      </w:r>
    </w:p>
    <w:bookmarkEnd w:id="227"/>
    <w:bookmarkStart w:id="228" w:name="the-liability-of-the-sale"/>
    <w:p>
      <w:pPr>
        <w:pStyle w:val="Heading4"/>
      </w:pPr>
      <w:r>
        <w:t xml:space="preserve">The liability of the sale</w:t>
      </w:r>
    </w:p>
    <w:p>
      <w:pPr>
        <w:pStyle w:val="FirstParagraph"/>
      </w:pPr>
      <w:r>
        <w:t xml:space="preserve">For the general rules, see Part 4, Exporting goods, and Part 4, Selling services to overseas customers.</w:t>
      </w:r>
    </w:p>
    <w:p>
      <w:pPr>
        <w:pStyle w:val="Compact"/>
        <w:numPr>
          <w:ilvl w:val="0"/>
          <w:numId w:val="1280"/>
        </w:numPr>
      </w:pPr>
      <w:r>
        <w:rPr>
          <w:b/>
          <w:bCs/>
        </w:rPr>
        <w:t xml:space="preserve">Goods exported from the UK</w:t>
      </w:r>
      <w:r>
        <w:t xml:space="preserve"> </w:t>
      </w:r>
      <w:r>
        <w:t xml:space="preserve">(for example surplus equipment shipped to a buyer in Canada) are</w:t>
      </w:r>
      <w:r>
        <w:t xml:space="preserve"> </w:t>
      </w:r>
      <w:r>
        <w:rPr>
          <w:b/>
          <w:bCs/>
        </w:rPr>
        <w:t xml:space="preserve">zero-rated</w:t>
      </w:r>
      <w:r>
        <w:t xml:space="preserve"> </w:t>
      </w:r>
      <w:r>
        <w:t xml:space="preserve">if the conditions in VAT Notice 703 are met. The conditions with</w:t>
      </w:r>
      <w:r>
        <w:t xml:space="preserve"> </w:t>
      </w:r>
      <w:r>
        <w:t xml:space="preserve">“</w:t>
      </w:r>
      <w:r>
        <w:t xml:space="preserve">force of law</w:t>
      </w:r>
      <w:r>
        <w:t xml:space="preserve">”</w:t>
      </w:r>
      <w:r>
        <w:t xml:space="preserve"> </w:t>
      </w:r>
      <w:r>
        <w:t xml:space="preserve">include exporting within the time limits and holding evidence of supply and official or commercial evidence of export</w:t>
      </w:r>
      <w:r>
        <w:t xml:space="preserve"> </w:t>
      </w:r>
      <w:r>
        <w:t xml:space="preserve">(</w:t>
      </w:r>
      <w:hyperlink w:anchor="ref-hmrc_n703">
        <w:r>
          <w:rPr>
            <w:rStyle w:val="Hyperlink"/>
          </w:rPr>
          <w:t xml:space="preserve">HMRC, 2026p, para. 3.3</w:t>
        </w:r>
      </w:hyperlink>
      <w:r>
        <w:t xml:space="preserve">)</w:t>
      </w:r>
      <w:r>
        <w:t xml:space="preserve">. Without the evidence, the sale is standard-rated</w:t>
      </w:r>
      <w:r>
        <w:t xml:space="preserve"> </w:t>
      </w:r>
      <w:r>
        <w:t xml:space="preserve">(</w:t>
      </w:r>
      <w:hyperlink w:anchor="ref-hmrc_n703">
        <w:r>
          <w:rPr>
            <w:rStyle w:val="Hyperlink"/>
          </w:rPr>
          <w:t xml:space="preserve">HMRC, 2026p</w:t>
        </w:r>
      </w:hyperlink>
      <w:r>
        <w:t xml:space="preserve">, paras. 3.8 and 6.8)</w:t>
      </w:r>
      <w:r>
        <w:t xml:space="preserve">.</w:t>
      </w:r>
    </w:p>
    <w:p>
      <w:pPr>
        <w:pStyle w:val="Compact"/>
        <w:numPr>
          <w:ilvl w:val="0"/>
          <w:numId w:val="1280"/>
        </w:numPr>
      </w:pPr>
      <w:r>
        <w:rPr>
          <w:b/>
          <w:bCs/>
        </w:rPr>
        <w:t xml:space="preserve">Goods in Northern Ireland sold to a buyer in the EU</w:t>
      </w:r>
      <w:r>
        <w:t xml:space="preserve"> </w:t>
      </w:r>
      <w:r>
        <w:t xml:space="preserve">are</w:t>
      </w:r>
      <w:r>
        <w:t xml:space="preserve"> </w:t>
      </w:r>
      <w:r>
        <w:rPr>
          <w:b/>
          <w:bCs/>
        </w:rPr>
        <w:t xml:space="preserve">not</w:t>
      </w:r>
      <w:r>
        <w:t xml:space="preserve"> </w:t>
      </w:r>
      <w:r>
        <w:t xml:space="preserve">exports under Notice 703, which covers goods leaving Northern Ireland only for non-EU destinations</w:t>
      </w:r>
      <w:r>
        <w:t xml:space="preserve"> </w:t>
      </w:r>
      <w:r>
        <w:t xml:space="preserve">(</w:t>
      </w:r>
      <w:hyperlink w:anchor="ref-hmrc_n703">
        <w:r>
          <w:rPr>
            <w:rStyle w:val="Hyperlink"/>
          </w:rPr>
          <w:t xml:space="preserve">HMRC, 2026p, para. 2.2</w:t>
        </w:r>
      </w:hyperlink>
      <w:r>
        <w:t xml:space="preserve">)</w:t>
      </w:r>
      <w:r>
        <w:t xml:space="preserve">. Different rules apply under the Windsor Framework, set out in HMRC’s guidance on movements of goods between Northern Ireland and the EU</w:t>
      </w:r>
      <w:r>
        <w:t xml:space="preserve"> </w:t>
      </w:r>
      <w:r>
        <w:t xml:space="preserve">(</w:t>
      </w:r>
      <w:hyperlink w:anchor="ref-hmrc_ni_eu">
        <w:r>
          <w:rPr>
            <w:rStyle w:val="Hyperlink"/>
          </w:rPr>
          <w:t xml:space="preserve">HMRC, 2026q</w:t>
        </w:r>
      </w:hyperlink>
      <w:r>
        <w:t xml:space="preserve">)</w:t>
      </w:r>
      <w:r>
        <w:t xml:space="preserve">. Take advice before zero-rating (see Part 4, Northern Ireland and the EU).</w:t>
      </w:r>
    </w:p>
    <w:p>
      <w:pPr>
        <w:pStyle w:val="Compact"/>
        <w:numPr>
          <w:ilvl w:val="0"/>
          <w:numId w:val="1280"/>
        </w:numPr>
      </w:pPr>
      <w:r>
        <w:rPr>
          <w:b/>
          <w:bCs/>
        </w:rPr>
        <w:t xml:space="preserve">Goods already outside the UK when sold</w:t>
      </w:r>
      <w:r>
        <w:t xml:space="preserve"> </w:t>
      </w:r>
      <w:r>
        <w:t xml:space="preserve">(for example surplus kit at an overseas office) are</w:t>
      </w:r>
      <w:r>
        <w:t xml:space="preserve"> </w:t>
      </w:r>
      <w:r>
        <w:rPr>
          <w:b/>
          <w:bCs/>
        </w:rPr>
        <w:t xml:space="preserve">not exports</w:t>
      </w:r>
      <w:r>
        <w:t xml:space="preserve">. The sale is outside the scope of UK VAT</w:t>
      </w:r>
      <w:r>
        <w:t xml:space="preserve"> </w:t>
      </w:r>
      <w:r>
        <w:t xml:space="preserve">(</w:t>
      </w:r>
      <w:hyperlink w:anchor="ref-hmrc_n703">
        <w:r>
          <w:rPr>
            <w:rStyle w:val="Hyperlink"/>
          </w:rPr>
          <w:t xml:space="preserve">HMRC, 2026p, para. 2.2</w:t>
        </w:r>
      </w:hyperlink>
      <w:r>
        <w:t xml:space="preserve">)</w:t>
      </w:r>
      <w:r>
        <w:t xml:space="preserve">. Local VAT rules may apply in that country.</w:t>
      </w:r>
    </w:p>
    <w:p>
      <w:pPr>
        <w:pStyle w:val="Compact"/>
        <w:numPr>
          <w:ilvl w:val="0"/>
          <w:numId w:val="1280"/>
        </w:numPr>
      </w:pPr>
      <w:r>
        <w:rPr>
          <w:b/>
          <w:bCs/>
        </w:rPr>
        <w:t xml:space="preserve">Services, data and licences:</w:t>
      </w:r>
    </w:p>
    <w:p>
      <w:pPr>
        <w:pStyle w:val="Compact"/>
        <w:numPr>
          <w:ilvl w:val="1"/>
          <w:numId w:val="1281"/>
        </w:numPr>
      </w:pPr>
      <w:r>
        <w:t xml:space="preserve">Sold to an</w:t>
      </w:r>
      <w:r>
        <w:t xml:space="preserve"> </w:t>
      </w:r>
      <w:r>
        <w:rPr>
          <w:b/>
          <w:bCs/>
        </w:rPr>
        <w:t xml:space="preserve">overseas business customer</w:t>
      </w:r>
      <w:r>
        <w:t xml:space="preserve">: the general rule applies, the supply takes place where the customer belongs, and it is outside the scope of UK VAT</w:t>
      </w:r>
      <w:r>
        <w:t xml:space="preserve"> </w:t>
      </w:r>
      <w:r>
        <w:t xml:space="preserve">(</w:t>
      </w:r>
      <w:hyperlink w:anchor="ref-hmrc_n741a">
        <w:r>
          <w:rPr>
            <w:rStyle w:val="Hyperlink"/>
          </w:rPr>
          <w:t xml:space="preserve">HMRC, 2022d</w:t>
        </w:r>
      </w:hyperlink>
      <w:r>
        <w:t xml:space="preserve">, paras. 5.3 and 6.3)</w:t>
      </w:r>
      <w:r>
        <w:t xml:space="preserve">.</w:t>
      </w:r>
    </w:p>
    <w:p>
      <w:pPr>
        <w:pStyle w:val="Compact"/>
        <w:numPr>
          <w:ilvl w:val="1"/>
          <w:numId w:val="1281"/>
        </w:numPr>
      </w:pPr>
      <w:r>
        <w:t xml:space="preserve">Sold to</w:t>
      </w:r>
      <w:r>
        <w:t xml:space="preserve"> </w:t>
      </w:r>
      <w:r>
        <w:rPr>
          <w:b/>
          <w:bCs/>
        </w:rPr>
        <w:t xml:space="preserve">non-business customers outside the UK</w:t>
      </w:r>
      <w:r>
        <w:t xml:space="preserve"> </w:t>
      </w:r>
      <w:r>
        <w:t xml:space="preserve">(for example an overseas government):</w:t>
      </w:r>
      <w:r>
        <w:t xml:space="preserve"> </w:t>
      </w:r>
      <w:r>
        <w:t xml:space="preserve">“</w:t>
      </w:r>
      <w:r>
        <w:t xml:space="preserve">transfers and assignments of copyright, patents, licences</w:t>
      </w:r>
      <w:r>
        <w:t xml:space="preserve">”</w:t>
      </w:r>
      <w:r>
        <w:t xml:space="preserve">,</w:t>
      </w:r>
      <w:r>
        <w:t xml:space="preserve"> </w:t>
      </w:r>
      <w:r>
        <w:t xml:space="preserve">“</w:t>
      </w:r>
      <w:r>
        <w:t xml:space="preserve">data processing and provision of information</w:t>
      </w:r>
      <w:r>
        <w:t xml:space="preserve">”</w:t>
      </w:r>
      <w:r>
        <w:t xml:space="preserve"> </w:t>
      </w:r>
      <w:r>
        <w:t xml:space="preserve">and consultancy-type services are also supplied where the customer belongs, so they are outside the scope</w:t>
      </w:r>
      <w:r>
        <w:t xml:space="preserve"> </w:t>
      </w:r>
      <w:r>
        <w:t xml:space="preserve">(</w:t>
      </w:r>
      <w:hyperlink w:anchor="ref-hmrc_n741a">
        <w:r>
          <w:rPr>
            <w:rStyle w:val="Hyperlink"/>
          </w:rPr>
          <w:t xml:space="preserve">HMRC, 2022d</w:t>
        </w:r>
      </w:hyperlink>
      <w:r>
        <w:t xml:space="preserve">, paras. 12.1 and 12.2)</w:t>
      </w:r>
      <w:r>
        <w:t xml:space="preserve">.</w:t>
      </w:r>
    </w:p>
    <w:p>
      <w:pPr>
        <w:pStyle w:val="Compact"/>
        <w:numPr>
          <w:ilvl w:val="1"/>
          <w:numId w:val="1281"/>
        </w:numPr>
      </w:pPr>
      <w:r>
        <w:t xml:space="preserve">In both cases the Department can still recover related UK input tax. Section 26(2)(b) of the Value Added Tax Act 1994 allows input tax on supplies made outside the UK that would be taxable if made in the UK.</w:t>
      </w:r>
    </w:p>
    <w:p>
      <w:pPr>
        <w:pStyle w:val="Compact"/>
        <w:numPr>
          <w:ilvl w:val="0"/>
          <w:numId w:val="1280"/>
        </w:numPr>
      </w:pPr>
      <w:r>
        <w:rPr>
          <w:b/>
          <w:bCs/>
        </w:rPr>
        <w:t xml:space="preserve">Publications.</w:t>
      </w:r>
      <w:r>
        <w:t xml:space="preserve"> </w:t>
      </w:r>
      <w:r>
        <w:t xml:space="preserve">Printed publications, and most e-publications, are zero-rated in the UK anyway, under Schedule 8, Group 3 to the Value Added Tax Act 1994</w:t>
      </w:r>
      <w:r>
        <w:t xml:space="preserve"> </w:t>
      </w:r>
      <w:r>
        <w:t xml:space="preserve">(</w:t>
      </w:r>
      <w:hyperlink w:anchor="ref-hmrc_vat_rates">
        <w:r>
          <w:rPr>
            <w:rStyle w:val="Hyperlink"/>
          </w:rPr>
          <w:t xml:space="preserve">HMRC, 2026r</w:t>
        </w:r>
      </w:hyperlink>
      <w:r>
        <w:t xml:space="preserve">)</w:t>
      </w:r>
      <w:r>
        <w:t xml:space="preserve">, so there is usually no VAT on the sale whether or not it is exported. Electronic publications sold to private individuals abroad may create VAT obligations in the customer’s country</w:t>
      </w:r>
      <w:r>
        <w:t xml:space="preserve"> </w:t>
      </w:r>
      <w:r>
        <w:t xml:space="preserve">(</w:t>
      </w:r>
      <w:hyperlink w:anchor="ref-hmrc_n741a">
        <w:r>
          <w:rPr>
            <w:rStyle w:val="Hyperlink"/>
          </w:rPr>
          <w:t xml:space="preserve">HMRC, 2022d, sec. 14</w:t>
        </w:r>
      </w:hyperlink>
      <w:r>
        <w:t xml:space="preserve">)</w:t>
      </w:r>
      <w:r>
        <w:t xml:space="preserve">. That is a foreign-law question, so take advice before selling at scale.</w:t>
      </w:r>
    </w:p>
    <w:bookmarkEnd w:id="228"/>
    <w:bookmarkStart w:id="229" w:name="which-cos-headings-apply"/>
    <w:p>
      <w:pPr>
        <w:pStyle w:val="Heading4"/>
      </w:pPr>
      <w:r>
        <w:t xml:space="preserve">Which COS headings apply?</w:t>
      </w:r>
    </w:p>
    <w:p>
      <w:pPr>
        <w:pStyle w:val="FirstParagraph"/>
      </w:pPr>
      <w:r>
        <w:rPr>
          <w:b/>
          <w:bCs/>
        </w:rPr>
        <w:t xml:space="preserve">None, for the selling activity itself.</w:t>
      </w:r>
      <w:r>
        <w:t xml:space="preserve"> </w:t>
      </w:r>
      <w:r>
        <w:t xml:space="preserve">Even if a selling cost looks like a COS heading, the business use means it is</w:t>
      </w:r>
      <w:r>
        <w:t xml:space="preserve"> </w:t>
      </w:r>
      <w:r>
        <w:rPr>
          <w:b/>
          <w:bCs/>
        </w:rPr>
        <w:t xml:space="preserve">input tax, not COS</w:t>
      </w:r>
      <w:r>
        <w:t xml:space="preserve"> </w:t>
      </w:r>
      <w:r>
        <w:t xml:space="preserve">(</w:t>
      </w:r>
      <w:hyperlink w:anchor="ref-hmrc_gdpef">
        <w:r>
          <w:rPr>
            <w:rStyle w:val="Hyperlink"/>
          </w:rPr>
          <w:t xml:space="preserve">HMRC, 2023c</w:t>
        </w:r>
      </w:hyperlink>
      <w:r>
        <w:t xml:space="preserve">)</w:t>
      </w:r>
      <w:r>
        <w:t xml:space="preserve">. Examples are storage of stock for sale (looks like Heading 63), a courier sending goods to buyers (Heading 13), or publicity for the sale (Heading 54).</w:t>
      </w:r>
    </w:p>
    <w:p>
      <w:pPr>
        <w:pStyle w:val="BodyText"/>
      </w:pPr>
      <w:r>
        <w:t xml:space="preserve">Two headings sound relevant to selling but cannot be used for it:</w:t>
      </w:r>
    </w:p>
    <w:p>
      <w:pPr>
        <w:pStyle w:val="Compact"/>
        <w:numPr>
          <w:ilvl w:val="0"/>
          <w:numId w:val="1282"/>
        </w:numPr>
      </w:pPr>
      <w:r>
        <w:rPr>
          <w:b/>
          <w:bCs/>
        </w:rPr>
        <w:t xml:space="preserve">Heading 22,</w:t>
      </w:r>
      <w:r>
        <w:rPr>
          <w:b/>
          <w:bCs/>
        </w:rPr>
        <w:t xml:space="preserve"> </w:t>
      </w:r>
      <w:r>
        <w:rPr>
          <w:b/>
          <w:bCs/>
        </w:rPr>
        <w:t xml:space="preserve">“</w:t>
      </w:r>
      <w:r>
        <w:rPr>
          <w:b/>
          <w:bCs/>
        </w:rPr>
        <w:t xml:space="preserve">Export intelligence services</w:t>
      </w:r>
      <w:r>
        <w:rPr>
          <w:b/>
          <w:bCs/>
        </w:rPr>
        <w:t xml:space="preserve">”</w:t>
      </w:r>
      <w:r>
        <w:rPr>
          <w:b/>
          <w:bCs/>
        </w:rPr>
        <w:t xml:space="preserve">.</w:t>
      </w:r>
      <w:r>
        <w:t xml:space="preserve"> </w:t>
      </w:r>
      <w:r>
        <w:t xml:space="preserve">HMRC’s whole guidance on it is one sentence:</w:t>
      </w:r>
      <w:r>
        <w:t xml:space="preserve"> </w:t>
      </w:r>
      <w:r>
        <w:t xml:space="preserve">“</w:t>
      </w:r>
      <w:r>
        <w:t xml:space="preserve">This Heading allows recovery on export intelligence services</w:t>
      </w:r>
      <w:r>
        <w:t xml:space="preserve">”</w:t>
      </w:r>
      <w:r>
        <w:t xml:space="preserve"> </w:t>
      </w:r>
      <w:r>
        <w:t xml:space="preserve">(</w:t>
      </w:r>
      <w:hyperlink w:anchor="ref-hmrc_vatgpb">
        <w:r>
          <w:rPr>
            <w:rStyle w:val="Hyperlink"/>
          </w:rPr>
          <w:t xml:space="preserve">HMRC, 2026n, sec. VATGPB10170</w:t>
        </w:r>
      </w:hyperlink>
      <w:r>
        <w:t xml:space="preserve">)</w:t>
      </w:r>
      <w:r>
        <w:t xml:space="preserve">. HMRC does not say who it is aimed at. Its wording suggests government export-promotion work (this is the guide’s inference). It cannot cover costs of the Department’s own sales, which are business costs.</w:t>
      </w:r>
    </w:p>
    <w:p>
      <w:pPr>
        <w:pStyle w:val="Compact"/>
        <w:numPr>
          <w:ilvl w:val="0"/>
          <w:numId w:val="1282"/>
        </w:numPr>
      </w:pPr>
      <w:r>
        <w:rPr>
          <w:b/>
          <w:bCs/>
        </w:rPr>
        <w:t xml:space="preserve">Heading 79</w:t>
      </w:r>
      <w:r>
        <w:t xml:space="preserve"> </w:t>
      </w:r>
      <w:r>
        <w:t xml:space="preserve">is limited to services</w:t>
      </w:r>
      <w:r>
        <w:t xml:space="preserve"> </w:t>
      </w:r>
      <w:r>
        <w:t xml:space="preserve">“</w:t>
      </w:r>
      <w:r>
        <w:t xml:space="preserve">provided only to the Department for International Trade</w:t>
      </w:r>
      <w:r>
        <w:t xml:space="preserve">”</w:t>
      </w:r>
      <w:r>
        <w:t xml:space="preserve"> </w:t>
      </w:r>
      <w:r>
        <w:t xml:space="preserve">(</w:t>
      </w:r>
      <w:hyperlink w:anchor="ref-hmrc_vatgpb">
        <w:r>
          <w:rPr>
            <w:rStyle w:val="Hyperlink"/>
          </w:rPr>
          <w:t xml:space="preserve">HMRC, 2026n, sec. VATGPB11310</w:t>
        </w:r>
      </w:hyperlink>
      <w:r>
        <w:t xml:space="preserve">)</w:t>
      </w:r>
      <w:r>
        <w:t xml:space="preserve">. The fictional Department cannot use it.</w:t>
      </w:r>
    </w:p>
    <w:bookmarkEnd w:id="229"/>
    <w:bookmarkStart w:id="230" w:name="shared-mixed-use-costs"/>
    <w:p>
      <w:pPr>
        <w:pStyle w:val="Heading4"/>
      </w:pPr>
      <w:r>
        <w:t xml:space="preserve">Shared (mixed-use) costs</w:t>
      </w:r>
    </w:p>
    <w:p>
      <w:pPr>
        <w:pStyle w:val="FirstParagraph"/>
      </w:pPr>
      <w:r>
        <w:t xml:space="preserve">If a cost within a COS heading supports both selling and non-business work, apportion it</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83"/>
        </w:numPr>
      </w:pPr>
      <w:r>
        <w:t xml:space="preserve">the</w:t>
      </w:r>
      <w:r>
        <w:t xml:space="preserve"> </w:t>
      </w:r>
      <w:r>
        <w:rPr>
          <w:b/>
          <w:bCs/>
        </w:rPr>
        <w:t xml:space="preserve">business share</w:t>
      </w:r>
      <w:r>
        <w:t xml:space="preserve"> </w:t>
      </w:r>
      <w:r>
        <w:t xml:space="preserve">is input tax under the normal rules;</w:t>
      </w:r>
    </w:p>
    <w:p>
      <w:pPr>
        <w:pStyle w:val="Compact"/>
        <w:numPr>
          <w:ilvl w:val="0"/>
          <w:numId w:val="1283"/>
        </w:numPr>
      </w:pPr>
      <w:r>
        <w:t xml:space="preserve">the</w:t>
      </w:r>
      <w:r>
        <w:t xml:space="preserve"> </w:t>
      </w:r>
      <w:r>
        <w:rPr>
          <w:b/>
          <w:bCs/>
        </w:rPr>
        <w:t xml:space="preserve">non-business share</w:t>
      </w:r>
      <w:r>
        <w:t xml:space="preserve"> </w:t>
      </w:r>
      <w:r>
        <w:t xml:space="preserve">is a COS refund.</w:t>
      </w:r>
    </w:p>
    <w:p>
      <w:pPr>
        <w:pStyle w:val="FirstParagraph"/>
      </w:pPr>
      <w:r>
        <w:t xml:space="preserve">An example is a storage contract (Heading 63) where the same warehouse holds surplus items for sale and equipment awaiting donation.</w:t>
      </w:r>
    </w:p>
    <w:bookmarkEnd w:id="230"/>
    <w:bookmarkStart w:id="231" w:name="what-is-not-claimable-under-either-route"/>
    <w:p>
      <w:pPr>
        <w:pStyle w:val="Heading4"/>
      </w:pPr>
      <w:r>
        <w:t xml:space="preserve">What is NOT claimable (under either route)</w:t>
      </w:r>
    </w:p>
    <w:p>
      <w:pPr>
        <w:pStyle w:val="Compact"/>
        <w:numPr>
          <w:ilvl w:val="0"/>
          <w:numId w:val="1284"/>
        </w:numPr>
      </w:pPr>
      <w:r>
        <w:rPr>
          <w:b/>
          <w:bCs/>
        </w:rPr>
        <w:t xml:space="preserve">Foreign VAT</w:t>
      </w:r>
      <w:r>
        <w:t xml:space="preserve"> </w:t>
      </w:r>
      <w:r>
        <w:t xml:space="preserve">on costs incurred abroad, for example a trade-fair ticket or a stand in Germany. It cannot go on the UK VAT return (Value Added Tax Act 1994, s. 24(1)). It may be reclaimable under that country’s refund procedure, because it relates to a business activity. That depends on the other country’s rules and on whether HMRC will issue a certificate of status to a government department, which its guidance does not address</w:t>
      </w:r>
      <w:r>
        <w:t xml:space="preserve"> </w:t>
      </w:r>
      <w:r>
        <w:t xml:space="preserve">(</w:t>
      </w:r>
      <w:hyperlink w:anchor="ref-hmrc_vat66">
        <w:r>
          <w:rPr>
            <w:rStyle w:val="Hyperlink"/>
          </w:rPr>
          <w:t xml:space="preserve">HMRC, 2023b</w:t>
        </w:r>
      </w:hyperlink>
      <w:r>
        <w:t xml:space="preserve">;</w:t>
      </w:r>
      <w:r>
        <w:t xml:space="preserve"> </w:t>
      </w:r>
      <w:hyperlink w:anchor="ref-hmrc_n723a">
        <w:r>
          <w:rPr>
            <w:rStyle w:val="Hyperlink"/>
          </w:rPr>
          <w:t xml:space="preserve">2026l, sec. 3</w:t>
        </w:r>
      </w:hyperlink>
      <w:r>
        <w:t xml:space="preserve">)</w:t>
      </w:r>
      <w:r>
        <w:t xml:space="preserve">. See Part 4, Foreign VAT charged abroad.</w:t>
      </w:r>
    </w:p>
    <w:p>
      <w:pPr>
        <w:pStyle w:val="Compact"/>
        <w:numPr>
          <w:ilvl w:val="0"/>
          <w:numId w:val="1284"/>
        </w:numPr>
      </w:pPr>
      <w:r>
        <w:rPr>
          <w:b/>
          <w:bCs/>
        </w:rPr>
        <w:t xml:space="preserve">UK VAT on costs used for exempt business supplies</w:t>
      </w:r>
      <w:r>
        <w:t xml:space="preserve">, beyond what the partial exemption rules allow</w:t>
      </w:r>
      <w:r>
        <w:t xml:space="preserve"> </w:t>
      </w:r>
      <w:r>
        <w:t xml:space="preserve">(</w:t>
      </w:r>
      <w:hyperlink w:anchor="ref-hmrc_gdpef">
        <w:r>
          <w:rPr>
            <w:rStyle w:val="Hyperlink"/>
          </w:rPr>
          <w:t xml:space="preserve">HMRC, 2023c</w:t>
        </w:r>
      </w:hyperlink>
      <w:r>
        <w:t xml:space="preserve">;</w:t>
      </w:r>
      <w:r>
        <w:t xml:space="preserve"> </w:t>
      </w:r>
      <w:hyperlink w:anchor="ref-hmrc_n706">
        <w:r>
          <w:rPr>
            <w:rStyle w:val="Hyperlink"/>
          </w:rPr>
          <w:t xml:space="preserve">2025h, sec. 11</w:t>
        </w:r>
      </w:hyperlink>
      <w:r>
        <w:t xml:space="preserve">)</w:t>
      </w:r>
      <w:r>
        <w:t xml:space="preserve">.</w:t>
      </w:r>
    </w:p>
    <w:bookmarkEnd w:id="231"/>
    <w:bookmarkStart w:id="232" w:name="X545307b4b640ac2a339b767556140fef63dc900"/>
    <w:p>
      <w:pPr>
        <w:pStyle w:val="Heading4"/>
      </w:pPr>
      <w:r>
        <w:t xml:space="preserve">Worked example: selling surplus laboratory equipment to a buyer in Canada</w:t>
      </w:r>
    </w:p>
    <w:p>
      <w:pPr>
        <w:pStyle w:val="FirstParagraph"/>
      </w:pPr>
      <w:r>
        <w:t xml:space="preserve">The table shows the sale, each related cost, its VAT and how that VAT is treated.</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323"/>
        <w:gridCol w:w="1565"/>
        <w:gridCol w:w="1565"/>
        <w:gridCol w:w="2571"/>
      </w:tblGrid>
      <w:tr>
        <w:trPr>
          <w:tblHeader w:val="true"/>
          <w:cantSplit w:val="true"/>
        </w:trPr>
        <w:tc>
          <w:tcPr>
            <w:tcW w:w="3323" w:type="dxa"/>
            <w:shd w:val="clear" w:color="auto" w:fill="1B3A5C"/>
          </w:tcPr>
          <w:p>
            <w:pPr>
              <w:pStyle w:val="Compact"/>
              <w:spacing w:after="40" w:before="40"/>
              <w:jc w:val="left"/>
            </w:pPr>
            <w:r>
              <w:rPr>
                <w:rFonts w:ascii="Tahoma" w:hAnsi="Tahoma"/>
                <w:b/>
                <w:color w:val="FFFFFF"/>
                <w:sz w:val="22"/>
              </w:rPr>
              <w:t xml:space="preserve">Item</w:t>
            </w:r>
          </w:p>
        </w:tc>
        <w:tc>
          <w:tcPr>
            <w:tcW w:w="1565" w:type="dxa"/>
            <w:shd w:val="clear" w:color="auto" w:fill="1B3A5C"/>
          </w:tcPr>
          <w:p>
            <w:pPr>
              <w:pStyle w:val="Compact"/>
              <w:spacing w:after="40" w:before="40"/>
              <w:jc w:val="left"/>
            </w:pPr>
            <w:r>
              <w:rPr>
                <w:rFonts w:ascii="Tahoma" w:hAnsi="Tahoma"/>
                <w:b/>
                <w:color w:val="FFFFFF"/>
                <w:sz w:val="22"/>
              </w:rPr>
              <w:t xml:space="preserve">Net (£)</w:t>
            </w:r>
          </w:p>
        </w:tc>
        <w:tc>
          <w:tcPr>
            <w:tcW w:w="1565" w:type="dxa"/>
            <w:shd w:val="clear" w:color="auto" w:fill="1B3A5C"/>
          </w:tcPr>
          <w:p>
            <w:pPr>
              <w:pStyle w:val="Compact"/>
              <w:spacing w:after="40" w:before="40"/>
              <w:jc w:val="left"/>
            </w:pPr>
            <w:r>
              <w:rPr>
                <w:rFonts w:ascii="Tahoma" w:hAnsi="Tahoma"/>
                <w:b/>
                <w:color w:val="FFFFFF"/>
                <w:sz w:val="22"/>
              </w:rPr>
              <w:t xml:space="preserve">VAT (£)</w:t>
            </w:r>
          </w:p>
        </w:tc>
        <w:tc>
          <w:tcPr>
            <w:tcW w:w="2571" w:type="dxa"/>
            <w:shd w:val="clear" w:color="auto" w:fill="1B3A5C"/>
          </w:tcPr>
          <w:p>
            <w:pPr>
              <w:pStyle w:val="Compact"/>
              <w:spacing w:after="40" w:before="40"/>
              <w:jc w:val="left"/>
            </w:pPr>
            <w:r>
              <w:rPr>
                <w:rFonts w:ascii="Tahoma" w:hAnsi="Tahoma"/>
                <w:b/>
                <w:color w:val="FFFFFF"/>
                <w:sz w:val="22"/>
              </w:rPr>
              <w:t xml:space="preserve">Treatment</w:t>
            </w:r>
          </w:p>
        </w:tc>
      </w:tr>
      <w:tr>
        <w:trPr>
          <w:cantSplit w:val="true"/>
        </w:trPr>
        <w:tc>
          <w:tcPr>
            <w:tcW w:w="3323" w:type="dxa"/>
            <w:shd w:val="clear" w:color="auto" w:fill="EAF3FA"/>
          </w:tcPr>
          <w:p>
            <w:pPr>
              <w:pStyle w:val="Compact"/>
              <w:spacing w:after="40" w:before="40"/>
              <w:jc w:val="left"/>
            </w:pPr>
            <w:r>
              <w:rPr>
                <w:rFonts w:ascii="Tahoma" w:hAnsi="Tahoma"/>
                <w:b/>
                <w:bCs/>
                <w:sz w:val="22"/>
              </w:rPr>
              <w:t xml:space="preserve">Sale</w:t>
            </w:r>
            <w:r>
              <w:rPr>
                <w:rFonts w:ascii="Tahoma" w:hAnsi="Tahoma"/>
                <w:sz w:val="22"/>
              </w:rPr>
              <w:t xml:space="preserve"> </w:t>
            </w:r>
            <w:r>
              <w:rPr>
                <w:rFonts w:ascii="Tahoma" w:hAnsi="Tahoma"/>
                <w:sz w:val="22"/>
              </w:rPr>
              <w:t xml:space="preserve">of equipment, exported by the Department with export evidence</w:t>
            </w:r>
          </w:p>
        </w:tc>
        <w:tc>
          <w:tcPr>
            <w:tcW w:w="1565" w:type="dxa"/>
            <w:shd w:val="clear" w:color="auto" w:fill="EAF3FA"/>
          </w:tcPr>
          <w:p>
            <w:pPr>
              <w:pStyle w:val="Compact"/>
              <w:spacing w:after="40" w:before="40"/>
              <w:jc w:val="left"/>
            </w:pPr>
            <w:r>
              <w:rPr>
                <w:rFonts w:ascii="Tahoma" w:hAnsi="Tahoma"/>
                <w:sz w:val="22"/>
              </w:rPr>
              <w:t xml:space="preserve">40,000</w:t>
            </w:r>
          </w:p>
        </w:tc>
        <w:tc>
          <w:tcPr>
            <w:tcW w:w="1565" w:type="dxa"/>
            <w:shd w:val="clear" w:color="auto" w:fill="EAF3FA"/>
          </w:tcPr>
          <w:p>
            <w:pPr>
              <w:pStyle w:val="Compact"/>
              <w:spacing w:after="40" w:before="40"/>
              <w:jc w:val="left"/>
            </w:pPr>
            <w:r>
              <w:rPr>
                <w:rFonts w:ascii="Tahoma" w:hAnsi="Tahoma"/>
                <w:sz w:val="22"/>
              </w:rPr>
              <w:t xml:space="preserve">0</w:t>
            </w:r>
          </w:p>
        </w:tc>
        <w:tc>
          <w:tcPr>
            <w:tcW w:w="2571" w:type="dxa"/>
            <w:shd w:val="clear" w:color="auto" w:fill="EAF3FA"/>
          </w:tcPr>
          <w:p>
            <w:pPr>
              <w:pStyle w:val="Compact"/>
              <w:spacing w:after="40" w:before="40"/>
              <w:jc w:val="left"/>
            </w:pPr>
            <w:r>
              <w:rPr>
                <w:rFonts w:ascii="Tahoma" w:hAnsi="Tahoma"/>
                <w:b/>
                <w:bCs/>
                <w:sz w:val="22"/>
              </w:rPr>
              <w:t xml:space="preserve">Zero-rated export</w:t>
            </w:r>
            <w:r>
              <w:rPr>
                <w:rFonts w:ascii="Tahoma" w:hAnsi="Tahoma"/>
                <w:sz w:val="22"/>
              </w:rPr>
              <w:t xml:space="preserve"> </w:t>
            </w:r>
            <w:r>
              <w:rPr>
                <w:rFonts w:ascii="Tahoma" w:hAnsi="Tahoma"/>
                <w:sz w:val="22"/>
              </w:rPr>
              <w:t xml:space="preserve">(output VAT nil)</w:t>
            </w:r>
          </w:p>
        </w:tc>
      </w:tr>
      <w:tr>
        <w:trPr>
          <w:cantSplit w:val="true"/>
        </w:trPr>
        <w:tc>
          <w:tcPr>
            <w:tcW w:w="3323" w:type="dxa"/>
            <w:shd w:val="clear" w:color="auto" w:fill="FFFFFF"/>
          </w:tcPr>
          <w:p>
            <w:pPr>
              <w:pStyle w:val="Compact"/>
              <w:spacing w:after="40" w:before="40"/>
              <w:jc w:val="left"/>
            </w:pPr>
            <w:r>
              <w:rPr>
                <w:rFonts w:ascii="Tahoma" w:hAnsi="Tahoma"/>
                <w:sz w:val="22"/>
              </w:rPr>
              <w:t xml:space="preserve">Refurbishment and repair before sale (UK contractor)</w:t>
            </w:r>
          </w:p>
        </w:tc>
        <w:tc>
          <w:tcPr>
            <w:tcW w:w="1565" w:type="dxa"/>
            <w:shd w:val="clear" w:color="auto" w:fill="FFFFFF"/>
          </w:tcPr>
          <w:p>
            <w:pPr>
              <w:pStyle w:val="Compact"/>
              <w:spacing w:after="40" w:before="40"/>
              <w:jc w:val="left"/>
            </w:pPr>
            <w:r>
              <w:rPr>
                <w:rFonts w:ascii="Tahoma" w:hAnsi="Tahoma"/>
                <w:sz w:val="22"/>
              </w:rPr>
              <w:t xml:space="preserve">2,000</w:t>
            </w:r>
          </w:p>
        </w:tc>
        <w:tc>
          <w:tcPr>
            <w:tcW w:w="1565" w:type="dxa"/>
            <w:shd w:val="clear" w:color="auto" w:fill="FFFFFF"/>
          </w:tcPr>
          <w:p>
            <w:pPr>
              <w:pStyle w:val="Compact"/>
              <w:spacing w:after="40" w:before="40"/>
              <w:jc w:val="left"/>
            </w:pPr>
            <w:r>
              <w:rPr>
                <w:rFonts w:ascii="Tahoma" w:hAnsi="Tahoma"/>
                <w:sz w:val="22"/>
              </w:rPr>
              <w:t xml:space="preserve">400</w:t>
            </w:r>
          </w:p>
        </w:tc>
        <w:tc>
          <w:tcPr>
            <w:tcW w:w="2571" w:type="dxa"/>
            <w:shd w:val="clear" w:color="auto" w:fill="FFFFFF"/>
          </w:tcPr>
          <w:p>
            <w:pPr>
              <w:pStyle w:val="Compact"/>
              <w:spacing w:after="40" w:before="40"/>
              <w:jc w:val="left"/>
            </w:pPr>
            <w:r>
              <w:rPr>
                <w:rFonts w:ascii="Tahoma" w:hAnsi="Tahoma"/>
                <w:b/>
                <w:bCs/>
                <w:sz w:val="22"/>
              </w:rPr>
              <w:t xml:space="preserve">Input tax</w:t>
            </w:r>
            <w:r>
              <w:rPr>
                <w:rFonts w:ascii="Tahoma" w:hAnsi="Tahoma"/>
                <w:sz w:val="22"/>
              </w:rPr>
              <w:t xml:space="preserve"> </w:t>
            </w:r>
            <w:r>
              <w:rPr>
                <w:rFonts w:ascii="Tahoma" w:hAnsi="Tahoma"/>
                <w:sz w:val="22"/>
              </w:rPr>
              <w:t xml:space="preserve">(business). Not Heading 37</w:t>
            </w:r>
          </w:p>
        </w:tc>
      </w:tr>
      <w:tr>
        <w:trPr>
          <w:cantSplit w:val="true"/>
        </w:trPr>
        <w:tc>
          <w:tcPr>
            <w:tcW w:w="3323" w:type="dxa"/>
            <w:shd w:val="clear" w:color="auto" w:fill="FBEAF1"/>
          </w:tcPr>
          <w:p>
            <w:pPr>
              <w:pStyle w:val="Compact"/>
              <w:spacing w:after="40" w:before="40"/>
              <w:jc w:val="left"/>
            </w:pPr>
            <w:r>
              <w:rPr>
                <w:rFonts w:ascii="Tahoma" w:hAnsi="Tahoma"/>
                <w:sz w:val="22"/>
              </w:rPr>
              <w:t xml:space="preserve">Sales agent’s commission</w:t>
            </w:r>
          </w:p>
        </w:tc>
        <w:tc>
          <w:tcPr>
            <w:tcW w:w="1565" w:type="dxa"/>
            <w:shd w:val="clear" w:color="auto" w:fill="FBEAF1"/>
          </w:tcPr>
          <w:p>
            <w:pPr>
              <w:pStyle w:val="Compact"/>
              <w:spacing w:after="40" w:before="40"/>
              <w:jc w:val="left"/>
            </w:pPr>
            <w:r>
              <w:rPr>
                <w:rFonts w:ascii="Tahoma" w:hAnsi="Tahoma"/>
                <w:sz w:val="22"/>
              </w:rPr>
              <w:t xml:space="preserve">4,000</w:t>
            </w:r>
          </w:p>
        </w:tc>
        <w:tc>
          <w:tcPr>
            <w:tcW w:w="1565" w:type="dxa"/>
            <w:shd w:val="clear" w:color="auto" w:fill="FBEAF1"/>
          </w:tcPr>
          <w:p>
            <w:pPr>
              <w:pStyle w:val="Compact"/>
              <w:spacing w:after="40" w:before="40"/>
              <w:jc w:val="left"/>
            </w:pPr>
            <w:r>
              <w:rPr>
                <w:rFonts w:ascii="Tahoma" w:hAnsi="Tahoma"/>
                <w:sz w:val="22"/>
              </w:rPr>
              <w:t xml:space="preserve">800</w:t>
            </w:r>
          </w:p>
        </w:tc>
        <w:tc>
          <w:tcPr>
            <w:tcW w:w="2571" w:type="dxa"/>
            <w:shd w:val="clear" w:color="auto" w:fill="FBEAF1"/>
          </w:tcPr>
          <w:p>
            <w:pPr>
              <w:pStyle w:val="Compact"/>
              <w:spacing w:after="40" w:before="40"/>
              <w:jc w:val="left"/>
            </w:pPr>
            <w:r>
              <w:rPr>
                <w:rFonts w:ascii="Tahoma" w:hAnsi="Tahoma"/>
                <w:b/>
                <w:bCs/>
                <w:sz w:val="22"/>
              </w:rPr>
              <w:t xml:space="preserve">Input tax</w:t>
            </w:r>
          </w:p>
        </w:tc>
      </w:tr>
      <w:tr>
        <w:trPr>
          <w:cantSplit w:val="true"/>
        </w:trPr>
        <w:tc>
          <w:tcPr>
            <w:tcW w:w="3323" w:type="dxa"/>
            <w:shd w:val="clear" w:color="auto" w:fill="EAF3FA"/>
          </w:tcPr>
          <w:p>
            <w:pPr>
              <w:pStyle w:val="Compact"/>
              <w:spacing w:after="40" w:before="40"/>
              <w:jc w:val="left"/>
            </w:pPr>
            <w:r>
              <w:rPr>
                <w:rFonts w:ascii="Tahoma" w:hAnsi="Tahoma"/>
                <w:sz w:val="22"/>
              </w:rPr>
              <w:t xml:space="preserve">Crating by a UK packer, invoiced to the Department</w:t>
            </w:r>
          </w:p>
        </w:tc>
        <w:tc>
          <w:tcPr>
            <w:tcW w:w="1565" w:type="dxa"/>
            <w:shd w:val="clear" w:color="auto" w:fill="EAF3FA"/>
          </w:tcPr>
          <w:p>
            <w:pPr>
              <w:pStyle w:val="Compact"/>
              <w:spacing w:after="40" w:before="40"/>
              <w:jc w:val="left"/>
            </w:pPr>
            <w:r>
              <w:rPr>
                <w:rFonts w:ascii="Tahoma" w:hAnsi="Tahoma"/>
                <w:sz w:val="22"/>
              </w:rPr>
              <w:t xml:space="preserve">1,000</w:t>
            </w:r>
          </w:p>
        </w:tc>
        <w:tc>
          <w:tcPr>
            <w:tcW w:w="1565" w:type="dxa"/>
            <w:shd w:val="clear" w:color="auto" w:fill="EAF3FA"/>
          </w:tcPr>
          <w:p>
            <w:pPr>
              <w:pStyle w:val="Compact"/>
              <w:spacing w:after="40" w:before="40"/>
              <w:jc w:val="left"/>
            </w:pPr>
            <w:r>
              <w:rPr>
                <w:rFonts w:ascii="Tahoma" w:hAnsi="Tahoma"/>
                <w:sz w:val="22"/>
              </w:rPr>
              <w:t xml:space="preserve">200</w:t>
            </w:r>
          </w:p>
        </w:tc>
        <w:tc>
          <w:tcPr>
            <w:tcW w:w="2571" w:type="dxa"/>
            <w:shd w:val="clear" w:color="auto" w:fill="EAF3FA"/>
          </w:tcPr>
          <w:p>
            <w:pPr>
              <w:pStyle w:val="Compact"/>
              <w:spacing w:after="40" w:before="40"/>
              <w:jc w:val="left"/>
            </w:pPr>
            <w:r>
              <w:rPr>
                <w:rFonts w:ascii="Tahoma" w:hAnsi="Tahoma"/>
                <w:b/>
                <w:bCs/>
                <w:sz w:val="22"/>
              </w:rPr>
              <w:t xml:space="preserve">Input tax</w:t>
            </w:r>
          </w:p>
        </w:tc>
      </w:tr>
      <w:tr>
        <w:trPr>
          <w:cantSplit w:val="true"/>
        </w:trPr>
        <w:tc>
          <w:tcPr>
            <w:tcW w:w="3323" w:type="dxa"/>
            <w:shd w:val="clear" w:color="auto" w:fill="FFFFFF"/>
          </w:tcPr>
          <w:p>
            <w:pPr>
              <w:pStyle w:val="Compact"/>
              <w:spacing w:after="40" w:before="40"/>
              <w:jc w:val="left"/>
            </w:pPr>
            <w:r>
              <w:rPr>
                <w:rFonts w:ascii="Tahoma" w:hAnsi="Tahoma"/>
                <w:sz w:val="22"/>
              </w:rPr>
              <w:t xml:space="preserve">International freight</w:t>
            </w:r>
          </w:p>
        </w:tc>
        <w:tc>
          <w:tcPr>
            <w:tcW w:w="1565" w:type="dxa"/>
            <w:shd w:val="clear" w:color="auto" w:fill="FFFFFF"/>
          </w:tcPr>
          <w:p>
            <w:pPr>
              <w:pStyle w:val="Compact"/>
              <w:spacing w:after="40" w:before="40"/>
              <w:jc w:val="left"/>
            </w:pPr>
            <w:r>
              <w:rPr>
                <w:rFonts w:ascii="Tahoma" w:hAnsi="Tahoma"/>
                <w:sz w:val="22"/>
              </w:rPr>
              <w:t xml:space="preserve">3,000</w:t>
            </w:r>
          </w:p>
        </w:tc>
        <w:tc>
          <w:tcPr>
            <w:tcW w:w="1565" w:type="dxa"/>
            <w:shd w:val="clear" w:color="auto" w:fill="FFFFFF"/>
          </w:tcPr>
          <w:p>
            <w:pPr>
              <w:pStyle w:val="Compact"/>
              <w:spacing w:after="40" w:before="40"/>
              <w:jc w:val="left"/>
            </w:pPr>
            <w:r>
              <w:rPr>
                <w:rFonts w:ascii="Tahoma" w:hAnsi="Tahoma"/>
                <w:sz w:val="22"/>
              </w:rPr>
              <w:t xml:space="preserve">0</w:t>
            </w:r>
          </w:p>
        </w:tc>
        <w:tc>
          <w:tcPr>
            <w:tcW w:w="2571" w:type="dxa"/>
            <w:shd w:val="clear" w:color="auto" w:fill="FFFFFF"/>
          </w:tcPr>
          <w:p>
            <w:pPr>
              <w:pStyle w:val="Compact"/>
              <w:spacing w:after="40" w:before="40"/>
              <w:jc w:val="left"/>
            </w:pPr>
            <w:r>
              <w:rPr>
                <w:rFonts w:ascii="Tahoma" w:hAnsi="Tahoma"/>
                <w:sz w:val="22"/>
              </w:rPr>
              <w:t xml:space="preserve">Zero-rated, no VAT</w:t>
            </w:r>
          </w:p>
        </w:tc>
      </w:tr>
      <w:tr>
        <w:trPr>
          <w:cantSplit w:val="true"/>
        </w:trPr>
        <w:tc>
          <w:tcPr>
            <w:tcW w:w="3323" w:type="dxa"/>
            <w:shd w:val="clear" w:color="auto" w:fill="FBEAF1"/>
          </w:tcPr>
          <w:p>
            <w:pPr>
              <w:pStyle w:val="Compact"/>
              <w:spacing w:after="40" w:before="40"/>
              <w:jc w:val="left"/>
            </w:pPr>
            <w:r>
              <w:rPr>
                <w:rFonts w:ascii="Tahoma" w:hAnsi="Tahoma"/>
                <w:sz w:val="22"/>
              </w:rPr>
              <w:t xml:space="preserve">Trade-fair ticket in Germany: €800 + German VAT €152 (illustrative)</w:t>
            </w:r>
          </w:p>
        </w:tc>
        <w:tc>
          <w:tcPr>
            <w:tcW w:w="1565" w:type="dxa"/>
            <w:shd w:val="clear" w:color="auto" w:fill="FBEAF1"/>
          </w:tcPr>
          <w:p>
            <w:pPr>
              <w:pStyle w:val="Compact"/>
              <w:spacing w:after="40" w:before="40"/>
              <w:jc w:val="left"/>
            </w:pPr>
            <w:r>
              <w:rPr>
                <w:rFonts w:ascii="Tahoma" w:hAnsi="Tahoma"/>
                <w:sz w:val="22"/>
              </w:rPr>
              <w:t xml:space="preserve">€800</w:t>
            </w:r>
          </w:p>
        </w:tc>
        <w:tc>
          <w:tcPr>
            <w:tcW w:w="1565" w:type="dxa"/>
            <w:shd w:val="clear" w:color="auto" w:fill="FBEAF1"/>
          </w:tcPr>
          <w:p>
            <w:pPr>
              <w:pStyle w:val="Compact"/>
              <w:spacing w:after="40" w:before="40"/>
              <w:jc w:val="left"/>
            </w:pPr>
            <w:r>
              <w:rPr>
                <w:rFonts w:ascii="Tahoma" w:hAnsi="Tahoma"/>
                <w:sz w:val="22"/>
              </w:rPr>
              <w:t xml:space="preserve">€152</w:t>
            </w:r>
          </w:p>
        </w:tc>
        <w:tc>
          <w:tcPr>
            <w:tcW w:w="2571" w:type="dxa"/>
            <w:shd w:val="clear" w:color="auto" w:fill="FBEAF1"/>
          </w:tcPr>
          <w:p>
            <w:pPr>
              <w:pStyle w:val="Compact"/>
              <w:spacing w:after="40" w:before="40"/>
              <w:jc w:val="left"/>
            </w:pPr>
            <w:r>
              <w:rPr>
                <w:rFonts w:ascii="Tahoma" w:hAnsi="Tahoma"/>
                <w:b/>
                <w:bCs/>
                <w:sz w:val="22"/>
              </w:rPr>
              <w:t xml:space="preserve">Not</w:t>
            </w:r>
            <w:r>
              <w:rPr>
                <w:rFonts w:ascii="Tahoma" w:hAnsi="Tahoma"/>
                <w:sz w:val="22"/>
              </w:rPr>
              <w:t xml:space="preserve"> </w:t>
            </w:r>
            <w:r>
              <w:rPr>
                <w:rFonts w:ascii="Tahoma" w:hAnsi="Tahoma"/>
                <w:sz w:val="22"/>
              </w:rPr>
              <w:t xml:space="preserve">on the UK return. Possibly reclaimable from Germany</w:t>
            </w:r>
          </w:p>
        </w:tc>
      </w:tr>
    </w:tbl>
    <w:p>
      <w:pPr>
        <w:pStyle w:val="Compact"/>
        <w:numPr>
          <w:ilvl w:val="0"/>
          <w:numId w:val="1285"/>
        </w:numPr>
        <w:spacing w:before="200"/>
      </w:pPr>
      <w:r>
        <w:rPr>
          <w:b/>
          <w:bCs/>
        </w:rPr>
        <w:t xml:space="preserve">UK VAT recovered as input tax: £1,400.</w:t>
      </w:r>
      <w:r>
        <w:t xml:space="preserve"> </w:t>
      </w:r>
      <w:r>
        <w:t xml:space="preserve">It goes on the VAT return as input tax, directly attributable to a zero-rated (taxable) supply</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285"/>
        </w:numPr>
      </w:pPr>
      <w:r>
        <w:t xml:space="preserve">It is</w:t>
      </w:r>
      <w:r>
        <w:t xml:space="preserve"> </w:t>
      </w:r>
      <w:r>
        <w:rPr>
          <w:b/>
          <w:bCs/>
        </w:rPr>
        <w:t xml:space="preserve">not</w:t>
      </w:r>
      <w:r>
        <w:t xml:space="preserve"> </w:t>
      </w:r>
      <w:r>
        <w:t xml:space="preserve">a COS claim, so the COS financial-year rule does not apply (see Part 5, How and when to claim). The normal input tax time limits do</w:t>
      </w:r>
      <w:r>
        <w:t xml:space="preserve"> </w:t>
      </w:r>
      <w:r>
        <w:t xml:space="preserve">(</w:t>
      </w:r>
      <w:hyperlink w:anchor="ref-hmrc_n70045">
        <w:r>
          <w:rPr>
            <w:rStyle w:val="Hyperlink"/>
          </w:rPr>
          <w:t xml:space="preserve">HMRC, 2025e, para. 6.1</w:t>
        </w:r>
      </w:hyperlink>
      <w:r>
        <w:t xml:space="preserve">)</w:t>
      </w:r>
      <w:r>
        <w:t xml:space="preserve">.</w:t>
      </w:r>
    </w:p>
    <w:p>
      <w:pPr>
        <w:pStyle w:val="Compact"/>
        <w:numPr>
          <w:ilvl w:val="0"/>
          <w:numId w:val="1285"/>
        </w:numPr>
      </w:pPr>
      <w:r>
        <w:t xml:space="preserve">If the export evidence were missing, the sale could not be zero-rated, and the Department would have to account for UK VAT on it at the standard rate</w:t>
      </w:r>
      <w:r>
        <w:t xml:space="preserve"> </w:t>
      </w:r>
      <w:r>
        <w:t xml:space="preserve">(</w:t>
      </w:r>
      <w:hyperlink w:anchor="ref-hmrc_n703">
        <w:r>
          <w:rPr>
            <w:rStyle w:val="Hyperlink"/>
          </w:rPr>
          <w:t xml:space="preserve">HMRC, 2026p</w:t>
        </w:r>
      </w:hyperlink>
      <w:r>
        <w:t xml:space="preserve">, paras. 3.8 and 6.8)</w:t>
      </w:r>
      <w:r>
        <w:t xml:space="preserve">.</w:t>
      </w:r>
    </w:p>
    <w:p>
      <w:pPr>
        <w:pStyle w:val="FirstParagraph"/>
      </w:pPr>
      <w:r>
        <w:rPr>
          <w:b/>
          <w:bCs/>
        </w:rPr>
        <w:t xml:space="preserve">Data licence example.</w:t>
      </w:r>
      <w:r>
        <w:t xml:space="preserve"> </w:t>
      </w:r>
      <w:r>
        <w:t xml:space="preserve">The Department sells a dataset licence to a US company for £25,000.</w:t>
      </w:r>
    </w:p>
    <w:p>
      <w:pPr>
        <w:pStyle w:val="Compact"/>
        <w:numPr>
          <w:ilvl w:val="0"/>
          <w:numId w:val="1286"/>
        </w:numPr>
      </w:pPr>
      <w:r>
        <w:t xml:space="preserve">The supply is outside the scope of UK VAT (business-to-business general rule), so no UK VAT is charged</w:t>
      </w:r>
      <w:r>
        <w:t xml:space="preserve"> </w:t>
      </w:r>
      <w:r>
        <w:t xml:space="preserve">(</w:t>
      </w:r>
      <w:hyperlink w:anchor="ref-hmrc_n741a">
        <w:r>
          <w:rPr>
            <w:rStyle w:val="Hyperlink"/>
          </w:rPr>
          <w:t xml:space="preserve">HMRC, 2022d</w:t>
        </w:r>
      </w:hyperlink>
      <w:r>
        <w:t xml:space="preserve">, paras. 5.3 and 6.3)</w:t>
      </w:r>
      <w:r>
        <w:t xml:space="preserve">.</w:t>
      </w:r>
    </w:p>
    <w:p>
      <w:pPr>
        <w:pStyle w:val="Compact"/>
        <w:numPr>
          <w:ilvl w:val="0"/>
          <w:numId w:val="1286"/>
        </w:numPr>
      </w:pPr>
      <w:r>
        <w:t xml:space="preserve">The £300 VAT on a £1,500 UK lawyer’s fee for drafting the licence is</w:t>
      </w:r>
      <w:r>
        <w:t xml:space="preserve"> </w:t>
      </w:r>
      <w:r>
        <w:rPr>
          <w:b/>
          <w:bCs/>
        </w:rPr>
        <w:t xml:space="preserve">input tax</w:t>
      </w:r>
      <w:r>
        <w:t xml:space="preserve">, recoverable because the supply would be taxable if made in the UK (Value Added Tax Act 1994, s. 26(2)(b)).</w:t>
      </w:r>
    </w:p>
    <w:p>
      <w:pPr>
        <w:pStyle w:val="Compact"/>
        <w:numPr>
          <w:ilvl w:val="0"/>
          <w:numId w:val="1286"/>
        </w:numPr>
      </w:pPr>
      <w:r>
        <w:t xml:space="preserve">It is</w:t>
      </w:r>
      <w:r>
        <w:t xml:space="preserve"> </w:t>
      </w:r>
      <w:r>
        <w:rPr>
          <w:b/>
          <w:bCs/>
        </w:rPr>
        <w:t xml:space="preserve">not</w:t>
      </w:r>
      <w:r>
        <w:t xml:space="preserve"> </w:t>
      </w:r>
      <w:r>
        <w:t xml:space="preserve">a Heading 52 claim, because the cost relates to a business activity</w:t>
      </w:r>
      <w:r>
        <w:t xml:space="preserve"> </w:t>
      </w:r>
      <w:r>
        <w:t xml:space="preserve">(</w:t>
      </w:r>
      <w:hyperlink w:anchor="ref-hmrc_gdpef">
        <w:r>
          <w:rPr>
            <w:rStyle w:val="Hyperlink"/>
          </w:rPr>
          <w:t xml:space="preserve">HMRC, 2023c</w:t>
        </w:r>
      </w:hyperlink>
      <w:r>
        <w:t xml:space="preserve">)</w:t>
      </w:r>
      <w:r>
        <w:t xml:space="preserve">.</w:t>
      </w:r>
    </w:p>
    <w:bookmarkEnd w:id="232"/>
    <w:bookmarkEnd w:id="233"/>
    <w:bookmarkStart w:id="240" w:name="Xbcf661fe83a2545969e38fa7be662189c0ed952"/>
    <w:p>
      <w:pPr>
        <w:pStyle w:val="Heading3"/>
      </w:pPr>
      <w:r>
        <w:t xml:space="preserve">4. Providing items to overseas governments</w:t>
      </w:r>
    </w:p>
    <w:bookmarkStart w:id="234" w:name="the-vat-position-in-plain-english-3"/>
    <w:p>
      <w:pPr>
        <w:pStyle w:val="Heading4"/>
      </w:pPr>
      <w:r>
        <w:t xml:space="preserve">The VAT position in plain English</w:t>
      </w:r>
    </w:p>
    <w:p>
      <w:pPr>
        <w:pStyle w:val="FirstParagraph"/>
      </w:pPr>
      <w:r>
        <w:t xml:space="preserve">When the Department</w:t>
      </w:r>
      <w:r>
        <w:t xml:space="preserve"> </w:t>
      </w:r>
      <w:r>
        <w:rPr>
          <w:b/>
          <w:bCs/>
        </w:rPr>
        <w:t xml:space="preserve">gives</w:t>
      </w:r>
      <w:r>
        <w:t xml:space="preserve"> </w:t>
      </w:r>
      <w:r>
        <w:t xml:space="preserve">equipment, training or expertise to an overseas government free of charge (for example in a capability-building or aid programme), it is a</w:t>
      </w:r>
      <w:r>
        <w:t xml:space="preserve"> </w:t>
      </w:r>
      <w:r>
        <w:rPr>
          <w:b/>
          <w:bCs/>
        </w:rPr>
        <w:t xml:space="preserve">non-business</w:t>
      </w:r>
      <w:r>
        <w:t xml:space="preserve"> </w:t>
      </w:r>
      <w:r>
        <w:t xml:space="preserve">activity. There is no payment, so there is no business supply</w:t>
      </w:r>
      <w:r>
        <w:t xml:space="preserve"> </w:t>
      </w:r>
      <w:r>
        <w:t xml:space="preserve">(</w:t>
      </w:r>
      <w:hyperlink w:anchor="ref-hmrc_vatgpb">
        <w:r>
          <w:rPr>
            <w:rStyle w:val="Hyperlink"/>
          </w:rPr>
          <w:t xml:space="preserve">HMRC, 2026n, sec. VATGPB3100</w:t>
        </w:r>
      </w:hyperlink>
      <w:r>
        <w:t xml:space="preserve">)</w:t>
      </w:r>
      <w:r>
        <w:t xml:space="preserve">.</w:t>
      </w:r>
    </w:p>
    <w:p>
      <w:pPr>
        <w:pStyle w:val="Compact"/>
        <w:numPr>
          <w:ilvl w:val="0"/>
          <w:numId w:val="1287"/>
        </w:numPr>
      </w:pPr>
      <w:r>
        <w:rPr>
          <w:b/>
          <w:bCs/>
        </w:rPr>
        <w:t xml:space="preserve">Goods bought to give away:</w:t>
      </w:r>
      <w:r>
        <w:t xml:space="preserve"> </w:t>
      </w:r>
      <w:r>
        <w:t xml:space="preserve">the VAT is</w:t>
      </w:r>
      <w:r>
        <w:t xml:space="preserve"> </w:t>
      </w:r>
      <w:r>
        <w:rPr>
          <w:b/>
          <w:bCs/>
        </w:rPr>
        <w:t xml:space="preserve">not input tax</w:t>
      </w:r>
      <w:r>
        <w:t xml:space="preserve">, because the use is non-business, and</w:t>
      </w:r>
      <w:r>
        <w:t xml:space="preserve"> </w:t>
      </w:r>
      <w:r>
        <w:rPr>
          <w:b/>
          <w:bCs/>
        </w:rPr>
        <w:t xml:space="preserve">not COS</w:t>
      </w:r>
      <w:r>
        <w:t xml:space="preserve">, because standalone goods are not covered by the Direction</w:t>
      </w:r>
      <w:r>
        <w:t xml:space="preserve"> </w:t>
      </w:r>
      <w:r>
        <w:t xml:space="preserve">(</w:t>
      </w:r>
      <w:hyperlink w:anchor="ref-gazette_2020">
        <w:r>
          <w:rPr>
            <w:rStyle w:val="Hyperlink"/>
          </w:rPr>
          <w:t xml:space="preserve">HM Treasury, 2020b, para. 2</w:t>
        </w:r>
      </w:hyperlink>
      <w:r>
        <w:t xml:space="preserve">;</w:t>
      </w:r>
      <w:r>
        <w:t xml:space="preserve"> </w:t>
      </w:r>
      <w:hyperlink w:anchor="ref-hmrc_gdpef">
        <w:r>
          <w:rPr>
            <w:rStyle w:val="Hyperlink"/>
          </w:rPr>
          <w:t xml:space="preserve">HMRC, 2023c</w:t>
        </w:r>
      </w:hyperlink>
      <w:r>
        <w:t xml:space="preserve">;</w:t>
      </w:r>
      <w:r>
        <w:t xml:space="preserve"> </w:t>
      </w:r>
      <w:hyperlink w:anchor="ref-hmrc_vatgpb">
        <w:r>
          <w:rPr>
            <w:rStyle w:val="Hyperlink"/>
          </w:rPr>
          <w:t xml:space="preserve">2026n, sec. VATGPB11370</w:t>
        </w:r>
      </w:hyperlink>
      <w:r>
        <w:t xml:space="preserve">)</w:t>
      </w:r>
      <w:r>
        <w:t xml:space="preserve">. It is a</w:t>
      </w:r>
      <w:r>
        <w:t xml:space="preserve"> </w:t>
      </w:r>
      <w:r>
        <w:rPr>
          <w:b/>
          <w:bCs/>
        </w:rPr>
        <w:t xml:space="preserve">cost</w:t>
      </w:r>
      <w:r>
        <w:t xml:space="preserve">, unless the purchase can be zero-rated at source (see the planning point below).</w:t>
      </w:r>
    </w:p>
    <w:p>
      <w:pPr>
        <w:pStyle w:val="Compact"/>
        <w:numPr>
          <w:ilvl w:val="0"/>
          <w:numId w:val="1287"/>
        </w:numPr>
      </w:pPr>
      <w:r>
        <w:rPr>
          <w:b/>
          <w:bCs/>
        </w:rPr>
        <w:t xml:space="preserve">Services that support the programme</w:t>
      </w:r>
      <w:r>
        <w:t xml:space="preserve"> </w:t>
      </w:r>
      <w:r>
        <w:t xml:space="preserve">may be within a COS heading. Examples are storage, delivery, translation, secure transport, advice, administration of grants and some training. If they are, UK VAT on them is refundable for the non-business use</w:t>
      </w:r>
      <w:r>
        <w:t xml:space="preserve"> </w:t>
      </w:r>
      <w:r>
        <w:t xml:space="preserve">(</w:t>
      </w:r>
      <w:hyperlink w:anchor="ref-gazette_2020">
        <w:r>
          <w:rPr>
            <w:rStyle w:val="Hyperlink"/>
          </w:rPr>
          <w:t xml:space="preserve">HM Treasury, 2020b, para. 2</w:t>
        </w:r>
      </w:hyperlink>
      <w:r>
        <w:t xml:space="preserve">)</w:t>
      </w:r>
      <w:r>
        <w:t xml:space="preserve">.</w:t>
      </w:r>
    </w:p>
    <w:p>
      <w:pPr>
        <w:pStyle w:val="Compact"/>
        <w:numPr>
          <w:ilvl w:val="0"/>
          <w:numId w:val="1287"/>
        </w:numPr>
      </w:pPr>
      <w:r>
        <w:rPr>
          <w:b/>
          <w:bCs/>
        </w:rPr>
        <w:t xml:space="preserve">No deemed supply on the gift.</w:t>
      </w:r>
      <w:r>
        <w:t xml:space="preserve"> </w:t>
      </w:r>
      <w:r>
        <w:t xml:space="preserve">VAT law can treat a business gift of goods as a supply. That rule does not bite where the person was not entitled to input tax credit on the goods (Value Added Tax Act 1994, Sch. 4, para. 5(1) and (5)). A COS refund is not input tax credit, although HMRC has not said so in terms. In any case, goods bought for giving away will not usually have carried any refund at all.</w:t>
      </w:r>
    </w:p>
    <w:bookmarkEnd w:id="234"/>
    <w:bookmarkStart w:id="235" w:name="Xb6f2a3dc8e37d6e0d51cc13aca8bc4979df8497"/>
    <w:p>
      <w:pPr>
        <w:pStyle w:val="Heading4"/>
      </w:pPr>
      <w:r>
        <w:t xml:space="preserve">Planning point: have the supplier export the goods directly</w:t>
      </w:r>
    </w:p>
    <w:p>
      <w:pPr>
        <w:pStyle w:val="FirstParagraph"/>
      </w:pPr>
      <w:r>
        <w:t xml:space="preserve">HMRC’s VAT Notice 703, paragraph 4.12, says a supplier can zero-rate goods supplied to a government department</w:t>
      </w:r>
      <w:r>
        <w:t xml:space="preserve"> </w:t>
      </w:r>
      <w:r>
        <w:t xml:space="preserve">“</w:t>
      </w:r>
      <w:r>
        <w:t xml:space="preserve">only if you arrange for their direct export to a destination outside the UK</w:t>
      </w:r>
      <w:r>
        <w:t xml:space="preserve">”</w:t>
      </w:r>
      <w:r>
        <w:t xml:space="preserve"> </w:t>
      </w:r>
      <w:r>
        <w:t xml:space="preserve">and meet the Notice’s conditions. It adds:</w:t>
      </w:r>
      <w:r>
        <w:t xml:space="preserve"> </w:t>
      </w:r>
      <w:r>
        <w:t xml:space="preserve">“</w:t>
      </w:r>
      <w:r>
        <w:t xml:space="preserve">You must not zero rate goods for export delivered to government departments in the UK even if the goods are ordered for, or by, overseas establishments</w:t>
      </w:r>
      <w:r>
        <w:t xml:space="preserve">”</w:t>
      </w:r>
      <w:r>
        <w:t xml:space="preserve"> </w:t>
      </w:r>
      <w:r>
        <w:t xml:space="preserve">(</w:t>
      </w:r>
      <w:hyperlink w:anchor="ref-hmrc_n703">
        <w:r>
          <w:rPr>
            <w:rStyle w:val="Hyperlink"/>
          </w:rPr>
          <w:t xml:space="preserve">HMRC, 2026p, para. 4.12</w:t>
        </w:r>
      </w:hyperlink>
      <w:r>
        <w:t xml:space="preserve">)</w:t>
      </w:r>
      <w:r>
        <w:t xml:space="preserve">. For the general rule, see Part 4, Goods delivered to government departments in the UK are not zero-rated, even if they are going abroad.</w:t>
      </w:r>
    </w:p>
    <w:p>
      <w:pPr>
        <w:pStyle w:val="Compact"/>
        <w:numPr>
          <w:ilvl w:val="0"/>
          <w:numId w:val="1288"/>
        </w:numPr>
      </w:pPr>
      <w:r>
        <w:rPr>
          <w:b/>
          <w:bCs/>
        </w:rPr>
        <w:t xml:space="preserve">Goods delivered to the Department in the UK first</w:t>
      </w:r>
      <w:r>
        <w:t xml:space="preserve"> </w:t>
      </w:r>
      <w:r>
        <w:t xml:space="preserve">(for example to its warehouse), even if they are bought for an overseas government: the UK supplier charges 20% VAT to the Department. That VAT is not input tax, because the gift is non-business, and it is not refundable under COS, because it is a standalone supply of goods. It is a cost</w:t>
      </w:r>
      <w:r>
        <w:t xml:space="preserve"> </w:t>
      </w:r>
      <w:r>
        <w:t xml:space="preserve">(</w:t>
      </w:r>
      <w:hyperlink w:anchor="ref-gazette_2020">
        <w:r>
          <w:rPr>
            <w:rStyle w:val="Hyperlink"/>
          </w:rPr>
          <w:t xml:space="preserve">HM Treasury, 2020b, para. 2</w:t>
        </w:r>
      </w:hyperlink>
      <w:r>
        <w:t xml:space="preserve">;</w:t>
      </w:r>
      <w:r>
        <w:t xml:space="preserve"> </w:t>
      </w:r>
      <w:hyperlink w:anchor="ref-hmrc_gdpef">
        <w:r>
          <w:rPr>
            <w:rStyle w:val="Hyperlink"/>
          </w:rPr>
          <w:t xml:space="preserve">HMRC, 2023c</w:t>
        </w:r>
      </w:hyperlink>
      <w:r>
        <w:t xml:space="preserve">;</w:t>
      </w:r>
      <w:r>
        <w:t xml:space="preserve"> </w:t>
      </w:r>
      <w:hyperlink w:anchor="ref-hmrc_n703">
        <w:r>
          <w:rPr>
            <w:rStyle w:val="Hyperlink"/>
          </w:rPr>
          <w:t xml:space="preserve">2026p, para. 4.12</w:t>
        </w:r>
      </w:hyperlink>
      <w:r>
        <w:t xml:space="preserve">)</w:t>
      </w:r>
      <w:r>
        <w:t xml:space="preserve">.</w:t>
      </w:r>
    </w:p>
    <w:p>
      <w:pPr>
        <w:pStyle w:val="Compact"/>
        <w:numPr>
          <w:ilvl w:val="0"/>
          <w:numId w:val="1288"/>
        </w:numPr>
      </w:pPr>
      <w:r>
        <w:rPr>
          <w:b/>
          <w:bCs/>
        </w:rPr>
        <w:t xml:space="preserve">Goods exported directly by the supplier to the overseas recipient,</w:t>
      </w:r>
      <w:r>
        <w:t xml:space="preserve"> </w:t>
      </w:r>
      <w:r>
        <w:t xml:space="preserve">with proper evidence: zero-rated, so</w:t>
      </w:r>
      <w:r>
        <w:t xml:space="preserve"> </w:t>
      </w:r>
      <w:r>
        <w:rPr>
          <w:b/>
          <w:bCs/>
        </w:rPr>
        <w:t xml:space="preserve">no UK VAT</w:t>
      </w:r>
      <w:r>
        <w:t xml:space="preserve"> </w:t>
      </w:r>
      <w:r>
        <w:t xml:space="preserve">in the first place</w:t>
      </w:r>
      <w:r>
        <w:t xml:space="preserve"> </w:t>
      </w:r>
      <w:r>
        <w:t xml:space="preserve">(</w:t>
      </w:r>
      <w:hyperlink w:anchor="ref-hmrc_n703">
        <w:r>
          <w:rPr>
            <w:rStyle w:val="Hyperlink"/>
          </w:rPr>
          <w:t xml:space="preserve">HMRC, 2026p</w:t>
        </w:r>
      </w:hyperlink>
      <w:r>
        <w:t xml:space="preserve">, paras. 3.3 and 4.12)</w:t>
      </w:r>
      <w:r>
        <w:t xml:space="preserve">.</w:t>
      </w:r>
    </w:p>
    <w:p>
      <w:pPr>
        <w:pStyle w:val="FirstParagraph"/>
      </w:pPr>
      <w:r>
        <w:t xml:space="preserve">Two other Notice 703 rules are narrower:</w:t>
      </w:r>
    </w:p>
    <w:p>
      <w:pPr>
        <w:pStyle w:val="Compact"/>
        <w:numPr>
          <w:ilvl w:val="0"/>
          <w:numId w:val="1289"/>
        </w:numPr>
      </w:pPr>
      <w:r>
        <w:rPr>
          <w:b/>
          <w:bCs/>
        </w:rPr>
        <w:t xml:space="preserve">Paragraph 7.12</w:t>
      </w:r>
      <w:r>
        <w:t xml:space="preserve"> </w:t>
      </w:r>
      <w:r>
        <w:t xml:space="preserve">lets a supplier zero-rate goods ordered by British Embassies, British High Commissions and British diplomats abroad and delivered to the Foreign, Commonwealth and Development Office (FCDO) or FCDO Services for export through diplomatic channels within 3 months. It covers only goods routed through the FCDO or FCDO Services, not goods delivered to the Department</w:t>
      </w:r>
      <w:r>
        <w:t xml:space="preserve"> </w:t>
      </w:r>
      <w:r>
        <w:t xml:space="preserve">(</w:t>
      </w:r>
      <w:hyperlink w:anchor="ref-hmrc_n703">
        <w:r>
          <w:rPr>
            <w:rStyle w:val="Hyperlink"/>
          </w:rPr>
          <w:t xml:space="preserve">HMRC, 2026p, para. 7.12</w:t>
        </w:r>
      </w:hyperlink>
      <w:r>
        <w:t xml:space="preserve">)</w:t>
      </w:r>
      <w:r>
        <w:t xml:space="preserve">.</w:t>
      </w:r>
    </w:p>
    <w:p>
      <w:pPr>
        <w:pStyle w:val="Compact"/>
        <w:numPr>
          <w:ilvl w:val="0"/>
          <w:numId w:val="1289"/>
        </w:numPr>
      </w:pPr>
      <w:r>
        <w:rPr>
          <w:b/>
          <w:bCs/>
        </w:rPr>
        <w:t xml:space="preserve">Paragraph 4.13</w:t>
      </w:r>
      <w:r>
        <w:t xml:space="preserve"> </w:t>
      </w:r>
      <w:r>
        <w:t xml:space="preserve">covers goods that an overseas government orders itself, through its embassy, High Commission or UK purchasing agent</w:t>
      </w:r>
      <w:r>
        <w:t xml:space="preserve"> </w:t>
      </w:r>
      <w:r>
        <w:t xml:space="preserve">(</w:t>
      </w:r>
      <w:hyperlink w:anchor="ref-hmrc_n703">
        <w:r>
          <w:rPr>
            <w:rStyle w:val="Hyperlink"/>
          </w:rPr>
          <w:t xml:space="preserve">HMRC, 2026p, para. 4.13</w:t>
        </w:r>
      </w:hyperlink>
      <w:r>
        <w:t xml:space="preserve">)</w:t>
      </w:r>
      <w:r>
        <w:t xml:space="preserve">. See</w:t>
      </w:r>
      <w:r>
        <w:t xml:space="preserve"> </w:t>
      </w:r>
      <w:hyperlink w:anchor="X27f8bf19a34e1b5f21f6dcbc4e6c4da22880ff0">
        <w:r>
          <w:rPr>
            <w:rStyle w:val="Hyperlink"/>
          </w:rPr>
          <w:t xml:space="preserve">Special regimes</w:t>
        </w:r>
      </w:hyperlink>
      <w:r>
        <w:t xml:space="preserve"> </w:t>
      </w:r>
      <w:r>
        <w:t xml:space="preserve">below.</w:t>
      </w:r>
    </w:p>
    <w:bookmarkEnd w:id="235"/>
    <w:bookmarkStart w:id="236" w:name="which-cos-headings-can-apply"/>
    <w:p>
      <w:pPr>
        <w:pStyle w:val="Heading4"/>
      </w:pPr>
      <w:r>
        <w:t xml:space="preserve">Which COS headings can apply</w:t>
      </w:r>
    </w:p>
    <w:p>
      <w:pPr>
        <w:pStyle w:val="FirstParagraph"/>
      </w:pPr>
      <w:r>
        <w:t xml:space="preserve">The table shows the services that commonly support a gifting programme, the COS heading that may cover each one, and the limits HMRC sets</w:t>
      </w:r>
      <w:r>
        <w:t xml:space="preserve"> </w:t>
      </w:r>
      <w:r>
        <w:t xml:space="preserve">(</w:t>
      </w:r>
      <w:hyperlink w:anchor="ref-hmrc_vatgpb">
        <w:r>
          <w:rPr>
            <w:rStyle w:val="Hyperlink"/>
          </w:rPr>
          <w:t xml:space="preserve">HMRC, 2026n</w:t>
        </w:r>
      </w:hyperlink>
      <w:r>
        <w:t xml:space="preserve">, secs. VATGPB10990, VATGPB9990, VATGPB10930, VATGPB10290, VATGPB10770, VATGPB9770, VATGPB10830 and VATGPB11030)</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496"/>
        <w:gridCol w:w="2039"/>
        <w:gridCol w:w="4489"/>
      </w:tblGrid>
      <w:tr>
        <w:trPr>
          <w:tblHeader w:val="true"/>
          <w:cantSplit w:val="true"/>
        </w:trPr>
        <w:tc>
          <w:tcPr>
            <w:tcW w:w="2496" w:type="dxa"/>
            <w:shd w:val="clear" w:color="auto" w:fill="1B3A5C"/>
          </w:tcPr>
          <w:p>
            <w:pPr>
              <w:pStyle w:val="Compact"/>
              <w:spacing w:after="40" w:before="40"/>
              <w:jc w:val="left"/>
            </w:pPr>
            <w:r>
              <w:rPr>
                <w:rFonts w:ascii="Tahoma" w:hAnsi="Tahoma"/>
                <w:b/>
                <w:color w:val="FFFFFF"/>
                <w:sz w:val="22"/>
              </w:rPr>
              <w:t xml:space="preserve">Service</w:t>
            </w:r>
          </w:p>
        </w:tc>
        <w:tc>
          <w:tcPr>
            <w:tcW w:w="2039" w:type="dxa"/>
            <w:shd w:val="clear" w:color="auto" w:fill="1B3A5C"/>
          </w:tcPr>
          <w:p>
            <w:pPr>
              <w:pStyle w:val="Compact"/>
              <w:spacing w:after="40" w:before="40"/>
              <w:jc w:val="left"/>
            </w:pPr>
            <w:r>
              <w:rPr>
                <w:rFonts w:ascii="Tahoma" w:hAnsi="Tahoma"/>
                <w:b/>
                <w:color w:val="FFFFFF"/>
                <w:sz w:val="22"/>
              </w:rPr>
              <w:t xml:space="preserve">Heading</w:t>
            </w:r>
          </w:p>
        </w:tc>
        <w:tc>
          <w:tcPr>
            <w:tcW w:w="4489" w:type="dxa"/>
            <w:shd w:val="clear" w:color="auto" w:fill="1B3A5C"/>
          </w:tcPr>
          <w:p>
            <w:pPr>
              <w:pStyle w:val="Compact"/>
              <w:spacing w:after="40" w:before="40"/>
              <w:jc w:val="left"/>
            </w:pPr>
            <w:r>
              <w:rPr>
                <w:rFonts w:ascii="Tahoma" w:hAnsi="Tahoma"/>
                <w:b/>
                <w:color w:val="FFFFFF"/>
                <w:sz w:val="22"/>
              </w:rPr>
              <w:t xml:space="preserve">Notes</w:t>
            </w:r>
          </w:p>
        </w:tc>
      </w:tr>
      <w:tr>
        <w:trPr>
          <w:cantSplit w:val="true"/>
        </w:trPr>
        <w:tc>
          <w:tcPr>
            <w:tcW w:w="2496" w:type="dxa"/>
            <w:shd w:val="clear" w:color="auto" w:fill="EAF3FA"/>
          </w:tcPr>
          <w:p>
            <w:pPr>
              <w:pStyle w:val="Compact"/>
              <w:spacing w:after="40" w:before="40"/>
              <w:jc w:val="left"/>
            </w:pPr>
            <w:r>
              <w:rPr>
                <w:rFonts w:ascii="Tahoma" w:hAnsi="Tahoma"/>
                <w:sz w:val="22"/>
              </w:rPr>
              <w:t xml:space="preserve">Storage of the goods before shipment</w:t>
            </w:r>
          </w:p>
        </w:tc>
        <w:tc>
          <w:tcPr>
            <w:tcW w:w="2039" w:type="dxa"/>
            <w:shd w:val="clear" w:color="auto" w:fill="EAF3FA"/>
          </w:tcPr>
          <w:p>
            <w:pPr>
              <w:pStyle w:val="Compact"/>
              <w:spacing w:after="40" w:before="40"/>
              <w:jc w:val="left"/>
            </w:pPr>
            <w:r>
              <w:rPr>
                <w:rFonts w:ascii="Tahoma" w:hAnsi="Tahoma"/>
                <w:b/>
                <w:bCs/>
                <w:sz w:val="22"/>
              </w:rPr>
              <w:t xml:space="preserve">63</w:t>
            </w:r>
            <w:r>
              <w:rPr>
                <w:rFonts w:ascii="Tahoma" w:hAnsi="Tahoma"/>
                <w:sz w:val="22"/>
              </w:rPr>
              <w:t xml:space="preserve"> </w:t>
            </w:r>
            <w:r>
              <w:rPr>
                <w:rFonts w:ascii="Tahoma" w:hAnsi="Tahoma"/>
                <w:sz w:val="22"/>
              </w:rPr>
              <w:t xml:space="preserve">(storage, distribution and goods disposal)</w:t>
            </w:r>
          </w:p>
        </w:tc>
        <w:tc>
          <w:tcPr>
            <w:tcW w:w="4489" w:type="dxa"/>
            <w:shd w:val="clear" w:color="auto" w:fill="EAF3FA"/>
          </w:tcPr>
          <w:p>
            <w:pPr>
              <w:pStyle w:val="Compact"/>
              <w:spacing w:after="40" w:before="40"/>
              <w:jc w:val="left"/>
            </w:pPr>
            <w:r>
              <w:rPr>
                <w:rFonts w:ascii="Tahoma" w:hAnsi="Tahoma"/>
                <w:sz w:val="22"/>
              </w:rPr>
              <w:t xml:space="preserve">Only where UK VAT is charged. Some storage linked to export may be zero-rated</w:t>
            </w:r>
          </w:p>
        </w:tc>
      </w:tr>
      <w:tr>
        <w:trPr>
          <w:cantSplit w:val="true"/>
        </w:trPr>
        <w:tc>
          <w:tcPr>
            <w:tcW w:w="2496" w:type="dxa"/>
            <w:shd w:val="clear" w:color="auto" w:fill="FFFFFF"/>
          </w:tcPr>
          <w:p>
            <w:pPr>
              <w:pStyle w:val="Compact"/>
              <w:spacing w:after="40" w:before="40"/>
              <w:jc w:val="left"/>
            </w:pPr>
            <w:r>
              <w:rPr>
                <w:rFonts w:ascii="Tahoma" w:hAnsi="Tahoma"/>
                <w:sz w:val="22"/>
              </w:rPr>
              <w:t xml:space="preserve">Courier and freight services</w:t>
            </w:r>
          </w:p>
        </w:tc>
        <w:tc>
          <w:tcPr>
            <w:tcW w:w="2039" w:type="dxa"/>
            <w:shd w:val="clear" w:color="auto" w:fill="FFFFFF"/>
          </w:tcPr>
          <w:p>
            <w:pPr>
              <w:pStyle w:val="Compact"/>
              <w:spacing w:after="40" w:before="40"/>
              <w:jc w:val="left"/>
            </w:pPr>
            <w:r>
              <w:rPr>
                <w:rFonts w:ascii="Tahoma" w:hAnsi="Tahoma"/>
                <w:b/>
                <w:bCs/>
                <w:sz w:val="22"/>
              </w:rPr>
              <w:t xml:space="preserve">13</w:t>
            </w:r>
            <w:r>
              <w:rPr>
                <w:rFonts w:ascii="Tahoma" w:hAnsi="Tahoma"/>
                <w:sz w:val="22"/>
              </w:rPr>
              <w:t xml:space="preserve"> </w:t>
            </w:r>
            <w:r>
              <w:rPr>
                <w:rFonts w:ascii="Tahoma" w:hAnsi="Tahoma"/>
                <w:sz w:val="22"/>
              </w:rPr>
              <w:t xml:space="preserve">(collection, delivery and distribution)</w:t>
            </w:r>
          </w:p>
        </w:tc>
        <w:tc>
          <w:tcPr>
            <w:tcW w:w="4489" w:type="dxa"/>
            <w:shd w:val="clear" w:color="auto" w:fill="FFFFFF"/>
          </w:tcPr>
          <w:p>
            <w:pPr>
              <w:pStyle w:val="Compact"/>
              <w:spacing w:after="40" w:before="40"/>
              <w:jc w:val="left"/>
            </w:pPr>
            <w:r>
              <w:rPr>
                <w:rFonts w:ascii="Tahoma" w:hAnsi="Tahoma"/>
                <w:sz w:val="22"/>
              </w:rPr>
              <w:t xml:space="preserve">HMRC: refundable</w:t>
            </w:r>
            <w:r>
              <w:rPr>
                <w:rFonts w:ascii="Tahoma" w:hAnsi="Tahoma"/>
                <w:sz w:val="22"/>
              </w:rPr>
              <w:t xml:space="preserve"> </w:t>
            </w:r>
            <w:r>
              <w:rPr>
                <w:rFonts w:ascii="Tahoma" w:hAnsi="Tahoma"/>
                <w:sz w:val="22"/>
              </w:rPr>
              <w:t xml:space="preserve">“</w:t>
            </w:r>
            <w:r>
              <w:rPr>
                <w:rFonts w:ascii="Tahoma" w:hAnsi="Tahoma"/>
                <w:sz w:val="22"/>
              </w:rPr>
              <w:t xml:space="preserve">regardless of the nature of the item</w:t>
            </w:r>
            <w:r>
              <w:rPr>
                <w:rFonts w:ascii="Tahoma" w:hAnsi="Tahoma"/>
                <w:sz w:val="22"/>
              </w:rPr>
              <w:t xml:space="preserve">”</w:t>
            </w:r>
            <w:r>
              <w:rPr>
                <w:rFonts w:ascii="Tahoma" w:hAnsi="Tahoma"/>
                <w:sz w:val="22"/>
              </w:rPr>
              <w:t xml:space="preserve">. International freight is usually zero-rated, so there is often no VAT. A delivery charge built into the price of goods bought is</w:t>
            </w:r>
            <w:r>
              <w:rPr>
                <w:rFonts w:ascii="Tahoma" w:hAnsi="Tahoma"/>
                <w:sz w:val="22"/>
              </w:rPr>
              <w:t xml:space="preserve"> </w:t>
            </w:r>
            <w:r>
              <w:rPr>
                <w:rFonts w:ascii="Tahoma" w:hAnsi="Tahoma"/>
                <w:b/>
                <w:bCs/>
                <w:sz w:val="22"/>
              </w:rPr>
              <w:t xml:space="preserve">excluded</w:t>
            </w:r>
            <w:r>
              <w:rPr>
                <w:rFonts w:ascii="Tahoma" w:hAnsi="Tahoma"/>
                <w:sz w:val="22"/>
              </w:rPr>
              <w:t xml:space="preserve"> </w:t>
            </w:r>
            <w:r>
              <w:rPr>
                <w:rFonts w:ascii="Tahoma" w:hAnsi="Tahoma"/>
                <w:sz w:val="22"/>
              </w:rPr>
              <w:t xml:space="preserve">(single supply of delivered goods)</w:t>
            </w:r>
          </w:p>
        </w:tc>
      </w:tr>
      <w:tr>
        <w:trPr>
          <w:cantSplit w:val="true"/>
        </w:trPr>
        <w:tc>
          <w:tcPr>
            <w:tcW w:w="2496" w:type="dxa"/>
            <w:shd w:val="clear" w:color="auto" w:fill="FBEAF1"/>
          </w:tcPr>
          <w:p>
            <w:pPr>
              <w:pStyle w:val="Compact"/>
              <w:spacing w:after="40" w:before="40"/>
              <w:jc w:val="left"/>
            </w:pPr>
            <w:r>
              <w:rPr>
                <w:rFonts w:ascii="Tahoma" w:hAnsi="Tahoma"/>
                <w:sz w:val="22"/>
              </w:rPr>
              <w:t xml:space="preserve">Secure transport of sensitive equipment</w:t>
            </w:r>
          </w:p>
        </w:tc>
        <w:tc>
          <w:tcPr>
            <w:tcW w:w="2039" w:type="dxa"/>
            <w:shd w:val="clear" w:color="auto" w:fill="FBEAF1"/>
          </w:tcPr>
          <w:p>
            <w:pPr>
              <w:pStyle w:val="Compact"/>
              <w:spacing w:after="40" w:before="40"/>
              <w:jc w:val="left"/>
            </w:pPr>
            <w:r>
              <w:rPr>
                <w:rFonts w:ascii="Tahoma" w:hAnsi="Tahoma"/>
                <w:b/>
                <w:bCs/>
                <w:sz w:val="22"/>
              </w:rPr>
              <w:t xml:space="preserve">60</w:t>
            </w:r>
            <w:r>
              <w:rPr>
                <w:rFonts w:ascii="Tahoma" w:hAnsi="Tahoma"/>
                <w:sz w:val="22"/>
              </w:rPr>
              <w:t xml:space="preserve"> </w:t>
            </w:r>
            <w:r>
              <w:rPr>
                <w:rFonts w:ascii="Tahoma" w:hAnsi="Tahoma"/>
                <w:sz w:val="22"/>
              </w:rPr>
              <w:t xml:space="preserve">(security services)</w:t>
            </w:r>
          </w:p>
        </w:tc>
        <w:tc>
          <w:tcPr>
            <w:tcW w:w="4489" w:type="dxa"/>
            <w:shd w:val="clear" w:color="auto" w:fill="FBEAF1"/>
          </w:tcPr>
          <w:p>
            <w:pPr>
              <w:pStyle w:val="Compact"/>
              <w:spacing w:after="40" w:before="40"/>
              <w:jc w:val="left"/>
            </w:pPr>
            <w:r>
              <w:rPr>
                <w:rFonts w:ascii="Tahoma" w:hAnsi="Tahoma"/>
                <w:sz w:val="22"/>
              </w:rPr>
              <w:t xml:space="preserve">HMRC includes</w:t>
            </w:r>
            <w:r>
              <w:rPr>
                <w:rFonts w:ascii="Tahoma" w:hAnsi="Tahoma"/>
                <w:sz w:val="22"/>
              </w:rPr>
              <w:t xml:space="preserve"> </w:t>
            </w:r>
            <w:r>
              <w:rPr>
                <w:rFonts w:ascii="Tahoma" w:hAnsi="Tahoma"/>
                <w:sz w:val="22"/>
              </w:rPr>
              <w:t xml:space="preserve">“</w:t>
            </w:r>
            <w:r>
              <w:rPr>
                <w:rFonts w:ascii="Tahoma" w:hAnsi="Tahoma"/>
                <w:sz w:val="22"/>
              </w:rPr>
              <w:t xml:space="preserve">The secure transport of equipment</w:t>
            </w:r>
            <w:r>
              <w:rPr>
                <w:rFonts w:ascii="Tahoma" w:hAnsi="Tahoma"/>
                <w:sz w:val="22"/>
              </w:rPr>
              <w:t xml:space="preserve">”</w:t>
            </w:r>
            <w:r>
              <w:rPr>
                <w:rFonts w:ascii="Tahoma" w:hAnsi="Tahoma"/>
                <w:sz w:val="22"/>
              </w:rPr>
              <w:t xml:space="preserve">. Excludes buying security equipment as a standalone supply</w:t>
            </w:r>
          </w:p>
        </w:tc>
      </w:tr>
      <w:tr>
        <w:trPr>
          <w:cantSplit w:val="true"/>
        </w:trPr>
        <w:tc>
          <w:tcPr>
            <w:tcW w:w="2496" w:type="dxa"/>
            <w:shd w:val="clear" w:color="auto" w:fill="EAF3FA"/>
          </w:tcPr>
          <w:p>
            <w:pPr>
              <w:pStyle w:val="Compact"/>
              <w:spacing w:after="40" w:before="40"/>
              <w:jc w:val="left"/>
            </w:pPr>
            <w:r>
              <w:rPr>
                <w:rFonts w:ascii="Tahoma" w:hAnsi="Tahoma"/>
                <w:sz w:val="22"/>
              </w:rPr>
              <w:t xml:space="preserve">Translating manuals and documents</w:t>
            </w:r>
          </w:p>
        </w:tc>
        <w:tc>
          <w:tcPr>
            <w:tcW w:w="2039" w:type="dxa"/>
            <w:shd w:val="clear" w:color="auto" w:fill="EAF3FA"/>
          </w:tcPr>
          <w:p>
            <w:pPr>
              <w:pStyle w:val="Compact"/>
              <w:spacing w:after="40" w:before="40"/>
              <w:jc w:val="left"/>
            </w:pPr>
            <w:r>
              <w:rPr>
                <w:rFonts w:ascii="Tahoma" w:hAnsi="Tahoma"/>
                <w:b/>
                <w:bCs/>
                <w:sz w:val="22"/>
              </w:rPr>
              <w:t xml:space="preserve">28</w:t>
            </w:r>
            <w:r>
              <w:rPr>
                <w:rFonts w:ascii="Tahoma" w:hAnsi="Tahoma"/>
                <w:sz w:val="22"/>
              </w:rPr>
              <w:t xml:space="preserve"> </w:t>
            </w:r>
            <w:r>
              <w:rPr>
                <w:rFonts w:ascii="Tahoma" w:hAnsi="Tahoma"/>
                <w:sz w:val="22"/>
              </w:rPr>
              <w:t xml:space="preserve">(interpretation and translation)</w:t>
            </w:r>
          </w:p>
        </w:tc>
        <w:tc>
          <w:tcPr>
            <w:tcW w:w="4489" w:type="dxa"/>
            <w:shd w:val="clear" w:color="auto" w:fill="EAF3FA"/>
          </w:tcPr>
          <w:p>
            <w:pPr>
              <w:pStyle w:val="Compact"/>
              <w:spacing w:after="40" w:before="40"/>
              <w:jc w:val="left"/>
            </w:pPr>
            <w:r>
              <w:rPr>
                <w:rFonts w:ascii="Tahoma" w:hAnsi="Tahoma"/>
                <w:sz w:val="22"/>
              </w:rPr>
              <w:t xml:space="preserve">Includes interpreters at overseas meetings, under the reverse charge if the interpreter is non-UK</w:t>
            </w:r>
          </w:p>
        </w:tc>
      </w:tr>
      <w:tr>
        <w:trPr>
          <w:cantSplit w:val="true"/>
        </w:trPr>
        <w:tc>
          <w:tcPr>
            <w:tcW w:w="2496" w:type="dxa"/>
            <w:shd w:val="clear" w:color="auto" w:fill="FFFFFF"/>
          </w:tcPr>
          <w:p>
            <w:pPr>
              <w:pStyle w:val="Compact"/>
              <w:spacing w:after="40" w:before="40"/>
              <w:jc w:val="left"/>
            </w:pPr>
            <w:r>
              <w:rPr>
                <w:rFonts w:ascii="Tahoma" w:hAnsi="Tahoma"/>
                <w:sz w:val="22"/>
              </w:rPr>
              <w:t xml:space="preserve">Professional advice on designing the programme or policy</w:t>
            </w:r>
          </w:p>
        </w:tc>
        <w:tc>
          <w:tcPr>
            <w:tcW w:w="2039" w:type="dxa"/>
            <w:shd w:val="clear" w:color="auto" w:fill="FFFFFF"/>
          </w:tcPr>
          <w:p>
            <w:pPr>
              <w:pStyle w:val="Compact"/>
              <w:spacing w:after="40" w:before="40"/>
              <w:jc w:val="left"/>
            </w:pPr>
            <w:r>
              <w:rPr>
                <w:rFonts w:ascii="Tahoma" w:hAnsi="Tahoma"/>
                <w:b/>
                <w:bCs/>
                <w:sz w:val="22"/>
              </w:rPr>
              <w:t xml:space="preserve">52(a)</w:t>
            </w:r>
            <w:r>
              <w:rPr>
                <w:rFonts w:ascii="Tahoma" w:hAnsi="Tahoma"/>
                <w:sz w:val="22"/>
              </w:rPr>
              <w:t xml:space="preserve"> </w:t>
            </w:r>
            <w:r>
              <w:rPr>
                <w:rFonts w:ascii="Tahoma" w:hAnsi="Tahoma"/>
                <w:sz w:val="22"/>
              </w:rPr>
              <w:t xml:space="preserve">(professional advice)</w:t>
            </w:r>
          </w:p>
        </w:tc>
        <w:tc>
          <w:tcPr>
            <w:tcW w:w="4489" w:type="dxa"/>
            <w:shd w:val="clear" w:color="auto" w:fill="FFFFFF"/>
          </w:tcPr>
          <w:p>
            <w:pPr>
              <w:pStyle w:val="Compact"/>
              <w:spacing w:after="40" w:before="40"/>
              <w:jc w:val="left"/>
            </w:pPr>
            <w:r>
              <w:rPr>
                <w:rFonts w:ascii="Tahoma" w:hAnsi="Tahoma"/>
                <w:sz w:val="22"/>
              </w:rPr>
              <w:t xml:space="preserve">Advice only, and it must concern departmental policy or efficiency.</w:t>
            </w:r>
            <w:r>
              <w:rPr>
                <w:rFonts w:ascii="Tahoma" w:hAnsi="Tahoma"/>
                <w:sz w:val="22"/>
              </w:rPr>
              <w:t xml:space="preserve"> </w:t>
            </w:r>
            <w:r>
              <w:rPr>
                <w:rFonts w:ascii="Tahoma" w:hAnsi="Tahoma"/>
                <w:sz w:val="22"/>
              </w:rPr>
              <w:t xml:space="preserve">“</w:t>
            </w:r>
            <w:r>
              <w:rPr>
                <w:rFonts w:ascii="Tahoma" w:hAnsi="Tahoma"/>
                <w:sz w:val="22"/>
              </w:rPr>
              <w:t xml:space="preserve">The service of actually putting something into effect</w:t>
            </w:r>
            <w:r>
              <w:rPr>
                <w:rFonts w:ascii="Tahoma" w:hAnsi="Tahoma"/>
                <w:sz w:val="22"/>
              </w:rPr>
              <w:t xml:space="preserve">”</w:t>
            </w:r>
            <w:r>
              <w:rPr>
                <w:rFonts w:ascii="Tahoma" w:hAnsi="Tahoma"/>
                <w:sz w:val="22"/>
              </w:rPr>
              <w:t xml:space="preserve"> </w:t>
            </w:r>
            <w:r>
              <w:rPr>
                <w:rFonts w:ascii="Tahoma" w:hAnsi="Tahoma"/>
                <w:sz w:val="22"/>
              </w:rPr>
              <w:t xml:space="preserve">is excluded, and if advice and implementation are in one contract,</w:t>
            </w:r>
            <w:r>
              <w:rPr>
                <w:rFonts w:ascii="Tahoma" w:hAnsi="Tahoma"/>
                <w:sz w:val="22"/>
              </w:rPr>
              <w:t xml:space="preserve"> </w:t>
            </w:r>
            <w:r>
              <w:rPr>
                <w:rFonts w:ascii="Tahoma" w:hAnsi="Tahoma"/>
                <w:b/>
                <w:bCs/>
                <w:sz w:val="22"/>
              </w:rPr>
              <w:t xml:space="preserve">none</w:t>
            </w:r>
            <w:r>
              <w:rPr>
                <w:rFonts w:ascii="Tahoma" w:hAnsi="Tahoma"/>
                <w:sz w:val="22"/>
              </w:rPr>
              <w:t xml:space="preserve"> </w:t>
            </w:r>
            <w:r>
              <w:rPr>
                <w:rFonts w:ascii="Tahoma" w:hAnsi="Tahoma"/>
                <w:sz w:val="22"/>
              </w:rPr>
              <w:t xml:space="preserve">is recoverable</w:t>
            </w:r>
          </w:p>
        </w:tc>
      </w:tr>
      <w:tr>
        <w:trPr>
          <w:cantSplit w:val="true"/>
        </w:trPr>
        <w:tc>
          <w:tcPr>
            <w:tcW w:w="2496" w:type="dxa"/>
            <w:shd w:val="clear" w:color="auto" w:fill="FBEAF1"/>
          </w:tcPr>
          <w:p>
            <w:pPr>
              <w:pStyle w:val="Compact"/>
              <w:spacing w:after="40" w:before="40"/>
              <w:jc w:val="left"/>
            </w:pPr>
            <w:r>
              <w:rPr>
                <w:rFonts w:ascii="Tahoma" w:hAnsi="Tahoma"/>
                <w:sz w:val="22"/>
              </w:rPr>
              <w:t xml:space="preserve">A third party administering a departmental grant scheme</w:t>
            </w:r>
          </w:p>
        </w:tc>
        <w:tc>
          <w:tcPr>
            <w:tcW w:w="2039" w:type="dxa"/>
            <w:shd w:val="clear" w:color="auto" w:fill="FBEAF1"/>
          </w:tcPr>
          <w:p>
            <w:pPr>
              <w:pStyle w:val="Compact"/>
              <w:spacing w:after="40" w:before="40"/>
              <w:jc w:val="left"/>
            </w:pPr>
            <w:r>
              <w:rPr>
                <w:rFonts w:ascii="Tahoma" w:hAnsi="Tahoma"/>
                <w:b/>
                <w:bCs/>
                <w:sz w:val="22"/>
              </w:rPr>
              <w:t xml:space="preserve">2</w:t>
            </w:r>
            <w:r>
              <w:rPr>
                <w:rFonts w:ascii="Tahoma" w:hAnsi="Tahoma"/>
                <w:sz w:val="22"/>
              </w:rPr>
              <w:t xml:space="preserve"> </w:t>
            </w:r>
            <w:r>
              <w:rPr>
                <w:rFonts w:ascii="Tahoma" w:hAnsi="Tahoma"/>
                <w:sz w:val="22"/>
              </w:rPr>
              <w:t xml:space="preserve">(administration of… grants and awards)</w:t>
            </w:r>
          </w:p>
        </w:tc>
        <w:tc>
          <w:tcPr>
            <w:tcW w:w="4489" w:type="dxa"/>
            <w:shd w:val="clear" w:color="auto" w:fill="FBEAF1"/>
          </w:tcPr>
          <w:p>
            <w:pPr>
              <w:pStyle w:val="Compact"/>
              <w:spacing w:after="40" w:before="40"/>
              <w:jc w:val="left"/>
            </w:pPr>
            <w:r>
              <w:rPr>
                <w:rFonts w:ascii="Tahoma" w:hAnsi="Tahoma"/>
                <w:sz w:val="22"/>
              </w:rPr>
              <w:t xml:space="preserve">HMRC:</w:t>
            </w:r>
            <w:r>
              <w:rPr>
                <w:rFonts w:ascii="Tahoma" w:hAnsi="Tahoma"/>
                <w:sz w:val="22"/>
              </w:rPr>
              <w:t xml:space="preserve"> </w:t>
            </w:r>
            <w:r>
              <w:rPr>
                <w:rFonts w:ascii="Tahoma" w:hAnsi="Tahoma"/>
                <w:sz w:val="22"/>
              </w:rPr>
              <w:t xml:space="preserve">“</w:t>
            </w:r>
            <w:r>
              <w:rPr>
                <w:rFonts w:ascii="Tahoma" w:hAnsi="Tahoma"/>
                <w:sz w:val="22"/>
              </w:rPr>
              <w:t xml:space="preserve">payments made to third parties for the administration of a departmental grant scheme</w:t>
            </w:r>
            <w:r>
              <w:rPr>
                <w:rFonts w:ascii="Tahoma" w:hAnsi="Tahoma"/>
                <w:sz w:val="22"/>
              </w:rPr>
              <w:t xml:space="preserve">”</w:t>
            </w:r>
            <w:r>
              <w:rPr>
                <w:rFonts w:ascii="Tahoma" w:hAnsi="Tahoma"/>
                <w:sz w:val="22"/>
              </w:rPr>
              <w:t xml:space="preserve">. The heading covers only the named programmes</w:t>
            </w:r>
          </w:p>
        </w:tc>
      </w:tr>
      <w:tr>
        <w:trPr>
          <w:cantSplit w:val="true"/>
        </w:trPr>
        <w:tc>
          <w:tcPr>
            <w:tcW w:w="2496" w:type="dxa"/>
            <w:shd w:val="clear" w:color="auto" w:fill="EAF3FA"/>
          </w:tcPr>
          <w:p>
            <w:pPr>
              <w:pStyle w:val="Compact"/>
              <w:spacing w:after="40" w:before="40"/>
              <w:jc w:val="left"/>
            </w:pPr>
            <w:r>
              <w:rPr>
                <w:rFonts w:ascii="Tahoma" w:hAnsi="Tahoma"/>
                <w:sz w:val="22"/>
              </w:rPr>
              <w:t xml:space="preserve">Buying agent’s fee for procuring the goods</w:t>
            </w:r>
          </w:p>
        </w:tc>
        <w:tc>
          <w:tcPr>
            <w:tcW w:w="2039" w:type="dxa"/>
            <w:shd w:val="clear" w:color="auto" w:fill="EAF3FA"/>
          </w:tcPr>
          <w:p>
            <w:pPr>
              <w:pStyle w:val="Compact"/>
              <w:spacing w:after="40" w:before="40"/>
              <w:jc w:val="left"/>
            </w:pPr>
            <w:r>
              <w:rPr>
                <w:rFonts w:ascii="Tahoma" w:hAnsi="Tahoma"/>
                <w:b/>
                <w:bCs/>
                <w:sz w:val="22"/>
              </w:rPr>
              <w:t xml:space="preserve">55</w:t>
            </w:r>
            <w:r>
              <w:rPr>
                <w:rFonts w:ascii="Tahoma" w:hAnsi="Tahoma"/>
                <w:sz w:val="22"/>
              </w:rPr>
              <w:t xml:space="preserve"> </w:t>
            </w:r>
            <w:r>
              <w:rPr>
                <w:rFonts w:ascii="Tahoma" w:hAnsi="Tahoma"/>
                <w:sz w:val="22"/>
              </w:rPr>
              <w:t xml:space="preserve">(purchasing and procurement)</w:t>
            </w:r>
          </w:p>
        </w:tc>
        <w:tc>
          <w:tcPr>
            <w:tcW w:w="4489" w:type="dxa"/>
            <w:shd w:val="clear" w:color="auto" w:fill="EAF3FA"/>
          </w:tcPr>
          <w:p>
            <w:pPr>
              <w:pStyle w:val="Compact"/>
              <w:spacing w:after="40" w:before="40"/>
              <w:jc w:val="left"/>
            </w:pPr>
            <w:r>
              <w:rPr>
                <w:rFonts w:ascii="Tahoma" w:hAnsi="Tahoma"/>
                <w:sz w:val="22"/>
              </w:rPr>
              <w:t xml:space="preserve">“</w:t>
            </w:r>
            <w:r>
              <w:rPr>
                <w:rFonts w:ascii="Tahoma" w:hAnsi="Tahoma"/>
                <w:sz w:val="22"/>
              </w:rPr>
              <w:t xml:space="preserve">The actual cost of the goods procured</w:t>
            </w:r>
            <w:r>
              <w:rPr>
                <w:rFonts w:ascii="Tahoma" w:hAnsi="Tahoma"/>
                <w:sz w:val="22"/>
              </w:rPr>
              <w:t xml:space="preserve">”</w:t>
            </w:r>
            <w:r>
              <w:rPr>
                <w:rFonts w:ascii="Tahoma" w:hAnsi="Tahoma"/>
                <w:sz w:val="22"/>
              </w:rPr>
              <w:t xml:space="preserve"> </w:t>
            </w:r>
            <w:r>
              <w:rPr>
                <w:rFonts w:ascii="Tahoma" w:hAnsi="Tahoma"/>
                <w:sz w:val="22"/>
              </w:rPr>
              <w:t xml:space="preserve">is excluded. Only the agent’s service charge qualifies</w:t>
            </w:r>
          </w:p>
        </w:tc>
      </w:tr>
      <w:tr>
        <w:trPr>
          <w:cantSplit w:val="true"/>
        </w:trPr>
        <w:tc>
          <w:tcPr>
            <w:tcW w:w="2496" w:type="dxa"/>
            <w:shd w:val="clear" w:color="auto" w:fill="FFFFFF"/>
          </w:tcPr>
          <w:p>
            <w:pPr>
              <w:pStyle w:val="Compact"/>
              <w:spacing w:after="40" w:before="40"/>
              <w:jc w:val="left"/>
            </w:pPr>
            <w:r>
              <w:rPr>
                <w:rFonts w:ascii="Tahoma" w:hAnsi="Tahoma"/>
                <w:sz w:val="22"/>
              </w:rPr>
              <w:t xml:space="preserve">Training overseas officials, paid by the Department under its statutory remit, with no recharge</w:t>
            </w:r>
          </w:p>
        </w:tc>
        <w:tc>
          <w:tcPr>
            <w:tcW w:w="2039" w:type="dxa"/>
            <w:shd w:val="clear" w:color="auto" w:fill="FFFFFF"/>
          </w:tcPr>
          <w:p>
            <w:pPr>
              <w:pStyle w:val="Compact"/>
              <w:spacing w:after="40" w:before="40"/>
              <w:jc w:val="left"/>
            </w:pPr>
            <w:r>
              <w:rPr>
                <w:rFonts w:ascii="Tahoma" w:hAnsi="Tahoma"/>
                <w:b/>
                <w:bCs/>
                <w:sz w:val="22"/>
              </w:rPr>
              <w:t xml:space="preserve">65</w:t>
            </w:r>
            <w:r>
              <w:rPr>
                <w:rFonts w:ascii="Tahoma" w:hAnsi="Tahoma"/>
                <w:sz w:val="22"/>
              </w:rPr>
              <w:t xml:space="preserve">, possibly</w:t>
            </w:r>
          </w:p>
        </w:tc>
        <w:tc>
          <w:tcPr>
            <w:tcW w:w="4489" w:type="dxa"/>
            <w:shd w:val="clear" w:color="auto" w:fill="FFFFFF"/>
          </w:tcPr>
          <w:p>
            <w:pPr>
              <w:pStyle w:val="Compact"/>
              <w:spacing w:after="40" w:before="40"/>
              <w:jc w:val="left"/>
            </w:pPr>
            <w:r>
              <w:rPr>
                <w:rFonts w:ascii="Tahoma" w:hAnsi="Tahoma"/>
                <w:sz w:val="22"/>
              </w:rPr>
              <w:t xml:space="preserve">HMRC accepts Heading 65 for non-employees in these conditions. It has not said how this applies to overseas officials or how the in-house test applies.</w:t>
            </w:r>
            <w:r>
              <w:rPr>
                <w:rFonts w:ascii="Tahoma" w:hAnsi="Tahoma"/>
                <w:sz w:val="22"/>
              </w:rPr>
              <w:t xml:space="preserve"> </w:t>
            </w:r>
            <w:r>
              <w:rPr>
                <w:rFonts w:ascii="Tahoma" w:hAnsi="Tahoma"/>
                <w:b/>
                <w:bCs/>
                <w:sz w:val="22"/>
              </w:rPr>
              <w:t xml:space="preserve">Confirm with HMRC first</w:t>
            </w:r>
            <w:r>
              <w:rPr>
                <w:rFonts w:ascii="Tahoma" w:hAnsi="Tahoma"/>
                <w:sz w:val="22"/>
              </w:rPr>
              <w:t xml:space="preserve">. If the overseas government buys the training itself, the supplier may be able to zero-rate it instead (see Special regimes below)</w:t>
            </w:r>
          </w:p>
        </w:tc>
      </w:tr>
    </w:tbl>
    <w:p>
      <w:pPr>
        <w:pStyle w:val="BodyText"/>
        <w:spacing w:before="200"/>
      </w:pPr>
      <w:r>
        <w:t xml:space="preserve">The zero-rating of international freight and of some export-related storage comes from the Value Added Tax Act 1994, Sch. 8, Group 8, items 5 and 11.</w:t>
      </w:r>
    </w:p>
    <w:p>
      <w:pPr>
        <w:pStyle w:val="BodyText"/>
      </w:pPr>
      <w:r>
        <w:rPr>
          <w:b/>
          <w:bCs/>
        </w:rPr>
        <w:t xml:space="preserve">Who receives the supply?</w:t>
      </w:r>
      <w:r>
        <w:t xml:space="preserve"> </w:t>
      </w:r>
      <w:r>
        <w:t xml:space="preserve">Establish this first.</w:t>
      </w:r>
    </w:p>
    <w:p>
      <w:pPr>
        <w:pStyle w:val="Compact"/>
        <w:numPr>
          <w:ilvl w:val="0"/>
          <w:numId w:val="1290"/>
        </w:numPr>
      </w:pPr>
      <w:r>
        <w:t xml:space="preserve">If the Department places the order, receives the deliverable and pays, the supply is to the Department and COS may apply (see Part 5, Evidence: the VAT invoice).</w:t>
      </w:r>
    </w:p>
    <w:p>
      <w:pPr>
        <w:pStyle w:val="Compact"/>
        <w:numPr>
          <w:ilvl w:val="0"/>
          <w:numId w:val="1290"/>
        </w:numPr>
      </w:pPr>
      <w:r>
        <w:t xml:space="preserve">If the contractor’s service is delivered directly to the overseas government and the Department merely pays for it, HMRC may treat the overseas government as the recipient. It does this for FCDO-funded aid, where it says the department is making</w:t>
      </w:r>
      <w:r>
        <w:t xml:space="preserve"> </w:t>
      </w:r>
      <w:r>
        <w:t xml:space="preserve">“</w:t>
      </w:r>
      <w:r>
        <w:t xml:space="preserve">third party payments to the UK contractors, holding on account the money for the overseas government(s)</w:t>
      </w:r>
      <w:r>
        <w:t xml:space="preserve">”</w:t>
      </w:r>
      <w:r>
        <w:t xml:space="preserve"> </w:t>
      </w:r>
      <w:r>
        <w:t xml:space="preserve">(</w:t>
      </w:r>
      <w:hyperlink w:anchor="ref-hmrc_vatgpb">
        <w:r>
          <w:rPr>
            <w:rStyle w:val="Hyperlink"/>
          </w:rPr>
          <w:t xml:space="preserve">HMRC, 2026n, sec. VATGPB9500</w:t>
        </w:r>
      </w:hyperlink>
      <w:r>
        <w:t xml:space="preserve">)</w:t>
      </w:r>
      <w:r>
        <w:t xml:space="preserve">. See Special regimes below.</w:t>
      </w:r>
    </w:p>
    <w:p>
      <w:pPr>
        <w:pStyle w:val="Compact"/>
        <w:numPr>
          <w:ilvl w:val="0"/>
          <w:numId w:val="1290"/>
        </w:numPr>
      </w:pPr>
      <w:r>
        <w:t xml:space="preserve">In that case the supply may be outside the scope of UK VAT, or zero-rated, and there is no supply</w:t>
      </w:r>
      <w:r>
        <w:t xml:space="preserve"> </w:t>
      </w:r>
      <w:r>
        <w:t xml:space="preserve">“</w:t>
      </w:r>
      <w:r>
        <w:t xml:space="preserve">to</w:t>
      </w:r>
      <w:r>
        <w:t xml:space="preserve">”</w:t>
      </w:r>
      <w:r>
        <w:t xml:space="preserve"> </w:t>
      </w:r>
      <w:r>
        <w:t xml:space="preserve">the Department to claim under COS (Value Added Tax Act 1994, s. 41(3)).</w:t>
      </w:r>
    </w:p>
    <w:p>
      <w:pPr>
        <w:pStyle w:val="Compact"/>
        <w:numPr>
          <w:ilvl w:val="0"/>
          <w:numId w:val="1290"/>
        </w:numPr>
      </w:pPr>
      <w:r>
        <w:t xml:space="preserve">Decide the structure deliberately when drafting contracts, and confirm it with HMRC.</w:t>
      </w:r>
    </w:p>
    <w:p>
      <w:pPr>
        <w:pStyle w:val="FirstParagraph"/>
      </w:pPr>
      <w:r>
        <w:rPr>
          <w:b/>
          <w:bCs/>
        </w:rPr>
        <w:t xml:space="preserve">Place of supply reminder.</w:t>
      </w:r>
      <w:r>
        <w:t xml:space="preserve"> </w:t>
      </w:r>
      <w:r>
        <w:t xml:space="preserve">Where the supply is to the Department, a UK consultancy or training company delivering services in another country is normally making a UK supply (general rule), so UK VAT is charged</w:t>
      </w:r>
      <w:r>
        <w:t xml:space="preserve"> </w:t>
      </w:r>
      <w:r>
        <w:t xml:space="preserve">(</w:t>
      </w:r>
      <w:hyperlink w:anchor="ref-hmrc_n741a">
        <w:r>
          <w:rPr>
            <w:rStyle w:val="Hyperlink"/>
          </w:rPr>
          <w:t xml:space="preserve">HMRC, 2022d</w:t>
        </w:r>
      </w:hyperlink>
      <w:r>
        <w:t xml:space="preserve">, paras. 6.3 and 9.2)</w:t>
      </w:r>
      <w:r>
        <w:t xml:space="preserve">. Whether COS then applies depends on whether the service is within a heading. See Part 4, Services across borders: place of supply.</w:t>
      </w:r>
    </w:p>
    <w:bookmarkEnd w:id="236"/>
    <w:bookmarkStart w:id="237" w:name="X27f8bf19a34e1b5f21f6dcbc4e6c4da22880ff0"/>
    <w:p>
      <w:pPr>
        <w:pStyle w:val="Heading4"/>
      </w:pPr>
      <w:r>
        <w:t xml:space="preserve">Special regimes: check whether they fit before relying on them</w:t>
      </w:r>
    </w:p>
    <w:p>
      <w:pPr>
        <w:pStyle w:val="Compact"/>
        <w:numPr>
          <w:ilvl w:val="0"/>
          <w:numId w:val="1291"/>
        </w:numPr>
      </w:pPr>
      <w:r>
        <w:rPr>
          <w:b/>
          <w:bCs/>
        </w:rPr>
        <w:t xml:space="preserve">Aid funded by the FCDO</w:t>
      </w:r>
      <w:r>
        <w:t xml:space="preserve"> </w:t>
      </w:r>
      <w:r>
        <w:t xml:space="preserve">(</w:t>
      </w:r>
      <w:hyperlink w:anchor="ref-hmrc_vatgpb">
        <w:r>
          <w:rPr>
            <w:rStyle w:val="Hyperlink"/>
          </w:rPr>
          <w:t xml:space="preserve">HMRC, 2026n, sec. VATGPB9500</w:t>
        </w:r>
      </w:hyperlink>
      <w:r>
        <w:t xml:space="preserve">)</w:t>
      </w:r>
      <w:r>
        <w:t xml:space="preserve">. Where the FCDO funds the UK overseas aid programme and</w:t>
      </w:r>
      <w:r>
        <w:t xml:space="preserve"> </w:t>
      </w:r>
      <w:r>
        <w:t xml:space="preserve">“</w:t>
      </w:r>
      <w:r>
        <w:t xml:space="preserve">the supplies are delivered directly to the non-UK recipient(s)</w:t>
      </w:r>
      <w:r>
        <w:t xml:space="preserve">”</w:t>
      </w:r>
      <w:r>
        <w:t xml:space="preserve">, HMRC has agreed that the UK contractor’s activities take place outside the UK. They are</w:t>
      </w:r>
      <w:r>
        <w:t xml:space="preserve"> </w:t>
      </w:r>
      <w:r>
        <w:t xml:space="preserve">“</w:t>
      </w:r>
      <w:r>
        <w:t xml:space="preserve">outside the scope of UK VAT with the right to recovery of input VAT</w:t>
      </w:r>
      <w:r>
        <w:t xml:space="preserve">”</w:t>
      </w:r>
      <w:r>
        <w:t xml:space="preserve">. Supplies by third parties to that contractor are taxed normally.</w:t>
      </w:r>
    </w:p>
    <w:p>
      <w:pPr>
        <w:pStyle w:val="Compact"/>
        <w:numPr>
          <w:ilvl w:val="1"/>
          <w:numId w:val="1292"/>
        </w:numPr>
      </w:pPr>
      <w:r>
        <w:t xml:space="preserve">HMRC also treats as outside the scope the project work and consultancy that humanitarian aid charities carry out overseas where it is paid for by the overseas government, a third-party government’s aid department, the EU or the World Bank</w:t>
      </w:r>
      <w:r>
        <w:t xml:space="preserve"> </w:t>
      </w:r>
      <w:r>
        <w:t xml:space="preserve">(</w:t>
      </w:r>
      <w:hyperlink w:anchor="ref-hmrc_vatgpb">
        <w:r>
          <w:rPr>
            <w:rStyle w:val="Hyperlink"/>
          </w:rPr>
          <w:t xml:space="preserve">HMRC, 2026n, sec. VATGPB9500</w:t>
        </w:r>
      </w:hyperlink>
      <w:r>
        <w:t xml:space="preserve">)</w:t>
      </w:r>
      <w:r>
        <w:t xml:space="preserve">.</w:t>
      </w:r>
    </w:p>
    <w:p>
      <w:pPr>
        <w:pStyle w:val="Compact"/>
        <w:numPr>
          <w:ilvl w:val="1"/>
          <w:numId w:val="1292"/>
        </w:numPr>
      </w:pPr>
      <w:r>
        <w:rPr>
          <w:b/>
          <w:bCs/>
        </w:rPr>
        <w:t xml:space="preserve">HMRC’s manual does not say whether the same treatment applies to aid programmes funded by another UK department</w:t>
      </w:r>
      <w:r>
        <w:t xml:space="preserve">, such as the fictional Department. Do not assume it does. Ask HMRC.</w:t>
      </w:r>
    </w:p>
    <w:p>
      <w:pPr>
        <w:pStyle w:val="Compact"/>
        <w:numPr>
          <w:ilvl w:val="0"/>
          <w:numId w:val="1291"/>
        </w:numPr>
      </w:pPr>
      <w:r>
        <w:rPr>
          <w:b/>
          <w:bCs/>
        </w:rPr>
        <w:t xml:space="preserve">International Collaboration Defence Projects.</w:t>
      </w:r>
      <w:r>
        <w:t xml:space="preserve"> </w:t>
      </w:r>
      <w:r>
        <w:t xml:space="preserve">Certain supplies to or from overseas authorities managing a qualifying project are zero-rated under Schedule 8, Group 13, item 2 to the Value Added Tax Act 1994</w:t>
      </w:r>
      <w:r>
        <w:t xml:space="preserve"> </w:t>
      </w:r>
      <w:r>
        <w:t xml:space="preserve">(</w:t>
      </w:r>
      <w:hyperlink w:anchor="ref-hmrc_vatgpb">
        <w:r>
          <w:rPr>
            <w:rStyle w:val="Hyperlink"/>
          </w:rPr>
          <w:t xml:space="preserve">HMRC, 2026n, sec. VATGPB9500</w:t>
        </w:r>
      </w:hyperlink>
      <w:r>
        <w:t xml:space="preserve">)</w:t>
      </w:r>
      <w:r>
        <w:t xml:space="preserve">. The qualifying agreements are listed at VATGPB9510, and all are defence projects</w:t>
      </w:r>
      <w:r>
        <w:t xml:space="preserve"> </w:t>
      </w:r>
      <w:r>
        <w:t xml:space="preserve">(</w:t>
      </w:r>
      <w:hyperlink w:anchor="ref-hmrc_vatgpb">
        <w:r>
          <w:rPr>
            <w:rStyle w:val="Hyperlink"/>
          </w:rPr>
          <w:t xml:space="preserve">HMRC, 2026n, sec. VATGPB9510</w:t>
        </w:r>
      </w:hyperlink>
      <w:r>
        <w:t xml:space="preserve">)</w:t>
      </w:r>
      <w:r>
        <w:t xml:space="preserve">. This does</w:t>
      </w:r>
      <w:r>
        <w:t xml:space="preserve"> </w:t>
      </w:r>
      <w:r>
        <w:rPr>
          <w:b/>
          <w:bCs/>
        </w:rPr>
        <w:t xml:space="preserve">not</w:t>
      </w:r>
      <w:r>
        <w:t xml:space="preserve"> </w:t>
      </w:r>
      <w:r>
        <w:t xml:space="preserve">help a non-defence joint project.</w:t>
      </w:r>
    </w:p>
    <w:p>
      <w:pPr>
        <w:pStyle w:val="Compact"/>
        <w:numPr>
          <w:ilvl w:val="0"/>
          <w:numId w:val="1291"/>
        </w:numPr>
      </w:pPr>
      <w:r>
        <w:rPr>
          <w:b/>
          <w:bCs/>
        </w:rPr>
        <w:t xml:space="preserve">Training for overseas governments</w:t>
      </w:r>
      <w:r>
        <w:t xml:space="preserve">, under an extra-statutory concession described in VAT Notice 741A</w:t>
      </w:r>
      <w:r>
        <w:t xml:space="preserve"> </w:t>
      </w:r>
      <w:r>
        <w:t xml:space="preserve">(</w:t>
      </w:r>
      <w:hyperlink w:anchor="ref-hmrc_n741a">
        <w:r>
          <w:rPr>
            <w:rStyle w:val="Hyperlink"/>
          </w:rPr>
          <w:t xml:space="preserve">HMRC, 2022d</w:t>
        </w:r>
      </w:hyperlink>
      <w:r>
        <w:t xml:space="preserve">, paras. 15.5 to 15.8)</w:t>
      </w:r>
      <w:r>
        <w:t xml:space="preserve">. Training supplied in the UK to an overseas government for its sovereign (non-business) activities, and not already exempt, can be zero-rated</w:t>
      </w:r>
      <w:r>
        <w:t xml:space="preserve"> </w:t>
      </w:r>
      <w:r>
        <w:t xml:space="preserve">(</w:t>
      </w:r>
      <w:hyperlink w:anchor="ref-hmrc_n741a">
        <w:r>
          <w:rPr>
            <w:rStyle w:val="Hyperlink"/>
          </w:rPr>
          <w:t xml:space="preserve">HMRC, 2022d, para. 15.5</w:t>
        </w:r>
      </w:hyperlink>
      <w:r>
        <w:t xml:space="preserve">)</w:t>
      </w:r>
      <w:r>
        <w:t xml:space="preserve">.</w:t>
      </w:r>
    </w:p>
    <w:p>
      <w:pPr>
        <w:pStyle w:val="Compact"/>
        <w:numPr>
          <w:ilvl w:val="1"/>
          <w:numId w:val="1293"/>
        </w:numPr>
      </w:pPr>
      <w:r>
        <w:t xml:space="preserve">The supplier must obtain and keep a written statement from the overseas government, or its accredited representative, certifying that the trainees are employed in furtherance of its sovereign activities</w:t>
      </w:r>
      <w:r>
        <w:t xml:space="preserve"> </w:t>
      </w:r>
      <w:r>
        <w:t xml:space="preserve">(</w:t>
      </w:r>
      <w:hyperlink w:anchor="ref-hmrc_n741a">
        <w:r>
          <w:rPr>
            <w:rStyle w:val="Hyperlink"/>
          </w:rPr>
          <w:t xml:space="preserve">HMRC, 2022d, para. 15.6</w:t>
        </w:r>
      </w:hyperlink>
      <w:r>
        <w:t xml:space="preserve">)</w:t>
      </w:r>
      <w:r>
        <w:t xml:space="preserve">.</w:t>
      </w:r>
    </w:p>
    <w:p>
      <w:pPr>
        <w:pStyle w:val="Compact"/>
        <w:numPr>
          <w:ilvl w:val="1"/>
          <w:numId w:val="1293"/>
        </w:numPr>
      </w:pPr>
      <w:r>
        <w:t xml:space="preserve">Only the training itself is covered. Accommodation and transport supplied separately are not</w:t>
      </w:r>
      <w:r>
        <w:t xml:space="preserve"> </w:t>
      </w:r>
      <w:r>
        <w:t xml:space="preserve">(</w:t>
      </w:r>
      <w:hyperlink w:anchor="ref-hmrc_n741a">
        <w:r>
          <w:rPr>
            <w:rStyle w:val="Hyperlink"/>
          </w:rPr>
          <w:t xml:space="preserve">HMRC, 2022d, para. 15.8</w:t>
        </w:r>
      </w:hyperlink>
      <w:r>
        <w:t xml:space="preserve">)</w:t>
      </w:r>
      <w:r>
        <w:t xml:space="preserve">.</w:t>
      </w:r>
    </w:p>
    <w:p>
      <w:pPr>
        <w:pStyle w:val="Compact"/>
        <w:numPr>
          <w:ilvl w:val="1"/>
          <w:numId w:val="1293"/>
        </w:numPr>
      </w:pPr>
      <w:r>
        <w:t xml:space="preserve">It does not cover training for state-owned businesses, such as state airlines</w:t>
      </w:r>
      <w:r>
        <w:t xml:space="preserve"> </w:t>
      </w:r>
      <w:r>
        <w:t xml:space="preserve">(</w:t>
      </w:r>
      <w:hyperlink w:anchor="ref-hmrc_n741a">
        <w:r>
          <w:rPr>
            <w:rStyle w:val="Hyperlink"/>
          </w:rPr>
          <w:t xml:space="preserve">HMRC, 2022d, para. 15.5</w:t>
        </w:r>
      </w:hyperlink>
      <w:r>
        <w:t xml:space="preserve">)</w:t>
      </w:r>
      <w:r>
        <w:t xml:space="preserve">.</w:t>
      </w:r>
    </w:p>
    <w:p>
      <w:pPr>
        <w:pStyle w:val="Compact"/>
        <w:numPr>
          <w:ilvl w:val="1"/>
          <w:numId w:val="1293"/>
        </w:numPr>
      </w:pPr>
      <w:r>
        <w:t xml:space="preserve">It applies only where the overseas government is the customer. Where the Department contracts for and receives the training, UK VAT is charged to the Department, and Heading 65 is the route to consider (see the table above).</w:t>
      </w:r>
    </w:p>
    <w:p>
      <w:pPr>
        <w:pStyle w:val="Compact"/>
        <w:numPr>
          <w:ilvl w:val="1"/>
          <w:numId w:val="1293"/>
        </w:numPr>
      </w:pPr>
      <w:r>
        <w:t xml:space="preserve">Training that the Department itself sells is normally exempt (see below), so the concession does not apply to it.</w:t>
      </w:r>
    </w:p>
    <w:p>
      <w:pPr>
        <w:pStyle w:val="Compact"/>
        <w:numPr>
          <w:ilvl w:val="0"/>
          <w:numId w:val="1291"/>
        </w:numPr>
      </w:pPr>
      <w:r>
        <w:rPr>
          <w:b/>
          <w:bCs/>
        </w:rPr>
        <w:t xml:space="preserve">Goods ordered by overseas authorities</w:t>
      </w:r>
      <w:r>
        <w:t xml:space="preserve">, under VAT Notice 703</w:t>
      </w:r>
      <w:r>
        <w:t xml:space="preserve"> </w:t>
      </w:r>
      <w:r>
        <w:t xml:space="preserve">(</w:t>
      </w:r>
      <w:hyperlink w:anchor="ref-hmrc_n703">
        <w:r>
          <w:rPr>
            <w:rStyle w:val="Hyperlink"/>
          </w:rPr>
          <w:t xml:space="preserve">HMRC, 2026p, para. 4.13</w:t>
        </w:r>
      </w:hyperlink>
      <w:r>
        <w:t xml:space="preserve">)</w:t>
      </w:r>
      <w:r>
        <w:t xml:space="preserve">. A UK supplier can zero-rate goods supplied to an overseas authority that orders them through its embassy, High Commission or purchasing agent in the UK.</w:t>
      </w:r>
    </w:p>
    <w:p>
      <w:pPr>
        <w:pStyle w:val="Compact"/>
        <w:numPr>
          <w:ilvl w:val="1"/>
          <w:numId w:val="1294"/>
        </w:numPr>
      </w:pPr>
      <w:r>
        <w:t xml:space="preserve">The goods must be exported, with proof of export, within 3 months, and must not be used before export</w:t>
      </w:r>
      <w:r>
        <w:t xml:space="preserve"> </w:t>
      </w:r>
      <w:r>
        <w:t xml:space="preserve">(</w:t>
      </w:r>
      <w:hyperlink w:anchor="ref-hmrc_n703">
        <w:r>
          <w:rPr>
            <w:rStyle w:val="Hyperlink"/>
          </w:rPr>
          <w:t xml:space="preserve">HMRC, 2026p, para. 4.13</w:t>
        </w:r>
      </w:hyperlink>
      <w:r>
        <w:t xml:space="preserve">)</w:t>
      </w:r>
      <w:r>
        <w:t xml:space="preserve">.</w:t>
      </w:r>
    </w:p>
    <w:p>
      <w:pPr>
        <w:pStyle w:val="Compact"/>
        <w:numPr>
          <w:ilvl w:val="1"/>
          <w:numId w:val="1294"/>
        </w:numPr>
      </w:pPr>
      <w:r>
        <w:t xml:space="preserve">The supplier must keep evidence that the supply was made to the overseas authority, such as the order, a sales invoice made out to it and evidence of payment from it</w:t>
      </w:r>
      <w:r>
        <w:t xml:space="preserve"> </w:t>
      </w:r>
      <w:r>
        <w:t xml:space="preserve">(</w:t>
      </w:r>
      <w:hyperlink w:anchor="ref-hmrc_n703">
        <w:r>
          <w:rPr>
            <w:rStyle w:val="Hyperlink"/>
          </w:rPr>
          <w:t xml:space="preserve">HMRC, 2026p, para. 4.13</w:t>
        </w:r>
      </w:hyperlink>
      <w:r>
        <w:t xml:space="preserve">)</w:t>
      </w:r>
      <w:r>
        <w:t xml:space="preserve">.</w:t>
      </w:r>
    </w:p>
    <w:p>
      <w:pPr>
        <w:pStyle w:val="Compact"/>
        <w:numPr>
          <w:ilvl w:val="1"/>
          <w:numId w:val="1294"/>
        </w:numPr>
      </w:pPr>
      <w:r>
        <w:t xml:space="preserve">So this works only where the overseas government is the buyer. It does not help where the Department buys the goods to give away (see the planning point above). See also Part 4, Supplies to overseas authorities through embassies and High Commissions.</w:t>
      </w:r>
    </w:p>
    <w:bookmarkEnd w:id="237"/>
    <w:bookmarkStart w:id="238" w:name="what-is-not-claimable-2"/>
    <w:p>
      <w:pPr>
        <w:pStyle w:val="Heading4"/>
      </w:pPr>
      <w:r>
        <w:t xml:space="preserve">What is NOT claimable</w:t>
      </w:r>
    </w:p>
    <w:p>
      <w:pPr>
        <w:pStyle w:val="Compact"/>
        <w:numPr>
          <w:ilvl w:val="0"/>
          <w:numId w:val="1295"/>
        </w:numPr>
      </w:pPr>
      <w:r>
        <w:rPr>
          <w:b/>
          <w:bCs/>
        </w:rPr>
        <w:t xml:space="preserve">The goods themselves</w:t>
      </w:r>
      <w:r>
        <w:t xml:space="preserve"> </w:t>
      </w:r>
      <w:r>
        <w:t xml:space="preserve">(laptops, vehicles, kit), whether bought in the UK or imported. Import VAT on goods for non-business use is not covered either, because the Direction covers only goods closely related to a listed service</w:t>
      </w:r>
      <w:r>
        <w:t xml:space="preserve"> </w:t>
      </w:r>
      <w:r>
        <w:t xml:space="preserve">(</w:t>
      </w:r>
      <w:hyperlink w:anchor="ref-gazette_2020">
        <w:r>
          <w:rPr>
            <w:rStyle w:val="Hyperlink"/>
          </w:rPr>
          <w:t xml:space="preserve">HM Treasury, 2020b, para. 2(c)</w:t>
        </w:r>
      </w:hyperlink>
      <w:r>
        <w:t xml:space="preserve">;</w:t>
      </w:r>
      <w:r>
        <w:t xml:space="preserve"> </w:t>
      </w:r>
      <w:hyperlink w:anchor="ref-hmrc_vatgpb">
        <w:r>
          <w:rPr>
            <w:rStyle w:val="Hyperlink"/>
          </w:rPr>
          <w:t xml:space="preserve">HMRC, 2026n, sec. VATGPB11370</w:t>
        </w:r>
      </w:hyperlink>
      <w:r>
        <w:t xml:space="preserve">)</w:t>
      </w:r>
      <w:r>
        <w:t xml:space="preserve">. See Part 4, Import VAT and government departments.</w:t>
      </w:r>
    </w:p>
    <w:p>
      <w:pPr>
        <w:pStyle w:val="Compact"/>
        <w:numPr>
          <w:ilvl w:val="0"/>
          <w:numId w:val="1295"/>
        </w:numPr>
      </w:pPr>
      <w:r>
        <w:rPr>
          <w:b/>
          <w:bCs/>
        </w:rPr>
        <w:t xml:space="preserve">Consultants or contractors who deliver or implement</w:t>
      </w:r>
      <w:r>
        <w:t xml:space="preserve"> </w:t>
      </w:r>
      <w:r>
        <w:t xml:space="preserve">the capability-building, as opposed to giving advice. They are outside Heading 52</w:t>
      </w:r>
      <w:r>
        <w:t xml:space="preserve"> </w:t>
      </w:r>
      <w:r>
        <w:t xml:space="preserve">(</w:t>
      </w:r>
      <w:hyperlink w:anchor="ref-hmrc_vatgpb">
        <w:r>
          <w:rPr>
            <w:rStyle w:val="Hyperlink"/>
          </w:rPr>
          <w:t xml:space="preserve">HMRC, 2026n, sec. VATGPB10770</w:t>
        </w:r>
      </w:hyperlink>
      <w:r>
        <w:t xml:space="preserve">)</w:t>
      </w:r>
      <w:r>
        <w:t xml:space="preserve">, and no other heading covers general programme delivery (training of overseas officials may possibly fall under Heading 65; see the table above).</w:t>
      </w:r>
    </w:p>
    <w:p>
      <w:pPr>
        <w:pStyle w:val="Compact"/>
        <w:numPr>
          <w:ilvl w:val="0"/>
          <w:numId w:val="1295"/>
        </w:numPr>
      </w:pPr>
      <w:r>
        <w:rPr>
          <w:b/>
          <w:bCs/>
        </w:rPr>
        <w:t xml:space="preserve">Staff hired to work as part of the Department’s team.</w:t>
      </w:r>
      <w:r>
        <w:t xml:space="preserve"> </w:t>
      </w:r>
      <w:r>
        <w:t xml:space="preserve">This is a supply of staff</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295"/>
        </w:numPr>
      </w:pPr>
      <w:r>
        <w:rPr>
          <w:b/>
          <w:bCs/>
        </w:rPr>
        <w:t xml:space="preserve">Foreign VAT</w:t>
      </w:r>
      <w:r>
        <w:t xml:space="preserve"> </w:t>
      </w:r>
      <w:r>
        <w:t xml:space="preserve">on in-country costs: local venues, hotels, transport (Value Added Tax Act 1994, ss. 1 and 41(3)).</w:t>
      </w:r>
    </w:p>
    <w:p>
      <w:pPr>
        <w:pStyle w:val="Compact"/>
        <w:numPr>
          <w:ilvl w:val="0"/>
          <w:numId w:val="1295"/>
        </w:numPr>
      </w:pPr>
      <w:r>
        <w:rPr>
          <w:b/>
          <w:bCs/>
        </w:rPr>
        <w:t xml:space="preserve">A delivery charge included in the price of goods bought</w:t>
      </w:r>
      <w:r>
        <w:t xml:space="preserve"> </w:t>
      </w:r>
      <w:r>
        <w:t xml:space="preserve">(</w:t>
      </w:r>
      <w:hyperlink w:anchor="ref-hmrc_vatgpb">
        <w:r>
          <w:rPr>
            <w:rStyle w:val="Hyperlink"/>
          </w:rPr>
          <w:t xml:space="preserve">HMRC, 2026n, sec. VATGPB9990</w:t>
        </w:r>
      </w:hyperlink>
      <w:r>
        <w:t xml:space="preserve">)</w:t>
      </w:r>
      <w:r>
        <w:t xml:space="preserve">.</w:t>
      </w:r>
    </w:p>
    <w:bookmarkEnd w:id="238"/>
    <w:bookmarkStart w:id="239" w:name="X7918462f50319dc6c2bd151e0e03ecc3cfacca4"/>
    <w:p>
      <w:pPr>
        <w:pStyle w:val="Heading4"/>
      </w:pPr>
      <w:r>
        <w:t xml:space="preserve">Worked example: gifting IT equipment and training to an overseas ministry</w:t>
      </w:r>
    </w:p>
    <w:p>
      <w:pPr>
        <w:pStyle w:val="FirstParagraph"/>
      </w:pPr>
      <w:r>
        <w:t xml:space="preserve">The table lists each cost of the programme, its VAT and whether that VAT can be refunded. The rules applied are those set out above; on linked advice and implementation contracts, see HMRC’s guidance on Heading 52</w:t>
      </w:r>
      <w:r>
        <w:t xml:space="preserve"> </w:t>
      </w:r>
      <w:r>
        <w:t xml:space="preserve">(</w:t>
      </w:r>
      <w:hyperlink w:anchor="ref-hmrc_vatgpb">
        <w:r>
          <w:rPr>
            <w:rStyle w:val="Hyperlink"/>
          </w:rPr>
          <w:t xml:space="preserve">HMRC, 2026n, sec. VATGPB10770</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338"/>
        <w:gridCol w:w="1303"/>
        <w:gridCol w:w="1303"/>
        <w:gridCol w:w="3079"/>
      </w:tblGrid>
      <w:tr>
        <w:trPr>
          <w:tblHeader w:val="true"/>
          <w:cantSplit w:val="true"/>
        </w:trPr>
        <w:tc>
          <w:tcPr>
            <w:tcW w:w="3338" w:type="dxa"/>
            <w:shd w:val="clear" w:color="auto" w:fill="1B3A5C"/>
          </w:tcPr>
          <w:p>
            <w:pPr>
              <w:pStyle w:val="Compact"/>
              <w:spacing w:after="40" w:before="40"/>
              <w:jc w:val="left"/>
            </w:pPr>
            <w:r>
              <w:rPr>
                <w:rFonts w:ascii="Tahoma" w:hAnsi="Tahoma"/>
                <w:b/>
                <w:color w:val="FFFFFF"/>
                <w:sz w:val="22"/>
              </w:rPr>
              <w:t xml:space="preserve">Item</w:t>
            </w:r>
          </w:p>
        </w:tc>
        <w:tc>
          <w:tcPr>
            <w:tcW w:w="1303" w:type="dxa"/>
            <w:shd w:val="clear" w:color="auto" w:fill="1B3A5C"/>
          </w:tcPr>
          <w:p>
            <w:pPr>
              <w:pStyle w:val="Compact"/>
              <w:spacing w:after="40" w:before="40"/>
              <w:jc w:val="left"/>
            </w:pPr>
            <w:r>
              <w:rPr>
                <w:rFonts w:ascii="Tahoma" w:hAnsi="Tahoma"/>
                <w:b/>
                <w:color w:val="FFFFFF"/>
                <w:sz w:val="22"/>
              </w:rPr>
              <w:t xml:space="preserve">Net (£)</w:t>
            </w:r>
          </w:p>
        </w:tc>
        <w:tc>
          <w:tcPr>
            <w:tcW w:w="1303" w:type="dxa"/>
            <w:shd w:val="clear" w:color="auto" w:fill="1B3A5C"/>
          </w:tcPr>
          <w:p>
            <w:pPr>
              <w:pStyle w:val="Compact"/>
              <w:spacing w:after="40" w:before="40"/>
              <w:jc w:val="left"/>
            </w:pPr>
            <w:r>
              <w:rPr>
                <w:rFonts w:ascii="Tahoma" w:hAnsi="Tahoma"/>
                <w:b/>
                <w:color w:val="FFFFFF"/>
                <w:sz w:val="22"/>
              </w:rPr>
              <w:t xml:space="preserve">VAT (£)</w:t>
            </w:r>
          </w:p>
        </w:tc>
        <w:tc>
          <w:tcPr>
            <w:tcW w:w="3079" w:type="dxa"/>
            <w:shd w:val="clear" w:color="auto" w:fill="1B3A5C"/>
          </w:tcPr>
          <w:p>
            <w:pPr>
              <w:pStyle w:val="Compact"/>
              <w:spacing w:after="40" w:before="40"/>
              <w:jc w:val="left"/>
            </w:pPr>
            <w:r>
              <w:rPr>
                <w:rFonts w:ascii="Tahoma" w:hAnsi="Tahoma"/>
                <w:b/>
                <w:color w:val="FFFFFF"/>
                <w:sz w:val="22"/>
              </w:rPr>
              <w:t xml:space="preserve">Treatment</w:t>
            </w:r>
          </w:p>
        </w:tc>
      </w:tr>
      <w:tr>
        <w:trPr>
          <w:cantSplit w:val="true"/>
        </w:trPr>
        <w:tc>
          <w:tcPr>
            <w:tcW w:w="3338" w:type="dxa"/>
            <w:shd w:val="clear" w:color="auto" w:fill="EAF3FA"/>
          </w:tcPr>
          <w:p>
            <w:pPr>
              <w:pStyle w:val="Compact"/>
              <w:spacing w:after="40" w:before="40"/>
              <w:jc w:val="left"/>
            </w:pPr>
            <w:r>
              <w:rPr>
                <w:rFonts w:ascii="Tahoma" w:hAnsi="Tahoma"/>
                <w:sz w:val="22"/>
              </w:rPr>
              <w:t xml:space="preserve">40 laptops bought from a UK supplier,</w:t>
            </w:r>
            <w:r>
              <w:rPr>
                <w:rFonts w:ascii="Tahoma" w:hAnsi="Tahoma"/>
                <w:sz w:val="22"/>
              </w:rPr>
              <w:t xml:space="preserve"> </w:t>
            </w:r>
            <w:r>
              <w:rPr>
                <w:rFonts w:ascii="Tahoma" w:hAnsi="Tahoma"/>
                <w:b/>
                <w:bCs/>
                <w:sz w:val="22"/>
              </w:rPr>
              <w:t xml:space="preserve">delivered to the Department’s UK store</w:t>
            </w:r>
          </w:p>
        </w:tc>
        <w:tc>
          <w:tcPr>
            <w:tcW w:w="1303" w:type="dxa"/>
            <w:shd w:val="clear" w:color="auto" w:fill="EAF3FA"/>
          </w:tcPr>
          <w:p>
            <w:pPr>
              <w:pStyle w:val="Compact"/>
              <w:spacing w:after="40" w:before="40"/>
              <w:jc w:val="left"/>
            </w:pPr>
            <w:r>
              <w:rPr>
                <w:rFonts w:ascii="Tahoma" w:hAnsi="Tahoma"/>
                <w:sz w:val="22"/>
              </w:rPr>
              <w:t xml:space="preserve">30,000</w:t>
            </w:r>
          </w:p>
        </w:tc>
        <w:tc>
          <w:tcPr>
            <w:tcW w:w="1303" w:type="dxa"/>
            <w:shd w:val="clear" w:color="auto" w:fill="EAF3FA"/>
          </w:tcPr>
          <w:p>
            <w:pPr>
              <w:pStyle w:val="Compact"/>
              <w:spacing w:after="40" w:before="40"/>
              <w:jc w:val="left"/>
            </w:pPr>
            <w:r>
              <w:rPr>
                <w:rFonts w:ascii="Tahoma" w:hAnsi="Tahoma"/>
                <w:sz w:val="22"/>
              </w:rPr>
              <w:t xml:space="preserve">6,000</w:t>
            </w:r>
          </w:p>
        </w:tc>
        <w:tc>
          <w:tcPr>
            <w:tcW w:w="3079" w:type="dxa"/>
            <w:shd w:val="clear" w:color="auto" w:fill="EAF3FA"/>
          </w:tcPr>
          <w:p>
            <w:pPr>
              <w:pStyle w:val="Compact"/>
              <w:spacing w:after="40" w:before="40"/>
              <w:jc w:val="left"/>
            </w:pPr>
            <w:r>
              <w:rPr>
                <w:rFonts w:ascii="Tahoma" w:hAnsi="Tahoma"/>
                <w:b/>
                <w:bCs/>
                <w:sz w:val="22"/>
              </w:rPr>
              <w:t xml:space="preserve">No refund.</w:t>
            </w:r>
            <w:r>
              <w:rPr>
                <w:rFonts w:ascii="Tahoma" w:hAnsi="Tahoma"/>
                <w:sz w:val="22"/>
              </w:rPr>
              <w:t xml:space="preserve"> </w:t>
            </w:r>
            <w:r>
              <w:rPr>
                <w:rFonts w:ascii="Tahoma" w:hAnsi="Tahoma"/>
                <w:sz w:val="22"/>
              </w:rPr>
              <w:t xml:space="preserve">Goods, non-business:</w:t>
            </w:r>
            <w:r>
              <w:rPr>
                <w:rFonts w:ascii="Tahoma" w:hAnsi="Tahoma"/>
                <w:sz w:val="22"/>
              </w:rPr>
              <w:t xml:space="preserve"> </w:t>
            </w:r>
            <w:r>
              <w:rPr>
                <w:rFonts w:ascii="Tahoma" w:hAnsi="Tahoma"/>
                <w:b/>
                <w:bCs/>
                <w:sz w:val="22"/>
              </w:rPr>
              <w:t xml:space="preserve">£6,000 cost</w:t>
            </w:r>
          </w:p>
        </w:tc>
      </w:tr>
      <w:tr>
        <w:trPr>
          <w:cantSplit w:val="true"/>
        </w:trPr>
        <w:tc>
          <w:tcPr>
            <w:tcW w:w="3338" w:type="dxa"/>
            <w:shd w:val="clear" w:color="auto" w:fill="FFFFFF"/>
          </w:tcPr>
          <w:p>
            <w:pPr>
              <w:pStyle w:val="Compact"/>
              <w:spacing w:after="40" w:before="40"/>
              <w:jc w:val="left"/>
            </w:pPr>
            <w:r>
              <w:rPr>
                <w:rFonts w:ascii="Tahoma" w:hAnsi="Tahoma"/>
                <w:i/>
                <w:iCs/>
                <w:sz w:val="22"/>
              </w:rPr>
              <w:t xml:space="preserve">Alternative:</w:t>
            </w:r>
            <w:r>
              <w:rPr>
                <w:rFonts w:ascii="Tahoma" w:hAnsi="Tahoma"/>
                <w:sz w:val="22"/>
              </w:rPr>
              <w:t xml:space="preserve"> </w:t>
            </w:r>
            <w:r>
              <w:rPr>
                <w:rFonts w:ascii="Tahoma" w:hAnsi="Tahoma"/>
                <w:sz w:val="22"/>
              </w:rPr>
              <w:t xml:space="preserve">same laptops</w:t>
            </w:r>
            <w:r>
              <w:rPr>
                <w:rFonts w:ascii="Tahoma" w:hAnsi="Tahoma"/>
                <w:sz w:val="22"/>
              </w:rPr>
              <w:t xml:space="preserve"> </w:t>
            </w:r>
            <w:r>
              <w:rPr>
                <w:rFonts w:ascii="Tahoma" w:hAnsi="Tahoma"/>
                <w:b/>
                <w:bCs/>
                <w:sz w:val="22"/>
              </w:rPr>
              <w:t xml:space="preserve">exported directly by the supplier</w:t>
            </w:r>
            <w:r>
              <w:rPr>
                <w:rFonts w:ascii="Tahoma" w:hAnsi="Tahoma"/>
                <w:sz w:val="22"/>
              </w:rPr>
              <w:t xml:space="preserve"> </w:t>
            </w:r>
            <w:r>
              <w:rPr>
                <w:rFonts w:ascii="Tahoma" w:hAnsi="Tahoma"/>
                <w:sz w:val="22"/>
              </w:rPr>
              <w:t xml:space="preserve">to the ministry with export evidence</w:t>
            </w:r>
          </w:p>
        </w:tc>
        <w:tc>
          <w:tcPr>
            <w:tcW w:w="1303" w:type="dxa"/>
            <w:shd w:val="clear" w:color="auto" w:fill="FFFFFF"/>
          </w:tcPr>
          <w:p>
            <w:pPr>
              <w:pStyle w:val="Compact"/>
              <w:spacing w:after="40" w:before="40"/>
              <w:jc w:val="left"/>
            </w:pPr>
            <w:r>
              <w:rPr>
                <w:rFonts w:ascii="Tahoma" w:hAnsi="Tahoma"/>
                <w:sz w:val="22"/>
              </w:rPr>
              <w:t xml:space="preserve">30,000</w:t>
            </w:r>
          </w:p>
        </w:tc>
        <w:tc>
          <w:tcPr>
            <w:tcW w:w="1303" w:type="dxa"/>
            <w:shd w:val="clear" w:color="auto" w:fill="FFFFFF"/>
          </w:tcPr>
          <w:p>
            <w:pPr>
              <w:pStyle w:val="Compact"/>
              <w:spacing w:after="40" w:before="40"/>
              <w:jc w:val="left"/>
            </w:pPr>
            <w:r>
              <w:rPr>
                <w:rFonts w:ascii="Tahoma" w:hAnsi="Tahoma"/>
                <w:sz w:val="22"/>
              </w:rPr>
              <w:t xml:space="preserve">0</w:t>
            </w:r>
          </w:p>
        </w:tc>
        <w:tc>
          <w:tcPr>
            <w:tcW w:w="3079" w:type="dxa"/>
            <w:shd w:val="clear" w:color="auto" w:fill="FFFFFF"/>
          </w:tcPr>
          <w:p>
            <w:pPr>
              <w:pStyle w:val="Compact"/>
              <w:spacing w:after="40" w:before="40"/>
              <w:jc w:val="left"/>
            </w:pPr>
            <w:r>
              <w:rPr>
                <w:rFonts w:ascii="Tahoma" w:hAnsi="Tahoma"/>
                <w:sz w:val="22"/>
              </w:rPr>
              <w:t xml:space="preserve">Zero-rated.</w:t>
            </w:r>
            <w:r>
              <w:rPr>
                <w:rFonts w:ascii="Tahoma" w:hAnsi="Tahoma"/>
                <w:sz w:val="22"/>
              </w:rPr>
              <w:t xml:space="preserve"> </w:t>
            </w:r>
            <w:r>
              <w:rPr>
                <w:rFonts w:ascii="Tahoma" w:hAnsi="Tahoma"/>
                <w:b/>
                <w:bCs/>
                <w:sz w:val="22"/>
              </w:rPr>
              <w:t xml:space="preserve">Saves £6,000</w:t>
            </w:r>
          </w:p>
        </w:tc>
      </w:tr>
      <w:tr>
        <w:trPr>
          <w:cantSplit w:val="true"/>
        </w:trPr>
        <w:tc>
          <w:tcPr>
            <w:tcW w:w="3338" w:type="dxa"/>
            <w:shd w:val="clear" w:color="auto" w:fill="FBEAF1"/>
          </w:tcPr>
          <w:p>
            <w:pPr>
              <w:pStyle w:val="Compact"/>
              <w:spacing w:after="40" w:before="40"/>
              <w:jc w:val="left"/>
            </w:pPr>
            <w:r>
              <w:rPr>
                <w:rFonts w:ascii="Tahoma" w:hAnsi="Tahoma"/>
                <w:sz w:val="22"/>
              </w:rPr>
              <w:t xml:space="preserve">Storage at a third-party warehouse for 2 months</w:t>
            </w:r>
          </w:p>
        </w:tc>
        <w:tc>
          <w:tcPr>
            <w:tcW w:w="1303" w:type="dxa"/>
            <w:shd w:val="clear" w:color="auto" w:fill="FBEAF1"/>
          </w:tcPr>
          <w:p>
            <w:pPr>
              <w:pStyle w:val="Compact"/>
              <w:spacing w:after="40" w:before="40"/>
              <w:jc w:val="left"/>
            </w:pPr>
            <w:r>
              <w:rPr>
                <w:rFonts w:ascii="Tahoma" w:hAnsi="Tahoma"/>
                <w:sz w:val="22"/>
              </w:rPr>
              <w:t xml:space="preserve">1,200</w:t>
            </w:r>
          </w:p>
        </w:tc>
        <w:tc>
          <w:tcPr>
            <w:tcW w:w="1303" w:type="dxa"/>
            <w:shd w:val="clear" w:color="auto" w:fill="FBEAF1"/>
          </w:tcPr>
          <w:p>
            <w:pPr>
              <w:pStyle w:val="Compact"/>
              <w:spacing w:after="40" w:before="40"/>
              <w:jc w:val="left"/>
            </w:pPr>
            <w:r>
              <w:rPr>
                <w:rFonts w:ascii="Tahoma" w:hAnsi="Tahoma"/>
                <w:sz w:val="22"/>
              </w:rPr>
              <w:t xml:space="preserve">240</w:t>
            </w:r>
          </w:p>
        </w:tc>
        <w:tc>
          <w:tcPr>
            <w:tcW w:w="3079" w:type="dxa"/>
            <w:shd w:val="clear" w:color="auto" w:fill="FBEAF1"/>
          </w:tcPr>
          <w:p>
            <w:pPr>
              <w:pStyle w:val="Compact"/>
              <w:spacing w:after="40" w:before="40"/>
              <w:jc w:val="left"/>
            </w:pPr>
            <w:r>
              <w:rPr>
                <w:rFonts w:ascii="Tahoma" w:hAnsi="Tahoma"/>
                <w:b/>
                <w:bCs/>
                <w:sz w:val="22"/>
              </w:rPr>
              <w:t xml:space="preserve">Heading 63: £240 refundable</w:t>
            </w:r>
          </w:p>
        </w:tc>
      </w:tr>
      <w:tr>
        <w:trPr>
          <w:cantSplit w:val="true"/>
        </w:trPr>
        <w:tc>
          <w:tcPr>
            <w:tcW w:w="3338" w:type="dxa"/>
            <w:shd w:val="clear" w:color="auto" w:fill="EAF3FA"/>
          </w:tcPr>
          <w:p>
            <w:pPr>
              <w:pStyle w:val="Compact"/>
              <w:spacing w:after="40" w:before="40"/>
              <w:jc w:val="left"/>
            </w:pPr>
            <w:r>
              <w:rPr>
                <w:rFonts w:ascii="Tahoma" w:hAnsi="Tahoma"/>
                <w:sz w:val="22"/>
              </w:rPr>
              <w:t xml:space="preserve">Freight forwarder: international carriage</w:t>
            </w:r>
          </w:p>
        </w:tc>
        <w:tc>
          <w:tcPr>
            <w:tcW w:w="1303" w:type="dxa"/>
            <w:shd w:val="clear" w:color="auto" w:fill="EAF3FA"/>
          </w:tcPr>
          <w:p>
            <w:pPr>
              <w:pStyle w:val="Compact"/>
              <w:spacing w:after="40" w:before="40"/>
              <w:jc w:val="left"/>
            </w:pPr>
            <w:r>
              <w:rPr>
                <w:rFonts w:ascii="Tahoma" w:hAnsi="Tahoma"/>
                <w:sz w:val="22"/>
              </w:rPr>
              <w:t xml:space="preserve">2,500</w:t>
            </w:r>
          </w:p>
        </w:tc>
        <w:tc>
          <w:tcPr>
            <w:tcW w:w="1303" w:type="dxa"/>
            <w:shd w:val="clear" w:color="auto" w:fill="EAF3FA"/>
          </w:tcPr>
          <w:p>
            <w:pPr>
              <w:pStyle w:val="Compact"/>
              <w:spacing w:after="40" w:before="40"/>
              <w:jc w:val="left"/>
            </w:pPr>
            <w:r>
              <w:rPr>
                <w:rFonts w:ascii="Tahoma" w:hAnsi="Tahoma"/>
                <w:sz w:val="22"/>
              </w:rPr>
              <w:t xml:space="preserve">0</w:t>
            </w:r>
          </w:p>
        </w:tc>
        <w:tc>
          <w:tcPr>
            <w:tcW w:w="3079" w:type="dxa"/>
            <w:shd w:val="clear" w:color="auto" w:fill="EAF3FA"/>
          </w:tcPr>
          <w:p>
            <w:pPr>
              <w:pStyle w:val="Compact"/>
              <w:spacing w:after="40" w:before="40"/>
              <w:jc w:val="left"/>
            </w:pPr>
            <w:r>
              <w:rPr>
                <w:rFonts w:ascii="Tahoma" w:hAnsi="Tahoma"/>
                <w:sz w:val="22"/>
              </w:rPr>
              <w:t xml:space="preserve">Zero-rated, no VAT</w:t>
            </w:r>
          </w:p>
        </w:tc>
      </w:tr>
      <w:tr>
        <w:trPr>
          <w:cantSplit w:val="true"/>
        </w:trPr>
        <w:tc>
          <w:tcPr>
            <w:tcW w:w="3338" w:type="dxa"/>
            <w:shd w:val="clear" w:color="auto" w:fill="FFFFFF"/>
          </w:tcPr>
          <w:p>
            <w:pPr>
              <w:pStyle w:val="Compact"/>
              <w:spacing w:after="40" w:before="40"/>
              <w:jc w:val="left"/>
            </w:pPr>
            <w:r>
              <w:rPr>
                <w:rFonts w:ascii="Tahoma" w:hAnsi="Tahoma"/>
                <w:sz w:val="22"/>
              </w:rPr>
              <w:t xml:space="preserve">Translation of user guides into French</w:t>
            </w:r>
          </w:p>
        </w:tc>
        <w:tc>
          <w:tcPr>
            <w:tcW w:w="1303" w:type="dxa"/>
            <w:shd w:val="clear" w:color="auto" w:fill="FFFFFF"/>
          </w:tcPr>
          <w:p>
            <w:pPr>
              <w:pStyle w:val="Compact"/>
              <w:spacing w:after="40" w:before="40"/>
              <w:jc w:val="left"/>
            </w:pPr>
            <w:r>
              <w:rPr>
                <w:rFonts w:ascii="Tahoma" w:hAnsi="Tahoma"/>
                <w:sz w:val="22"/>
              </w:rPr>
              <w:t xml:space="preserve">2,000</w:t>
            </w:r>
          </w:p>
        </w:tc>
        <w:tc>
          <w:tcPr>
            <w:tcW w:w="1303" w:type="dxa"/>
            <w:shd w:val="clear" w:color="auto" w:fill="FFFFFF"/>
          </w:tcPr>
          <w:p>
            <w:pPr>
              <w:pStyle w:val="Compact"/>
              <w:spacing w:after="40" w:before="40"/>
              <w:jc w:val="left"/>
            </w:pPr>
            <w:r>
              <w:rPr>
                <w:rFonts w:ascii="Tahoma" w:hAnsi="Tahoma"/>
                <w:sz w:val="22"/>
              </w:rPr>
              <w:t xml:space="preserve">400</w:t>
            </w:r>
          </w:p>
        </w:tc>
        <w:tc>
          <w:tcPr>
            <w:tcW w:w="3079" w:type="dxa"/>
            <w:shd w:val="clear" w:color="auto" w:fill="FFFFFF"/>
          </w:tcPr>
          <w:p>
            <w:pPr>
              <w:pStyle w:val="Compact"/>
              <w:spacing w:after="40" w:before="40"/>
              <w:jc w:val="left"/>
            </w:pPr>
            <w:r>
              <w:rPr>
                <w:rFonts w:ascii="Tahoma" w:hAnsi="Tahoma"/>
                <w:b/>
                <w:bCs/>
                <w:sz w:val="22"/>
              </w:rPr>
              <w:t xml:space="preserve">Heading 28: £400 refundable</w:t>
            </w:r>
          </w:p>
        </w:tc>
      </w:tr>
      <w:tr>
        <w:trPr>
          <w:cantSplit w:val="true"/>
        </w:trPr>
        <w:tc>
          <w:tcPr>
            <w:tcW w:w="3338" w:type="dxa"/>
            <w:shd w:val="clear" w:color="auto" w:fill="FBEAF1"/>
          </w:tcPr>
          <w:p>
            <w:pPr>
              <w:pStyle w:val="Compact"/>
              <w:spacing w:after="40" w:before="40"/>
              <w:jc w:val="left"/>
            </w:pPr>
            <w:r>
              <w:rPr>
                <w:rFonts w:ascii="Tahoma" w:hAnsi="Tahoma"/>
                <w:sz w:val="22"/>
              </w:rPr>
              <w:t xml:space="preserve">UK policy adviser’s report on programme design (advice only, separate contract)</w:t>
            </w:r>
          </w:p>
        </w:tc>
        <w:tc>
          <w:tcPr>
            <w:tcW w:w="1303" w:type="dxa"/>
            <w:shd w:val="clear" w:color="auto" w:fill="FBEAF1"/>
          </w:tcPr>
          <w:p>
            <w:pPr>
              <w:pStyle w:val="Compact"/>
              <w:spacing w:after="40" w:before="40"/>
              <w:jc w:val="left"/>
            </w:pPr>
            <w:r>
              <w:rPr>
                <w:rFonts w:ascii="Tahoma" w:hAnsi="Tahoma"/>
                <w:sz w:val="22"/>
              </w:rPr>
              <w:t xml:space="preserve">15,000</w:t>
            </w:r>
          </w:p>
        </w:tc>
        <w:tc>
          <w:tcPr>
            <w:tcW w:w="1303" w:type="dxa"/>
            <w:shd w:val="clear" w:color="auto" w:fill="FBEAF1"/>
          </w:tcPr>
          <w:p>
            <w:pPr>
              <w:pStyle w:val="Compact"/>
              <w:spacing w:after="40" w:before="40"/>
              <w:jc w:val="left"/>
            </w:pPr>
            <w:r>
              <w:rPr>
                <w:rFonts w:ascii="Tahoma" w:hAnsi="Tahoma"/>
                <w:sz w:val="22"/>
              </w:rPr>
              <w:t xml:space="preserve">3,000</w:t>
            </w:r>
          </w:p>
        </w:tc>
        <w:tc>
          <w:tcPr>
            <w:tcW w:w="3079" w:type="dxa"/>
            <w:shd w:val="clear" w:color="auto" w:fill="FBEAF1"/>
          </w:tcPr>
          <w:p>
            <w:pPr>
              <w:pStyle w:val="Compact"/>
              <w:spacing w:after="40" w:before="40"/>
              <w:jc w:val="left"/>
            </w:pPr>
            <w:r>
              <w:rPr>
                <w:rFonts w:ascii="Tahoma" w:hAnsi="Tahoma"/>
                <w:b/>
                <w:bCs/>
                <w:sz w:val="22"/>
              </w:rPr>
              <w:t xml:space="preserve">Heading 52(a): £3,000 refundable</w:t>
            </w:r>
          </w:p>
        </w:tc>
      </w:tr>
      <w:tr>
        <w:trPr>
          <w:cantSplit w:val="true"/>
        </w:trPr>
        <w:tc>
          <w:tcPr>
            <w:tcW w:w="3338" w:type="dxa"/>
            <w:shd w:val="clear" w:color="auto" w:fill="EAF3FA"/>
          </w:tcPr>
          <w:p>
            <w:pPr>
              <w:pStyle w:val="Compact"/>
              <w:spacing w:after="40" w:before="40"/>
              <w:jc w:val="left"/>
            </w:pPr>
            <w:r>
              <w:rPr>
                <w:rFonts w:ascii="Tahoma" w:hAnsi="Tahoma"/>
                <w:sz w:val="22"/>
              </w:rPr>
              <w:t xml:space="preserve">Same firm then contracted to implement the programme</w:t>
            </w:r>
          </w:p>
        </w:tc>
        <w:tc>
          <w:tcPr>
            <w:tcW w:w="1303" w:type="dxa"/>
            <w:shd w:val="clear" w:color="auto" w:fill="EAF3FA"/>
          </w:tcPr>
          <w:p>
            <w:pPr>
              <w:pStyle w:val="Compact"/>
              <w:spacing w:after="40" w:before="40"/>
              <w:jc w:val="left"/>
            </w:pPr>
            <w:r>
              <w:rPr>
                <w:rFonts w:ascii="Tahoma" w:hAnsi="Tahoma"/>
                <w:sz w:val="22"/>
              </w:rPr>
              <w:t xml:space="preserve">60,000</w:t>
            </w:r>
          </w:p>
        </w:tc>
        <w:tc>
          <w:tcPr>
            <w:tcW w:w="1303" w:type="dxa"/>
            <w:shd w:val="clear" w:color="auto" w:fill="EAF3FA"/>
          </w:tcPr>
          <w:p>
            <w:pPr>
              <w:pStyle w:val="Compact"/>
              <w:spacing w:after="40" w:before="40"/>
              <w:jc w:val="left"/>
            </w:pPr>
            <w:r>
              <w:rPr>
                <w:rFonts w:ascii="Tahoma" w:hAnsi="Tahoma"/>
                <w:sz w:val="22"/>
              </w:rPr>
              <w:t xml:space="preserve">12,000</w:t>
            </w:r>
          </w:p>
        </w:tc>
        <w:tc>
          <w:tcPr>
            <w:tcW w:w="3079" w:type="dxa"/>
            <w:shd w:val="clear" w:color="auto" w:fill="EAF3FA"/>
          </w:tcPr>
          <w:p>
            <w:pPr>
              <w:pStyle w:val="Compact"/>
              <w:spacing w:after="40" w:before="40"/>
              <w:jc w:val="left"/>
            </w:pPr>
            <w:r>
              <w:rPr>
                <w:rFonts w:ascii="Tahoma" w:hAnsi="Tahoma"/>
                <w:b/>
                <w:bCs/>
                <w:sz w:val="22"/>
              </w:rPr>
              <w:t xml:space="preserve">No refund.</w:t>
            </w:r>
            <w:r>
              <w:rPr>
                <w:rFonts w:ascii="Tahoma" w:hAnsi="Tahoma"/>
                <w:sz w:val="22"/>
              </w:rPr>
              <w:t xml:space="preserve"> </w:t>
            </w:r>
            <w:r>
              <w:rPr>
                <w:rFonts w:ascii="Tahoma" w:hAnsi="Tahoma"/>
                <w:sz w:val="22"/>
              </w:rPr>
              <w:t xml:space="preserve">Implementation, not advice. Advice and implementation in</w:t>
            </w:r>
            <w:r>
              <w:rPr>
                <w:rFonts w:ascii="Tahoma" w:hAnsi="Tahoma"/>
                <w:sz w:val="22"/>
              </w:rPr>
              <w:t xml:space="preserve"> </w:t>
            </w:r>
            <w:r>
              <w:rPr>
                <w:rFonts w:ascii="Tahoma" w:hAnsi="Tahoma"/>
                <w:b/>
                <w:bCs/>
                <w:sz w:val="22"/>
              </w:rPr>
              <w:t xml:space="preserve">one</w:t>
            </w:r>
            <w:r>
              <w:rPr>
                <w:rFonts w:ascii="Tahoma" w:hAnsi="Tahoma"/>
                <w:sz w:val="22"/>
              </w:rPr>
              <w:t xml:space="preserve"> </w:t>
            </w:r>
            <w:r>
              <w:rPr>
                <w:rFonts w:ascii="Tahoma" w:hAnsi="Tahoma"/>
                <w:sz w:val="22"/>
              </w:rPr>
              <w:t xml:space="preserve">contract, or in contracts linked at the outset (for example by an option or call-off), risk losing the £3,000 too. Keep them separately procured</w:t>
            </w:r>
          </w:p>
        </w:tc>
      </w:tr>
      <w:tr>
        <w:trPr>
          <w:cantSplit w:val="true"/>
        </w:trPr>
        <w:tc>
          <w:tcPr>
            <w:tcW w:w="3338" w:type="dxa"/>
            <w:shd w:val="clear" w:color="auto" w:fill="FFFFFF"/>
          </w:tcPr>
          <w:p>
            <w:pPr>
              <w:pStyle w:val="Compact"/>
              <w:spacing w:after="40" w:before="40"/>
              <w:jc w:val="left"/>
            </w:pPr>
            <w:r>
              <w:rPr>
                <w:rFonts w:ascii="Tahoma" w:hAnsi="Tahoma"/>
                <w:sz w:val="22"/>
              </w:rPr>
              <w:t xml:space="preserve">UK training company runs a 5-day course for ministry officials in-country, paid by the Department, no recharge</w:t>
            </w:r>
          </w:p>
        </w:tc>
        <w:tc>
          <w:tcPr>
            <w:tcW w:w="1303" w:type="dxa"/>
            <w:shd w:val="clear" w:color="auto" w:fill="FFFFFF"/>
          </w:tcPr>
          <w:p>
            <w:pPr>
              <w:pStyle w:val="Compact"/>
              <w:spacing w:after="40" w:before="40"/>
              <w:jc w:val="left"/>
            </w:pPr>
            <w:r>
              <w:rPr>
                <w:rFonts w:ascii="Tahoma" w:hAnsi="Tahoma"/>
                <w:sz w:val="22"/>
              </w:rPr>
              <w:t xml:space="preserve">10,000</w:t>
            </w:r>
          </w:p>
        </w:tc>
        <w:tc>
          <w:tcPr>
            <w:tcW w:w="1303" w:type="dxa"/>
            <w:shd w:val="clear" w:color="auto" w:fill="FFFFFF"/>
          </w:tcPr>
          <w:p>
            <w:pPr>
              <w:pStyle w:val="Compact"/>
              <w:spacing w:after="40" w:before="40"/>
              <w:jc w:val="left"/>
            </w:pPr>
            <w:r>
              <w:rPr>
                <w:rFonts w:ascii="Tahoma" w:hAnsi="Tahoma"/>
                <w:sz w:val="22"/>
              </w:rPr>
              <w:t xml:space="preserve">2,000</w:t>
            </w:r>
          </w:p>
        </w:tc>
        <w:tc>
          <w:tcPr>
            <w:tcW w:w="3079" w:type="dxa"/>
            <w:shd w:val="clear" w:color="auto" w:fill="FFFFFF"/>
          </w:tcPr>
          <w:p>
            <w:pPr>
              <w:pStyle w:val="Compact"/>
              <w:spacing w:after="40" w:before="40"/>
              <w:jc w:val="left"/>
            </w:pPr>
            <w:r>
              <w:rPr>
                <w:rFonts w:ascii="Tahoma" w:hAnsi="Tahoma"/>
                <w:b/>
                <w:bCs/>
                <w:sz w:val="22"/>
              </w:rPr>
              <w:t xml:space="preserve">Possibly Heading 65.</w:t>
            </w:r>
            <w:r>
              <w:rPr>
                <w:rFonts w:ascii="Tahoma" w:hAnsi="Tahoma"/>
                <w:sz w:val="22"/>
              </w:rPr>
              <w:t xml:space="preserve"> </w:t>
            </w:r>
            <w:r>
              <w:rPr>
                <w:rFonts w:ascii="Tahoma" w:hAnsi="Tahoma"/>
                <w:sz w:val="22"/>
              </w:rPr>
              <w:t xml:space="preserve">Confirm with HMRC first, including who receives the supply (see above)</w:t>
            </w:r>
          </w:p>
        </w:tc>
      </w:tr>
      <w:tr>
        <w:trPr>
          <w:cantSplit w:val="true"/>
        </w:trPr>
        <w:tc>
          <w:tcPr>
            <w:tcW w:w="3338" w:type="dxa"/>
            <w:shd w:val="clear" w:color="auto" w:fill="FBEAF1"/>
          </w:tcPr>
          <w:p>
            <w:pPr>
              <w:pStyle w:val="Compact"/>
              <w:spacing w:after="40" w:before="40"/>
              <w:jc w:val="left"/>
            </w:pPr>
            <w:r>
              <w:rPr>
                <w:rFonts w:ascii="Tahoma" w:hAnsi="Tahoma"/>
                <w:sz w:val="22"/>
              </w:rPr>
              <w:t xml:space="preserve">Hotel in-country for the Department’s two staff</w:t>
            </w:r>
          </w:p>
        </w:tc>
        <w:tc>
          <w:tcPr>
            <w:tcW w:w="1303" w:type="dxa"/>
            <w:shd w:val="clear" w:color="auto" w:fill="FBEAF1"/>
          </w:tcPr>
          <w:p>
            <w:pPr>
              <w:pStyle w:val="Compact"/>
              <w:spacing w:after="40" w:before="40"/>
              <w:jc w:val="left"/>
            </w:pPr>
            <w:r>
              <w:rPr>
                <w:rFonts w:ascii="Tahoma" w:hAnsi="Tahoma"/>
                <w:sz w:val="22"/>
              </w:rPr>
              <w:t xml:space="preserve">–</w:t>
            </w:r>
          </w:p>
        </w:tc>
        <w:tc>
          <w:tcPr>
            <w:tcW w:w="1303" w:type="dxa"/>
            <w:shd w:val="clear" w:color="auto" w:fill="FBEAF1"/>
          </w:tcPr>
          <w:p>
            <w:pPr>
              <w:pStyle w:val="Compact"/>
              <w:spacing w:after="40" w:before="40"/>
              <w:jc w:val="left"/>
            </w:pPr>
            <w:r>
              <w:rPr>
                <w:rFonts w:ascii="Tahoma" w:hAnsi="Tahoma"/>
                <w:sz w:val="22"/>
              </w:rPr>
              <w:t xml:space="preserve">local tax</w:t>
            </w:r>
          </w:p>
        </w:tc>
        <w:tc>
          <w:tcPr>
            <w:tcW w:w="3079" w:type="dxa"/>
            <w:shd w:val="clear" w:color="auto" w:fill="FBEAF1"/>
          </w:tcPr>
          <w:p>
            <w:pPr>
              <w:pStyle w:val="Compact"/>
              <w:spacing w:after="40" w:before="40"/>
              <w:jc w:val="left"/>
            </w:pPr>
            <w:r>
              <w:rPr>
                <w:rFonts w:ascii="Tahoma" w:hAnsi="Tahoma"/>
                <w:b/>
                <w:bCs/>
                <w:sz w:val="22"/>
              </w:rPr>
              <w:t xml:space="preserve">No.</w:t>
            </w:r>
            <w:r>
              <w:rPr>
                <w:rFonts w:ascii="Tahoma" w:hAnsi="Tahoma"/>
                <w:sz w:val="22"/>
              </w:rPr>
              <w:t xml:space="preserve"> </w:t>
            </w:r>
            <w:r>
              <w:rPr>
                <w:rFonts w:ascii="Tahoma" w:hAnsi="Tahoma"/>
                <w:sz w:val="22"/>
              </w:rPr>
              <w:t xml:space="preserve">Foreign tax</w:t>
            </w:r>
          </w:p>
        </w:tc>
      </w:tr>
    </w:tbl>
    <w:p>
      <w:pPr>
        <w:pStyle w:val="BodyText"/>
        <w:spacing w:before="200"/>
      </w:pPr>
      <w:r>
        <w:rPr>
          <w:b/>
          <w:bCs/>
        </w:rPr>
        <w:t xml:space="preserve">If the Department charged the overseas government</w:t>
      </w:r>
      <w:r>
        <w:t xml:space="preserve"> </w:t>
      </w:r>
      <w:r>
        <w:t xml:space="preserve">(for example on a cost-recovery basis), the position would change. A supply for payment is likely to be a</w:t>
      </w:r>
      <w:r>
        <w:t xml:space="preserve"> </w:t>
      </w:r>
      <w:r>
        <w:rPr>
          <w:b/>
          <w:bCs/>
        </w:rPr>
        <w:t xml:space="preserve">business</w:t>
      </w:r>
      <w:r>
        <w:t xml:space="preserve"> </w:t>
      </w:r>
      <w:r>
        <w:t xml:space="preserve">activity</w:t>
      </w:r>
      <w:r>
        <w:t xml:space="preserve"> </w:t>
      </w:r>
      <w:r>
        <w:t xml:space="preserve">(</w:t>
      </w:r>
      <w:hyperlink w:anchor="ref-hmrc_vatgpb">
        <w:r>
          <w:rPr>
            <w:rStyle w:val="Hyperlink"/>
          </w:rPr>
          <w:t xml:space="preserve">HMRC, 2026n</w:t>
        </w:r>
      </w:hyperlink>
      <w:r>
        <w:t xml:space="preserve">, secs. VATGPB3100 and VATGPB3600)</w:t>
      </w:r>
      <w:r>
        <w:t xml:space="preserve">:</w:t>
      </w:r>
    </w:p>
    <w:p>
      <w:pPr>
        <w:pStyle w:val="Compact"/>
        <w:numPr>
          <w:ilvl w:val="0"/>
          <w:numId w:val="1296"/>
        </w:numPr>
      </w:pPr>
      <w:r>
        <w:t xml:space="preserve">exported goods would be zero-rated, provided the export evidence is held</w:t>
      </w:r>
      <w:r>
        <w:t xml:space="preserve"> </w:t>
      </w:r>
      <w:r>
        <w:t xml:space="preserve">(</w:t>
      </w:r>
      <w:hyperlink w:anchor="ref-hmrc_n703">
        <w:r>
          <w:rPr>
            <w:rStyle w:val="Hyperlink"/>
          </w:rPr>
          <w:t xml:space="preserve">HMRC, 2026p, para. 3.3</w:t>
        </w:r>
      </w:hyperlink>
      <w:r>
        <w:t xml:space="preserve">)</w:t>
      </w:r>
      <w:r>
        <w:t xml:space="preserve">;</w:t>
      </w:r>
    </w:p>
    <w:p>
      <w:pPr>
        <w:pStyle w:val="Compact"/>
        <w:numPr>
          <w:ilvl w:val="0"/>
          <w:numId w:val="1296"/>
        </w:numPr>
      </w:pPr>
      <w:r>
        <w:t xml:space="preserve">services would follow the place-of-supply rules</w:t>
      </w:r>
      <w:r>
        <w:t xml:space="preserve"> </w:t>
      </w:r>
      <w:r>
        <w:t xml:space="preserve">(</w:t>
      </w:r>
      <w:hyperlink w:anchor="ref-hmrc_n741a">
        <w:r>
          <w:rPr>
            <w:rStyle w:val="Hyperlink"/>
          </w:rPr>
          <w:t xml:space="preserve">HMRC, 2022d, para. 6.1</w:t>
        </w:r>
      </w:hyperlink>
      <w:r>
        <w:t xml:space="preserve">)</w:t>
      </w:r>
      <w:r>
        <w:t xml:space="preserve">; and</w:t>
      </w:r>
    </w:p>
    <w:p>
      <w:pPr>
        <w:pStyle w:val="Compact"/>
        <w:numPr>
          <w:ilvl w:val="0"/>
          <w:numId w:val="1296"/>
        </w:numPr>
      </w:pPr>
      <w:r>
        <w:t xml:space="preserve">related UK VAT would be recovered as</w:t>
      </w:r>
      <w:r>
        <w:t xml:space="preserve"> </w:t>
      </w:r>
      <w:r>
        <w:rPr>
          <w:b/>
          <w:bCs/>
        </w:rPr>
        <w:t xml:space="preserve">input tax</w:t>
      </w:r>
      <w:r>
        <w:t xml:space="preserve">, not COS, but only to the extent the Department’s supply is taxable, or would be taxable if made in the UK, under section 26(2)(b) of the Value Added Tax Act 1994</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Watch out for training the Department sells.</w:t>
      </w:r>
      <w:r>
        <w:t xml:space="preserve"> </w:t>
      </w:r>
      <w:r>
        <w:t xml:space="preserve">Education or vocational training that the Department supplies for payment is normally</w:t>
      </w:r>
      <w:r>
        <w:t xml:space="preserve"> </w:t>
      </w:r>
      <w:r>
        <w:rPr>
          <w:b/>
          <w:bCs/>
        </w:rPr>
        <w:t xml:space="preserve">exempt</w:t>
      </w:r>
      <w:r>
        <w:t xml:space="preserve">, because a government department is an</w:t>
      </w:r>
      <w:r>
        <w:t xml:space="preserve"> </w:t>
      </w:r>
      <w:r>
        <w:t xml:space="preserve">“</w:t>
      </w:r>
      <w:r>
        <w:t xml:space="preserve">eligible body</w:t>
      </w:r>
      <w:r>
        <w:t xml:space="preserve">”</w:t>
      </w:r>
      <w:r>
        <w:t xml:space="preserve"> </w:t>
      </w:r>
      <w:r>
        <w:t xml:space="preserve">under Schedule 9, Group 6, Note 1(d) and Group 7, Note 5 to the Value Added Tax Act 1994</w:t>
      </w:r>
      <w:r>
        <w:t xml:space="preserve"> </w:t>
      </w:r>
      <w:r>
        <w:t xml:space="preserve">(</w:t>
      </w:r>
      <w:hyperlink w:anchor="ref-hmrc_gdpef">
        <w:r>
          <w:rPr>
            <w:rStyle w:val="Hyperlink"/>
          </w:rPr>
          <w:t xml:space="preserve">HMRC, 2023c</w:t>
        </w:r>
      </w:hyperlink>
      <w:r>
        <w:t xml:space="preserve">;</w:t>
      </w:r>
      <w:r>
        <w:t xml:space="preserve"> </w:t>
      </w:r>
      <w:hyperlink w:anchor="ref-hmrc_n70130">
        <w:r>
          <w:rPr>
            <w:rStyle w:val="Hyperlink"/>
          </w:rPr>
          <w:t xml:space="preserve">2025d, para. 4.1</w:t>
        </w:r>
      </w:hyperlink>
      <w:r>
        <w:t xml:space="preserve">)</w:t>
      </w:r>
      <w:r>
        <w:t xml:space="preserve">. See Part 3, Exempt supplies.</w:t>
      </w:r>
    </w:p>
    <w:p>
      <w:pPr>
        <w:pStyle w:val="Compact"/>
        <w:numPr>
          <w:ilvl w:val="0"/>
          <w:numId w:val="1297"/>
        </w:numPr>
      </w:pPr>
      <w:r>
        <w:t xml:space="preserve">VAT on the costs of that training is</w:t>
      </w:r>
      <w:r>
        <w:t xml:space="preserve"> </w:t>
      </w:r>
      <w:r>
        <w:rPr>
          <w:b/>
          <w:bCs/>
        </w:rPr>
        <w:t xml:space="preserve">exempt input tax</w:t>
      </w:r>
      <w:r>
        <w:t xml:space="preserve"> </w:t>
      </w:r>
      <w:r>
        <w:t xml:space="preserve">and is generally lost, subject to the partial exemption de minimis rules</w:t>
      </w:r>
      <w:r>
        <w:t xml:space="preserve"> </w:t>
      </w:r>
      <w:r>
        <w:t xml:space="preserve">(</w:t>
      </w:r>
      <w:hyperlink w:anchor="ref-hmrc_gdpef">
        <w:r>
          <w:rPr>
            <w:rStyle w:val="Hyperlink"/>
          </w:rPr>
          <w:t xml:space="preserve">HMRC, 2023c</w:t>
        </w:r>
      </w:hyperlink>
      <w:r>
        <w:t xml:space="preserve">;</w:t>
      </w:r>
      <w:r>
        <w:t xml:space="preserve"> </w:t>
      </w:r>
      <w:hyperlink w:anchor="ref-hmrc_n706">
        <w:r>
          <w:rPr>
            <w:rStyle w:val="Hyperlink"/>
          </w:rPr>
          <w:t xml:space="preserve">2025h, sec. 11</w:t>
        </w:r>
      </w:hyperlink>
      <w:r>
        <w:t xml:space="preserve">)</w:t>
      </w:r>
      <w:r>
        <w:t xml:space="preserve">. It is not COS either, because the activity is business</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297"/>
        </w:numPr>
      </w:pPr>
      <w:r>
        <w:t xml:space="preserve">This remains true if the training is delivered abroad. The supply is then outside the scope of UK VAT, but it would be exempt if made in the UK, so section 26(2)(b) of the Value Added Tax Act 1994 gives no recovery.</w:t>
      </w:r>
    </w:p>
    <w:p>
      <w:pPr>
        <w:pStyle w:val="Compact"/>
        <w:numPr>
          <w:ilvl w:val="0"/>
          <w:numId w:val="1297"/>
        </w:numPr>
      </w:pPr>
      <w:r>
        <w:t xml:space="preserve">The zero-rating concession for training overseas governments (see Special regimes above) does not help, because it applies only to training that is not already exempt</w:t>
      </w:r>
      <w:r>
        <w:t xml:space="preserve"> </w:t>
      </w:r>
      <w:r>
        <w:t xml:space="preserve">(</w:t>
      </w:r>
      <w:hyperlink w:anchor="ref-hmrc_n741a">
        <w:r>
          <w:rPr>
            <w:rStyle w:val="Hyperlink"/>
          </w:rPr>
          <w:t xml:space="preserve">HMRC, 2022d, para. 15.5</w:t>
        </w:r>
      </w:hyperlink>
      <w:r>
        <w:t xml:space="preserve">)</w:t>
      </w:r>
      <w:r>
        <w:t xml:space="preserve">.</w:t>
      </w:r>
    </w:p>
    <w:p>
      <w:pPr>
        <w:pStyle w:val="FirstParagraph"/>
      </w:pPr>
      <w:r>
        <w:t xml:space="preserve">Confirm the business status first, including any point under section 41A of the Value Added Tax Act 1994</w:t>
      </w:r>
      <w:r>
        <w:t xml:space="preserve"> </w:t>
      </w:r>
      <w:r>
        <w:t xml:space="preserve">(</w:t>
      </w:r>
      <w:hyperlink w:anchor="ref-hmrc_vatgpb">
        <w:r>
          <w:rPr>
            <w:rStyle w:val="Hyperlink"/>
          </w:rPr>
          <w:t xml:space="preserve">HMRC, 2026n, sec. VATGPB3600</w:t>
        </w:r>
      </w:hyperlink>
      <w:r>
        <w:t xml:space="preserve">)</w:t>
      </w:r>
      <w:r>
        <w:t xml:space="preserve">. See Part 5, Business vs non-business: the key test.</w:t>
      </w:r>
    </w:p>
    <w:bookmarkEnd w:id="239"/>
    <w:bookmarkEnd w:id="240"/>
    <w:bookmarkStart w:id="241" w:name="Xb45ef390a2c715b2ced14814a369756cf4a6454"/>
    <w:p>
      <w:pPr>
        <w:pStyle w:val="Heading3"/>
      </w:pPr>
      <w:r>
        <w:t xml:space="preserve">Quick-reference table: Department purchase → COS heading?</w:t>
      </w:r>
    </w:p>
    <w:p>
      <w:pPr>
        <w:pStyle w:val="FirstParagraph"/>
      </w:pPr>
      <w:r>
        <w:t xml:space="preserve">The table below summarises, for common purchases, whether COS can refund the VAT, under which heading, and why. Each row applies a rule explained, with its source, earlier in this Part or in Part 8.</w:t>
      </w:r>
    </w:p>
    <w:p>
      <w:pPr>
        <w:pStyle w:val="BodyText"/>
      </w:pPr>
      <w:r>
        <w:t xml:space="preserve">“</w:t>
      </w:r>
      <w:r>
        <w:t xml:space="preserve">Yes</w:t>
      </w:r>
      <w:r>
        <w:t xml:space="preserve">”</w:t>
      </w:r>
      <w:r>
        <w:t xml:space="preserve"> </w:t>
      </w:r>
      <w:r>
        <w:t xml:space="preserve">assumes the purchase is used for</w:t>
      </w:r>
      <w:r>
        <w:t xml:space="preserve"> </w:t>
      </w:r>
      <w:r>
        <w:rPr>
          <w:b/>
          <w:bCs/>
        </w:rPr>
        <w:t xml:space="preserve">non-business</w:t>
      </w:r>
      <w:r>
        <w:t xml:space="preserve"> </w:t>
      </w:r>
      <w:r>
        <w:t xml:space="preserve">purposes, UK VAT is charged on a valid VAT invoice to the Department, and the claim is made in time. Check the full heading text in Part 8.</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284"/>
        <w:gridCol w:w="1457"/>
        <w:gridCol w:w="1457"/>
        <w:gridCol w:w="2827"/>
      </w:tblGrid>
      <w:tr>
        <w:trPr>
          <w:tblHeader w:val="true"/>
          <w:cantSplit w:val="true"/>
        </w:trPr>
        <w:tc>
          <w:tcPr>
            <w:tcW w:w="3284" w:type="dxa"/>
            <w:shd w:val="clear" w:color="auto" w:fill="1B3A5C"/>
          </w:tcPr>
          <w:p>
            <w:pPr>
              <w:pStyle w:val="Compact"/>
              <w:spacing w:after="40" w:before="40"/>
              <w:jc w:val="left"/>
            </w:pPr>
            <w:r>
              <w:rPr>
                <w:rFonts w:ascii="Tahoma" w:hAnsi="Tahoma"/>
                <w:b/>
                <w:color w:val="FFFFFF"/>
                <w:sz w:val="22"/>
              </w:rPr>
              <w:t xml:space="preserve">Purchase</w:t>
            </w:r>
          </w:p>
        </w:tc>
        <w:tc>
          <w:tcPr>
            <w:tcW w:w="1457" w:type="dxa"/>
            <w:shd w:val="clear" w:color="auto" w:fill="1B3A5C"/>
          </w:tcPr>
          <w:p>
            <w:pPr>
              <w:pStyle w:val="Compact"/>
              <w:spacing w:after="40" w:before="40"/>
              <w:jc w:val="left"/>
            </w:pPr>
            <w:r>
              <w:rPr>
                <w:rFonts w:ascii="Tahoma" w:hAnsi="Tahoma"/>
                <w:b/>
                <w:color w:val="FFFFFF"/>
                <w:sz w:val="22"/>
              </w:rPr>
              <w:t xml:space="preserve">Claimable under COS?</w:t>
            </w:r>
          </w:p>
        </w:tc>
        <w:tc>
          <w:tcPr>
            <w:tcW w:w="1457" w:type="dxa"/>
            <w:shd w:val="clear" w:color="auto" w:fill="1B3A5C"/>
          </w:tcPr>
          <w:p>
            <w:pPr>
              <w:pStyle w:val="Compact"/>
              <w:spacing w:after="40" w:before="40"/>
              <w:jc w:val="left"/>
            </w:pPr>
            <w:r>
              <w:rPr>
                <w:rFonts w:ascii="Tahoma" w:hAnsi="Tahoma"/>
                <w:b/>
                <w:color w:val="FFFFFF"/>
                <w:sz w:val="22"/>
              </w:rPr>
              <w:t xml:space="preserve">Heading</w:t>
            </w:r>
          </w:p>
        </w:tc>
        <w:tc>
          <w:tcPr>
            <w:tcW w:w="2827" w:type="dxa"/>
            <w:shd w:val="clear" w:color="auto" w:fill="1B3A5C"/>
          </w:tcPr>
          <w:p>
            <w:pPr>
              <w:pStyle w:val="Compact"/>
              <w:spacing w:after="40" w:before="40"/>
              <w:jc w:val="left"/>
            </w:pPr>
            <w:r>
              <w:rPr>
                <w:rFonts w:ascii="Tahoma" w:hAnsi="Tahoma"/>
                <w:b/>
                <w:color w:val="FFFFFF"/>
                <w:sz w:val="22"/>
              </w:rPr>
              <w:t xml:space="preserve">Why</w:t>
            </w:r>
          </w:p>
        </w:tc>
      </w:tr>
      <w:tr>
        <w:trPr>
          <w:cantSplit w:val="true"/>
        </w:trPr>
        <w:tc>
          <w:tcPr>
            <w:tcW w:w="3284" w:type="dxa"/>
            <w:shd w:val="clear" w:color="auto" w:fill="EAF3FA"/>
          </w:tcPr>
          <w:p>
            <w:pPr>
              <w:pStyle w:val="Compact"/>
              <w:spacing w:after="40" w:before="40"/>
              <w:jc w:val="left"/>
            </w:pPr>
            <w:r>
              <w:rPr>
                <w:rFonts w:ascii="Tahoma" w:hAnsi="Tahoma"/>
                <w:sz w:val="22"/>
              </w:rPr>
              <w:t xml:space="preserve">Face-to-face course for staff from a commercial trainer</w:t>
            </w:r>
          </w:p>
        </w:tc>
        <w:tc>
          <w:tcPr>
            <w:tcW w:w="1457" w:type="dxa"/>
            <w:shd w:val="clear" w:color="auto" w:fill="EAF3FA"/>
          </w:tcPr>
          <w:p>
            <w:pPr>
              <w:pStyle w:val="Compact"/>
              <w:spacing w:after="40" w:before="40"/>
              <w:jc w:val="left"/>
            </w:pPr>
            <w:r>
              <w:rPr>
                <w:rFonts w:ascii="Tahoma" w:hAnsi="Tahoma"/>
                <w:sz w:val="22"/>
              </w:rPr>
              <w:t xml:space="preserve">Yes</w:t>
            </w:r>
          </w:p>
        </w:tc>
        <w:tc>
          <w:tcPr>
            <w:tcW w:w="1457" w:type="dxa"/>
            <w:shd w:val="clear" w:color="auto" w:fill="EAF3FA"/>
          </w:tcPr>
          <w:p>
            <w:pPr>
              <w:pStyle w:val="Compact"/>
              <w:spacing w:after="40" w:before="40"/>
              <w:jc w:val="left"/>
            </w:pPr>
            <w:r>
              <w:rPr>
                <w:rFonts w:ascii="Tahoma" w:hAnsi="Tahoma"/>
                <w:sz w:val="22"/>
              </w:rPr>
              <w:t xml:space="preserve">65</w:t>
            </w:r>
          </w:p>
        </w:tc>
        <w:tc>
          <w:tcPr>
            <w:tcW w:w="2827" w:type="dxa"/>
            <w:shd w:val="clear" w:color="auto" w:fill="EAF3FA"/>
          </w:tcPr>
          <w:p>
            <w:pPr>
              <w:pStyle w:val="Compact"/>
              <w:spacing w:after="40" w:before="40"/>
              <w:jc w:val="left"/>
            </w:pPr>
            <w:r>
              <w:rPr>
                <w:rFonts w:ascii="Tahoma" w:hAnsi="Tahoma"/>
                <w:sz w:val="22"/>
              </w:rPr>
              <w:t xml:space="preserve">Training delivered by a trainer</w:t>
            </w:r>
          </w:p>
        </w:tc>
      </w:tr>
      <w:tr>
        <w:trPr>
          <w:cantSplit w:val="true"/>
        </w:trPr>
        <w:tc>
          <w:tcPr>
            <w:tcW w:w="3284" w:type="dxa"/>
            <w:shd w:val="clear" w:color="auto" w:fill="FFFFFF"/>
          </w:tcPr>
          <w:p>
            <w:pPr>
              <w:pStyle w:val="Compact"/>
              <w:spacing w:after="40" w:before="40"/>
              <w:jc w:val="left"/>
            </w:pPr>
            <w:r>
              <w:rPr>
                <w:rFonts w:ascii="Tahoma" w:hAnsi="Tahoma"/>
                <w:sz w:val="22"/>
              </w:rPr>
              <w:t xml:space="preserve">Interactive e-learning (real-time interaction, assessed)</w:t>
            </w:r>
          </w:p>
        </w:tc>
        <w:tc>
          <w:tcPr>
            <w:tcW w:w="1457" w:type="dxa"/>
            <w:shd w:val="clear" w:color="auto" w:fill="FFFFFF"/>
          </w:tcPr>
          <w:p>
            <w:pPr>
              <w:pStyle w:val="Compact"/>
              <w:spacing w:after="40" w:before="40"/>
              <w:jc w:val="left"/>
            </w:pPr>
            <w:r>
              <w:rPr>
                <w:rFonts w:ascii="Tahoma" w:hAnsi="Tahoma"/>
                <w:sz w:val="22"/>
              </w:rPr>
              <w:t xml:space="preserve">Yes</w:t>
            </w:r>
          </w:p>
        </w:tc>
        <w:tc>
          <w:tcPr>
            <w:tcW w:w="1457" w:type="dxa"/>
            <w:shd w:val="clear" w:color="auto" w:fill="FFFFFF"/>
          </w:tcPr>
          <w:p>
            <w:pPr>
              <w:pStyle w:val="Compact"/>
              <w:spacing w:after="40" w:before="40"/>
              <w:jc w:val="left"/>
            </w:pPr>
            <w:r>
              <w:rPr>
                <w:rFonts w:ascii="Tahoma" w:hAnsi="Tahoma"/>
                <w:sz w:val="22"/>
              </w:rPr>
              <w:t xml:space="preserve">65</w:t>
            </w:r>
          </w:p>
        </w:tc>
        <w:tc>
          <w:tcPr>
            <w:tcW w:w="2827" w:type="dxa"/>
            <w:shd w:val="clear" w:color="auto" w:fill="FFFFFF"/>
          </w:tcPr>
          <w:p>
            <w:pPr>
              <w:pStyle w:val="Compact"/>
              <w:spacing w:after="40" w:before="40"/>
              <w:jc w:val="left"/>
            </w:pPr>
            <w:r>
              <w:rPr>
                <w:rFonts w:ascii="Tahoma" w:hAnsi="Tahoma"/>
                <w:sz w:val="22"/>
              </w:rPr>
              <w:t xml:space="preserve">“</w:t>
            </w:r>
            <w:r>
              <w:rPr>
                <w:rFonts w:ascii="Tahoma" w:hAnsi="Tahoma"/>
                <w:sz w:val="22"/>
              </w:rPr>
              <w:t xml:space="preserve">Significant amount of interaction</w:t>
            </w:r>
            <w:r>
              <w:rPr>
                <w:rFonts w:ascii="Tahoma" w:hAnsi="Tahoma"/>
                <w:sz w:val="22"/>
              </w:rPr>
              <w:t xml:space="preserve">”</w:t>
            </w:r>
          </w:p>
        </w:tc>
      </w:tr>
      <w:tr>
        <w:trPr>
          <w:cantSplit w:val="true"/>
        </w:trPr>
        <w:tc>
          <w:tcPr>
            <w:tcW w:w="3284" w:type="dxa"/>
            <w:shd w:val="clear" w:color="auto" w:fill="FBEAF1"/>
          </w:tcPr>
          <w:p>
            <w:pPr>
              <w:pStyle w:val="Compact"/>
              <w:spacing w:after="40" w:before="40"/>
              <w:jc w:val="left"/>
            </w:pPr>
            <w:r>
              <w:rPr>
                <w:rFonts w:ascii="Tahoma" w:hAnsi="Tahoma"/>
                <w:sz w:val="22"/>
              </w:rPr>
              <w:t xml:space="preserve">Webinars, online manuals, non-interactive e-learning library</w:t>
            </w:r>
          </w:p>
        </w:tc>
        <w:tc>
          <w:tcPr>
            <w:tcW w:w="1457" w:type="dxa"/>
            <w:shd w:val="clear" w:color="auto" w:fill="FBEAF1"/>
          </w:tcPr>
          <w:p>
            <w:pPr>
              <w:pStyle w:val="Compact"/>
              <w:spacing w:after="40" w:before="40"/>
              <w:jc w:val="left"/>
            </w:pPr>
            <w:r>
              <w:rPr>
                <w:rFonts w:ascii="Tahoma" w:hAnsi="Tahoma"/>
                <w:sz w:val="22"/>
              </w:rPr>
              <w:t xml:space="preserve">No</w:t>
            </w:r>
          </w:p>
        </w:tc>
        <w:tc>
          <w:tcPr>
            <w:tcW w:w="1457" w:type="dxa"/>
            <w:shd w:val="clear" w:color="auto" w:fill="FBEAF1"/>
          </w:tcPr>
          <w:p>
            <w:pPr>
              <w:pStyle w:val="Compact"/>
              <w:spacing w:after="40" w:before="40"/>
              <w:jc w:val="left"/>
            </w:pPr>
            <w:r>
              <w:rPr>
                <w:rFonts w:ascii="Tahoma" w:hAnsi="Tahoma"/>
                <w:sz w:val="22"/>
              </w:rPr>
              <w:t xml:space="preserve">–</w:t>
            </w:r>
          </w:p>
        </w:tc>
        <w:tc>
          <w:tcPr>
            <w:tcW w:w="2827" w:type="dxa"/>
            <w:shd w:val="clear" w:color="auto" w:fill="FBEAF1"/>
          </w:tcPr>
          <w:p>
            <w:pPr>
              <w:pStyle w:val="Compact"/>
              <w:spacing w:after="40" w:before="40"/>
              <w:jc w:val="left"/>
            </w:pPr>
            <w:r>
              <w:rPr>
                <w:rFonts w:ascii="Tahoma" w:hAnsi="Tahoma"/>
                <w:sz w:val="22"/>
              </w:rPr>
              <w:t xml:space="preserve">Learning materials, excluded from 65</w:t>
            </w:r>
          </w:p>
        </w:tc>
      </w:tr>
      <w:tr>
        <w:trPr>
          <w:cantSplit w:val="true"/>
        </w:trPr>
        <w:tc>
          <w:tcPr>
            <w:tcW w:w="3284" w:type="dxa"/>
            <w:shd w:val="clear" w:color="auto" w:fill="EAF3FA"/>
          </w:tcPr>
          <w:p>
            <w:pPr>
              <w:pStyle w:val="Compact"/>
              <w:spacing w:after="40" w:before="40"/>
              <w:jc w:val="left"/>
            </w:pPr>
            <w:r>
              <w:rPr>
                <w:rFonts w:ascii="Tahoma" w:hAnsi="Tahoma"/>
                <w:sz w:val="22"/>
              </w:rPr>
              <w:t xml:space="preserve">Course from a university or further education college</w:t>
            </w:r>
          </w:p>
        </w:tc>
        <w:tc>
          <w:tcPr>
            <w:tcW w:w="1457" w:type="dxa"/>
            <w:shd w:val="clear" w:color="auto" w:fill="EAF3FA"/>
          </w:tcPr>
          <w:p>
            <w:pPr>
              <w:pStyle w:val="Compact"/>
              <w:spacing w:after="40" w:before="40"/>
              <w:jc w:val="left"/>
            </w:pPr>
            <w:r>
              <w:rPr>
                <w:rFonts w:ascii="Tahoma" w:hAnsi="Tahoma"/>
                <w:sz w:val="22"/>
              </w:rPr>
              <w:t xml:space="preserve">No VAT to claim</w:t>
            </w:r>
          </w:p>
        </w:tc>
        <w:tc>
          <w:tcPr>
            <w:tcW w:w="1457" w:type="dxa"/>
            <w:shd w:val="clear" w:color="auto" w:fill="EAF3FA"/>
          </w:tcPr>
          <w:p>
            <w:pPr>
              <w:pStyle w:val="Compact"/>
              <w:spacing w:after="40" w:before="40"/>
              <w:jc w:val="left"/>
            </w:pPr>
            <w:r>
              <w:rPr>
                <w:rFonts w:ascii="Tahoma" w:hAnsi="Tahoma"/>
                <w:sz w:val="22"/>
              </w:rPr>
              <w:t xml:space="preserve">–</w:t>
            </w:r>
          </w:p>
        </w:tc>
        <w:tc>
          <w:tcPr>
            <w:tcW w:w="2827" w:type="dxa"/>
            <w:shd w:val="clear" w:color="auto" w:fill="EAF3FA"/>
          </w:tcPr>
          <w:p>
            <w:pPr>
              <w:pStyle w:val="Compact"/>
              <w:spacing w:after="40" w:before="40"/>
              <w:jc w:val="left"/>
            </w:pPr>
            <w:r>
              <w:rPr>
                <w:rFonts w:ascii="Tahoma" w:hAnsi="Tahoma"/>
                <w:sz w:val="22"/>
              </w:rPr>
              <w:t xml:space="preserve">Exempt (eligible body)</w:t>
            </w:r>
          </w:p>
        </w:tc>
      </w:tr>
      <w:tr>
        <w:trPr>
          <w:cantSplit w:val="true"/>
        </w:trPr>
        <w:tc>
          <w:tcPr>
            <w:tcW w:w="3284" w:type="dxa"/>
            <w:shd w:val="clear" w:color="auto" w:fill="FFFFFF"/>
          </w:tcPr>
          <w:p>
            <w:pPr>
              <w:pStyle w:val="Compact"/>
              <w:spacing w:after="40" w:before="40"/>
              <w:jc w:val="left"/>
            </w:pPr>
            <w:r>
              <w:rPr>
                <w:rFonts w:ascii="Tahoma" w:hAnsi="Tahoma"/>
                <w:sz w:val="22"/>
              </w:rPr>
              <w:t xml:space="preserve">Hotel rooms, meals or room hire booked separately for a course</w:t>
            </w:r>
          </w:p>
        </w:tc>
        <w:tc>
          <w:tcPr>
            <w:tcW w:w="1457" w:type="dxa"/>
            <w:shd w:val="clear" w:color="auto" w:fill="FFFFFF"/>
          </w:tcPr>
          <w:p>
            <w:pPr>
              <w:pStyle w:val="Compact"/>
              <w:spacing w:after="40" w:before="40"/>
              <w:jc w:val="left"/>
            </w:pPr>
            <w:r>
              <w:rPr>
                <w:rFonts w:ascii="Tahoma" w:hAnsi="Tahoma"/>
                <w:sz w:val="22"/>
              </w:rPr>
              <w:t xml:space="preserve">No</w:t>
            </w:r>
          </w:p>
        </w:tc>
        <w:tc>
          <w:tcPr>
            <w:tcW w:w="1457" w:type="dxa"/>
            <w:shd w:val="clear" w:color="auto" w:fill="FFFFFF"/>
          </w:tcPr>
          <w:p>
            <w:pPr>
              <w:pStyle w:val="Compact"/>
              <w:spacing w:after="40" w:before="40"/>
              <w:jc w:val="left"/>
            </w:pPr>
            <w:r>
              <w:rPr>
                <w:rFonts w:ascii="Tahoma" w:hAnsi="Tahoma"/>
                <w:sz w:val="22"/>
              </w:rPr>
              <w:t xml:space="preserve">–</w:t>
            </w:r>
          </w:p>
        </w:tc>
        <w:tc>
          <w:tcPr>
            <w:tcW w:w="2827" w:type="dxa"/>
            <w:shd w:val="clear" w:color="auto" w:fill="FFFFFF"/>
          </w:tcPr>
          <w:p>
            <w:pPr>
              <w:pStyle w:val="Compact"/>
              <w:spacing w:after="40" w:before="40"/>
              <w:jc w:val="left"/>
            </w:pPr>
            <w:r>
              <w:rPr>
                <w:rFonts w:ascii="Tahoma" w:hAnsi="Tahoma"/>
                <w:sz w:val="22"/>
              </w:rPr>
              <w:t xml:space="preserve">Excluded from 65. Venue alone excluded from 15</w:t>
            </w:r>
          </w:p>
        </w:tc>
      </w:tr>
      <w:tr>
        <w:trPr>
          <w:cantSplit w:val="true"/>
        </w:trPr>
        <w:tc>
          <w:tcPr>
            <w:tcW w:w="3284" w:type="dxa"/>
            <w:shd w:val="clear" w:color="auto" w:fill="FBEAF1"/>
          </w:tcPr>
          <w:p>
            <w:pPr>
              <w:pStyle w:val="Compact"/>
              <w:spacing w:after="40" w:before="40"/>
              <w:jc w:val="left"/>
            </w:pPr>
            <w:r>
              <w:rPr>
                <w:rFonts w:ascii="Tahoma" w:hAnsi="Tahoma"/>
                <w:sz w:val="22"/>
              </w:rPr>
              <w:t xml:space="preserve">Professional exam fees</w:t>
            </w:r>
          </w:p>
        </w:tc>
        <w:tc>
          <w:tcPr>
            <w:tcW w:w="1457" w:type="dxa"/>
            <w:shd w:val="clear" w:color="auto" w:fill="FBEAF1"/>
          </w:tcPr>
          <w:p>
            <w:pPr>
              <w:pStyle w:val="Compact"/>
              <w:spacing w:after="40" w:before="40"/>
              <w:jc w:val="left"/>
            </w:pPr>
            <w:r>
              <w:rPr>
                <w:rFonts w:ascii="Tahoma" w:hAnsi="Tahoma"/>
                <w:sz w:val="22"/>
              </w:rPr>
              <w:t xml:space="preserve">No</w:t>
            </w:r>
          </w:p>
        </w:tc>
        <w:tc>
          <w:tcPr>
            <w:tcW w:w="1457" w:type="dxa"/>
            <w:shd w:val="clear" w:color="auto" w:fill="FBEAF1"/>
          </w:tcPr>
          <w:p>
            <w:pPr>
              <w:pStyle w:val="Compact"/>
              <w:spacing w:after="40" w:before="40"/>
              <w:jc w:val="left"/>
            </w:pPr>
            <w:r>
              <w:rPr>
                <w:rFonts w:ascii="Tahoma" w:hAnsi="Tahoma"/>
                <w:sz w:val="22"/>
              </w:rPr>
              <w:t xml:space="preserve">–</w:t>
            </w:r>
          </w:p>
        </w:tc>
        <w:tc>
          <w:tcPr>
            <w:tcW w:w="2827" w:type="dxa"/>
            <w:shd w:val="clear" w:color="auto" w:fill="FBEAF1"/>
          </w:tcPr>
          <w:p>
            <w:pPr>
              <w:pStyle w:val="Compact"/>
              <w:spacing w:after="40" w:before="40"/>
              <w:jc w:val="left"/>
            </w:pPr>
            <w:r>
              <w:rPr>
                <w:rFonts w:ascii="Tahoma" w:hAnsi="Tahoma"/>
                <w:sz w:val="22"/>
              </w:rPr>
              <w:t xml:space="preserve">Not done in-house. Likely exempt</w:t>
            </w:r>
          </w:p>
        </w:tc>
      </w:tr>
      <w:tr>
        <w:trPr>
          <w:cantSplit w:val="true"/>
        </w:trPr>
        <w:tc>
          <w:tcPr>
            <w:tcW w:w="3284" w:type="dxa"/>
            <w:shd w:val="clear" w:color="auto" w:fill="EAF3FA"/>
          </w:tcPr>
          <w:p>
            <w:pPr>
              <w:pStyle w:val="Compact"/>
              <w:spacing w:after="40" w:before="40"/>
              <w:jc w:val="left"/>
            </w:pPr>
            <w:r>
              <w:rPr>
                <w:rFonts w:ascii="Tahoma" w:hAnsi="Tahoma"/>
                <w:sz w:val="22"/>
              </w:rPr>
              <w:t xml:space="preserve">Online course from a US provider (reverse charge)</w:t>
            </w:r>
          </w:p>
        </w:tc>
        <w:tc>
          <w:tcPr>
            <w:tcW w:w="1457" w:type="dxa"/>
            <w:shd w:val="clear" w:color="auto" w:fill="EAF3FA"/>
          </w:tcPr>
          <w:p>
            <w:pPr>
              <w:pStyle w:val="Compact"/>
              <w:spacing w:after="40" w:before="40"/>
              <w:jc w:val="left"/>
            </w:pPr>
            <w:r>
              <w:rPr>
                <w:rFonts w:ascii="Tahoma" w:hAnsi="Tahoma"/>
                <w:sz w:val="22"/>
              </w:rPr>
              <w:t xml:space="preserve">Yes</w:t>
            </w:r>
          </w:p>
        </w:tc>
        <w:tc>
          <w:tcPr>
            <w:tcW w:w="1457" w:type="dxa"/>
            <w:shd w:val="clear" w:color="auto" w:fill="EAF3FA"/>
          </w:tcPr>
          <w:p>
            <w:pPr>
              <w:pStyle w:val="Compact"/>
              <w:spacing w:after="40" w:before="40"/>
              <w:jc w:val="left"/>
            </w:pPr>
            <w:r>
              <w:rPr>
                <w:rFonts w:ascii="Tahoma" w:hAnsi="Tahoma"/>
                <w:sz w:val="22"/>
              </w:rPr>
              <w:t xml:space="preserve">65</w:t>
            </w:r>
          </w:p>
        </w:tc>
        <w:tc>
          <w:tcPr>
            <w:tcW w:w="2827" w:type="dxa"/>
            <w:shd w:val="clear" w:color="auto" w:fill="EAF3FA"/>
          </w:tcPr>
          <w:p>
            <w:pPr>
              <w:pStyle w:val="Compact"/>
              <w:spacing w:after="40" w:before="40"/>
              <w:jc w:val="left"/>
            </w:pPr>
            <w:r>
              <w:rPr>
                <w:rFonts w:ascii="Tahoma" w:hAnsi="Tahoma"/>
                <w:sz w:val="22"/>
              </w:rPr>
              <w:t xml:space="preserve">Reverse-charge VAT on a COS service is refunded under section 41(3)</w:t>
            </w:r>
          </w:p>
        </w:tc>
      </w:tr>
      <w:tr>
        <w:trPr>
          <w:cantSplit w:val="true"/>
        </w:trPr>
        <w:tc>
          <w:tcPr>
            <w:tcW w:w="3284" w:type="dxa"/>
            <w:shd w:val="clear" w:color="auto" w:fill="FFFFFF"/>
          </w:tcPr>
          <w:p>
            <w:pPr>
              <w:pStyle w:val="Compact"/>
              <w:spacing w:after="40" w:before="40"/>
              <w:jc w:val="left"/>
            </w:pPr>
            <w:r>
              <w:rPr>
                <w:rFonts w:ascii="Tahoma" w:hAnsi="Tahoma"/>
                <w:sz w:val="22"/>
              </w:rPr>
              <w:t xml:space="preserve">Course or seminar held abroad charging local VAT</w:t>
            </w:r>
          </w:p>
        </w:tc>
        <w:tc>
          <w:tcPr>
            <w:tcW w:w="1457" w:type="dxa"/>
            <w:shd w:val="clear" w:color="auto" w:fill="FFFFFF"/>
          </w:tcPr>
          <w:p>
            <w:pPr>
              <w:pStyle w:val="Compact"/>
              <w:spacing w:after="40" w:before="40"/>
              <w:jc w:val="left"/>
            </w:pPr>
            <w:r>
              <w:rPr>
                <w:rFonts w:ascii="Tahoma" w:hAnsi="Tahoma"/>
                <w:sz w:val="22"/>
              </w:rPr>
              <w:t xml:space="preserve">No</w:t>
            </w:r>
          </w:p>
        </w:tc>
        <w:tc>
          <w:tcPr>
            <w:tcW w:w="1457" w:type="dxa"/>
            <w:shd w:val="clear" w:color="auto" w:fill="FFFFFF"/>
          </w:tcPr>
          <w:p>
            <w:pPr>
              <w:pStyle w:val="Compact"/>
              <w:spacing w:after="40" w:before="40"/>
              <w:jc w:val="left"/>
            </w:pPr>
            <w:r>
              <w:rPr>
                <w:rFonts w:ascii="Tahoma" w:hAnsi="Tahoma"/>
                <w:sz w:val="22"/>
              </w:rPr>
              <w:t xml:space="preserve">–</w:t>
            </w:r>
          </w:p>
        </w:tc>
        <w:tc>
          <w:tcPr>
            <w:tcW w:w="2827" w:type="dxa"/>
            <w:shd w:val="clear" w:color="auto" w:fill="FFFFFF"/>
          </w:tcPr>
          <w:p>
            <w:pPr>
              <w:pStyle w:val="Compact"/>
              <w:spacing w:after="40" w:before="40"/>
              <w:jc w:val="left"/>
            </w:pPr>
            <w:r>
              <w:rPr>
                <w:rFonts w:ascii="Tahoma" w:hAnsi="Tahoma"/>
                <w:sz w:val="22"/>
              </w:rPr>
              <w:t xml:space="preserve">Foreign VAT is not UK VAT</w:t>
            </w:r>
          </w:p>
        </w:tc>
      </w:tr>
      <w:tr>
        <w:trPr>
          <w:cantSplit w:val="true"/>
        </w:trPr>
        <w:tc>
          <w:tcPr>
            <w:tcW w:w="3284" w:type="dxa"/>
            <w:shd w:val="clear" w:color="auto" w:fill="FBEAF1"/>
          </w:tcPr>
          <w:p>
            <w:pPr>
              <w:pStyle w:val="Compact"/>
              <w:spacing w:after="40" w:before="40"/>
              <w:jc w:val="left"/>
            </w:pPr>
            <w:r>
              <w:rPr>
                <w:rFonts w:ascii="Tahoma" w:hAnsi="Tahoma"/>
                <w:sz w:val="22"/>
              </w:rPr>
              <w:t xml:space="preserve">Travel management company fee with UK VAT</w:t>
            </w:r>
          </w:p>
        </w:tc>
        <w:tc>
          <w:tcPr>
            <w:tcW w:w="1457" w:type="dxa"/>
            <w:shd w:val="clear" w:color="auto" w:fill="FBEAF1"/>
          </w:tcPr>
          <w:p>
            <w:pPr>
              <w:pStyle w:val="Compact"/>
              <w:spacing w:after="40" w:before="40"/>
              <w:jc w:val="left"/>
            </w:pPr>
            <w:r>
              <w:rPr>
                <w:rFonts w:ascii="Tahoma" w:hAnsi="Tahoma"/>
                <w:sz w:val="22"/>
              </w:rPr>
              <w:t xml:space="preserve">Yes</w:t>
            </w:r>
          </w:p>
        </w:tc>
        <w:tc>
          <w:tcPr>
            <w:tcW w:w="1457" w:type="dxa"/>
            <w:shd w:val="clear" w:color="auto" w:fill="FBEAF1"/>
          </w:tcPr>
          <w:p>
            <w:pPr>
              <w:pStyle w:val="Compact"/>
              <w:spacing w:after="40" w:before="40"/>
              <w:jc w:val="left"/>
            </w:pPr>
            <w:r>
              <w:rPr>
                <w:rFonts w:ascii="Tahoma" w:hAnsi="Tahoma"/>
                <w:sz w:val="22"/>
              </w:rPr>
              <w:t xml:space="preserve">67</w:t>
            </w:r>
          </w:p>
        </w:tc>
        <w:tc>
          <w:tcPr>
            <w:tcW w:w="2827" w:type="dxa"/>
            <w:shd w:val="clear" w:color="auto" w:fill="FBEAF1"/>
          </w:tcPr>
          <w:p>
            <w:pPr>
              <w:pStyle w:val="Compact"/>
              <w:spacing w:after="40" w:before="40"/>
              <w:jc w:val="left"/>
            </w:pPr>
            <w:r>
              <w:rPr>
                <w:rFonts w:ascii="Tahoma" w:hAnsi="Tahoma"/>
                <w:sz w:val="22"/>
              </w:rPr>
              <w:t xml:space="preserve">“</w:t>
            </w:r>
            <w:r>
              <w:rPr>
                <w:rFonts w:ascii="Tahoma" w:hAnsi="Tahoma"/>
                <w:sz w:val="22"/>
              </w:rPr>
              <w:t xml:space="preserve">Travel arrangements provided by an external booking agency</w:t>
            </w:r>
            <w:r>
              <w:rPr>
                <w:rFonts w:ascii="Tahoma" w:hAnsi="Tahoma"/>
                <w:sz w:val="22"/>
              </w:rPr>
              <w:t xml:space="preserve">”</w:t>
            </w:r>
          </w:p>
        </w:tc>
      </w:tr>
      <w:tr>
        <w:trPr>
          <w:cantSplit w:val="true"/>
        </w:trPr>
        <w:tc>
          <w:tcPr>
            <w:tcW w:w="3284" w:type="dxa"/>
            <w:shd w:val="clear" w:color="auto" w:fill="EAF3FA"/>
          </w:tcPr>
          <w:p>
            <w:pPr>
              <w:pStyle w:val="Compact"/>
              <w:spacing w:after="40" w:before="40"/>
              <w:jc w:val="left"/>
            </w:pPr>
            <w:r>
              <w:rPr>
                <w:rFonts w:ascii="Tahoma" w:hAnsi="Tahoma"/>
                <w:sz w:val="22"/>
              </w:rPr>
              <w:t xml:space="preserve">Flights and rail fares</w:t>
            </w:r>
          </w:p>
        </w:tc>
        <w:tc>
          <w:tcPr>
            <w:tcW w:w="1457" w:type="dxa"/>
            <w:shd w:val="clear" w:color="auto" w:fill="EAF3FA"/>
          </w:tcPr>
          <w:p>
            <w:pPr>
              <w:pStyle w:val="Compact"/>
              <w:spacing w:after="40" w:before="40"/>
              <w:jc w:val="left"/>
            </w:pPr>
            <w:r>
              <w:rPr>
                <w:rFonts w:ascii="Tahoma" w:hAnsi="Tahoma"/>
                <w:sz w:val="22"/>
              </w:rPr>
              <w:t xml:space="preserve">No VAT to claim</w:t>
            </w:r>
          </w:p>
        </w:tc>
        <w:tc>
          <w:tcPr>
            <w:tcW w:w="1457" w:type="dxa"/>
            <w:shd w:val="clear" w:color="auto" w:fill="EAF3FA"/>
          </w:tcPr>
          <w:p>
            <w:pPr>
              <w:pStyle w:val="Compact"/>
              <w:spacing w:after="40" w:before="40"/>
              <w:jc w:val="left"/>
            </w:pPr>
            <w:r>
              <w:rPr>
                <w:rFonts w:ascii="Tahoma" w:hAnsi="Tahoma"/>
                <w:sz w:val="22"/>
              </w:rPr>
              <w:t xml:space="preserve">–</w:t>
            </w:r>
          </w:p>
        </w:tc>
        <w:tc>
          <w:tcPr>
            <w:tcW w:w="2827" w:type="dxa"/>
            <w:shd w:val="clear" w:color="auto" w:fill="EAF3FA"/>
          </w:tcPr>
          <w:p>
            <w:pPr>
              <w:pStyle w:val="Compact"/>
              <w:spacing w:after="40" w:before="40"/>
              <w:jc w:val="left"/>
            </w:pPr>
            <w:r>
              <w:rPr>
                <w:rFonts w:ascii="Tahoma" w:hAnsi="Tahoma"/>
                <w:sz w:val="22"/>
              </w:rPr>
              <w:t xml:space="preserve">Zero-rated; fares excluded from 67</w:t>
            </w:r>
          </w:p>
        </w:tc>
      </w:tr>
      <w:tr>
        <w:trPr>
          <w:cantSplit w:val="true"/>
        </w:trPr>
        <w:tc>
          <w:tcPr>
            <w:tcW w:w="3284" w:type="dxa"/>
            <w:shd w:val="clear" w:color="auto" w:fill="FFFFFF"/>
          </w:tcPr>
          <w:p>
            <w:pPr>
              <w:pStyle w:val="Compact"/>
              <w:spacing w:after="40" w:before="40"/>
              <w:jc w:val="left"/>
            </w:pPr>
            <w:r>
              <w:rPr>
                <w:rFonts w:ascii="Tahoma" w:hAnsi="Tahoma"/>
                <w:sz w:val="22"/>
              </w:rPr>
              <w:t xml:space="preserve">UK or overseas hotel</w:t>
            </w:r>
          </w:p>
        </w:tc>
        <w:tc>
          <w:tcPr>
            <w:tcW w:w="1457" w:type="dxa"/>
            <w:shd w:val="clear" w:color="auto" w:fill="FFFFFF"/>
          </w:tcPr>
          <w:p>
            <w:pPr>
              <w:pStyle w:val="Compact"/>
              <w:spacing w:after="40" w:before="40"/>
              <w:jc w:val="left"/>
            </w:pPr>
            <w:r>
              <w:rPr>
                <w:rFonts w:ascii="Tahoma" w:hAnsi="Tahoma"/>
                <w:sz w:val="22"/>
              </w:rPr>
              <w:t xml:space="preserve">No</w:t>
            </w:r>
          </w:p>
        </w:tc>
        <w:tc>
          <w:tcPr>
            <w:tcW w:w="1457" w:type="dxa"/>
            <w:shd w:val="clear" w:color="auto" w:fill="FFFFFF"/>
          </w:tcPr>
          <w:p>
            <w:pPr>
              <w:pStyle w:val="Compact"/>
              <w:spacing w:after="40" w:before="40"/>
              <w:jc w:val="left"/>
            </w:pPr>
            <w:r>
              <w:rPr>
                <w:rFonts w:ascii="Tahoma" w:hAnsi="Tahoma"/>
                <w:sz w:val="22"/>
              </w:rPr>
              <w:t xml:space="preserve">–</w:t>
            </w:r>
          </w:p>
        </w:tc>
        <w:tc>
          <w:tcPr>
            <w:tcW w:w="2827" w:type="dxa"/>
            <w:shd w:val="clear" w:color="auto" w:fill="FFFFFF"/>
          </w:tcPr>
          <w:p>
            <w:pPr>
              <w:pStyle w:val="Compact"/>
              <w:spacing w:after="40" w:before="40"/>
              <w:jc w:val="left"/>
            </w:pPr>
            <w:r>
              <w:rPr>
                <w:rFonts w:ascii="Tahoma" w:hAnsi="Tahoma"/>
                <w:sz w:val="22"/>
              </w:rPr>
              <w:t xml:space="preserve">Hotels excluded (UK). Foreign VAT (overseas)</w:t>
            </w:r>
          </w:p>
        </w:tc>
      </w:tr>
      <w:tr>
        <w:trPr>
          <w:cantSplit w:val="true"/>
        </w:trPr>
        <w:tc>
          <w:tcPr>
            <w:tcW w:w="3284" w:type="dxa"/>
            <w:shd w:val="clear" w:color="auto" w:fill="FBEAF1"/>
          </w:tcPr>
          <w:p>
            <w:pPr>
              <w:pStyle w:val="Compact"/>
              <w:spacing w:after="40" w:before="40"/>
              <w:jc w:val="left"/>
            </w:pPr>
            <w:r>
              <w:rPr>
                <w:rFonts w:ascii="Tahoma" w:hAnsi="Tahoma"/>
                <w:sz w:val="22"/>
              </w:rPr>
              <w:t xml:space="preserve">UK airport VIP lounge, invoiced to the Department</w:t>
            </w:r>
          </w:p>
        </w:tc>
        <w:tc>
          <w:tcPr>
            <w:tcW w:w="1457" w:type="dxa"/>
            <w:shd w:val="clear" w:color="auto" w:fill="FBEAF1"/>
          </w:tcPr>
          <w:p>
            <w:pPr>
              <w:pStyle w:val="Compact"/>
              <w:spacing w:after="40" w:before="40"/>
              <w:jc w:val="left"/>
            </w:pPr>
            <w:r>
              <w:rPr>
                <w:rFonts w:ascii="Tahoma" w:hAnsi="Tahoma"/>
                <w:sz w:val="22"/>
              </w:rPr>
              <w:t xml:space="preserve">Yes</w:t>
            </w:r>
          </w:p>
        </w:tc>
        <w:tc>
          <w:tcPr>
            <w:tcW w:w="1457" w:type="dxa"/>
            <w:shd w:val="clear" w:color="auto" w:fill="FBEAF1"/>
          </w:tcPr>
          <w:p>
            <w:pPr>
              <w:pStyle w:val="Compact"/>
              <w:spacing w:after="40" w:before="40"/>
              <w:jc w:val="left"/>
            </w:pPr>
            <w:r>
              <w:rPr>
                <w:rFonts w:ascii="Tahoma" w:hAnsi="Tahoma"/>
                <w:sz w:val="22"/>
              </w:rPr>
              <w:t xml:space="preserve">67</w:t>
            </w:r>
          </w:p>
        </w:tc>
        <w:tc>
          <w:tcPr>
            <w:tcW w:w="2827" w:type="dxa"/>
            <w:shd w:val="clear" w:color="auto" w:fill="FBEAF1"/>
          </w:tcPr>
          <w:p>
            <w:pPr>
              <w:pStyle w:val="Compact"/>
              <w:spacing w:after="40" w:before="40"/>
              <w:jc w:val="left"/>
            </w:pPr>
            <w:r>
              <w:rPr>
                <w:rFonts w:ascii="Tahoma" w:hAnsi="Tahoma"/>
                <w:sz w:val="22"/>
              </w:rPr>
              <w:t xml:space="preserve">Expressly included</w:t>
            </w:r>
          </w:p>
        </w:tc>
      </w:tr>
      <w:tr>
        <w:trPr>
          <w:cantSplit w:val="true"/>
        </w:trPr>
        <w:tc>
          <w:tcPr>
            <w:tcW w:w="3284" w:type="dxa"/>
            <w:shd w:val="clear" w:color="auto" w:fill="EAF3FA"/>
          </w:tcPr>
          <w:p>
            <w:pPr>
              <w:pStyle w:val="Compact"/>
              <w:spacing w:after="40" w:before="40"/>
              <w:jc w:val="left"/>
            </w:pPr>
            <w:r>
              <w:rPr>
                <w:rFonts w:ascii="Tahoma" w:hAnsi="Tahoma"/>
                <w:sz w:val="22"/>
              </w:rPr>
              <w:t xml:space="preserve">Contracted taxi or chauffeur firm, invoiced to the Department</w:t>
            </w:r>
          </w:p>
        </w:tc>
        <w:tc>
          <w:tcPr>
            <w:tcW w:w="1457" w:type="dxa"/>
            <w:shd w:val="clear" w:color="auto" w:fill="EAF3FA"/>
          </w:tcPr>
          <w:p>
            <w:pPr>
              <w:pStyle w:val="Compact"/>
              <w:spacing w:after="40" w:before="40"/>
              <w:jc w:val="left"/>
            </w:pPr>
            <w:r>
              <w:rPr>
                <w:rFonts w:ascii="Tahoma" w:hAnsi="Tahoma"/>
                <w:sz w:val="22"/>
              </w:rPr>
              <w:t xml:space="preserve">Yes</w:t>
            </w:r>
          </w:p>
        </w:tc>
        <w:tc>
          <w:tcPr>
            <w:tcW w:w="1457" w:type="dxa"/>
            <w:shd w:val="clear" w:color="auto" w:fill="EAF3FA"/>
          </w:tcPr>
          <w:p>
            <w:pPr>
              <w:pStyle w:val="Compact"/>
              <w:spacing w:after="40" w:before="40"/>
              <w:jc w:val="left"/>
            </w:pPr>
            <w:r>
              <w:rPr>
                <w:rFonts w:ascii="Tahoma" w:hAnsi="Tahoma"/>
                <w:sz w:val="22"/>
              </w:rPr>
              <w:t xml:space="preserve">47</w:t>
            </w:r>
          </w:p>
        </w:tc>
        <w:tc>
          <w:tcPr>
            <w:tcW w:w="2827" w:type="dxa"/>
            <w:shd w:val="clear" w:color="auto" w:fill="EAF3FA"/>
          </w:tcPr>
          <w:p>
            <w:pPr>
              <w:pStyle w:val="Compact"/>
              <w:spacing w:after="40" w:before="40"/>
              <w:jc w:val="left"/>
            </w:pPr>
            <w:r>
              <w:rPr>
                <w:rFonts w:ascii="Tahoma" w:hAnsi="Tahoma"/>
                <w:sz w:val="22"/>
              </w:rPr>
              <w:t xml:space="preserve">Contract plus tax invoice required</w:t>
            </w:r>
          </w:p>
        </w:tc>
      </w:tr>
      <w:tr>
        <w:trPr>
          <w:cantSplit w:val="true"/>
        </w:trPr>
        <w:tc>
          <w:tcPr>
            <w:tcW w:w="3284" w:type="dxa"/>
            <w:shd w:val="clear" w:color="auto" w:fill="FFFFFF"/>
          </w:tcPr>
          <w:p>
            <w:pPr>
              <w:pStyle w:val="Compact"/>
              <w:spacing w:after="40" w:before="40"/>
              <w:jc w:val="left"/>
            </w:pPr>
            <w:r>
              <w:rPr>
                <w:rFonts w:ascii="Tahoma" w:hAnsi="Tahoma"/>
                <w:sz w:val="22"/>
              </w:rPr>
              <w:t xml:space="preserve">Street-hailed taxi reclaimed on expenses</w:t>
            </w:r>
          </w:p>
        </w:tc>
        <w:tc>
          <w:tcPr>
            <w:tcW w:w="1457" w:type="dxa"/>
            <w:shd w:val="clear" w:color="auto" w:fill="FFFFFF"/>
          </w:tcPr>
          <w:p>
            <w:pPr>
              <w:pStyle w:val="Compact"/>
              <w:spacing w:after="40" w:before="40"/>
              <w:jc w:val="left"/>
            </w:pPr>
            <w:r>
              <w:rPr>
                <w:rFonts w:ascii="Tahoma" w:hAnsi="Tahoma"/>
                <w:sz w:val="22"/>
              </w:rPr>
              <w:t xml:space="preserve">No</w:t>
            </w:r>
          </w:p>
        </w:tc>
        <w:tc>
          <w:tcPr>
            <w:tcW w:w="1457" w:type="dxa"/>
            <w:shd w:val="clear" w:color="auto" w:fill="FFFFFF"/>
          </w:tcPr>
          <w:p>
            <w:pPr>
              <w:pStyle w:val="Compact"/>
              <w:spacing w:after="40" w:before="40"/>
              <w:jc w:val="left"/>
            </w:pPr>
            <w:r>
              <w:rPr>
                <w:rFonts w:ascii="Tahoma" w:hAnsi="Tahoma"/>
                <w:sz w:val="22"/>
              </w:rPr>
              <w:t xml:space="preserve">–</w:t>
            </w:r>
          </w:p>
        </w:tc>
        <w:tc>
          <w:tcPr>
            <w:tcW w:w="2827" w:type="dxa"/>
            <w:shd w:val="clear" w:color="auto" w:fill="FFFFFF"/>
          </w:tcPr>
          <w:p>
            <w:pPr>
              <w:pStyle w:val="Compact"/>
              <w:spacing w:after="40" w:before="40"/>
              <w:jc w:val="left"/>
            </w:pPr>
            <w:r>
              <w:rPr>
                <w:rFonts w:ascii="Tahoma" w:hAnsi="Tahoma"/>
                <w:sz w:val="22"/>
              </w:rPr>
              <w:t xml:space="preserve">Expressly excluded from 47</w:t>
            </w:r>
          </w:p>
        </w:tc>
      </w:tr>
      <w:tr>
        <w:trPr>
          <w:cantSplit w:val="true"/>
        </w:trPr>
        <w:tc>
          <w:tcPr>
            <w:tcW w:w="3284" w:type="dxa"/>
            <w:shd w:val="clear" w:color="auto" w:fill="FBEAF1"/>
          </w:tcPr>
          <w:p>
            <w:pPr>
              <w:pStyle w:val="Compact"/>
              <w:spacing w:after="40" w:before="40"/>
              <w:jc w:val="left"/>
            </w:pPr>
            <w:r>
              <w:rPr>
                <w:rFonts w:ascii="Tahoma" w:hAnsi="Tahoma"/>
                <w:sz w:val="22"/>
              </w:rPr>
              <w:t xml:space="preserve">Interpreter (UK, or overseas via reverse charge)</w:t>
            </w:r>
          </w:p>
        </w:tc>
        <w:tc>
          <w:tcPr>
            <w:tcW w:w="1457" w:type="dxa"/>
            <w:shd w:val="clear" w:color="auto" w:fill="FBEAF1"/>
          </w:tcPr>
          <w:p>
            <w:pPr>
              <w:pStyle w:val="Compact"/>
              <w:spacing w:after="40" w:before="40"/>
              <w:jc w:val="left"/>
            </w:pPr>
            <w:r>
              <w:rPr>
                <w:rFonts w:ascii="Tahoma" w:hAnsi="Tahoma"/>
                <w:sz w:val="22"/>
              </w:rPr>
              <w:t xml:space="preserve">Yes</w:t>
            </w:r>
          </w:p>
        </w:tc>
        <w:tc>
          <w:tcPr>
            <w:tcW w:w="1457" w:type="dxa"/>
            <w:shd w:val="clear" w:color="auto" w:fill="FBEAF1"/>
          </w:tcPr>
          <w:p>
            <w:pPr>
              <w:pStyle w:val="Compact"/>
              <w:spacing w:after="40" w:before="40"/>
              <w:jc w:val="left"/>
            </w:pPr>
            <w:r>
              <w:rPr>
                <w:rFonts w:ascii="Tahoma" w:hAnsi="Tahoma"/>
                <w:sz w:val="22"/>
              </w:rPr>
              <w:t xml:space="preserve">28</w:t>
            </w:r>
          </w:p>
        </w:tc>
        <w:tc>
          <w:tcPr>
            <w:tcW w:w="2827" w:type="dxa"/>
            <w:shd w:val="clear" w:color="auto" w:fill="FBEAF1"/>
          </w:tcPr>
          <w:p>
            <w:pPr>
              <w:pStyle w:val="Compact"/>
              <w:spacing w:after="40" w:before="40"/>
              <w:jc w:val="left"/>
            </w:pPr>
            <w:r>
              <w:rPr>
                <w:rFonts w:ascii="Tahoma" w:hAnsi="Tahoma"/>
                <w:sz w:val="22"/>
              </w:rPr>
              <w:t xml:space="preserve">Interpretation and translation</w:t>
            </w:r>
          </w:p>
        </w:tc>
      </w:tr>
      <w:tr>
        <w:trPr>
          <w:cantSplit w:val="true"/>
        </w:trPr>
        <w:tc>
          <w:tcPr>
            <w:tcW w:w="3284" w:type="dxa"/>
            <w:shd w:val="clear" w:color="auto" w:fill="EAF3FA"/>
          </w:tcPr>
          <w:p>
            <w:pPr>
              <w:pStyle w:val="Compact"/>
              <w:spacing w:after="40" w:before="40"/>
              <w:jc w:val="left"/>
            </w:pPr>
            <w:r>
              <w:rPr>
                <w:rFonts w:ascii="Tahoma" w:hAnsi="Tahoma"/>
                <w:sz w:val="22"/>
              </w:rPr>
              <w:t xml:space="preserve">Overseas conference delegate fee</w:t>
            </w:r>
          </w:p>
        </w:tc>
        <w:tc>
          <w:tcPr>
            <w:tcW w:w="1457" w:type="dxa"/>
            <w:shd w:val="clear" w:color="auto" w:fill="EAF3FA"/>
          </w:tcPr>
          <w:p>
            <w:pPr>
              <w:pStyle w:val="Compact"/>
              <w:spacing w:after="40" w:before="40"/>
              <w:jc w:val="left"/>
            </w:pPr>
            <w:r>
              <w:rPr>
                <w:rFonts w:ascii="Tahoma" w:hAnsi="Tahoma"/>
                <w:sz w:val="22"/>
              </w:rPr>
              <w:t xml:space="preserve">No</w:t>
            </w:r>
          </w:p>
        </w:tc>
        <w:tc>
          <w:tcPr>
            <w:tcW w:w="1457" w:type="dxa"/>
            <w:shd w:val="clear" w:color="auto" w:fill="EAF3FA"/>
          </w:tcPr>
          <w:p>
            <w:pPr>
              <w:pStyle w:val="Compact"/>
              <w:spacing w:after="40" w:before="40"/>
              <w:jc w:val="left"/>
            </w:pPr>
            <w:r>
              <w:rPr>
                <w:rFonts w:ascii="Tahoma" w:hAnsi="Tahoma"/>
                <w:sz w:val="22"/>
              </w:rPr>
              <w:t xml:space="preserve">–</w:t>
            </w:r>
          </w:p>
        </w:tc>
        <w:tc>
          <w:tcPr>
            <w:tcW w:w="2827" w:type="dxa"/>
            <w:shd w:val="clear" w:color="auto" w:fill="EAF3FA"/>
          </w:tcPr>
          <w:p>
            <w:pPr>
              <w:pStyle w:val="Compact"/>
              <w:spacing w:after="40" w:before="40"/>
              <w:jc w:val="left"/>
            </w:pPr>
            <w:r>
              <w:rPr>
                <w:rFonts w:ascii="Tahoma" w:hAnsi="Tahoma"/>
                <w:sz w:val="22"/>
              </w:rPr>
              <w:t xml:space="preserve">Taxed where the event is held; foreign VAT</w:t>
            </w:r>
          </w:p>
        </w:tc>
      </w:tr>
      <w:tr>
        <w:trPr>
          <w:cantSplit w:val="true"/>
        </w:trPr>
        <w:tc>
          <w:tcPr>
            <w:tcW w:w="3284" w:type="dxa"/>
            <w:shd w:val="clear" w:color="auto" w:fill="FFFFFF"/>
          </w:tcPr>
          <w:p>
            <w:pPr>
              <w:pStyle w:val="Compact"/>
              <w:spacing w:after="40" w:before="40"/>
              <w:jc w:val="left"/>
            </w:pPr>
            <w:r>
              <w:rPr>
                <w:rFonts w:ascii="Tahoma" w:hAnsi="Tahoma"/>
                <w:sz w:val="22"/>
              </w:rPr>
              <w:t xml:space="preserve">Conference or training package that includes hotel rooms or transport the organiser bought in</w:t>
            </w:r>
          </w:p>
        </w:tc>
        <w:tc>
          <w:tcPr>
            <w:tcW w:w="1457" w:type="dxa"/>
            <w:shd w:val="clear" w:color="auto" w:fill="FFFFFF"/>
          </w:tcPr>
          <w:p>
            <w:pPr>
              <w:pStyle w:val="Compact"/>
              <w:spacing w:after="40" w:before="40"/>
              <w:jc w:val="left"/>
            </w:pPr>
            <w:r>
              <w:rPr>
                <w:rFonts w:ascii="Tahoma" w:hAnsi="Tahoma"/>
                <w:sz w:val="22"/>
              </w:rPr>
              <w:t xml:space="preserve">No</w:t>
            </w:r>
          </w:p>
        </w:tc>
        <w:tc>
          <w:tcPr>
            <w:tcW w:w="1457" w:type="dxa"/>
            <w:shd w:val="clear" w:color="auto" w:fill="FFFFFF"/>
          </w:tcPr>
          <w:p>
            <w:pPr>
              <w:pStyle w:val="Compact"/>
              <w:spacing w:after="40" w:before="40"/>
              <w:jc w:val="left"/>
            </w:pPr>
            <w:r>
              <w:rPr>
                <w:rFonts w:ascii="Tahoma" w:hAnsi="Tahoma"/>
                <w:sz w:val="22"/>
              </w:rPr>
              <w:t xml:space="preserve">–</w:t>
            </w:r>
          </w:p>
        </w:tc>
        <w:tc>
          <w:tcPr>
            <w:tcW w:w="2827" w:type="dxa"/>
            <w:shd w:val="clear" w:color="auto" w:fill="FFFFFF"/>
          </w:tcPr>
          <w:p>
            <w:pPr>
              <w:pStyle w:val="Compact"/>
              <w:spacing w:after="40" w:before="40"/>
              <w:jc w:val="left"/>
            </w:pPr>
            <w:r>
              <w:rPr>
                <w:rFonts w:ascii="Tahoma" w:hAnsi="Tahoma"/>
                <w:sz w:val="22"/>
              </w:rPr>
              <w:t xml:space="preserve">TOMS applies, so no VAT invoice is issued</w:t>
            </w:r>
          </w:p>
        </w:tc>
      </w:tr>
      <w:tr>
        <w:trPr>
          <w:cantSplit w:val="true"/>
        </w:trPr>
        <w:tc>
          <w:tcPr>
            <w:tcW w:w="3284" w:type="dxa"/>
            <w:shd w:val="clear" w:color="auto" w:fill="FBEAF1"/>
          </w:tcPr>
          <w:p>
            <w:pPr>
              <w:pStyle w:val="Compact"/>
              <w:spacing w:after="40" w:before="40"/>
              <w:jc w:val="left"/>
            </w:pPr>
            <w:r>
              <w:rPr>
                <w:rFonts w:ascii="Tahoma" w:hAnsi="Tahoma"/>
                <w:sz w:val="22"/>
              </w:rPr>
              <w:t xml:space="preserve">Removal company commissioned by the Department for a posting</w:t>
            </w:r>
          </w:p>
        </w:tc>
        <w:tc>
          <w:tcPr>
            <w:tcW w:w="1457" w:type="dxa"/>
            <w:shd w:val="clear" w:color="auto" w:fill="FBEAF1"/>
          </w:tcPr>
          <w:p>
            <w:pPr>
              <w:pStyle w:val="Compact"/>
              <w:spacing w:after="40" w:before="40"/>
              <w:jc w:val="left"/>
            </w:pPr>
            <w:r>
              <w:rPr>
                <w:rFonts w:ascii="Tahoma" w:hAnsi="Tahoma"/>
                <w:sz w:val="22"/>
              </w:rPr>
              <w:t xml:space="preserve">Yes, on any UK VAT charged</w:t>
            </w:r>
          </w:p>
        </w:tc>
        <w:tc>
          <w:tcPr>
            <w:tcW w:w="1457" w:type="dxa"/>
            <w:shd w:val="clear" w:color="auto" w:fill="FBEAF1"/>
          </w:tcPr>
          <w:p>
            <w:pPr>
              <w:pStyle w:val="Compact"/>
              <w:spacing w:after="40" w:before="40"/>
              <w:jc w:val="left"/>
            </w:pPr>
            <w:r>
              <w:rPr>
                <w:rFonts w:ascii="Tahoma" w:hAnsi="Tahoma"/>
                <w:sz w:val="22"/>
              </w:rPr>
              <w:t xml:space="preserve">57 (63 for storage)</w:t>
            </w:r>
          </w:p>
        </w:tc>
        <w:tc>
          <w:tcPr>
            <w:tcW w:w="2827" w:type="dxa"/>
            <w:shd w:val="clear" w:color="auto" w:fill="FBEAF1"/>
          </w:tcPr>
          <w:p>
            <w:pPr>
              <w:pStyle w:val="Compact"/>
              <w:spacing w:after="40" w:before="40"/>
              <w:jc w:val="left"/>
            </w:pPr>
            <w:r>
              <w:rPr>
                <w:rFonts w:ascii="Tahoma" w:hAnsi="Tahoma"/>
                <w:sz w:val="22"/>
              </w:rPr>
              <w:t xml:space="preserve">Department commissions the removal company</w:t>
            </w:r>
          </w:p>
        </w:tc>
      </w:tr>
      <w:tr>
        <w:trPr>
          <w:cantSplit w:val="true"/>
        </w:trPr>
        <w:tc>
          <w:tcPr>
            <w:tcW w:w="3284" w:type="dxa"/>
            <w:shd w:val="clear" w:color="auto" w:fill="EAF3FA"/>
          </w:tcPr>
          <w:p>
            <w:pPr>
              <w:pStyle w:val="Compact"/>
              <w:spacing w:after="40" w:before="40"/>
              <w:jc w:val="left"/>
            </w:pPr>
            <w:r>
              <w:rPr>
                <w:rFonts w:ascii="Tahoma" w:hAnsi="Tahoma"/>
                <w:sz w:val="22"/>
              </w:rPr>
              <w:t xml:space="preserve">Removal firm hired by the officer and reimbursed</w:t>
            </w:r>
          </w:p>
        </w:tc>
        <w:tc>
          <w:tcPr>
            <w:tcW w:w="1457" w:type="dxa"/>
            <w:shd w:val="clear" w:color="auto" w:fill="EAF3FA"/>
          </w:tcPr>
          <w:p>
            <w:pPr>
              <w:pStyle w:val="Compact"/>
              <w:spacing w:after="40" w:before="40"/>
              <w:jc w:val="left"/>
            </w:pPr>
            <w:r>
              <w:rPr>
                <w:rFonts w:ascii="Tahoma" w:hAnsi="Tahoma"/>
                <w:sz w:val="22"/>
              </w:rPr>
              <w:t xml:space="preserve">No</w:t>
            </w:r>
          </w:p>
        </w:tc>
        <w:tc>
          <w:tcPr>
            <w:tcW w:w="1457" w:type="dxa"/>
            <w:shd w:val="clear" w:color="auto" w:fill="EAF3FA"/>
          </w:tcPr>
          <w:p>
            <w:pPr>
              <w:pStyle w:val="Compact"/>
              <w:spacing w:after="40" w:before="40"/>
              <w:jc w:val="left"/>
            </w:pPr>
            <w:r>
              <w:rPr>
                <w:rFonts w:ascii="Tahoma" w:hAnsi="Tahoma"/>
                <w:sz w:val="22"/>
              </w:rPr>
              <w:t xml:space="preserve">–</w:t>
            </w:r>
          </w:p>
        </w:tc>
        <w:tc>
          <w:tcPr>
            <w:tcW w:w="2827" w:type="dxa"/>
            <w:shd w:val="clear" w:color="auto" w:fill="EAF3FA"/>
          </w:tcPr>
          <w:p>
            <w:pPr>
              <w:pStyle w:val="Compact"/>
              <w:spacing w:after="40" w:before="40"/>
              <w:jc w:val="left"/>
            </w:pPr>
            <w:r>
              <w:rPr>
                <w:rFonts w:ascii="Tahoma" w:hAnsi="Tahoma"/>
                <w:sz w:val="22"/>
              </w:rPr>
              <w:t xml:space="preserve">Expressly excluded from 57</w:t>
            </w:r>
          </w:p>
        </w:tc>
      </w:tr>
      <w:tr>
        <w:trPr>
          <w:cantSplit w:val="true"/>
        </w:trPr>
        <w:tc>
          <w:tcPr>
            <w:tcW w:w="3284" w:type="dxa"/>
            <w:shd w:val="clear" w:color="auto" w:fill="FFFFFF"/>
          </w:tcPr>
          <w:p>
            <w:pPr>
              <w:pStyle w:val="Compact"/>
              <w:spacing w:after="40" w:before="40"/>
              <w:jc w:val="left"/>
            </w:pPr>
            <w:r>
              <w:rPr>
                <w:rFonts w:ascii="Tahoma" w:hAnsi="Tahoma"/>
                <w:sz w:val="22"/>
              </w:rPr>
              <w:t xml:space="preserve">Visa-agency handling fee</w:t>
            </w:r>
          </w:p>
        </w:tc>
        <w:tc>
          <w:tcPr>
            <w:tcW w:w="1457" w:type="dxa"/>
            <w:shd w:val="clear" w:color="auto" w:fill="FFFFFF"/>
          </w:tcPr>
          <w:p>
            <w:pPr>
              <w:pStyle w:val="Compact"/>
              <w:spacing w:after="40" w:before="40"/>
              <w:jc w:val="left"/>
            </w:pPr>
            <w:r>
              <w:rPr>
                <w:rFonts w:ascii="Tahoma" w:hAnsi="Tahoma"/>
                <w:sz w:val="22"/>
              </w:rPr>
              <w:t xml:space="preserve">Unconfirmed</w:t>
            </w:r>
          </w:p>
        </w:tc>
        <w:tc>
          <w:tcPr>
            <w:tcW w:w="1457" w:type="dxa"/>
            <w:shd w:val="clear" w:color="auto" w:fill="FFFFFF"/>
          </w:tcPr>
          <w:p>
            <w:pPr>
              <w:pStyle w:val="Compact"/>
              <w:spacing w:after="40" w:before="40"/>
              <w:jc w:val="left"/>
            </w:pPr>
            <w:r>
              <w:rPr>
                <w:rFonts w:ascii="Tahoma" w:hAnsi="Tahoma"/>
                <w:sz w:val="22"/>
              </w:rPr>
              <w:t xml:space="preserve">(67?)</w:t>
            </w:r>
          </w:p>
        </w:tc>
        <w:tc>
          <w:tcPr>
            <w:tcW w:w="2827" w:type="dxa"/>
            <w:shd w:val="clear" w:color="auto" w:fill="FFFFFF"/>
          </w:tcPr>
          <w:p>
            <w:pPr>
              <w:pStyle w:val="Compact"/>
              <w:spacing w:after="40" w:before="40"/>
              <w:jc w:val="left"/>
            </w:pPr>
            <w:r>
              <w:rPr>
                <w:rFonts w:ascii="Tahoma" w:hAnsi="Tahoma"/>
                <w:sz w:val="22"/>
              </w:rPr>
              <w:t xml:space="preserve">HMRC guidance is silent</w:t>
            </w:r>
          </w:p>
        </w:tc>
      </w:tr>
      <w:tr>
        <w:trPr>
          <w:cantSplit w:val="true"/>
        </w:trPr>
        <w:tc>
          <w:tcPr>
            <w:tcW w:w="3284" w:type="dxa"/>
            <w:shd w:val="clear" w:color="auto" w:fill="FBEAF1"/>
          </w:tcPr>
          <w:p>
            <w:pPr>
              <w:pStyle w:val="Compact"/>
              <w:spacing w:after="40" w:before="40"/>
              <w:jc w:val="left"/>
            </w:pPr>
            <w:r>
              <w:rPr>
                <w:rFonts w:ascii="Tahoma" w:hAnsi="Tahoma"/>
                <w:sz w:val="22"/>
              </w:rPr>
              <w:t xml:space="preserve">Agent’s commission, repairs or packing for goods</w:t>
            </w:r>
            <w:r>
              <w:rPr>
                <w:rFonts w:ascii="Tahoma" w:hAnsi="Tahoma"/>
                <w:sz w:val="22"/>
              </w:rPr>
              <w:t xml:space="preserve"> </w:t>
            </w:r>
            <w:r>
              <w:rPr>
                <w:rFonts w:ascii="Tahoma" w:hAnsi="Tahoma"/>
                <w:b/>
                <w:bCs/>
                <w:sz w:val="22"/>
              </w:rPr>
              <w:t xml:space="preserve">sold</w:t>
            </w:r>
            <w:r>
              <w:rPr>
                <w:rFonts w:ascii="Tahoma" w:hAnsi="Tahoma"/>
                <w:sz w:val="22"/>
              </w:rPr>
              <w:t xml:space="preserve"> </w:t>
            </w:r>
            <w:r>
              <w:rPr>
                <w:rFonts w:ascii="Tahoma" w:hAnsi="Tahoma"/>
                <w:sz w:val="22"/>
              </w:rPr>
              <w:t xml:space="preserve">abroad</w:t>
            </w:r>
          </w:p>
        </w:tc>
        <w:tc>
          <w:tcPr>
            <w:tcW w:w="1457" w:type="dxa"/>
            <w:shd w:val="clear" w:color="auto" w:fill="FBEAF1"/>
          </w:tcPr>
          <w:p>
            <w:pPr>
              <w:pStyle w:val="Compact"/>
              <w:spacing w:after="40" w:before="40"/>
              <w:jc w:val="left"/>
            </w:pPr>
            <w:r>
              <w:rPr>
                <w:rFonts w:ascii="Tahoma" w:hAnsi="Tahoma"/>
                <w:sz w:val="22"/>
              </w:rPr>
              <w:t xml:space="preserve">No: recover as input tax instead</w:t>
            </w:r>
          </w:p>
        </w:tc>
        <w:tc>
          <w:tcPr>
            <w:tcW w:w="1457" w:type="dxa"/>
            <w:shd w:val="clear" w:color="auto" w:fill="FBEAF1"/>
          </w:tcPr>
          <w:p>
            <w:pPr>
              <w:pStyle w:val="Compact"/>
              <w:spacing w:after="40" w:before="40"/>
              <w:jc w:val="left"/>
            </w:pPr>
            <w:r>
              <w:rPr>
                <w:rFonts w:ascii="Tahoma" w:hAnsi="Tahoma"/>
                <w:sz w:val="22"/>
              </w:rPr>
              <w:t xml:space="preserve">–</w:t>
            </w:r>
          </w:p>
        </w:tc>
        <w:tc>
          <w:tcPr>
            <w:tcW w:w="2827" w:type="dxa"/>
            <w:shd w:val="clear" w:color="auto" w:fill="FBEAF1"/>
          </w:tcPr>
          <w:p>
            <w:pPr>
              <w:pStyle w:val="Compact"/>
              <w:spacing w:after="40" w:before="40"/>
              <w:jc w:val="left"/>
            </w:pPr>
            <w:r>
              <w:rPr>
                <w:rFonts w:ascii="Tahoma" w:hAnsi="Tahoma"/>
                <w:sz w:val="22"/>
              </w:rPr>
              <w:t xml:space="preserve">Business activity, normal rules</w:t>
            </w:r>
          </w:p>
        </w:tc>
      </w:tr>
      <w:tr>
        <w:trPr>
          <w:cantSplit w:val="true"/>
        </w:trPr>
        <w:tc>
          <w:tcPr>
            <w:tcW w:w="3284" w:type="dxa"/>
            <w:shd w:val="clear" w:color="auto" w:fill="EAF3FA"/>
          </w:tcPr>
          <w:p>
            <w:pPr>
              <w:pStyle w:val="Compact"/>
              <w:spacing w:after="40" w:before="40"/>
              <w:jc w:val="left"/>
            </w:pPr>
            <w:r>
              <w:rPr>
                <w:rFonts w:ascii="Tahoma" w:hAnsi="Tahoma"/>
                <w:sz w:val="22"/>
              </w:rPr>
              <w:t xml:space="preserve">Equipment bought to</w:t>
            </w:r>
            <w:r>
              <w:rPr>
                <w:rFonts w:ascii="Tahoma" w:hAnsi="Tahoma"/>
                <w:sz w:val="22"/>
              </w:rPr>
              <w:t xml:space="preserve"> </w:t>
            </w:r>
            <w:r>
              <w:rPr>
                <w:rFonts w:ascii="Tahoma" w:hAnsi="Tahoma"/>
                <w:b/>
                <w:bCs/>
                <w:sz w:val="22"/>
              </w:rPr>
              <w:t xml:space="preserve">give</w:t>
            </w:r>
            <w:r>
              <w:rPr>
                <w:rFonts w:ascii="Tahoma" w:hAnsi="Tahoma"/>
                <w:sz w:val="22"/>
              </w:rPr>
              <w:t xml:space="preserve"> </w:t>
            </w:r>
            <w:r>
              <w:rPr>
                <w:rFonts w:ascii="Tahoma" w:hAnsi="Tahoma"/>
                <w:sz w:val="22"/>
              </w:rPr>
              <w:t xml:space="preserve">to an overseas government</w:t>
            </w:r>
          </w:p>
        </w:tc>
        <w:tc>
          <w:tcPr>
            <w:tcW w:w="1457" w:type="dxa"/>
            <w:shd w:val="clear" w:color="auto" w:fill="EAF3FA"/>
          </w:tcPr>
          <w:p>
            <w:pPr>
              <w:pStyle w:val="Compact"/>
              <w:spacing w:after="40" w:before="40"/>
              <w:jc w:val="left"/>
            </w:pPr>
            <w:r>
              <w:rPr>
                <w:rFonts w:ascii="Tahoma" w:hAnsi="Tahoma"/>
                <w:sz w:val="22"/>
              </w:rPr>
              <w:t xml:space="preserve">No</w:t>
            </w:r>
          </w:p>
        </w:tc>
        <w:tc>
          <w:tcPr>
            <w:tcW w:w="1457" w:type="dxa"/>
            <w:shd w:val="clear" w:color="auto" w:fill="EAF3FA"/>
          </w:tcPr>
          <w:p>
            <w:pPr>
              <w:pStyle w:val="Compact"/>
              <w:spacing w:after="40" w:before="40"/>
              <w:jc w:val="left"/>
            </w:pPr>
            <w:r>
              <w:rPr>
                <w:rFonts w:ascii="Tahoma" w:hAnsi="Tahoma"/>
                <w:sz w:val="22"/>
              </w:rPr>
              <w:t xml:space="preserve">–</w:t>
            </w:r>
          </w:p>
        </w:tc>
        <w:tc>
          <w:tcPr>
            <w:tcW w:w="2827" w:type="dxa"/>
            <w:shd w:val="clear" w:color="auto" w:fill="EAF3FA"/>
          </w:tcPr>
          <w:p>
            <w:pPr>
              <w:pStyle w:val="Compact"/>
              <w:spacing w:after="40" w:before="40"/>
              <w:jc w:val="left"/>
            </w:pPr>
            <w:r>
              <w:rPr>
                <w:rFonts w:ascii="Tahoma" w:hAnsi="Tahoma"/>
                <w:sz w:val="22"/>
              </w:rPr>
              <w:t xml:space="preserve">Goods, non-business. Ask the supplier to export directly to zero-rate</w:t>
            </w:r>
          </w:p>
        </w:tc>
      </w:tr>
      <w:tr>
        <w:trPr>
          <w:cantSplit w:val="true"/>
        </w:trPr>
        <w:tc>
          <w:tcPr>
            <w:tcW w:w="3284" w:type="dxa"/>
            <w:shd w:val="clear" w:color="auto" w:fill="FFFFFF"/>
          </w:tcPr>
          <w:p>
            <w:pPr>
              <w:pStyle w:val="Compact"/>
              <w:spacing w:after="40" w:before="40"/>
              <w:jc w:val="left"/>
            </w:pPr>
            <w:r>
              <w:rPr>
                <w:rFonts w:ascii="Tahoma" w:hAnsi="Tahoma"/>
                <w:sz w:val="22"/>
              </w:rPr>
              <w:t xml:space="preserve">Storage of equipment awaiting shipment to an overseas government</w:t>
            </w:r>
          </w:p>
        </w:tc>
        <w:tc>
          <w:tcPr>
            <w:tcW w:w="1457" w:type="dxa"/>
            <w:shd w:val="clear" w:color="auto" w:fill="FFFFFF"/>
          </w:tcPr>
          <w:p>
            <w:pPr>
              <w:pStyle w:val="Compact"/>
              <w:spacing w:after="40" w:before="40"/>
              <w:jc w:val="left"/>
            </w:pPr>
            <w:r>
              <w:rPr>
                <w:rFonts w:ascii="Tahoma" w:hAnsi="Tahoma"/>
                <w:sz w:val="22"/>
              </w:rPr>
              <w:t xml:space="preserve">Yes</w:t>
            </w:r>
          </w:p>
        </w:tc>
        <w:tc>
          <w:tcPr>
            <w:tcW w:w="1457" w:type="dxa"/>
            <w:shd w:val="clear" w:color="auto" w:fill="FFFFFF"/>
          </w:tcPr>
          <w:p>
            <w:pPr>
              <w:pStyle w:val="Compact"/>
              <w:spacing w:after="40" w:before="40"/>
              <w:jc w:val="left"/>
            </w:pPr>
            <w:r>
              <w:rPr>
                <w:rFonts w:ascii="Tahoma" w:hAnsi="Tahoma"/>
                <w:sz w:val="22"/>
              </w:rPr>
              <w:t xml:space="preserve">63</w:t>
            </w:r>
          </w:p>
        </w:tc>
        <w:tc>
          <w:tcPr>
            <w:tcW w:w="2827" w:type="dxa"/>
            <w:shd w:val="clear" w:color="auto" w:fill="FFFFFF"/>
          </w:tcPr>
          <w:p>
            <w:pPr>
              <w:pStyle w:val="Compact"/>
              <w:spacing w:after="40" w:before="40"/>
              <w:jc w:val="left"/>
            </w:pPr>
            <w:r>
              <w:rPr>
                <w:rFonts w:ascii="Tahoma" w:hAnsi="Tahoma"/>
                <w:sz w:val="22"/>
              </w:rPr>
              <w:t xml:space="preserve">Storage and distribution services</w:t>
            </w:r>
          </w:p>
        </w:tc>
      </w:tr>
      <w:tr>
        <w:trPr>
          <w:cantSplit w:val="true"/>
        </w:trPr>
        <w:tc>
          <w:tcPr>
            <w:tcW w:w="3284" w:type="dxa"/>
            <w:shd w:val="clear" w:color="auto" w:fill="FBEAF1"/>
          </w:tcPr>
          <w:p>
            <w:pPr>
              <w:pStyle w:val="Compact"/>
              <w:spacing w:after="40" w:before="40"/>
              <w:jc w:val="left"/>
            </w:pPr>
            <w:r>
              <w:rPr>
                <w:rFonts w:ascii="Tahoma" w:hAnsi="Tahoma"/>
                <w:sz w:val="22"/>
              </w:rPr>
              <w:t xml:space="preserve">Consultant advising on programme design (advice only)</w:t>
            </w:r>
          </w:p>
        </w:tc>
        <w:tc>
          <w:tcPr>
            <w:tcW w:w="1457" w:type="dxa"/>
            <w:shd w:val="clear" w:color="auto" w:fill="FBEAF1"/>
          </w:tcPr>
          <w:p>
            <w:pPr>
              <w:pStyle w:val="Compact"/>
              <w:spacing w:after="40" w:before="40"/>
              <w:jc w:val="left"/>
            </w:pPr>
            <w:r>
              <w:rPr>
                <w:rFonts w:ascii="Tahoma" w:hAnsi="Tahoma"/>
                <w:sz w:val="22"/>
              </w:rPr>
              <w:t xml:space="preserve">Yes</w:t>
            </w:r>
          </w:p>
        </w:tc>
        <w:tc>
          <w:tcPr>
            <w:tcW w:w="1457" w:type="dxa"/>
            <w:shd w:val="clear" w:color="auto" w:fill="FBEAF1"/>
          </w:tcPr>
          <w:p>
            <w:pPr>
              <w:pStyle w:val="Compact"/>
              <w:spacing w:after="40" w:before="40"/>
              <w:jc w:val="left"/>
            </w:pPr>
            <w:r>
              <w:rPr>
                <w:rFonts w:ascii="Tahoma" w:hAnsi="Tahoma"/>
                <w:sz w:val="22"/>
              </w:rPr>
              <w:t xml:space="preserve">52(a)</w:t>
            </w:r>
          </w:p>
        </w:tc>
        <w:tc>
          <w:tcPr>
            <w:tcW w:w="2827" w:type="dxa"/>
            <w:shd w:val="clear" w:color="auto" w:fill="FBEAF1"/>
          </w:tcPr>
          <w:p>
            <w:pPr>
              <w:pStyle w:val="Compact"/>
              <w:spacing w:after="40" w:before="40"/>
              <w:jc w:val="left"/>
            </w:pPr>
            <w:r>
              <w:rPr>
                <w:rFonts w:ascii="Tahoma" w:hAnsi="Tahoma"/>
                <w:sz w:val="22"/>
              </w:rPr>
              <w:t xml:space="preserve">Advice on departmental policy, no implementation</w:t>
            </w:r>
          </w:p>
        </w:tc>
      </w:tr>
      <w:tr>
        <w:trPr>
          <w:cantSplit w:val="true"/>
        </w:trPr>
        <w:tc>
          <w:tcPr>
            <w:tcW w:w="3284" w:type="dxa"/>
            <w:shd w:val="clear" w:color="auto" w:fill="EAF3FA"/>
          </w:tcPr>
          <w:p>
            <w:pPr>
              <w:pStyle w:val="Compact"/>
              <w:spacing w:after="40" w:before="40"/>
              <w:jc w:val="left"/>
            </w:pPr>
            <w:r>
              <w:rPr>
                <w:rFonts w:ascii="Tahoma" w:hAnsi="Tahoma"/>
                <w:sz w:val="22"/>
              </w:rPr>
              <w:t xml:space="preserve">Consultant implementing a capability-building programme</w:t>
            </w:r>
          </w:p>
        </w:tc>
        <w:tc>
          <w:tcPr>
            <w:tcW w:w="1457" w:type="dxa"/>
            <w:shd w:val="clear" w:color="auto" w:fill="EAF3FA"/>
          </w:tcPr>
          <w:p>
            <w:pPr>
              <w:pStyle w:val="Compact"/>
              <w:spacing w:after="40" w:before="40"/>
              <w:jc w:val="left"/>
            </w:pPr>
            <w:r>
              <w:rPr>
                <w:rFonts w:ascii="Tahoma" w:hAnsi="Tahoma"/>
                <w:sz w:val="22"/>
              </w:rPr>
              <w:t xml:space="preserve">No</w:t>
            </w:r>
          </w:p>
        </w:tc>
        <w:tc>
          <w:tcPr>
            <w:tcW w:w="1457" w:type="dxa"/>
            <w:shd w:val="clear" w:color="auto" w:fill="EAF3FA"/>
          </w:tcPr>
          <w:p>
            <w:pPr>
              <w:pStyle w:val="Compact"/>
              <w:spacing w:after="40" w:before="40"/>
              <w:jc w:val="left"/>
            </w:pPr>
            <w:r>
              <w:rPr>
                <w:rFonts w:ascii="Tahoma" w:hAnsi="Tahoma"/>
                <w:sz w:val="22"/>
              </w:rPr>
              <w:t xml:space="preserve">–</w:t>
            </w:r>
          </w:p>
        </w:tc>
        <w:tc>
          <w:tcPr>
            <w:tcW w:w="2827" w:type="dxa"/>
            <w:shd w:val="clear" w:color="auto" w:fill="EAF3FA"/>
          </w:tcPr>
          <w:p>
            <w:pPr>
              <w:pStyle w:val="Compact"/>
              <w:spacing w:after="40" w:before="40"/>
              <w:jc w:val="left"/>
            </w:pPr>
            <w:r>
              <w:rPr>
                <w:rFonts w:ascii="Tahoma" w:hAnsi="Tahoma"/>
                <w:sz w:val="22"/>
              </w:rPr>
              <w:t xml:space="preserve">Implementation is excluded from 52</w:t>
            </w:r>
          </w:p>
        </w:tc>
      </w:tr>
      <w:tr>
        <w:trPr>
          <w:cantSplit w:val="true"/>
        </w:trPr>
        <w:tc>
          <w:tcPr>
            <w:tcW w:w="3284" w:type="dxa"/>
            <w:shd w:val="clear" w:color="auto" w:fill="FFFFFF"/>
          </w:tcPr>
          <w:p>
            <w:pPr>
              <w:pStyle w:val="Compact"/>
              <w:spacing w:after="40" w:before="40"/>
              <w:jc w:val="left"/>
            </w:pPr>
            <w:r>
              <w:rPr>
                <w:rFonts w:ascii="Tahoma" w:hAnsi="Tahoma"/>
                <w:sz w:val="22"/>
              </w:rPr>
              <w:t xml:space="preserve">Bespoke managed IT service</w:t>
            </w:r>
          </w:p>
        </w:tc>
        <w:tc>
          <w:tcPr>
            <w:tcW w:w="1457" w:type="dxa"/>
            <w:shd w:val="clear" w:color="auto" w:fill="FFFFFF"/>
          </w:tcPr>
          <w:p>
            <w:pPr>
              <w:pStyle w:val="Compact"/>
              <w:spacing w:after="40" w:before="40"/>
              <w:jc w:val="left"/>
            </w:pPr>
            <w:r>
              <w:rPr>
                <w:rFonts w:ascii="Tahoma" w:hAnsi="Tahoma"/>
                <w:sz w:val="22"/>
              </w:rPr>
              <w:t xml:space="preserve">Yes</w:t>
            </w:r>
          </w:p>
        </w:tc>
        <w:tc>
          <w:tcPr>
            <w:tcW w:w="1457" w:type="dxa"/>
            <w:shd w:val="clear" w:color="auto" w:fill="FFFFFF"/>
          </w:tcPr>
          <w:p>
            <w:pPr>
              <w:pStyle w:val="Compact"/>
              <w:spacing w:after="40" w:before="40"/>
              <w:jc w:val="left"/>
            </w:pPr>
            <w:r>
              <w:rPr>
                <w:rFonts w:ascii="Tahoma" w:hAnsi="Tahoma"/>
                <w:sz w:val="22"/>
              </w:rPr>
              <w:t xml:space="preserve">14</w:t>
            </w:r>
          </w:p>
        </w:tc>
        <w:tc>
          <w:tcPr>
            <w:tcW w:w="2827" w:type="dxa"/>
            <w:shd w:val="clear" w:color="auto" w:fill="FFFFFF"/>
          </w:tcPr>
          <w:p>
            <w:pPr>
              <w:pStyle w:val="Compact"/>
              <w:spacing w:after="40" w:before="40"/>
              <w:jc w:val="left"/>
            </w:pPr>
            <w:r>
              <w:rPr>
                <w:rFonts w:ascii="Tahoma" w:hAnsi="Tahoma"/>
                <w:sz w:val="22"/>
              </w:rPr>
              <w:t xml:space="preserve">To the Department’s specification. Apportion any telephony</w:t>
            </w:r>
          </w:p>
        </w:tc>
      </w:tr>
      <w:tr>
        <w:trPr>
          <w:cantSplit w:val="true"/>
        </w:trPr>
        <w:tc>
          <w:tcPr>
            <w:tcW w:w="3284" w:type="dxa"/>
            <w:shd w:val="clear" w:color="auto" w:fill="FBEAF1"/>
          </w:tcPr>
          <w:p>
            <w:pPr>
              <w:pStyle w:val="Compact"/>
              <w:spacing w:after="40" w:before="40"/>
              <w:jc w:val="left"/>
            </w:pPr>
            <w:r>
              <w:rPr>
                <w:rFonts w:ascii="Tahoma" w:hAnsi="Tahoma"/>
                <w:sz w:val="22"/>
              </w:rPr>
              <w:t xml:space="preserve">Off-the-shelf software licences</w:t>
            </w:r>
          </w:p>
        </w:tc>
        <w:tc>
          <w:tcPr>
            <w:tcW w:w="1457" w:type="dxa"/>
            <w:shd w:val="clear" w:color="auto" w:fill="FBEAF1"/>
          </w:tcPr>
          <w:p>
            <w:pPr>
              <w:pStyle w:val="Compact"/>
              <w:spacing w:after="40" w:before="40"/>
              <w:jc w:val="left"/>
            </w:pPr>
            <w:r>
              <w:rPr>
                <w:rFonts w:ascii="Tahoma" w:hAnsi="Tahoma"/>
                <w:sz w:val="22"/>
              </w:rPr>
              <w:t xml:space="preserve">No</w:t>
            </w:r>
          </w:p>
        </w:tc>
        <w:tc>
          <w:tcPr>
            <w:tcW w:w="1457" w:type="dxa"/>
            <w:shd w:val="clear" w:color="auto" w:fill="FBEAF1"/>
          </w:tcPr>
          <w:p>
            <w:pPr>
              <w:pStyle w:val="Compact"/>
              <w:spacing w:after="40" w:before="40"/>
              <w:jc w:val="left"/>
            </w:pPr>
            <w:r>
              <w:rPr>
                <w:rFonts w:ascii="Tahoma" w:hAnsi="Tahoma"/>
                <w:sz w:val="22"/>
              </w:rPr>
              <w:t xml:space="preserve">–</w:t>
            </w:r>
          </w:p>
        </w:tc>
        <w:tc>
          <w:tcPr>
            <w:tcW w:w="2827" w:type="dxa"/>
            <w:shd w:val="clear" w:color="auto" w:fill="FBEAF1"/>
          </w:tcPr>
          <w:p>
            <w:pPr>
              <w:pStyle w:val="Compact"/>
              <w:spacing w:after="40" w:before="40"/>
              <w:jc w:val="left"/>
            </w:pPr>
            <w:r>
              <w:rPr>
                <w:rFonts w:ascii="Tahoma" w:hAnsi="Tahoma"/>
                <w:sz w:val="22"/>
              </w:rPr>
              <w:t xml:space="preserve">Excluded from 14</w:t>
            </w:r>
          </w:p>
        </w:tc>
      </w:tr>
      <w:tr>
        <w:trPr>
          <w:cantSplit w:val="true"/>
        </w:trPr>
        <w:tc>
          <w:tcPr>
            <w:tcW w:w="3284" w:type="dxa"/>
            <w:shd w:val="clear" w:color="auto" w:fill="EAF3FA"/>
          </w:tcPr>
          <w:p>
            <w:pPr>
              <w:pStyle w:val="Compact"/>
              <w:spacing w:after="40" w:before="40"/>
              <w:jc w:val="left"/>
            </w:pPr>
            <w:r>
              <w:rPr>
                <w:rFonts w:ascii="Tahoma" w:hAnsi="Tahoma"/>
                <w:sz w:val="22"/>
              </w:rPr>
              <w:t xml:space="preserve">Contract office cleaning; security guards</w:t>
            </w:r>
          </w:p>
        </w:tc>
        <w:tc>
          <w:tcPr>
            <w:tcW w:w="1457" w:type="dxa"/>
            <w:shd w:val="clear" w:color="auto" w:fill="EAF3FA"/>
          </w:tcPr>
          <w:p>
            <w:pPr>
              <w:pStyle w:val="Compact"/>
              <w:spacing w:after="40" w:before="40"/>
              <w:jc w:val="left"/>
            </w:pPr>
            <w:r>
              <w:rPr>
                <w:rFonts w:ascii="Tahoma" w:hAnsi="Tahoma"/>
                <w:sz w:val="22"/>
              </w:rPr>
              <w:t xml:space="preserve">Yes</w:t>
            </w:r>
          </w:p>
        </w:tc>
        <w:tc>
          <w:tcPr>
            <w:tcW w:w="1457" w:type="dxa"/>
            <w:shd w:val="clear" w:color="auto" w:fill="EAF3FA"/>
          </w:tcPr>
          <w:p>
            <w:pPr>
              <w:pStyle w:val="Compact"/>
              <w:spacing w:after="40" w:before="40"/>
              <w:jc w:val="left"/>
            </w:pPr>
            <w:r>
              <w:rPr>
                <w:rFonts w:ascii="Tahoma" w:hAnsi="Tahoma"/>
                <w:sz w:val="22"/>
              </w:rPr>
              <w:t xml:space="preserve">35; 60</w:t>
            </w:r>
          </w:p>
        </w:tc>
        <w:tc>
          <w:tcPr>
            <w:tcW w:w="2827" w:type="dxa"/>
            <w:shd w:val="clear" w:color="auto" w:fill="EAF3FA"/>
          </w:tcPr>
          <w:p>
            <w:pPr>
              <w:pStyle w:val="Compact"/>
              <w:spacing w:after="40" w:before="40"/>
              <w:jc w:val="left"/>
            </w:pPr>
            <w:r>
              <w:rPr>
                <w:rFonts w:ascii="Tahoma" w:hAnsi="Tahoma"/>
                <w:sz w:val="22"/>
              </w:rPr>
              <w:t xml:space="preserve">Listed services</w:t>
            </w:r>
          </w:p>
        </w:tc>
      </w:tr>
      <w:tr>
        <w:trPr>
          <w:cantSplit w:val="true"/>
        </w:trPr>
        <w:tc>
          <w:tcPr>
            <w:tcW w:w="3284" w:type="dxa"/>
            <w:shd w:val="clear" w:color="auto" w:fill="FFFFFF"/>
          </w:tcPr>
          <w:p>
            <w:pPr>
              <w:pStyle w:val="Compact"/>
              <w:spacing w:after="40" w:before="40"/>
              <w:jc w:val="left"/>
            </w:pPr>
            <w:r>
              <w:rPr>
                <w:rFonts w:ascii="Tahoma" w:hAnsi="Tahoma"/>
                <w:sz w:val="22"/>
              </w:rPr>
              <w:t xml:space="preserve">Stationery, furniture, laptops, energy</w:t>
            </w:r>
          </w:p>
        </w:tc>
        <w:tc>
          <w:tcPr>
            <w:tcW w:w="1457" w:type="dxa"/>
            <w:shd w:val="clear" w:color="auto" w:fill="FFFFFF"/>
          </w:tcPr>
          <w:p>
            <w:pPr>
              <w:pStyle w:val="Compact"/>
              <w:spacing w:after="40" w:before="40"/>
              <w:jc w:val="left"/>
            </w:pPr>
            <w:r>
              <w:rPr>
                <w:rFonts w:ascii="Tahoma" w:hAnsi="Tahoma"/>
                <w:sz w:val="22"/>
              </w:rPr>
              <w:t xml:space="preserve">No</w:t>
            </w:r>
          </w:p>
        </w:tc>
        <w:tc>
          <w:tcPr>
            <w:tcW w:w="1457" w:type="dxa"/>
            <w:shd w:val="clear" w:color="auto" w:fill="FFFFFF"/>
          </w:tcPr>
          <w:p>
            <w:pPr>
              <w:pStyle w:val="Compact"/>
              <w:spacing w:after="40" w:before="40"/>
              <w:jc w:val="left"/>
            </w:pPr>
            <w:r>
              <w:rPr>
                <w:rFonts w:ascii="Tahoma" w:hAnsi="Tahoma"/>
                <w:sz w:val="22"/>
              </w:rPr>
              <w:t xml:space="preserve">–</w:t>
            </w:r>
          </w:p>
        </w:tc>
        <w:tc>
          <w:tcPr>
            <w:tcW w:w="2827" w:type="dxa"/>
            <w:shd w:val="clear" w:color="auto" w:fill="FFFFFF"/>
          </w:tcPr>
          <w:p>
            <w:pPr>
              <w:pStyle w:val="Compact"/>
              <w:spacing w:after="40" w:before="40"/>
              <w:jc w:val="left"/>
            </w:pPr>
            <w:r>
              <w:rPr>
                <w:rFonts w:ascii="Tahoma" w:hAnsi="Tahoma"/>
                <w:sz w:val="22"/>
              </w:rPr>
              <w:t xml:space="preserve">Goods and utilities</w:t>
            </w:r>
          </w:p>
        </w:tc>
      </w:tr>
      <w:tr>
        <w:trPr>
          <w:cantSplit w:val="true"/>
        </w:trPr>
        <w:tc>
          <w:tcPr>
            <w:tcW w:w="3284" w:type="dxa"/>
            <w:shd w:val="clear" w:color="auto" w:fill="FBEAF1"/>
          </w:tcPr>
          <w:p>
            <w:pPr>
              <w:pStyle w:val="Compact"/>
              <w:spacing w:after="40" w:before="40"/>
              <w:jc w:val="left"/>
            </w:pPr>
            <w:r>
              <w:rPr>
                <w:rFonts w:ascii="Tahoma" w:hAnsi="Tahoma"/>
                <w:sz w:val="22"/>
              </w:rPr>
              <w:t xml:space="preserve">Agency temps covering vacancies</w:t>
            </w:r>
          </w:p>
        </w:tc>
        <w:tc>
          <w:tcPr>
            <w:tcW w:w="1457" w:type="dxa"/>
            <w:shd w:val="clear" w:color="auto" w:fill="FBEAF1"/>
          </w:tcPr>
          <w:p>
            <w:pPr>
              <w:pStyle w:val="Compact"/>
              <w:spacing w:after="40" w:before="40"/>
              <w:jc w:val="left"/>
            </w:pPr>
            <w:r>
              <w:rPr>
                <w:rFonts w:ascii="Tahoma" w:hAnsi="Tahoma"/>
                <w:sz w:val="22"/>
              </w:rPr>
              <w:t xml:space="preserve">No</w:t>
            </w:r>
          </w:p>
        </w:tc>
        <w:tc>
          <w:tcPr>
            <w:tcW w:w="1457" w:type="dxa"/>
            <w:shd w:val="clear" w:color="auto" w:fill="FBEAF1"/>
          </w:tcPr>
          <w:p>
            <w:pPr>
              <w:pStyle w:val="Compact"/>
              <w:spacing w:after="40" w:before="40"/>
              <w:jc w:val="left"/>
            </w:pPr>
            <w:r>
              <w:rPr>
                <w:rFonts w:ascii="Tahoma" w:hAnsi="Tahoma"/>
                <w:sz w:val="22"/>
              </w:rPr>
              <w:t xml:space="preserve">–</w:t>
            </w:r>
          </w:p>
        </w:tc>
        <w:tc>
          <w:tcPr>
            <w:tcW w:w="2827" w:type="dxa"/>
            <w:shd w:val="clear" w:color="auto" w:fill="FBEAF1"/>
          </w:tcPr>
          <w:p>
            <w:pPr>
              <w:pStyle w:val="Compact"/>
              <w:spacing w:after="40" w:before="40"/>
              <w:jc w:val="left"/>
            </w:pPr>
            <w:r>
              <w:rPr>
                <w:rFonts w:ascii="Tahoma" w:hAnsi="Tahoma"/>
                <w:sz w:val="22"/>
              </w:rPr>
              <w:t xml:space="preserve">Supply of staff</w:t>
            </w:r>
          </w:p>
        </w:tc>
      </w:tr>
      <w:tr>
        <w:trPr>
          <w:cantSplit w:val="true"/>
        </w:trPr>
        <w:tc>
          <w:tcPr>
            <w:tcW w:w="3284" w:type="dxa"/>
            <w:shd w:val="clear" w:color="auto" w:fill="EAF3FA"/>
          </w:tcPr>
          <w:p>
            <w:pPr>
              <w:pStyle w:val="Compact"/>
              <w:spacing w:after="40" w:before="40"/>
              <w:jc w:val="left"/>
            </w:pPr>
            <w:r>
              <w:rPr>
                <w:rFonts w:ascii="Tahoma" w:hAnsi="Tahoma"/>
                <w:sz w:val="22"/>
              </w:rPr>
              <w:t xml:space="preserve">Pool cars hired for more than 30 days with maintenance included</w:t>
            </w:r>
          </w:p>
        </w:tc>
        <w:tc>
          <w:tcPr>
            <w:tcW w:w="1457" w:type="dxa"/>
            <w:shd w:val="clear" w:color="auto" w:fill="EAF3FA"/>
          </w:tcPr>
          <w:p>
            <w:pPr>
              <w:pStyle w:val="Compact"/>
              <w:spacing w:after="40" w:before="40"/>
              <w:jc w:val="left"/>
            </w:pPr>
            <w:r>
              <w:rPr>
                <w:rFonts w:ascii="Tahoma" w:hAnsi="Tahoma"/>
                <w:sz w:val="22"/>
              </w:rPr>
              <w:t xml:space="preserve">Yes</w:t>
            </w:r>
          </w:p>
        </w:tc>
        <w:tc>
          <w:tcPr>
            <w:tcW w:w="1457" w:type="dxa"/>
            <w:shd w:val="clear" w:color="auto" w:fill="EAF3FA"/>
          </w:tcPr>
          <w:p>
            <w:pPr>
              <w:pStyle w:val="Compact"/>
              <w:spacing w:after="40" w:before="40"/>
              <w:jc w:val="left"/>
            </w:pPr>
            <w:r>
              <w:rPr>
                <w:rFonts w:ascii="Tahoma" w:hAnsi="Tahoma"/>
                <w:sz w:val="22"/>
              </w:rPr>
              <w:t xml:space="preserve">26</w:t>
            </w:r>
          </w:p>
        </w:tc>
        <w:tc>
          <w:tcPr>
            <w:tcW w:w="2827" w:type="dxa"/>
            <w:shd w:val="clear" w:color="auto" w:fill="EAF3FA"/>
          </w:tcPr>
          <w:p>
            <w:pPr>
              <w:pStyle w:val="Compact"/>
              <w:spacing w:after="40" w:before="40"/>
              <w:jc w:val="left"/>
            </w:pPr>
            <w:r>
              <w:rPr>
                <w:rFonts w:ascii="Tahoma" w:hAnsi="Tahoma"/>
                <w:sz w:val="22"/>
              </w:rPr>
              <w:t xml:space="preserve">Both Direction conditions met</w:t>
            </w:r>
          </w:p>
        </w:tc>
      </w:tr>
    </w:tbl>
    <w:bookmarkEnd w:id="241"/>
    <w:bookmarkEnd w:id="242"/>
    <w:bookmarkStart w:id="255" w:name="Xf56bdbbcf97fc379fd6244641dc4a67ce3f060e"/>
    <w:p>
      <w:pPr>
        <w:pStyle w:val="Heading2"/>
      </w:pPr>
      <w:r>
        <w:t xml:space="preserve">Part 7: More worked examples: buying goods and other items</w:t>
      </w:r>
    </w:p>
    <w:p>
      <w:pPr>
        <w:pStyle w:val="FirstParagraph"/>
      </w:pPr>
      <w:r>
        <w:t xml:space="preserve">This part works through 46 everyday purchases. Most of them are</w:t>
      </w:r>
      <w:r>
        <w:t xml:space="preserve"> </w:t>
      </w:r>
      <w:r>
        <w:rPr>
          <w:b/>
          <w:bCs/>
        </w:rPr>
        <w:t xml:space="preserve">goods</w:t>
      </w:r>
      <w:r>
        <w:t xml:space="preserve">, because goods are where the Department’s VAT position differs most from that of other buyers. Some examples show the same purchase made by a different kind of buyer, so you can see why the answer changes.</w:t>
      </w:r>
    </w:p>
    <w:bookmarkStart w:id="243" w:name="how-to-read-these-examples"/>
    <w:p>
      <w:pPr>
        <w:pStyle w:val="Heading3"/>
      </w:pPr>
      <w:r>
        <w:t xml:space="preserve">How to read these examples</w:t>
      </w:r>
    </w:p>
    <w:p>
      <w:pPr>
        <w:pStyle w:val="FirstParagraph"/>
      </w:pPr>
      <w:r>
        <w:t xml:space="preserve">Each example answers the same three questions in the same order. First, what is the VAT liability of the purchase: standard-rated (20%), reduced-rated (5%), zero-rated (0%), exempt or outside the scope (see Part 3)? Second, is the purchase used for business or non-business purposes (see Part 5, Business vs non-business: the key test)? Third, which recovery route applies, if any? Prices are shown before VAT, and VAT is at 20% unless stated. Unless the example says otherwise, they assume a UK supplier, a valid VAT invoice addressed to the buyer, and a claim made in time (see Part 5, How and when to claim). They are illustrations, not rulings: in real cases the contract wording and the facts decide the answer.</w:t>
      </w:r>
    </w:p>
    <w:p>
      <w:pPr>
        <w:pStyle w:val="BodyText"/>
      </w:pPr>
      <w:r>
        <w:rPr>
          <w:b/>
          <w:bCs/>
        </w:rPr>
        <w:t xml:space="preserve">The rule that drives most of these answers.</w:t>
      </w:r>
      <w:r>
        <w:t xml:space="preserve"> </w:t>
      </w:r>
      <w:r>
        <w:t xml:space="preserve">For the Department, a COS refund covers UK VAT on the</w:t>
      </w:r>
      <w:r>
        <w:t xml:space="preserve"> </w:t>
      </w:r>
      <w:r>
        <w:rPr>
          <w:b/>
          <w:bCs/>
        </w:rPr>
        <w:t xml:space="preserve">services</w:t>
      </w:r>
      <w:r>
        <w:t xml:space="preserve"> </w:t>
      </w:r>
      <w:r>
        <w:t xml:space="preserve">listed in the Treasury Direction, used for non-business purposes.</w:t>
      </w:r>
    </w:p>
    <w:p>
      <w:pPr>
        <w:pStyle w:val="Compact"/>
        <w:numPr>
          <w:ilvl w:val="0"/>
          <w:numId w:val="1298"/>
        </w:numPr>
      </w:pPr>
      <w:r>
        <w:rPr>
          <w:b/>
          <w:bCs/>
        </w:rPr>
        <w:t xml:space="preserve">Goods count only as part of a listed service.</w:t>
      </w:r>
      <w:r>
        <w:t xml:space="preserve"> </w:t>
      </w:r>
      <w:r>
        <w:t xml:space="preserve">Goods are covered only where they are</w:t>
      </w:r>
      <w:r>
        <w:t xml:space="preserve"> </w:t>
      </w:r>
      <w:r>
        <w:t xml:space="preserve">“</w:t>
      </w:r>
      <w:r>
        <w:t xml:space="preserve">closely related</w:t>
      </w:r>
      <w:r>
        <w:t xml:space="preserve">”</w:t>
      </w:r>
      <w:r>
        <w:t xml:space="preserve"> </w:t>
      </w:r>
      <w:r>
        <w:t xml:space="preserve">to the supply of a listed service</w:t>
      </w:r>
      <w:r>
        <w:t xml:space="preserve"> </w:t>
      </w:r>
      <w:r>
        <w:t xml:space="preserve">(</w:t>
      </w:r>
      <w:hyperlink w:anchor="ref-gazette_2020">
        <w:r>
          <w:rPr>
            <w:rStyle w:val="Hyperlink"/>
          </w:rPr>
          <w:t xml:space="preserve">HM Treasury, 2020b, para. 2(c)</w:t>
        </w:r>
      </w:hyperlink>
      <w:r>
        <w:t xml:space="preserve">)</w:t>
      </w:r>
      <w:r>
        <w:t xml:space="preserve">. HMRC puts it this way: goods are refundable where they are received</w:t>
      </w:r>
      <w:r>
        <w:t xml:space="preserve"> </w:t>
      </w:r>
      <w:r>
        <w:t xml:space="preserve">“</w:t>
      </w:r>
      <w:r>
        <w:t xml:space="preserve">as an integral part of a supply of qualifying services</w:t>
      </w:r>
      <w:r>
        <w:t xml:space="preserve">”</w:t>
      </w:r>
      <w:r>
        <w:t xml:space="preserve">, are included in the contract for those services, and are</w:t>
      </w:r>
      <w:r>
        <w:t xml:space="preserve"> </w:t>
      </w:r>
      <w:r>
        <w:t xml:space="preserve">“</w:t>
      </w:r>
      <w:r>
        <w:t xml:space="preserve">ancillary to the qualifying services supplied</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0"/>
          <w:numId w:val="1298"/>
        </w:numPr>
      </w:pPr>
      <w:r>
        <w:rPr>
          <w:b/>
          <w:bCs/>
        </w:rPr>
        <w:t xml:space="preserve">One exception.</w:t>
      </w:r>
      <w:r>
        <w:t xml:space="preserve"> </w:t>
      </w:r>
      <w:r>
        <w:t xml:space="preserve">The only heading that covers goods in their own right is Heading 82, and only HS2 Ltd can use it</w:t>
      </w:r>
      <w:r>
        <w:t xml:space="preserve"> </w:t>
      </w:r>
      <w:r>
        <w:t xml:space="preserve">(</w:t>
      </w:r>
      <w:hyperlink w:anchor="ref-hmrc_vatgpb">
        <w:r>
          <w:rPr>
            <w:rStyle w:val="Hyperlink"/>
          </w:rPr>
          <w:t xml:space="preserve">HMRC, 2026n, sec. VATGPB11370</w:t>
        </w:r>
      </w:hyperlink>
      <w:r>
        <w:t xml:space="preserve">)</w:t>
      </w:r>
      <w:r>
        <w:t xml:space="preserve">.</w:t>
      </w:r>
    </w:p>
    <w:p>
      <w:pPr>
        <w:pStyle w:val="Compact"/>
        <w:numPr>
          <w:ilvl w:val="0"/>
          <w:numId w:val="1298"/>
        </w:numPr>
      </w:pPr>
      <w:r>
        <w:rPr>
          <w:b/>
          <w:bCs/>
        </w:rPr>
        <w:t xml:space="preserve">Standalone goods are a cost.</w:t>
      </w:r>
      <w:r>
        <w:t xml:space="preserve"> </w:t>
      </w:r>
      <w:r>
        <w:t xml:space="preserve">HM Treasury states plainly that government departments</w:t>
      </w:r>
      <w:r>
        <w:t xml:space="preserve"> </w:t>
      </w:r>
      <w:r>
        <w:t xml:space="preserve">“</w:t>
      </w:r>
      <w:r>
        <w:t xml:space="preserve">are unable to recover the VAT they have incurred on goods</w:t>
      </w:r>
      <w:r>
        <w:t xml:space="preserve">”</w:t>
      </w:r>
      <w:r>
        <w:t xml:space="preserve"> </w:t>
      </w:r>
      <w:r>
        <w:t xml:space="preserve">(</w:t>
      </w:r>
      <w:hyperlink w:anchor="ref-hmt_s41_paper_2020">
        <w:r>
          <w:rPr>
            <w:rStyle w:val="Hyperlink"/>
          </w:rPr>
          <w:t xml:space="preserve">HM Treasury, 2020a</w:t>
        </w:r>
      </w:hyperlink>
      <w:r>
        <w:t xml:space="preserve">)</w:t>
      </w:r>
      <w:r>
        <w:t xml:space="preserve">. HMRC’s framework confirms that VAT on goods, certain utilities and services outside a heading is not refundable to the extent it relates to non-business activity</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The recovery routes used below:</w:t>
      </w:r>
    </w:p>
    <w:p>
      <w:pPr>
        <w:pStyle w:val="Compact"/>
        <w:numPr>
          <w:ilvl w:val="0"/>
          <w:numId w:val="1299"/>
        </w:numPr>
      </w:pPr>
      <w:r>
        <w:rPr>
          <w:b/>
          <w:bCs/>
        </w:rPr>
        <w:t xml:space="preserve">Input tax:</w:t>
      </w:r>
      <w:r>
        <w:t xml:space="preserve"> </w:t>
      </w:r>
      <w:r>
        <w:t xml:space="preserve">VAT on purchases used for taxable business supplies, deducted on the VAT return under sections 24 to 26 of the Value Added Tax Act 1994</w:t>
      </w:r>
      <w:r>
        <w:t xml:space="preserve"> </w:t>
      </w:r>
      <w:r>
        <w:t xml:space="preserve">(</w:t>
      </w:r>
      <w:hyperlink w:anchor="ref-hmrc_n700">
        <w:r>
          <w:rPr>
            <w:rStyle w:val="Hyperlink"/>
          </w:rPr>
          <w:t xml:space="preserve">HMRC, 2026o, para. 10.2</w:t>
        </w:r>
      </w:hyperlink>
      <w:r>
        <w:t xml:space="preserve">)</w:t>
      </w:r>
      <w:r>
        <w:t xml:space="preserve">.</w:t>
      </w:r>
    </w:p>
    <w:p>
      <w:pPr>
        <w:pStyle w:val="Compact"/>
        <w:numPr>
          <w:ilvl w:val="0"/>
          <w:numId w:val="1299"/>
        </w:numPr>
      </w:pPr>
      <w:r>
        <w:rPr>
          <w:b/>
          <w:bCs/>
        </w:rPr>
        <w:t xml:space="preserve">COS Heading N:</w:t>
      </w:r>
      <w:r>
        <w:t xml:space="preserve"> </w:t>
      </w:r>
      <w:r>
        <w:t xml:space="preserve">a refund under section 41(3) of the Value Added Tax Act 1994 for non-business use of a service listed in the Direction</w:t>
      </w:r>
      <w:r>
        <w:t xml:space="preserve"> </w:t>
      </w:r>
      <w:r>
        <w:t xml:space="preserve">(</w:t>
      </w:r>
      <w:hyperlink w:anchor="ref-gazette_2020">
        <w:r>
          <w:rPr>
            <w:rStyle w:val="Hyperlink"/>
          </w:rPr>
          <w:t xml:space="preserve">HM Treasury, 2020b, para. 2</w:t>
        </w:r>
      </w:hyperlink>
      <w:r>
        <w:t xml:space="preserve">)</w:t>
      </w:r>
      <w:r>
        <w:t xml:space="preserve">.</w:t>
      </w:r>
    </w:p>
    <w:p>
      <w:pPr>
        <w:pStyle w:val="Compact"/>
        <w:numPr>
          <w:ilvl w:val="0"/>
          <w:numId w:val="1299"/>
        </w:numPr>
      </w:pPr>
      <w:r>
        <w:rPr>
          <w:b/>
          <w:bCs/>
        </w:rPr>
        <w:t xml:space="preserve">Section 33:</w:t>
      </w:r>
      <w:r>
        <w:t xml:space="preserve"> </w:t>
      </w:r>
      <w:r>
        <w:t xml:space="preserve">the refund scheme for local authorities and similar bodies under section 33 of the Value Added Tax Act 1994. Section 33(1) covers VAT on the supply of goods</w:t>
      </w:r>
      <w:r>
        <w:t xml:space="preserve"> </w:t>
      </w:r>
      <w:r>
        <w:rPr>
          <w:b/>
          <w:bCs/>
        </w:rPr>
        <w:t xml:space="preserve">and</w:t>
      </w:r>
      <w:r>
        <w:t xml:space="preserve"> </w:t>
      </w:r>
      <w:r>
        <w:t xml:space="preserve">services, and on imported goods, that are not for a business purpose. It is not limited to a list of services</w:t>
      </w:r>
      <w:r>
        <w:t xml:space="preserve"> </w:t>
      </w:r>
      <w:r>
        <w:t xml:space="preserve">(</w:t>
      </w:r>
      <w:hyperlink w:anchor="ref-hmrc_n749">
        <w:r>
          <w:rPr>
            <w:rStyle w:val="Hyperlink"/>
          </w:rPr>
          <w:t xml:space="preserve">HMRC, 2025g</w:t>
        </w:r>
      </w:hyperlink>
      <w:r>
        <w:t xml:space="preserve">, paras. 4.2 and 6.1)</w:t>
      </w:r>
      <w:r>
        <w:t xml:space="preserve">.</w:t>
      </w:r>
    </w:p>
    <w:p>
      <w:pPr>
        <w:pStyle w:val="Compact"/>
        <w:numPr>
          <w:ilvl w:val="0"/>
          <w:numId w:val="1299"/>
        </w:numPr>
      </w:pPr>
      <w:r>
        <w:rPr>
          <w:b/>
          <w:bCs/>
        </w:rPr>
        <w:t xml:space="preserve">None:</w:t>
      </w:r>
      <w:r>
        <w:t xml:space="preserve"> </w:t>
      </w:r>
      <w:r>
        <w:t xml:space="preserve">the VAT is a cost to the buyer.</w:t>
      </w:r>
    </w:p>
    <w:p>
      <w:pPr>
        <w:pStyle w:val="FirstParagraph"/>
      </w:pPr>
      <w:r>
        <w:rPr>
          <w:b/>
          <w:bCs/>
        </w:rPr>
        <w:t xml:space="preserve">The buyers used below:</w:t>
      </w:r>
    </w:p>
    <w:p>
      <w:pPr>
        <w:pStyle w:val="Compact"/>
        <w:numPr>
          <w:ilvl w:val="0"/>
          <w:numId w:val="1300"/>
        </w:numPr>
      </w:pPr>
      <w:r>
        <w:rPr>
          <w:b/>
          <w:bCs/>
        </w:rPr>
        <w:t xml:space="preserve">The Department:</w:t>
      </w:r>
      <w:r>
        <w:t xml:space="preserve"> </w:t>
      </w:r>
      <w:r>
        <w:t xml:space="preserve">the fictional central government department this guide is written for. It is a section 41(3) body with mainly non-business activities and a small business side (selling surplus items, publications and data licences).</w:t>
      </w:r>
    </w:p>
    <w:p>
      <w:pPr>
        <w:pStyle w:val="Compact"/>
        <w:numPr>
          <w:ilvl w:val="0"/>
          <w:numId w:val="1300"/>
        </w:numPr>
      </w:pPr>
      <w:r>
        <w:rPr>
          <w:b/>
          <w:bCs/>
        </w:rPr>
        <w:t xml:space="preserve">Another department:</w:t>
      </w:r>
      <w:r>
        <w:t xml:space="preserve"> </w:t>
      </w:r>
      <w:r>
        <w:t xml:space="preserve">any other central government department. The same rules apply as for the Department.</w:t>
      </w:r>
    </w:p>
    <w:p>
      <w:pPr>
        <w:pStyle w:val="Compact"/>
        <w:numPr>
          <w:ilvl w:val="0"/>
          <w:numId w:val="1300"/>
        </w:numPr>
      </w:pPr>
      <w:r>
        <w:rPr>
          <w:b/>
          <w:bCs/>
        </w:rPr>
        <w:t xml:space="preserve">NHS trust:</w:t>
      </w:r>
      <w:r>
        <w:t xml:space="preserve"> </w:t>
      </w:r>
      <w:r>
        <w:t xml:space="preserve">also a section 41(3) body. Its main activity, healthcare provided free, is non-business</w:t>
      </w:r>
      <w:r>
        <w:t xml:space="preserve"> </w:t>
      </w:r>
      <w:r>
        <w:t xml:space="preserve">(</w:t>
      </w:r>
      <w:hyperlink w:anchor="ref-hmrc_nhspef">
        <w:r>
          <w:rPr>
            <w:rStyle w:val="Hyperlink"/>
          </w:rPr>
          <w:t xml:space="preserve">HMRC, 2022c</w:t>
        </w:r>
      </w:hyperlink>
      <w:r>
        <w:t xml:space="preserve">)</w:t>
      </w:r>
      <w:r>
        <w:t xml:space="preserve">.</w:t>
      </w:r>
    </w:p>
    <w:p>
      <w:pPr>
        <w:pStyle w:val="Compact"/>
        <w:numPr>
          <w:ilvl w:val="0"/>
          <w:numId w:val="1300"/>
        </w:numPr>
      </w:pPr>
      <w:r>
        <w:rPr>
          <w:b/>
          <w:bCs/>
        </w:rPr>
        <w:t xml:space="preserve">Local authority:</w:t>
      </w:r>
      <w:r>
        <w:t xml:space="preserve"> </w:t>
      </w:r>
      <w:r>
        <w:t xml:space="preserve">a section 33 body</w:t>
      </w:r>
      <w:r>
        <w:t xml:space="preserve"> </w:t>
      </w:r>
      <w:r>
        <w:t xml:space="preserve">(</w:t>
      </w:r>
      <w:hyperlink w:anchor="ref-hmrc_n749">
        <w:r>
          <w:rPr>
            <w:rStyle w:val="Hyperlink"/>
          </w:rPr>
          <w:t xml:space="preserve">HMRC, 2025g, para. 4.2</w:t>
        </w:r>
      </w:hyperlink>
      <w:r>
        <w:t xml:space="preserve">)</w:t>
      </w:r>
      <w:r>
        <w:t xml:space="preserve">.</w:t>
      </w:r>
    </w:p>
    <w:p>
      <w:pPr>
        <w:pStyle w:val="Compact"/>
        <w:numPr>
          <w:ilvl w:val="0"/>
          <w:numId w:val="1300"/>
        </w:numPr>
      </w:pPr>
      <w:r>
        <w:rPr>
          <w:b/>
          <w:bCs/>
        </w:rPr>
        <w:t xml:space="preserve">Charity:</w:t>
      </w:r>
      <w:r>
        <w:t xml:space="preserve"> </w:t>
      </w:r>
      <w:r>
        <w:t xml:space="preserve">a VAT-registered charity with non-business activities.</w:t>
      </w:r>
    </w:p>
    <w:p>
      <w:pPr>
        <w:pStyle w:val="Compact"/>
        <w:numPr>
          <w:ilvl w:val="0"/>
          <w:numId w:val="1300"/>
        </w:numPr>
      </w:pPr>
      <w:r>
        <w:rPr>
          <w:b/>
          <w:bCs/>
        </w:rPr>
        <w:t xml:space="preserve">Business:</w:t>
      </w:r>
      <w:r>
        <w:t xml:space="preserve"> </w:t>
      </w:r>
      <w:r>
        <w:t xml:space="preserve">an ordinary VAT-registered company that makes only taxable supplies, unless the example says otherwise.</w:t>
      </w:r>
    </w:p>
    <w:p>
      <w:pPr>
        <w:pStyle w:val="FirstParagraph"/>
      </w:pPr>
      <w:r>
        <w:rPr>
          <w:b/>
          <w:bCs/>
        </w:rPr>
        <w:t xml:space="preserve">The labels used in each result:</w:t>
      </w:r>
    </w:p>
    <w:p>
      <w:pPr>
        <w:pStyle w:val="Compact"/>
        <w:numPr>
          <w:ilvl w:val="0"/>
          <w:numId w:val="1301"/>
        </w:numPr>
      </w:pPr>
      <w:r>
        <w:rPr>
          <w:b/>
          <w:bCs/>
        </w:rPr>
        <w:t xml:space="preserve">Recoverable:</w:t>
      </w:r>
      <w:r>
        <w:t xml:space="preserve"> </w:t>
      </w:r>
      <w:r>
        <w:t xml:space="preserve">the VAT comes back in full, by the route stated.</w:t>
      </w:r>
    </w:p>
    <w:p>
      <w:pPr>
        <w:pStyle w:val="Compact"/>
        <w:numPr>
          <w:ilvl w:val="0"/>
          <w:numId w:val="1301"/>
        </w:numPr>
      </w:pPr>
      <w:r>
        <w:rPr>
          <w:b/>
          <w:bCs/>
        </w:rPr>
        <w:t xml:space="preserve">Not recoverable:</w:t>
      </w:r>
      <w:r>
        <w:t xml:space="preserve"> </w:t>
      </w:r>
      <w:r>
        <w:t xml:space="preserve">the VAT is a cost.</w:t>
      </w:r>
    </w:p>
    <w:p>
      <w:pPr>
        <w:pStyle w:val="Compact"/>
        <w:numPr>
          <w:ilvl w:val="0"/>
          <w:numId w:val="1301"/>
        </w:numPr>
      </w:pPr>
      <w:r>
        <w:rPr>
          <w:b/>
          <w:bCs/>
        </w:rPr>
        <w:t xml:space="preserve">Partly recoverable:</w:t>
      </w:r>
      <w:r>
        <w:t xml:space="preserve"> </w:t>
      </w:r>
      <w:r>
        <w:t xml:space="preserve">only the stated part comes back. The rest is a cost.</w:t>
      </w:r>
    </w:p>
    <w:p>
      <w:pPr>
        <w:pStyle w:val="Compact"/>
        <w:numPr>
          <w:ilvl w:val="0"/>
          <w:numId w:val="1301"/>
        </w:numPr>
      </w:pPr>
      <w:r>
        <w:rPr>
          <w:b/>
          <w:bCs/>
        </w:rPr>
        <w:t xml:space="preserve">Check first:</w:t>
      </w:r>
      <w:r>
        <w:t xml:space="preserve"> </w:t>
      </w:r>
      <w:r>
        <w:t xml:space="preserve">the answer depends on a point that is uncertain or fact-sensitive. Confirm it with your VAT team or HMRC before you rely on it.</w:t>
      </w:r>
    </w:p>
    <w:p>
      <w:pPr>
        <w:pStyle w:val="FirstParagraph"/>
      </w:pPr>
      <w:r>
        <w:t xml:space="preserve">“</w:t>
      </w:r>
      <w:r>
        <w:t xml:space="preserve">Net cost</w:t>
      </w:r>
      <w:r>
        <w:t xml:space="preserve">”</w:t>
      </w:r>
      <w:r>
        <w:t xml:space="preserve"> </w:t>
      </w:r>
      <w:r>
        <w:t xml:space="preserve">means what the buyer bears after any recovery.</w:t>
      </w:r>
    </w:p>
    <w:bookmarkEnd w:id="243"/>
    <w:bookmarkStart w:id="244" w:name="summary-table-1"/>
    <w:p>
      <w:pPr>
        <w:pStyle w:val="Heading3"/>
      </w:pPr>
      <w:r>
        <w:t xml:space="preserve">Summary table</w:t>
      </w:r>
    </w:p>
    <w:p>
      <w:pPr>
        <w:pStyle w:val="FirstParagraph"/>
      </w:pPr>
      <w:r>
        <w:t xml:space="preserve">The table below lists every example in this part, who is buying, and the VAT outcome in brief.</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3190"/>
        <w:gridCol w:w="2233"/>
        <w:gridCol w:w="3601"/>
      </w:tblGrid>
      <w:tr>
        <w:trPr>
          <w:tblHeader w:val="true"/>
          <w:cantSplit w:val="true"/>
        </w:trPr>
        <w:tc>
          <w:tcPr>
            <w:tcW w:w="3190" w:type="dxa"/>
            <w:shd w:val="clear" w:color="auto" w:fill="1B3A5C"/>
          </w:tcPr>
          <w:p>
            <w:pPr>
              <w:pStyle w:val="Compact"/>
              <w:spacing w:after="40" w:before="40"/>
              <w:jc w:val="left"/>
            </w:pPr>
            <w:r>
              <w:rPr>
                <w:rFonts w:ascii="Tahoma" w:hAnsi="Tahoma"/>
                <w:b/>
                <w:color w:val="FFFFFF"/>
                <w:sz w:val="22"/>
              </w:rPr>
              <w:t xml:space="preserve">Example</w:t>
            </w:r>
          </w:p>
        </w:tc>
        <w:tc>
          <w:tcPr>
            <w:tcW w:w="2233" w:type="dxa"/>
            <w:shd w:val="clear" w:color="auto" w:fill="1B3A5C"/>
          </w:tcPr>
          <w:p>
            <w:pPr>
              <w:pStyle w:val="Compact"/>
              <w:spacing w:after="40" w:before="40"/>
              <w:jc w:val="left"/>
            </w:pPr>
            <w:r>
              <w:rPr>
                <w:rFonts w:ascii="Tahoma" w:hAnsi="Tahoma"/>
                <w:b/>
                <w:color w:val="FFFFFF"/>
                <w:sz w:val="22"/>
              </w:rPr>
              <w:t xml:space="preserve">Who is buying</w:t>
            </w:r>
          </w:p>
        </w:tc>
        <w:tc>
          <w:tcPr>
            <w:tcW w:w="3601" w:type="dxa"/>
            <w:shd w:val="clear" w:color="auto" w:fill="1B3A5C"/>
          </w:tcPr>
          <w:p>
            <w:pPr>
              <w:pStyle w:val="Compact"/>
              <w:spacing w:after="40" w:before="40"/>
              <w:jc w:val="left"/>
            </w:pPr>
            <w:r>
              <w:rPr>
                <w:rFonts w:ascii="Tahoma" w:hAnsi="Tahoma"/>
                <w:b/>
                <w:color w:val="FFFFFF"/>
                <w:sz w:val="22"/>
              </w:rPr>
              <w:t xml:space="preserve">VAT outcome</w:t>
            </w:r>
          </w:p>
        </w:tc>
      </w:tr>
      <w:tr>
        <w:trPr>
          <w:cantSplit w:val="true"/>
        </w:trPr>
        <w:tc>
          <w:tcPr>
            <w:tcW w:w="3190" w:type="dxa"/>
            <w:shd w:val="clear" w:color="auto" w:fill="EAF3FA"/>
          </w:tcPr>
          <w:p>
            <w:pPr>
              <w:pStyle w:val="Compact"/>
              <w:spacing w:after="40" w:before="40"/>
              <w:jc w:val="left"/>
            </w:pPr>
            <w:r>
              <w:rPr>
                <w:rFonts w:ascii="Tahoma" w:hAnsi="Tahoma"/>
                <w:sz w:val="22"/>
              </w:rPr>
              <w:t xml:space="preserve">1. Laptops bought outright</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Not recoverable: £16,000 (goods)</w:t>
            </w:r>
          </w:p>
        </w:tc>
      </w:tr>
      <w:tr>
        <w:trPr>
          <w:cantSplit w:val="true"/>
        </w:trPr>
        <w:tc>
          <w:tcPr>
            <w:tcW w:w="3190" w:type="dxa"/>
            <w:shd w:val="clear" w:color="auto" w:fill="FFFFFF"/>
          </w:tcPr>
          <w:p>
            <w:pPr>
              <w:pStyle w:val="Compact"/>
              <w:spacing w:after="40" w:before="40"/>
              <w:jc w:val="left"/>
            </w:pPr>
            <w:r>
              <w:rPr>
                <w:rFonts w:ascii="Tahoma" w:hAnsi="Tahoma"/>
                <w:sz w:val="22"/>
              </w:rPr>
              <w:t xml:space="preserve">2. Laptops within a managed IT service</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Recoverable: £30,000 (Heading 14), check first</w:t>
            </w:r>
          </w:p>
        </w:tc>
      </w:tr>
      <w:tr>
        <w:trPr>
          <w:cantSplit w:val="true"/>
        </w:trPr>
        <w:tc>
          <w:tcPr>
            <w:tcW w:w="3190" w:type="dxa"/>
            <w:shd w:val="clear" w:color="auto" w:fill="FBEAF1"/>
          </w:tcPr>
          <w:p>
            <w:pPr>
              <w:pStyle w:val="Compact"/>
              <w:spacing w:after="40" w:before="40"/>
              <w:jc w:val="left"/>
            </w:pPr>
            <w:r>
              <w:rPr>
                <w:rFonts w:ascii="Tahoma" w:hAnsi="Tahoma"/>
                <w:sz w:val="22"/>
              </w:rPr>
              <w:t xml:space="preserve">3. Off-the-shelf software licences</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Partly recoverable: £400 of £4,000</w:t>
            </w:r>
          </w:p>
        </w:tc>
      </w:tr>
      <w:tr>
        <w:trPr>
          <w:cantSplit w:val="true"/>
        </w:trPr>
        <w:tc>
          <w:tcPr>
            <w:tcW w:w="3190" w:type="dxa"/>
            <w:shd w:val="clear" w:color="auto" w:fill="EAF3FA"/>
          </w:tcPr>
          <w:p>
            <w:pPr>
              <w:pStyle w:val="Compact"/>
              <w:spacing w:after="40" w:before="40"/>
              <w:jc w:val="left"/>
            </w:pPr>
            <w:r>
              <w:rPr>
                <w:rFonts w:ascii="Tahoma" w:hAnsi="Tahoma"/>
                <w:sz w:val="22"/>
              </w:rPr>
              <w:t xml:space="preserve">4. Mobile handsets and airtime</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Not recoverable: £4,200</w:t>
            </w:r>
          </w:p>
        </w:tc>
      </w:tr>
      <w:tr>
        <w:trPr>
          <w:cantSplit w:val="true"/>
        </w:trPr>
        <w:tc>
          <w:tcPr>
            <w:tcW w:w="3190" w:type="dxa"/>
            <w:shd w:val="clear" w:color="auto" w:fill="FFFFFF"/>
          </w:tcPr>
          <w:p>
            <w:pPr>
              <w:pStyle w:val="Compact"/>
              <w:spacing w:after="40" w:before="40"/>
              <w:jc w:val="left"/>
            </w:pPr>
            <w:r>
              <w:rPr>
                <w:rFonts w:ascii="Tahoma" w:hAnsi="Tahoma"/>
                <w:sz w:val="22"/>
              </w:rPr>
              <w:t xml:space="preserve">5. Mobile handsets (reverse charge)</w:t>
            </w:r>
          </w:p>
        </w:tc>
        <w:tc>
          <w:tcPr>
            <w:tcW w:w="2233" w:type="dxa"/>
            <w:shd w:val="clear" w:color="auto" w:fill="FFFFFF"/>
          </w:tcPr>
          <w:p>
            <w:pPr>
              <w:pStyle w:val="Compact"/>
              <w:spacing w:after="40" w:before="40"/>
              <w:jc w:val="left"/>
            </w:pPr>
            <w:r>
              <w:rPr>
                <w:rFonts w:ascii="Tahoma" w:hAnsi="Tahoma"/>
                <w:sz w:val="22"/>
              </w:rPr>
              <w:t xml:space="preserve">Business</w:t>
            </w:r>
          </w:p>
        </w:tc>
        <w:tc>
          <w:tcPr>
            <w:tcW w:w="3601" w:type="dxa"/>
            <w:shd w:val="clear" w:color="auto" w:fill="FFFFFF"/>
          </w:tcPr>
          <w:p>
            <w:pPr>
              <w:pStyle w:val="Compact"/>
              <w:spacing w:after="40" w:before="40"/>
              <w:jc w:val="left"/>
            </w:pPr>
            <w:r>
              <w:rPr>
                <w:rFonts w:ascii="Tahoma" w:hAnsi="Tahoma"/>
                <w:sz w:val="22"/>
              </w:rPr>
              <w:t xml:space="preserve">Recoverable: £1,600</w:t>
            </w:r>
          </w:p>
        </w:tc>
      </w:tr>
      <w:tr>
        <w:trPr>
          <w:cantSplit w:val="true"/>
        </w:trPr>
        <w:tc>
          <w:tcPr>
            <w:tcW w:w="3190" w:type="dxa"/>
            <w:shd w:val="clear" w:color="auto" w:fill="FBEAF1"/>
          </w:tcPr>
          <w:p>
            <w:pPr>
              <w:pStyle w:val="Compact"/>
              <w:spacing w:after="40" w:before="40"/>
              <w:jc w:val="left"/>
            </w:pPr>
            <w:r>
              <w:rPr>
                <w:rFonts w:ascii="Tahoma" w:hAnsi="Tahoma"/>
                <w:sz w:val="22"/>
              </w:rPr>
              <w:t xml:space="preserve">6. Photocopier bought outright</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Not recoverable: £1,200</w:t>
            </w:r>
          </w:p>
        </w:tc>
      </w:tr>
      <w:tr>
        <w:trPr>
          <w:cantSplit w:val="true"/>
        </w:trPr>
        <w:tc>
          <w:tcPr>
            <w:tcW w:w="3190" w:type="dxa"/>
            <w:shd w:val="clear" w:color="auto" w:fill="EAF3FA"/>
          </w:tcPr>
          <w:p>
            <w:pPr>
              <w:pStyle w:val="Compact"/>
              <w:spacing w:after="40" w:before="40"/>
              <w:jc w:val="left"/>
            </w:pPr>
            <w:r>
              <w:rPr>
                <w:rFonts w:ascii="Tahoma" w:hAnsi="Tahoma"/>
                <w:sz w:val="22"/>
              </w:rPr>
              <w:t xml:space="preserve">7. Photocopier hired with maintenance</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Recoverable: £600 (Heading 25); toner £40 not</w:t>
            </w:r>
          </w:p>
        </w:tc>
      </w:tr>
      <w:tr>
        <w:trPr>
          <w:cantSplit w:val="true"/>
        </w:trPr>
        <w:tc>
          <w:tcPr>
            <w:tcW w:w="3190" w:type="dxa"/>
            <w:shd w:val="clear" w:color="auto" w:fill="FFFFFF"/>
          </w:tcPr>
          <w:p>
            <w:pPr>
              <w:pStyle w:val="Compact"/>
              <w:spacing w:after="40" w:before="40"/>
              <w:jc w:val="left"/>
            </w:pPr>
            <w:r>
              <w:rPr>
                <w:rFonts w:ascii="Tahoma" w:hAnsi="Tahoma"/>
                <w:sz w:val="22"/>
              </w:rPr>
              <w:t xml:space="preserve">8. Spare parts: contracted repair vs stock</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Recoverable: £230 (Heading 37); stock £300 not</w:t>
            </w:r>
          </w:p>
        </w:tc>
      </w:tr>
      <w:tr>
        <w:trPr>
          <w:cantSplit w:val="true"/>
        </w:trPr>
        <w:tc>
          <w:tcPr>
            <w:tcW w:w="3190" w:type="dxa"/>
            <w:shd w:val="clear" w:color="auto" w:fill="FBEAF1"/>
          </w:tcPr>
          <w:p>
            <w:pPr>
              <w:pStyle w:val="Compact"/>
              <w:spacing w:after="40" w:before="40"/>
              <w:jc w:val="left"/>
            </w:pPr>
            <w:r>
              <w:rPr>
                <w:rFonts w:ascii="Tahoma" w:hAnsi="Tahoma"/>
                <w:sz w:val="22"/>
              </w:rPr>
              <w:t xml:space="preserve">9. Office furniture and an office move</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Furniture £2,400 not; move £600 recoverable</w:t>
            </w:r>
          </w:p>
        </w:tc>
      </w:tr>
      <w:tr>
        <w:trPr>
          <w:cantSplit w:val="true"/>
        </w:trPr>
        <w:tc>
          <w:tcPr>
            <w:tcW w:w="3190" w:type="dxa"/>
            <w:shd w:val="clear" w:color="auto" w:fill="EAF3FA"/>
          </w:tcPr>
          <w:p>
            <w:pPr>
              <w:pStyle w:val="Compact"/>
              <w:spacing w:after="40" w:before="40"/>
              <w:jc w:val="left"/>
            </w:pPr>
            <w:r>
              <w:rPr>
                <w:rFonts w:ascii="Tahoma" w:hAnsi="Tahoma"/>
                <w:sz w:val="22"/>
              </w:rPr>
              <w:t xml:space="preserve">10. CCTV bought vs security service</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Bought £1,600 not; service £8,000 recoverable</w:t>
            </w:r>
          </w:p>
        </w:tc>
      </w:tr>
      <w:tr>
        <w:trPr>
          <w:cantSplit w:val="true"/>
        </w:trPr>
        <w:tc>
          <w:tcPr>
            <w:tcW w:w="3190" w:type="dxa"/>
            <w:shd w:val="clear" w:color="auto" w:fill="FFFFFF"/>
          </w:tcPr>
          <w:p>
            <w:pPr>
              <w:pStyle w:val="Compact"/>
              <w:spacing w:after="40" w:before="40"/>
              <w:jc w:val="left"/>
            </w:pPr>
            <w:r>
              <w:rPr>
                <w:rFonts w:ascii="Tahoma" w:hAnsi="Tahoma"/>
                <w:sz w:val="22"/>
              </w:rPr>
              <w:t xml:space="preserve">11. Laptops</w:t>
            </w:r>
          </w:p>
        </w:tc>
        <w:tc>
          <w:tcPr>
            <w:tcW w:w="2233" w:type="dxa"/>
            <w:shd w:val="clear" w:color="auto" w:fill="FFFFFF"/>
          </w:tcPr>
          <w:p>
            <w:pPr>
              <w:pStyle w:val="Compact"/>
              <w:spacing w:after="40" w:before="40"/>
              <w:jc w:val="left"/>
            </w:pPr>
            <w:r>
              <w:rPr>
                <w:rFonts w:ascii="Tahoma" w:hAnsi="Tahoma"/>
                <w:sz w:val="22"/>
              </w:rPr>
              <w:t xml:space="preserve">Local authority</w:t>
            </w:r>
          </w:p>
        </w:tc>
        <w:tc>
          <w:tcPr>
            <w:tcW w:w="3601" w:type="dxa"/>
            <w:shd w:val="clear" w:color="auto" w:fill="FFFFFF"/>
          </w:tcPr>
          <w:p>
            <w:pPr>
              <w:pStyle w:val="Compact"/>
              <w:spacing w:after="40" w:before="40"/>
              <w:jc w:val="left"/>
            </w:pPr>
            <w:r>
              <w:rPr>
                <w:rFonts w:ascii="Tahoma" w:hAnsi="Tahoma"/>
                <w:sz w:val="22"/>
              </w:rPr>
              <w:t xml:space="preserve">Recoverable: £16,000 (section 33)</w:t>
            </w:r>
          </w:p>
        </w:tc>
      </w:tr>
      <w:tr>
        <w:trPr>
          <w:cantSplit w:val="true"/>
        </w:trPr>
        <w:tc>
          <w:tcPr>
            <w:tcW w:w="3190" w:type="dxa"/>
            <w:shd w:val="clear" w:color="auto" w:fill="FBEAF1"/>
          </w:tcPr>
          <w:p>
            <w:pPr>
              <w:pStyle w:val="Compact"/>
              <w:spacing w:after="40" w:before="40"/>
              <w:jc w:val="left"/>
            </w:pPr>
            <w:r>
              <w:rPr>
                <w:rFonts w:ascii="Tahoma" w:hAnsi="Tahoma"/>
                <w:sz w:val="22"/>
              </w:rPr>
              <w:t xml:space="preserve">12. Laptops</w:t>
            </w:r>
          </w:p>
        </w:tc>
        <w:tc>
          <w:tcPr>
            <w:tcW w:w="2233" w:type="dxa"/>
            <w:shd w:val="clear" w:color="auto" w:fill="FBEAF1"/>
          </w:tcPr>
          <w:p>
            <w:pPr>
              <w:pStyle w:val="Compact"/>
              <w:spacing w:after="40" w:before="40"/>
              <w:jc w:val="left"/>
            </w:pPr>
            <w:r>
              <w:rPr>
                <w:rFonts w:ascii="Tahoma" w:hAnsi="Tahoma"/>
                <w:sz w:val="22"/>
              </w:rPr>
              <w:t xml:space="preserve">Business</w:t>
            </w:r>
          </w:p>
        </w:tc>
        <w:tc>
          <w:tcPr>
            <w:tcW w:w="3601" w:type="dxa"/>
            <w:shd w:val="clear" w:color="auto" w:fill="FBEAF1"/>
          </w:tcPr>
          <w:p>
            <w:pPr>
              <w:pStyle w:val="Compact"/>
              <w:spacing w:after="40" w:before="40"/>
              <w:jc w:val="left"/>
            </w:pPr>
            <w:r>
              <w:rPr>
                <w:rFonts w:ascii="Tahoma" w:hAnsi="Tahoma"/>
                <w:sz w:val="22"/>
              </w:rPr>
              <w:t xml:space="preserve">Recoverable: £16,000 (input tax)</w:t>
            </w:r>
          </w:p>
        </w:tc>
      </w:tr>
      <w:tr>
        <w:trPr>
          <w:cantSplit w:val="true"/>
        </w:trPr>
        <w:tc>
          <w:tcPr>
            <w:tcW w:w="3190" w:type="dxa"/>
            <w:shd w:val="clear" w:color="auto" w:fill="EAF3FA"/>
          </w:tcPr>
          <w:p>
            <w:pPr>
              <w:pStyle w:val="Compact"/>
              <w:spacing w:after="40" w:before="40"/>
              <w:jc w:val="left"/>
            </w:pPr>
            <w:r>
              <w:rPr>
                <w:rFonts w:ascii="Tahoma" w:hAnsi="Tahoma"/>
                <w:sz w:val="22"/>
              </w:rPr>
              <w:t xml:space="preserve">13. Pool car bought outright</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Not recoverable: £5,000</w:t>
            </w:r>
          </w:p>
        </w:tc>
      </w:tr>
      <w:tr>
        <w:trPr>
          <w:cantSplit w:val="true"/>
        </w:trPr>
        <w:tc>
          <w:tcPr>
            <w:tcW w:w="3190" w:type="dxa"/>
            <w:shd w:val="clear" w:color="auto" w:fill="FFFFFF"/>
          </w:tcPr>
          <w:p>
            <w:pPr>
              <w:pStyle w:val="Compact"/>
              <w:spacing w:after="40" w:before="40"/>
              <w:jc w:val="left"/>
            </w:pPr>
            <w:r>
              <w:rPr>
                <w:rFonts w:ascii="Tahoma" w:hAnsi="Tahoma"/>
                <w:sz w:val="22"/>
              </w:rPr>
              <w:t xml:space="preserve">14. Car leased with maintenance</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Recoverable: £1,080 a year (Heading 26)</w:t>
            </w:r>
          </w:p>
        </w:tc>
      </w:tr>
      <w:tr>
        <w:trPr>
          <w:cantSplit w:val="true"/>
        </w:trPr>
        <w:tc>
          <w:tcPr>
            <w:tcW w:w="3190" w:type="dxa"/>
            <w:shd w:val="clear" w:color="auto" w:fill="FBEAF1"/>
          </w:tcPr>
          <w:p>
            <w:pPr>
              <w:pStyle w:val="Compact"/>
              <w:spacing w:after="40" w:before="40"/>
              <w:jc w:val="left"/>
            </w:pPr>
            <w:r>
              <w:rPr>
                <w:rFonts w:ascii="Tahoma" w:hAnsi="Tahoma"/>
                <w:sz w:val="22"/>
              </w:rPr>
              <w:t xml:space="preserve">15. Van hired for 10 days</w:t>
            </w:r>
          </w:p>
        </w:tc>
        <w:tc>
          <w:tcPr>
            <w:tcW w:w="2233" w:type="dxa"/>
            <w:shd w:val="clear" w:color="auto" w:fill="FBEAF1"/>
          </w:tcPr>
          <w:p>
            <w:pPr>
              <w:pStyle w:val="Compact"/>
              <w:spacing w:after="40" w:before="40"/>
              <w:jc w:val="left"/>
            </w:pPr>
            <w:r>
              <w:rPr>
                <w:rFonts w:ascii="Tahoma" w:hAnsi="Tahoma"/>
                <w:sz w:val="22"/>
              </w:rPr>
              <w:t xml:space="preserve">Another department</w:t>
            </w:r>
          </w:p>
        </w:tc>
        <w:tc>
          <w:tcPr>
            <w:tcW w:w="3601" w:type="dxa"/>
            <w:shd w:val="clear" w:color="auto" w:fill="FBEAF1"/>
          </w:tcPr>
          <w:p>
            <w:pPr>
              <w:pStyle w:val="Compact"/>
              <w:spacing w:after="40" w:before="40"/>
              <w:jc w:val="left"/>
            </w:pPr>
            <w:r>
              <w:rPr>
                <w:rFonts w:ascii="Tahoma" w:hAnsi="Tahoma"/>
                <w:sz w:val="22"/>
              </w:rPr>
              <w:t xml:space="preserve">Not recoverable: £120</w:t>
            </w:r>
          </w:p>
        </w:tc>
      </w:tr>
      <w:tr>
        <w:trPr>
          <w:cantSplit w:val="true"/>
        </w:trPr>
        <w:tc>
          <w:tcPr>
            <w:tcW w:w="3190" w:type="dxa"/>
            <w:shd w:val="clear" w:color="auto" w:fill="EAF3FA"/>
          </w:tcPr>
          <w:p>
            <w:pPr>
              <w:pStyle w:val="Compact"/>
              <w:spacing w:after="40" w:before="40"/>
              <w:jc w:val="left"/>
            </w:pPr>
            <w:r>
              <w:rPr>
                <w:rFonts w:ascii="Tahoma" w:hAnsi="Tahoma"/>
                <w:sz w:val="22"/>
              </w:rPr>
              <w:t xml:space="preserve">16. Car bought</w:t>
            </w:r>
          </w:p>
        </w:tc>
        <w:tc>
          <w:tcPr>
            <w:tcW w:w="2233" w:type="dxa"/>
            <w:shd w:val="clear" w:color="auto" w:fill="EAF3FA"/>
          </w:tcPr>
          <w:p>
            <w:pPr>
              <w:pStyle w:val="Compact"/>
              <w:spacing w:after="40" w:before="40"/>
              <w:jc w:val="left"/>
            </w:pPr>
            <w:r>
              <w:rPr>
                <w:rFonts w:ascii="Tahoma" w:hAnsi="Tahoma"/>
                <w:sz w:val="22"/>
              </w:rPr>
              <w:t xml:space="preserve">Business</w:t>
            </w:r>
          </w:p>
        </w:tc>
        <w:tc>
          <w:tcPr>
            <w:tcW w:w="3601" w:type="dxa"/>
            <w:shd w:val="clear" w:color="auto" w:fill="EAF3FA"/>
          </w:tcPr>
          <w:p>
            <w:pPr>
              <w:pStyle w:val="Compact"/>
              <w:spacing w:after="40" w:before="40"/>
              <w:jc w:val="left"/>
            </w:pPr>
            <w:r>
              <w:rPr>
                <w:rFonts w:ascii="Tahoma" w:hAnsi="Tahoma"/>
                <w:sz w:val="22"/>
              </w:rPr>
              <w:t xml:space="preserve">Not recoverable: £5,000 (blocked)</w:t>
            </w:r>
          </w:p>
        </w:tc>
      </w:tr>
      <w:tr>
        <w:trPr>
          <w:cantSplit w:val="true"/>
        </w:trPr>
        <w:tc>
          <w:tcPr>
            <w:tcW w:w="3190" w:type="dxa"/>
            <w:shd w:val="clear" w:color="auto" w:fill="FFFFFF"/>
          </w:tcPr>
          <w:p>
            <w:pPr>
              <w:pStyle w:val="Compact"/>
              <w:spacing w:after="40" w:before="40"/>
              <w:jc w:val="left"/>
            </w:pPr>
            <w:r>
              <w:rPr>
                <w:rFonts w:ascii="Tahoma" w:hAnsi="Tahoma"/>
                <w:sz w:val="22"/>
              </w:rPr>
              <w:t xml:space="preserve">17. Car leased with maintenance</w:t>
            </w:r>
          </w:p>
        </w:tc>
        <w:tc>
          <w:tcPr>
            <w:tcW w:w="2233" w:type="dxa"/>
            <w:shd w:val="clear" w:color="auto" w:fill="FFFFFF"/>
          </w:tcPr>
          <w:p>
            <w:pPr>
              <w:pStyle w:val="Compact"/>
              <w:spacing w:after="40" w:before="40"/>
              <w:jc w:val="left"/>
            </w:pPr>
            <w:r>
              <w:rPr>
                <w:rFonts w:ascii="Tahoma" w:hAnsi="Tahoma"/>
                <w:sz w:val="22"/>
              </w:rPr>
              <w:t xml:space="preserve">Business</w:t>
            </w:r>
          </w:p>
        </w:tc>
        <w:tc>
          <w:tcPr>
            <w:tcW w:w="3601" w:type="dxa"/>
            <w:shd w:val="clear" w:color="auto" w:fill="FFFFFF"/>
          </w:tcPr>
          <w:p>
            <w:pPr>
              <w:pStyle w:val="Compact"/>
              <w:spacing w:after="40" w:before="40"/>
              <w:jc w:val="left"/>
            </w:pPr>
            <w:r>
              <w:rPr>
                <w:rFonts w:ascii="Tahoma" w:hAnsi="Tahoma"/>
                <w:sz w:val="22"/>
              </w:rPr>
              <w:t xml:space="preserve">Partly recoverable: £600 of £1,080 a year</w:t>
            </w:r>
          </w:p>
        </w:tc>
      </w:tr>
      <w:tr>
        <w:trPr>
          <w:cantSplit w:val="true"/>
        </w:trPr>
        <w:tc>
          <w:tcPr>
            <w:tcW w:w="3190" w:type="dxa"/>
            <w:shd w:val="clear" w:color="auto" w:fill="FBEAF1"/>
          </w:tcPr>
          <w:p>
            <w:pPr>
              <w:pStyle w:val="Compact"/>
              <w:spacing w:after="40" w:before="40"/>
              <w:jc w:val="left"/>
            </w:pPr>
            <w:r>
              <w:rPr>
                <w:rFonts w:ascii="Tahoma" w:hAnsi="Tahoma"/>
                <w:sz w:val="22"/>
              </w:rPr>
              <w:t xml:space="preserve">18. Road fuel</w:t>
            </w:r>
          </w:p>
        </w:tc>
        <w:tc>
          <w:tcPr>
            <w:tcW w:w="2233" w:type="dxa"/>
            <w:shd w:val="clear" w:color="auto" w:fill="FBEAF1"/>
          </w:tcPr>
          <w:p>
            <w:pPr>
              <w:pStyle w:val="Compact"/>
              <w:spacing w:after="40" w:before="40"/>
              <w:jc w:val="left"/>
            </w:pPr>
            <w:r>
              <w:rPr>
                <w:rFonts w:ascii="Tahoma" w:hAnsi="Tahoma"/>
                <w:sz w:val="22"/>
              </w:rPr>
              <w:t xml:space="preserve">The Department and a business</w:t>
            </w:r>
          </w:p>
        </w:tc>
        <w:tc>
          <w:tcPr>
            <w:tcW w:w="3601" w:type="dxa"/>
            <w:shd w:val="clear" w:color="auto" w:fill="FBEAF1"/>
          </w:tcPr>
          <w:p>
            <w:pPr>
              <w:pStyle w:val="Compact"/>
              <w:spacing w:after="40" w:before="40"/>
              <w:jc w:val="left"/>
            </w:pPr>
            <w:r>
              <w:rPr>
                <w:rFonts w:ascii="Tahoma" w:hAnsi="Tahoma"/>
                <w:sz w:val="22"/>
              </w:rPr>
              <w:t xml:space="preserve">Department £1,000 not; business recoverable</w:t>
            </w:r>
          </w:p>
        </w:tc>
      </w:tr>
      <w:tr>
        <w:trPr>
          <w:cantSplit w:val="true"/>
        </w:trPr>
        <w:tc>
          <w:tcPr>
            <w:tcW w:w="3190" w:type="dxa"/>
            <w:shd w:val="clear" w:color="auto" w:fill="EAF3FA"/>
          </w:tcPr>
          <w:p>
            <w:pPr>
              <w:pStyle w:val="Compact"/>
              <w:spacing w:after="40" w:before="40"/>
              <w:jc w:val="left"/>
            </w:pPr>
            <w:r>
              <w:rPr>
                <w:rFonts w:ascii="Tahoma" w:hAnsi="Tahoma"/>
                <w:sz w:val="22"/>
              </w:rPr>
              <w:t xml:space="preserve">19. Vehicle service with parts</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Recoverable: £140 (Heading 37); spare tyres £80 not</w:t>
            </w:r>
          </w:p>
        </w:tc>
      </w:tr>
      <w:tr>
        <w:trPr>
          <w:cantSplit w:val="true"/>
        </w:trPr>
        <w:tc>
          <w:tcPr>
            <w:tcW w:w="3190" w:type="dxa"/>
            <w:shd w:val="clear" w:color="auto" w:fill="FFFFFF"/>
          </w:tcPr>
          <w:p>
            <w:pPr>
              <w:pStyle w:val="Compact"/>
              <w:spacing w:after="40" w:before="40"/>
              <w:jc w:val="left"/>
            </w:pPr>
            <w:r>
              <w:rPr>
                <w:rFonts w:ascii="Tahoma" w:hAnsi="Tahoma"/>
                <w:sz w:val="22"/>
              </w:rPr>
              <w:t xml:space="preserve">20. Office rent (landlord opted to tax)</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Not recoverable: £46,000 a year</w:t>
            </w:r>
          </w:p>
        </w:tc>
      </w:tr>
      <w:tr>
        <w:trPr>
          <w:cantSplit w:val="true"/>
        </w:trPr>
        <w:tc>
          <w:tcPr>
            <w:tcW w:w="3190" w:type="dxa"/>
            <w:shd w:val="clear" w:color="auto" w:fill="FBEAF1"/>
          </w:tcPr>
          <w:p>
            <w:pPr>
              <w:pStyle w:val="Compact"/>
              <w:spacing w:after="40" w:before="40"/>
              <w:jc w:val="left"/>
            </w:pPr>
            <w:r>
              <w:rPr>
                <w:rFonts w:ascii="Tahoma" w:hAnsi="Tahoma"/>
                <w:sz w:val="22"/>
              </w:rPr>
              <w:t xml:space="preserve">21. Buying an office building</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New building £1,000,000 not; older building no VAT</w:t>
            </w:r>
          </w:p>
        </w:tc>
      </w:tr>
      <w:tr>
        <w:trPr>
          <w:cantSplit w:val="true"/>
        </w:trPr>
        <w:tc>
          <w:tcPr>
            <w:tcW w:w="3190" w:type="dxa"/>
            <w:shd w:val="clear" w:color="auto" w:fill="EAF3FA"/>
          </w:tcPr>
          <w:p>
            <w:pPr>
              <w:pStyle w:val="Compact"/>
              <w:spacing w:after="40" w:before="40"/>
              <w:jc w:val="left"/>
            </w:pPr>
            <w:r>
              <w:rPr>
                <w:rFonts w:ascii="Tahoma" w:hAnsi="Tahoma"/>
                <w:sz w:val="22"/>
              </w:rPr>
              <w:t xml:space="preserve">22. New office construction</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Not recoverable: £600,000</w:t>
            </w:r>
          </w:p>
        </w:tc>
      </w:tr>
      <w:tr>
        <w:trPr>
          <w:cantSplit w:val="true"/>
        </w:trPr>
        <w:tc>
          <w:tcPr>
            <w:tcW w:w="3190" w:type="dxa"/>
            <w:shd w:val="clear" w:color="auto" w:fill="FFFFFF"/>
          </w:tcPr>
          <w:p>
            <w:pPr>
              <w:pStyle w:val="Compact"/>
              <w:spacing w:after="40" w:before="40"/>
              <w:jc w:val="left"/>
            </w:pPr>
            <w:r>
              <w:rPr>
                <w:rFonts w:ascii="Tahoma" w:hAnsi="Tahoma"/>
                <w:sz w:val="22"/>
              </w:rPr>
              <w:t xml:space="preserve">23. Redecorating and re-carpeting</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Recoverable: £6,000 (Heading 35); upgrade £1,600 not</w:t>
            </w:r>
          </w:p>
        </w:tc>
      </w:tr>
      <w:tr>
        <w:trPr>
          <w:cantSplit w:val="true"/>
        </w:trPr>
        <w:tc>
          <w:tcPr>
            <w:tcW w:w="3190" w:type="dxa"/>
            <w:shd w:val="clear" w:color="auto" w:fill="FBEAF1"/>
          </w:tcPr>
          <w:p>
            <w:pPr>
              <w:pStyle w:val="Compact"/>
              <w:spacing w:after="40" w:before="40"/>
              <w:jc w:val="left"/>
            </w:pPr>
            <w:r>
              <w:rPr>
                <w:rFonts w:ascii="Tahoma" w:hAnsi="Tahoma"/>
                <w:sz w:val="22"/>
              </w:rPr>
              <w:t xml:space="preserve">24. Boiler repair vs replacement</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Repair £500 recoverable; replacement £3,000 not</w:t>
            </w:r>
          </w:p>
        </w:tc>
      </w:tr>
      <w:tr>
        <w:trPr>
          <w:cantSplit w:val="true"/>
        </w:trPr>
        <w:tc>
          <w:tcPr>
            <w:tcW w:w="3190" w:type="dxa"/>
            <w:shd w:val="clear" w:color="auto" w:fill="EAF3FA"/>
          </w:tcPr>
          <w:p>
            <w:pPr>
              <w:pStyle w:val="Compact"/>
              <w:spacing w:after="40" w:before="40"/>
              <w:jc w:val="left"/>
            </w:pPr>
            <w:r>
              <w:rPr>
                <w:rFonts w:ascii="Tahoma" w:hAnsi="Tahoma"/>
                <w:sz w:val="22"/>
              </w:rPr>
              <w:t xml:space="preserve">25. Ward refurbishment (banding)</w:t>
            </w:r>
          </w:p>
        </w:tc>
        <w:tc>
          <w:tcPr>
            <w:tcW w:w="2233" w:type="dxa"/>
            <w:shd w:val="clear" w:color="auto" w:fill="EAF3FA"/>
          </w:tcPr>
          <w:p>
            <w:pPr>
              <w:pStyle w:val="Compact"/>
              <w:spacing w:after="40" w:before="40"/>
              <w:jc w:val="left"/>
            </w:pPr>
            <w:r>
              <w:rPr>
                <w:rFonts w:ascii="Tahoma" w:hAnsi="Tahoma"/>
                <w:sz w:val="22"/>
              </w:rPr>
              <w:t xml:space="preserve">NHS trust</w:t>
            </w:r>
          </w:p>
        </w:tc>
        <w:tc>
          <w:tcPr>
            <w:tcW w:w="3601" w:type="dxa"/>
            <w:shd w:val="clear" w:color="auto" w:fill="EAF3FA"/>
          </w:tcPr>
          <w:p>
            <w:pPr>
              <w:pStyle w:val="Compact"/>
              <w:spacing w:after="40" w:before="40"/>
              <w:jc w:val="left"/>
            </w:pPr>
            <w:r>
              <w:rPr>
                <w:rFonts w:ascii="Tahoma" w:hAnsi="Tahoma"/>
                <w:sz w:val="22"/>
              </w:rPr>
              <w:t xml:space="preserve">Partly recoverable: £60,000 of £80,000</w:t>
            </w:r>
          </w:p>
        </w:tc>
      </w:tr>
      <w:tr>
        <w:trPr>
          <w:cantSplit w:val="true"/>
        </w:trPr>
        <w:tc>
          <w:tcPr>
            <w:tcW w:w="3190" w:type="dxa"/>
            <w:shd w:val="clear" w:color="auto" w:fill="FFFFFF"/>
          </w:tcPr>
          <w:p>
            <w:pPr>
              <w:pStyle w:val="Compact"/>
              <w:spacing w:after="40" w:before="40"/>
              <w:jc w:val="left"/>
            </w:pPr>
            <w:r>
              <w:rPr>
                <w:rFonts w:ascii="Tahoma" w:hAnsi="Tahoma"/>
                <w:sz w:val="22"/>
              </w:rPr>
              <w:t xml:space="preserve">26. Cleaning contract vs materials</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Contract £12,000 recoverable; materials £400 not</w:t>
            </w:r>
          </w:p>
        </w:tc>
      </w:tr>
      <w:tr>
        <w:trPr>
          <w:cantSplit w:val="true"/>
        </w:trPr>
        <w:tc>
          <w:tcPr>
            <w:tcW w:w="3190" w:type="dxa"/>
            <w:shd w:val="clear" w:color="auto" w:fill="FBEAF1"/>
          </w:tcPr>
          <w:p>
            <w:pPr>
              <w:pStyle w:val="Compact"/>
              <w:spacing w:after="40" w:before="40"/>
              <w:jc w:val="left"/>
            </w:pPr>
            <w:r>
              <w:rPr>
                <w:rFonts w:ascii="Tahoma" w:hAnsi="Tahoma"/>
                <w:sz w:val="22"/>
              </w:rPr>
              <w:t xml:space="preserve">27. Paper vs printed letterheads</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Paper £500 not; letterheads £300 recoverable</w:t>
            </w:r>
          </w:p>
        </w:tc>
      </w:tr>
      <w:tr>
        <w:trPr>
          <w:cantSplit w:val="true"/>
        </w:trPr>
        <w:tc>
          <w:tcPr>
            <w:tcW w:w="3190" w:type="dxa"/>
            <w:shd w:val="clear" w:color="auto" w:fill="EAF3FA"/>
          </w:tcPr>
          <w:p>
            <w:pPr>
              <w:pStyle w:val="Compact"/>
              <w:spacing w:after="40" w:before="40"/>
              <w:jc w:val="left"/>
            </w:pPr>
            <w:r>
              <w:rPr>
                <w:rFonts w:ascii="Tahoma" w:hAnsi="Tahoma"/>
                <w:sz w:val="22"/>
              </w:rPr>
              <w:t xml:space="preserve">28. Annual report design and printing</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Design £1,200 recoverable; printing zero-rated</w:t>
            </w:r>
          </w:p>
        </w:tc>
      </w:tr>
      <w:tr>
        <w:trPr>
          <w:cantSplit w:val="true"/>
        </w:trPr>
        <w:tc>
          <w:tcPr>
            <w:tcW w:w="3190" w:type="dxa"/>
            <w:shd w:val="clear" w:color="auto" w:fill="FFFFFF"/>
          </w:tcPr>
          <w:p>
            <w:pPr>
              <w:pStyle w:val="Compact"/>
              <w:spacing w:after="40" w:before="40"/>
              <w:jc w:val="left"/>
            </w:pPr>
            <w:r>
              <w:rPr>
                <w:rFonts w:ascii="Tahoma" w:hAnsi="Tahoma"/>
                <w:sz w:val="22"/>
              </w:rPr>
              <w:t xml:space="preserve">29. Books, e-journals and stationery</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Books zero-rated; stationery £100 not</w:t>
            </w:r>
          </w:p>
        </w:tc>
      </w:tr>
      <w:tr>
        <w:trPr>
          <w:cantSplit w:val="true"/>
        </w:trPr>
        <w:tc>
          <w:tcPr>
            <w:tcW w:w="3190" w:type="dxa"/>
            <w:shd w:val="clear" w:color="auto" w:fill="FBEAF1"/>
          </w:tcPr>
          <w:p>
            <w:pPr>
              <w:pStyle w:val="Compact"/>
              <w:spacing w:after="40" w:before="40"/>
              <w:jc w:val="left"/>
            </w:pPr>
            <w:r>
              <w:rPr>
                <w:rFonts w:ascii="Tahoma" w:hAnsi="Tahoma"/>
                <w:sz w:val="22"/>
              </w:rPr>
              <w:t xml:space="preserve">30. Promotional mugs vs publicity</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Mugs £400 not; campaign £6,000 recoverable</w:t>
            </w:r>
          </w:p>
        </w:tc>
      </w:tr>
      <w:tr>
        <w:trPr>
          <w:cantSplit w:val="true"/>
        </w:trPr>
        <w:tc>
          <w:tcPr>
            <w:tcW w:w="3190" w:type="dxa"/>
            <w:shd w:val="clear" w:color="auto" w:fill="EAF3FA"/>
          </w:tcPr>
          <w:p>
            <w:pPr>
              <w:pStyle w:val="Compact"/>
              <w:spacing w:after="40" w:before="40"/>
              <w:jc w:val="left"/>
            </w:pPr>
            <w:r>
              <w:rPr>
                <w:rFonts w:ascii="Tahoma" w:hAnsi="Tahoma"/>
                <w:sz w:val="22"/>
              </w:rPr>
              <w:t xml:space="preserve">31. Food for an internal meeting</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Not recoverable: £10</w:t>
            </w:r>
          </w:p>
        </w:tc>
      </w:tr>
      <w:tr>
        <w:trPr>
          <w:cantSplit w:val="true"/>
        </w:trPr>
        <w:tc>
          <w:tcPr>
            <w:tcW w:w="3190" w:type="dxa"/>
            <w:shd w:val="clear" w:color="auto" w:fill="FFFFFF"/>
          </w:tcPr>
          <w:p>
            <w:pPr>
              <w:pStyle w:val="Compact"/>
              <w:spacing w:after="40" w:before="40"/>
              <w:jc w:val="left"/>
            </w:pPr>
            <w:r>
              <w:rPr>
                <w:rFonts w:ascii="Tahoma" w:hAnsi="Tahoma"/>
                <w:sz w:val="22"/>
              </w:rPr>
              <w:t xml:space="preserve">32. Caterer for an official reception</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Recoverable: £1,000 (Heading 10)</w:t>
            </w:r>
          </w:p>
        </w:tc>
      </w:tr>
      <w:tr>
        <w:trPr>
          <w:cantSplit w:val="true"/>
        </w:trPr>
        <w:tc>
          <w:tcPr>
            <w:tcW w:w="3190" w:type="dxa"/>
            <w:shd w:val="clear" w:color="auto" w:fill="FBEAF1"/>
          </w:tcPr>
          <w:p>
            <w:pPr>
              <w:pStyle w:val="Compact"/>
              <w:spacing w:after="40" w:before="40"/>
              <w:jc w:val="left"/>
            </w:pPr>
            <w:r>
              <w:rPr>
                <w:rFonts w:ascii="Tahoma" w:hAnsi="Tahoma"/>
                <w:sz w:val="22"/>
              </w:rPr>
              <w:t xml:space="preserve">33. Staff party vs client dinner</w:t>
            </w:r>
          </w:p>
        </w:tc>
        <w:tc>
          <w:tcPr>
            <w:tcW w:w="2233" w:type="dxa"/>
            <w:shd w:val="clear" w:color="auto" w:fill="FBEAF1"/>
          </w:tcPr>
          <w:p>
            <w:pPr>
              <w:pStyle w:val="Compact"/>
              <w:spacing w:after="40" w:before="40"/>
              <w:jc w:val="left"/>
            </w:pPr>
            <w:r>
              <w:rPr>
                <w:rFonts w:ascii="Tahoma" w:hAnsi="Tahoma"/>
                <w:sz w:val="22"/>
              </w:rPr>
              <w:t xml:space="preserve">Business</w:t>
            </w:r>
          </w:p>
        </w:tc>
        <w:tc>
          <w:tcPr>
            <w:tcW w:w="3601" w:type="dxa"/>
            <w:shd w:val="clear" w:color="auto" w:fill="FBEAF1"/>
          </w:tcPr>
          <w:p>
            <w:pPr>
              <w:pStyle w:val="Compact"/>
              <w:spacing w:after="40" w:before="40"/>
              <w:jc w:val="left"/>
            </w:pPr>
            <w:r>
              <w:rPr>
                <w:rFonts w:ascii="Tahoma" w:hAnsi="Tahoma"/>
                <w:sz w:val="22"/>
              </w:rPr>
              <w:t xml:space="preserve">Partly recoverable: £600 of £800</w:t>
            </w:r>
          </w:p>
        </w:tc>
      </w:tr>
      <w:tr>
        <w:trPr>
          <w:cantSplit w:val="true"/>
        </w:trPr>
        <w:tc>
          <w:tcPr>
            <w:tcW w:w="3190" w:type="dxa"/>
            <w:shd w:val="clear" w:color="auto" w:fill="EAF3FA"/>
          </w:tcPr>
          <w:p>
            <w:pPr>
              <w:pStyle w:val="Compact"/>
              <w:spacing w:after="40" w:before="40"/>
              <w:jc w:val="left"/>
            </w:pPr>
            <w:r>
              <w:rPr>
                <w:rFonts w:ascii="Tahoma" w:hAnsi="Tahoma"/>
                <w:sz w:val="22"/>
              </w:rPr>
              <w:t xml:space="preserve">34. Uniforms vs laundry contract</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Uniforms £800 not; laundry £240 recoverable</w:t>
            </w:r>
          </w:p>
        </w:tc>
      </w:tr>
      <w:tr>
        <w:trPr>
          <w:cantSplit w:val="true"/>
        </w:trPr>
        <w:tc>
          <w:tcPr>
            <w:tcW w:w="3190" w:type="dxa"/>
            <w:shd w:val="clear" w:color="auto" w:fill="FFFFFF"/>
          </w:tcPr>
          <w:p>
            <w:pPr>
              <w:pStyle w:val="Compact"/>
              <w:spacing w:after="40" w:before="40"/>
              <w:jc w:val="left"/>
            </w:pPr>
            <w:r>
              <w:rPr>
                <w:rFonts w:ascii="Tahoma" w:hAnsi="Tahoma"/>
                <w:sz w:val="22"/>
              </w:rPr>
              <w:t xml:space="preserve">35. Safety boots</w:t>
            </w:r>
          </w:p>
        </w:tc>
        <w:tc>
          <w:tcPr>
            <w:tcW w:w="2233" w:type="dxa"/>
            <w:shd w:val="clear" w:color="auto" w:fill="FFFFFF"/>
          </w:tcPr>
          <w:p>
            <w:pPr>
              <w:pStyle w:val="Compact"/>
              <w:spacing w:after="40" w:before="40"/>
              <w:jc w:val="left"/>
            </w:pPr>
            <w:r>
              <w:rPr>
                <w:rFonts w:ascii="Tahoma" w:hAnsi="Tahoma"/>
                <w:sz w:val="22"/>
              </w:rPr>
              <w:t xml:space="preserve">The Department and a business</w:t>
            </w:r>
          </w:p>
        </w:tc>
        <w:tc>
          <w:tcPr>
            <w:tcW w:w="3601" w:type="dxa"/>
            <w:shd w:val="clear" w:color="auto" w:fill="FFFFFF"/>
          </w:tcPr>
          <w:p>
            <w:pPr>
              <w:pStyle w:val="Compact"/>
              <w:spacing w:after="40" w:before="40"/>
              <w:jc w:val="left"/>
            </w:pPr>
            <w:r>
              <w:rPr>
                <w:rFonts w:ascii="Tahoma" w:hAnsi="Tahoma"/>
                <w:sz w:val="22"/>
              </w:rPr>
              <w:t xml:space="preserve">Department £320 not; business £320 recoverable</w:t>
            </w:r>
          </w:p>
        </w:tc>
      </w:tr>
      <w:tr>
        <w:trPr>
          <w:cantSplit w:val="true"/>
        </w:trPr>
        <w:tc>
          <w:tcPr>
            <w:tcW w:w="3190" w:type="dxa"/>
            <w:shd w:val="clear" w:color="auto" w:fill="FBEAF1"/>
          </w:tcPr>
          <w:p>
            <w:pPr>
              <w:pStyle w:val="Compact"/>
              <w:spacing w:after="40" w:before="40"/>
              <w:jc w:val="left"/>
            </w:pPr>
            <w:r>
              <w:rPr>
                <w:rFonts w:ascii="Tahoma" w:hAnsi="Tahoma"/>
                <w:sz w:val="22"/>
              </w:rPr>
              <w:t xml:space="preserve">36. Ultrasound scanner</w:t>
            </w:r>
          </w:p>
        </w:tc>
        <w:tc>
          <w:tcPr>
            <w:tcW w:w="2233" w:type="dxa"/>
            <w:shd w:val="clear" w:color="auto" w:fill="FBEAF1"/>
          </w:tcPr>
          <w:p>
            <w:pPr>
              <w:pStyle w:val="Compact"/>
              <w:spacing w:after="40" w:before="40"/>
              <w:jc w:val="left"/>
            </w:pPr>
            <w:r>
              <w:rPr>
                <w:rFonts w:ascii="Tahoma" w:hAnsi="Tahoma"/>
                <w:sz w:val="22"/>
              </w:rPr>
              <w:t xml:space="preserve">NHS trust</w:t>
            </w:r>
          </w:p>
        </w:tc>
        <w:tc>
          <w:tcPr>
            <w:tcW w:w="3601" w:type="dxa"/>
            <w:shd w:val="clear" w:color="auto" w:fill="FBEAF1"/>
          </w:tcPr>
          <w:p>
            <w:pPr>
              <w:pStyle w:val="Compact"/>
              <w:spacing w:after="40" w:before="40"/>
              <w:jc w:val="left"/>
            </w:pPr>
            <w:r>
              <w:rPr>
                <w:rFonts w:ascii="Tahoma" w:hAnsi="Tahoma"/>
                <w:sz w:val="22"/>
              </w:rPr>
              <w:t xml:space="preserve">NHS funds £10,000 not; charity-funded zero-rated</w:t>
            </w:r>
          </w:p>
        </w:tc>
      </w:tr>
      <w:tr>
        <w:trPr>
          <w:cantSplit w:val="true"/>
        </w:trPr>
        <w:tc>
          <w:tcPr>
            <w:tcW w:w="3190" w:type="dxa"/>
            <w:shd w:val="clear" w:color="auto" w:fill="EAF3FA"/>
          </w:tcPr>
          <w:p>
            <w:pPr>
              <w:pStyle w:val="Compact"/>
              <w:spacing w:after="40" w:before="40"/>
              <w:jc w:val="left"/>
            </w:pPr>
            <w:r>
              <w:rPr>
                <w:rFonts w:ascii="Tahoma" w:hAnsi="Tahoma"/>
                <w:sz w:val="22"/>
              </w:rPr>
              <w:t xml:space="preserve">37. Medical equipment vs laptops</w:t>
            </w:r>
          </w:p>
        </w:tc>
        <w:tc>
          <w:tcPr>
            <w:tcW w:w="2233" w:type="dxa"/>
            <w:shd w:val="clear" w:color="auto" w:fill="EAF3FA"/>
          </w:tcPr>
          <w:p>
            <w:pPr>
              <w:pStyle w:val="Compact"/>
              <w:spacing w:after="40" w:before="40"/>
              <w:jc w:val="left"/>
            </w:pPr>
            <w:r>
              <w:rPr>
                <w:rFonts w:ascii="Tahoma" w:hAnsi="Tahoma"/>
                <w:sz w:val="22"/>
              </w:rPr>
              <w:t xml:space="preserve">Charity</w:t>
            </w:r>
          </w:p>
        </w:tc>
        <w:tc>
          <w:tcPr>
            <w:tcW w:w="3601" w:type="dxa"/>
            <w:shd w:val="clear" w:color="auto" w:fill="EAF3FA"/>
          </w:tcPr>
          <w:p>
            <w:pPr>
              <w:pStyle w:val="Compact"/>
              <w:spacing w:after="40" w:before="40"/>
              <w:jc w:val="left"/>
            </w:pPr>
            <w:r>
              <w:rPr>
                <w:rFonts w:ascii="Tahoma" w:hAnsi="Tahoma"/>
                <w:sz w:val="22"/>
              </w:rPr>
              <w:t xml:space="preserve">Hospice zero-rated; campaigning charity £2,000 not</w:t>
            </w:r>
          </w:p>
        </w:tc>
      </w:tr>
      <w:tr>
        <w:trPr>
          <w:cantSplit w:val="true"/>
        </w:trPr>
        <w:tc>
          <w:tcPr>
            <w:tcW w:w="3190" w:type="dxa"/>
            <w:shd w:val="clear" w:color="auto" w:fill="FFFFFF"/>
          </w:tcPr>
          <w:p>
            <w:pPr>
              <w:pStyle w:val="Compact"/>
              <w:spacing w:after="40" w:before="40"/>
              <w:jc w:val="left"/>
            </w:pPr>
            <w:r>
              <w:rPr>
                <w:rFonts w:ascii="Tahoma" w:hAnsi="Tahoma"/>
                <w:sz w:val="22"/>
              </w:rPr>
              <w:t xml:space="preserve">38. Imported laboratory instrument</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Partly recoverable: £1,280 of £6,400</w:t>
            </w:r>
          </w:p>
        </w:tc>
      </w:tr>
      <w:tr>
        <w:trPr>
          <w:cantSplit w:val="true"/>
        </w:trPr>
        <w:tc>
          <w:tcPr>
            <w:tcW w:w="3190" w:type="dxa"/>
            <w:shd w:val="clear" w:color="auto" w:fill="FBEAF1"/>
          </w:tcPr>
          <w:p>
            <w:pPr>
              <w:pStyle w:val="Compact"/>
              <w:spacing w:after="40" w:before="40"/>
              <w:jc w:val="left"/>
            </w:pPr>
            <w:r>
              <w:rPr>
                <w:rFonts w:ascii="Tahoma" w:hAnsi="Tahoma"/>
                <w:sz w:val="22"/>
              </w:rPr>
              <w:t xml:space="preserve">39. Low-value goods bought online</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Not recoverable: £20</w:t>
            </w:r>
          </w:p>
        </w:tc>
      </w:tr>
      <w:tr>
        <w:trPr>
          <w:cantSplit w:val="true"/>
        </w:trPr>
        <w:tc>
          <w:tcPr>
            <w:tcW w:w="3190" w:type="dxa"/>
            <w:shd w:val="clear" w:color="auto" w:fill="EAF3FA"/>
          </w:tcPr>
          <w:p>
            <w:pPr>
              <w:pStyle w:val="Compact"/>
              <w:spacing w:after="40" w:before="40"/>
              <w:jc w:val="left"/>
            </w:pPr>
            <w:r>
              <w:rPr>
                <w:rFonts w:ascii="Tahoma" w:hAnsi="Tahoma"/>
                <w:sz w:val="22"/>
              </w:rPr>
              <w:t xml:space="preserve">40. Goods to give to an overseas government</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UK delivery £10,000 not; direct export no VAT</w:t>
            </w:r>
          </w:p>
        </w:tc>
      </w:tr>
      <w:tr>
        <w:trPr>
          <w:cantSplit w:val="true"/>
        </w:trPr>
        <w:tc>
          <w:tcPr>
            <w:tcW w:w="3190" w:type="dxa"/>
            <w:shd w:val="clear" w:color="auto" w:fill="FFFFFF"/>
          </w:tcPr>
          <w:p>
            <w:pPr>
              <w:pStyle w:val="Compact"/>
              <w:spacing w:after="40" w:before="40"/>
              <w:jc w:val="left"/>
            </w:pPr>
            <w:r>
              <w:rPr>
                <w:rFonts w:ascii="Tahoma" w:hAnsi="Tahoma"/>
                <w:sz w:val="22"/>
              </w:rPr>
              <w:t xml:space="preserve">41. Surplus equipment sold abroad</w:t>
            </w:r>
          </w:p>
        </w:tc>
        <w:tc>
          <w:tcPr>
            <w:tcW w:w="2233" w:type="dxa"/>
            <w:shd w:val="clear" w:color="auto" w:fill="FFFFFF"/>
          </w:tcPr>
          <w:p>
            <w:pPr>
              <w:pStyle w:val="Compact"/>
              <w:spacing w:after="40" w:before="40"/>
              <w:jc w:val="left"/>
            </w:pPr>
            <w:r>
              <w:rPr>
                <w:rFonts w:ascii="Tahoma" w:hAnsi="Tahoma"/>
                <w:sz w:val="22"/>
              </w:rPr>
              <w:t xml:space="preserve">The Department</w:t>
            </w:r>
          </w:p>
        </w:tc>
        <w:tc>
          <w:tcPr>
            <w:tcW w:w="3601" w:type="dxa"/>
            <w:shd w:val="clear" w:color="auto" w:fill="FFFFFF"/>
          </w:tcPr>
          <w:p>
            <w:pPr>
              <w:pStyle w:val="Compact"/>
              <w:spacing w:after="40" w:before="40"/>
              <w:jc w:val="left"/>
            </w:pPr>
            <w:r>
              <w:rPr>
                <w:rFonts w:ascii="Tahoma" w:hAnsi="Tahoma"/>
                <w:sz w:val="22"/>
              </w:rPr>
              <w:t xml:space="preserve">Recoverable: £500 (input tax)</w:t>
            </w:r>
          </w:p>
        </w:tc>
      </w:tr>
      <w:tr>
        <w:trPr>
          <w:cantSplit w:val="true"/>
        </w:trPr>
        <w:tc>
          <w:tcPr>
            <w:tcW w:w="3190" w:type="dxa"/>
            <w:shd w:val="clear" w:color="auto" w:fill="FBEAF1"/>
          </w:tcPr>
          <w:p>
            <w:pPr>
              <w:pStyle w:val="Compact"/>
              <w:spacing w:after="40" w:before="40"/>
              <w:jc w:val="left"/>
            </w:pPr>
            <w:r>
              <w:rPr>
                <w:rFonts w:ascii="Tahoma" w:hAnsi="Tahoma"/>
                <w:sz w:val="22"/>
              </w:rPr>
              <w:t xml:space="preserve">42. Electricity and gas</w:t>
            </w:r>
          </w:p>
        </w:tc>
        <w:tc>
          <w:tcPr>
            <w:tcW w:w="2233" w:type="dxa"/>
            <w:shd w:val="clear" w:color="auto" w:fill="FBEAF1"/>
          </w:tcPr>
          <w:p>
            <w:pPr>
              <w:pStyle w:val="Compact"/>
              <w:spacing w:after="40" w:before="40"/>
              <w:jc w:val="left"/>
            </w:pPr>
            <w:r>
              <w:rPr>
                <w:rFonts w:ascii="Tahoma" w:hAnsi="Tahoma"/>
                <w:sz w:val="22"/>
              </w:rPr>
              <w:t xml:space="preserve">The Department</w:t>
            </w:r>
          </w:p>
        </w:tc>
        <w:tc>
          <w:tcPr>
            <w:tcW w:w="3601" w:type="dxa"/>
            <w:shd w:val="clear" w:color="auto" w:fill="FBEAF1"/>
          </w:tcPr>
          <w:p>
            <w:pPr>
              <w:pStyle w:val="Compact"/>
              <w:spacing w:after="40" w:before="40"/>
              <w:jc w:val="left"/>
            </w:pPr>
            <w:r>
              <w:rPr>
                <w:rFonts w:ascii="Tahoma" w:hAnsi="Tahoma"/>
                <w:sz w:val="22"/>
              </w:rPr>
              <w:t xml:space="preserve">Partly recoverable: £1,600 of £16,000</w:t>
            </w:r>
          </w:p>
        </w:tc>
      </w:tr>
      <w:tr>
        <w:trPr>
          <w:cantSplit w:val="true"/>
        </w:trPr>
        <w:tc>
          <w:tcPr>
            <w:tcW w:w="3190" w:type="dxa"/>
            <w:shd w:val="clear" w:color="auto" w:fill="EAF3FA"/>
          </w:tcPr>
          <w:p>
            <w:pPr>
              <w:pStyle w:val="Compact"/>
              <w:spacing w:after="40" w:before="40"/>
              <w:jc w:val="left"/>
            </w:pPr>
            <w:r>
              <w:rPr>
                <w:rFonts w:ascii="Tahoma" w:hAnsi="Tahoma"/>
                <w:sz w:val="22"/>
              </w:rPr>
              <w:t xml:space="preserve">43. Electricity</w:t>
            </w:r>
          </w:p>
        </w:tc>
        <w:tc>
          <w:tcPr>
            <w:tcW w:w="2233" w:type="dxa"/>
            <w:shd w:val="clear" w:color="auto" w:fill="EAF3FA"/>
          </w:tcPr>
          <w:p>
            <w:pPr>
              <w:pStyle w:val="Compact"/>
              <w:spacing w:after="40" w:before="40"/>
              <w:jc w:val="left"/>
            </w:pPr>
            <w:r>
              <w:rPr>
                <w:rFonts w:ascii="Tahoma" w:hAnsi="Tahoma"/>
                <w:sz w:val="22"/>
              </w:rPr>
              <w:t xml:space="preserve">Charity and a business</w:t>
            </w:r>
          </w:p>
        </w:tc>
        <w:tc>
          <w:tcPr>
            <w:tcW w:w="3601" w:type="dxa"/>
            <w:shd w:val="clear" w:color="auto" w:fill="EAF3FA"/>
          </w:tcPr>
          <w:p>
            <w:pPr>
              <w:pStyle w:val="Compact"/>
              <w:spacing w:after="40" w:before="40"/>
              <w:jc w:val="left"/>
            </w:pPr>
            <w:r>
              <w:rPr>
                <w:rFonts w:ascii="Tahoma" w:hAnsi="Tahoma"/>
                <w:sz w:val="22"/>
              </w:rPr>
              <w:t xml:space="preserve">Charity £3,000 not (5%); business recoverable</w:t>
            </w:r>
          </w:p>
        </w:tc>
      </w:tr>
      <w:tr>
        <w:trPr>
          <w:cantSplit w:val="true"/>
        </w:trPr>
        <w:tc>
          <w:tcPr>
            <w:tcW w:w="3190" w:type="dxa"/>
            <w:shd w:val="clear" w:color="auto" w:fill="FFFFFF"/>
          </w:tcPr>
          <w:p>
            <w:pPr>
              <w:pStyle w:val="Compact"/>
              <w:spacing w:after="40" w:before="40"/>
              <w:jc w:val="left"/>
            </w:pPr>
            <w:r>
              <w:rPr>
                <w:rFonts w:ascii="Tahoma" w:hAnsi="Tahoma"/>
                <w:sz w:val="22"/>
              </w:rPr>
              <w:t xml:space="preserve">44. Water and sewerage</w:t>
            </w:r>
          </w:p>
        </w:tc>
        <w:tc>
          <w:tcPr>
            <w:tcW w:w="2233" w:type="dxa"/>
            <w:shd w:val="clear" w:color="auto" w:fill="FFFFFF"/>
          </w:tcPr>
          <w:p>
            <w:pPr>
              <w:pStyle w:val="Compact"/>
              <w:spacing w:after="40" w:before="40"/>
              <w:jc w:val="left"/>
            </w:pPr>
            <w:r>
              <w:rPr>
                <w:rFonts w:ascii="Tahoma" w:hAnsi="Tahoma"/>
                <w:sz w:val="22"/>
              </w:rPr>
              <w:t xml:space="preserve">The Department and a business</w:t>
            </w:r>
          </w:p>
        </w:tc>
        <w:tc>
          <w:tcPr>
            <w:tcW w:w="3601" w:type="dxa"/>
            <w:shd w:val="clear" w:color="auto" w:fill="FFFFFF"/>
          </w:tcPr>
          <w:p>
            <w:pPr>
              <w:pStyle w:val="Compact"/>
              <w:spacing w:after="40" w:before="40"/>
              <w:jc w:val="left"/>
            </w:pPr>
            <w:r>
              <w:rPr>
                <w:rFonts w:ascii="Tahoma" w:hAnsi="Tahoma"/>
                <w:sz w:val="22"/>
              </w:rPr>
              <w:t xml:space="preserve">Department no VAT; business £1,200 recoverable</w:t>
            </w:r>
          </w:p>
        </w:tc>
      </w:tr>
      <w:tr>
        <w:trPr>
          <w:cantSplit w:val="true"/>
        </w:trPr>
        <w:tc>
          <w:tcPr>
            <w:tcW w:w="3190" w:type="dxa"/>
            <w:shd w:val="clear" w:color="auto" w:fill="FBEAF1"/>
          </w:tcPr>
          <w:p>
            <w:pPr>
              <w:pStyle w:val="Compact"/>
              <w:spacing w:after="40" w:before="40"/>
              <w:jc w:val="left"/>
            </w:pPr>
            <w:r>
              <w:rPr>
                <w:rFonts w:ascii="Tahoma" w:hAnsi="Tahoma"/>
                <w:sz w:val="22"/>
              </w:rPr>
              <w:t xml:space="preserve">45. Insurance on lifts and boilers</w:t>
            </w:r>
          </w:p>
        </w:tc>
        <w:tc>
          <w:tcPr>
            <w:tcW w:w="2233" w:type="dxa"/>
            <w:shd w:val="clear" w:color="auto" w:fill="FBEAF1"/>
          </w:tcPr>
          <w:p>
            <w:pPr>
              <w:pStyle w:val="Compact"/>
              <w:spacing w:after="40" w:before="40"/>
              <w:jc w:val="left"/>
            </w:pPr>
            <w:r>
              <w:rPr>
                <w:rFonts w:ascii="Tahoma" w:hAnsi="Tahoma"/>
                <w:sz w:val="22"/>
              </w:rPr>
              <w:t xml:space="preserve">Another department</w:t>
            </w:r>
          </w:p>
        </w:tc>
        <w:tc>
          <w:tcPr>
            <w:tcW w:w="3601" w:type="dxa"/>
            <w:shd w:val="clear" w:color="auto" w:fill="FBEAF1"/>
          </w:tcPr>
          <w:p>
            <w:pPr>
              <w:pStyle w:val="Compact"/>
              <w:spacing w:after="40" w:before="40"/>
              <w:jc w:val="left"/>
            </w:pPr>
            <w:r>
              <w:rPr>
                <w:rFonts w:ascii="Tahoma" w:hAnsi="Tahoma"/>
                <w:sz w:val="22"/>
              </w:rPr>
              <w:t xml:space="preserve">Not recoverable: £600 (IPT, not VAT)</w:t>
            </w:r>
          </w:p>
        </w:tc>
      </w:tr>
      <w:tr>
        <w:trPr>
          <w:cantSplit w:val="true"/>
        </w:trPr>
        <w:tc>
          <w:tcPr>
            <w:tcW w:w="3190" w:type="dxa"/>
            <w:shd w:val="clear" w:color="auto" w:fill="EAF3FA"/>
          </w:tcPr>
          <w:p>
            <w:pPr>
              <w:pStyle w:val="Compact"/>
              <w:spacing w:after="40" w:before="40"/>
              <w:jc w:val="left"/>
            </w:pPr>
            <w:r>
              <w:rPr>
                <w:rFonts w:ascii="Tahoma" w:hAnsi="Tahoma"/>
                <w:sz w:val="22"/>
              </w:rPr>
              <w:t xml:space="preserve">46. Stamps vs courier</w:t>
            </w:r>
          </w:p>
        </w:tc>
        <w:tc>
          <w:tcPr>
            <w:tcW w:w="2233" w:type="dxa"/>
            <w:shd w:val="clear" w:color="auto" w:fill="EAF3FA"/>
          </w:tcPr>
          <w:p>
            <w:pPr>
              <w:pStyle w:val="Compact"/>
              <w:spacing w:after="40" w:before="40"/>
              <w:jc w:val="left"/>
            </w:pPr>
            <w:r>
              <w:rPr>
                <w:rFonts w:ascii="Tahoma" w:hAnsi="Tahoma"/>
                <w:sz w:val="22"/>
              </w:rPr>
              <w:t xml:space="preserve">The Department</w:t>
            </w:r>
          </w:p>
        </w:tc>
        <w:tc>
          <w:tcPr>
            <w:tcW w:w="3601" w:type="dxa"/>
            <w:shd w:val="clear" w:color="auto" w:fill="EAF3FA"/>
          </w:tcPr>
          <w:p>
            <w:pPr>
              <w:pStyle w:val="Compact"/>
              <w:spacing w:after="40" w:before="40"/>
              <w:jc w:val="left"/>
            </w:pPr>
            <w:r>
              <w:rPr>
                <w:rFonts w:ascii="Tahoma" w:hAnsi="Tahoma"/>
                <w:sz w:val="22"/>
              </w:rPr>
              <w:t xml:space="preserve">Stamps no VAT; courier £400 recoverable</w:t>
            </w:r>
          </w:p>
        </w:tc>
      </w:tr>
    </w:tbl>
    <w:bookmarkEnd w:id="244"/>
    <w:bookmarkStart w:id="253" w:name="the-worked-examples"/>
    <w:p>
      <w:pPr>
        <w:pStyle w:val="Heading3"/>
      </w:pPr>
      <w:r>
        <w:t xml:space="preserve">The worked examples</w:t>
      </w:r>
    </w:p>
    <w:bookmarkStart w:id="245" w:name="office-equipment-and-it"/>
    <w:p>
      <w:pPr>
        <w:pStyle w:val="Heading4"/>
      </w:pPr>
      <w:r>
        <w:t xml:space="preserve">Office equipment and IT</w:t>
      </w:r>
    </w:p>
    <w:p>
      <w:pPr>
        <w:pStyle w:val="FirstParagraph"/>
      </w:pPr>
      <w:r>
        <w:rPr>
          <w:b/>
          <w:bCs/>
        </w:rPr>
        <w:t xml:space="preserve">Example 1: Laptops bought outright</w:t>
      </w:r>
    </w:p>
    <w:p>
      <w:pPr>
        <w:pStyle w:val="Compact"/>
        <w:numPr>
          <w:ilvl w:val="0"/>
          <w:numId w:val="1302"/>
        </w:numPr>
      </w:pPr>
      <w:r>
        <w:rPr>
          <w:b/>
          <w:bCs/>
        </w:rPr>
        <w:t xml:space="preserve">Situation:</w:t>
      </w:r>
      <w:r>
        <w:t xml:space="preserve"> </w:t>
      </w:r>
      <w:r>
        <w:t xml:space="preserve">The Department buys 100 laptops from a UK reseller at £800 each for staff doing policy work. Price £80,000, VAT £16,000 (£80,000 × 20%), total £96,000.</w:t>
      </w:r>
    </w:p>
    <w:p>
      <w:pPr>
        <w:pStyle w:val="Compact"/>
        <w:numPr>
          <w:ilvl w:val="0"/>
          <w:numId w:val="1302"/>
        </w:numPr>
      </w:pPr>
      <w:r>
        <w:rPr>
          <w:b/>
          <w:bCs/>
        </w:rPr>
        <w:t xml:space="preserve">VAT treatment:</w:t>
      </w:r>
    </w:p>
    <w:p>
      <w:pPr>
        <w:pStyle w:val="Compact"/>
        <w:numPr>
          <w:ilvl w:val="1"/>
          <w:numId w:val="1303"/>
        </w:numPr>
      </w:pPr>
      <w:r>
        <w:t xml:space="preserve">Laptops are standard-rated goods. The use is non-business, so the VAT is not input tax</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1"/>
          <w:numId w:val="1303"/>
        </w:numPr>
      </w:pPr>
      <w:r>
        <w:t xml:space="preserve">No COS heading covers a standalone purchase of goods</w:t>
      </w:r>
      <w:r>
        <w:t xml:space="preserve"> </w:t>
      </w:r>
      <w:r>
        <w:t xml:space="preserve">(</w:t>
      </w:r>
      <w:hyperlink w:anchor="ref-hmrc_vatgpb">
        <w:r>
          <w:rPr>
            <w:rStyle w:val="Hyperlink"/>
          </w:rPr>
          <w:t xml:space="preserve">HMRC, 2026n, sec. VATGPB11370</w:t>
        </w:r>
      </w:hyperlink>
      <w:r>
        <w:t xml:space="preserve">)</w:t>
      </w:r>
      <w:r>
        <w:t xml:space="preserve">. Heading 14 expressly excludes</w:t>
      </w:r>
      <w:r>
        <w:t xml:space="preserve"> </w:t>
      </w:r>
      <w:r>
        <w:t xml:space="preserve">“</w:t>
      </w:r>
      <w:r>
        <w:t xml:space="preserve">the hire, installation or purchase of hardware alone</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1"/>
          <w:numId w:val="1303"/>
        </w:numPr>
      </w:pPr>
      <w:r>
        <w:t xml:space="preserve">A later repair or maintenance contract for the laptops could fall under Heading 37, because HMRC treats computer equipment as</w:t>
      </w:r>
      <w:r>
        <w:t xml:space="preserve"> </w:t>
      </w:r>
      <w:r>
        <w:t xml:space="preserve">“</w:t>
      </w:r>
      <w:r>
        <w:t xml:space="preserve">equipment</w:t>
      </w:r>
      <w:r>
        <w:t xml:space="preserve">”</w:t>
      </w:r>
      <w:r>
        <w:t xml:space="preserve"> </w:t>
      </w:r>
      <w:r>
        <w:t xml:space="preserve">for that heading</w:t>
      </w:r>
      <w:r>
        <w:t xml:space="preserve"> </w:t>
      </w:r>
      <w:r>
        <w:t xml:space="preserve">(</w:t>
      </w:r>
      <w:hyperlink w:anchor="ref-hmrc_vatgpb">
        <w:r>
          <w:rPr>
            <w:rStyle w:val="Hyperlink"/>
          </w:rPr>
          <w:t xml:space="preserve">HMRC, 2026n, sec. VATGPB10470</w:t>
        </w:r>
      </w:hyperlink>
      <w:r>
        <w:t xml:space="preserve">)</w:t>
      </w:r>
      <w:r>
        <w:t xml:space="preserve">.</w:t>
      </w:r>
    </w:p>
    <w:p>
      <w:pPr>
        <w:pStyle w:val="Compact"/>
        <w:numPr>
          <w:ilvl w:val="0"/>
          <w:numId w:val="1302"/>
        </w:numPr>
      </w:pPr>
      <w:r>
        <w:rPr>
          <w:b/>
          <w:bCs/>
        </w:rPr>
        <w:t xml:space="preserve">Result:</w:t>
      </w:r>
      <w:r>
        <w:t xml:space="preserve"> </w:t>
      </w:r>
      <w:r>
        <w:rPr>
          <w:b/>
          <w:bCs/>
        </w:rPr>
        <w:t xml:space="preserve">Not recoverable:</w:t>
      </w:r>
      <w:r>
        <w:t xml:space="preserve"> </w:t>
      </w:r>
      <w:r>
        <w:t xml:space="preserve">£16,000. Net cost £96,000.</w:t>
      </w:r>
    </w:p>
    <w:p>
      <w:pPr>
        <w:pStyle w:val="FirstParagraph"/>
      </w:pPr>
      <w:r>
        <w:rPr>
          <w:b/>
          <w:bCs/>
        </w:rPr>
        <w:t xml:space="preserve">Example 2: Laptops supplied within a managed IT service (Heading 14)</w:t>
      </w:r>
    </w:p>
    <w:p>
      <w:pPr>
        <w:pStyle w:val="Compact"/>
        <w:numPr>
          <w:ilvl w:val="0"/>
          <w:numId w:val="1304"/>
        </w:numPr>
      </w:pPr>
      <w:r>
        <w:rPr>
          <w:b/>
          <w:bCs/>
        </w:rPr>
        <w:t xml:space="preserve">Situation:</w:t>
      </w:r>
      <w:r>
        <w:t xml:space="preserve"> </w:t>
      </w:r>
      <w:r>
        <w:t xml:space="preserve">Instead of buying laptops, the Department contracts a supplier to design, build and run a desktop IT system to the Department’s own specification. The supplier provides the 100 laptops as part of the infrastructure, plus configuration, hosting and support. Annual charge £150,000, VAT £30,000. The system is used wholly for non-business work.</w:t>
      </w:r>
    </w:p>
    <w:p>
      <w:pPr>
        <w:pStyle w:val="Compact"/>
        <w:numPr>
          <w:ilvl w:val="0"/>
          <w:numId w:val="1304"/>
        </w:numPr>
      </w:pPr>
      <w:r>
        <w:rPr>
          <w:b/>
          <w:bCs/>
        </w:rPr>
        <w:t xml:space="preserve">VAT treatment:</w:t>
      </w:r>
    </w:p>
    <w:p>
      <w:pPr>
        <w:pStyle w:val="Compact"/>
        <w:numPr>
          <w:ilvl w:val="1"/>
          <w:numId w:val="1305"/>
        </w:numPr>
      </w:pPr>
      <w:r>
        <w:t xml:space="preserve">Heading 14 includes an IT system provided by one or more suppliers, using either the Department’s own hardware or hardware provided by a supplier of qualifying services as part of the infrastructure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1"/>
          <w:numId w:val="1305"/>
        </w:numPr>
      </w:pPr>
      <w:r>
        <w:t xml:space="preserve">The laptops are covered here only because they are an integral, ancillary part of a qualifying service in the same contract</w:t>
      </w:r>
      <w:r>
        <w:t xml:space="preserve"> </w:t>
      </w:r>
      <w:r>
        <w:t xml:space="preserve">(</w:t>
      </w:r>
      <w:hyperlink w:anchor="ref-gazette_2020">
        <w:r>
          <w:rPr>
            <w:rStyle w:val="Hyperlink"/>
          </w:rPr>
          <w:t xml:space="preserve">HM Treasury, 2020b, para. 2(c)</w:t>
        </w:r>
      </w:hyperlink>
      <w:r>
        <w:t xml:space="preserve">;</w:t>
      </w:r>
      <w:r>
        <w:t xml:space="preserve"> </w:t>
      </w:r>
      <w:hyperlink w:anchor="ref-hmrc_vatgpb">
        <w:r>
          <w:rPr>
            <w:rStyle w:val="Hyperlink"/>
          </w:rPr>
          <w:t xml:space="preserve">HMRC, 2026n, sec. VATGPB10010</w:t>
        </w:r>
      </w:hyperlink>
      <w:r>
        <w:t xml:space="preserve">)</w:t>
      </w:r>
      <w:r>
        <w:t xml:space="preserve">.</w:t>
      </w:r>
    </w:p>
    <w:p>
      <w:pPr>
        <w:pStyle w:val="Compact"/>
        <w:numPr>
          <w:ilvl w:val="1"/>
          <w:numId w:val="1305"/>
        </w:numPr>
      </w:pPr>
      <w:r>
        <w:rPr>
          <w:b/>
          <w:bCs/>
        </w:rPr>
        <w:t xml:space="preserve">Check first:</w:t>
      </w:r>
      <w:r>
        <w:t xml:space="preserve"> </w:t>
      </w:r>
      <w:r>
        <w:t xml:space="preserve">the system must be supplied</w:t>
      </w:r>
      <w:r>
        <w:t xml:space="preserve"> </w:t>
      </w:r>
      <w:r>
        <w:t xml:space="preserve">“</w:t>
      </w:r>
      <w:r>
        <w:t xml:space="preserve">to the specification of the recipient</w:t>
      </w:r>
      <w:r>
        <w:t xml:space="preserve">”</w:t>
      </w:r>
      <w:r>
        <w:t xml:space="preserve">. HMRC expects evidence of substantial involvement in the design, such as meeting notes, design documents and a project plan</w:t>
      </w:r>
      <w:r>
        <w:t xml:space="preserve"> </w:t>
      </w:r>
      <w:r>
        <w:t xml:space="preserve">(</w:t>
      </w:r>
      <w:hyperlink w:anchor="ref-hmrc_vatgpb">
        <w:r>
          <w:rPr>
            <w:rStyle w:val="Hyperlink"/>
          </w:rPr>
          <w:t xml:space="preserve">HMRC, 2026n, sec. VATGPB10020</w:t>
        </w:r>
      </w:hyperlink>
      <w:r>
        <w:t xml:space="preserve">)</w:t>
      </w:r>
      <w:r>
        <w:t xml:space="preserve">. If the contract in reality prices the laptops as a separate sale of hardware, that part is</w:t>
      </w:r>
      <w:r>
        <w:t xml:space="preserve"> </w:t>
      </w:r>
      <w:r>
        <w:t xml:space="preserve">“</w:t>
      </w:r>
      <w:r>
        <w:t xml:space="preserve">purchase of hardware alone</w:t>
      </w:r>
      <w:r>
        <w:t xml:space="preserve">”</w:t>
      </w:r>
      <w:r>
        <w:t xml:space="preserve"> </w:t>
      </w:r>
      <w:r>
        <w:t xml:space="preserve">and is excluded. Any telephony in the contract must be apportioned out, because telephony is always excluded</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1"/>
          <w:numId w:val="1305"/>
        </w:numPr>
      </w:pPr>
      <w:r>
        <w:t xml:space="preserve">If the system also supports business activity, only the non-business share is refundable under Heading 14. The business share is input tax</w:t>
      </w:r>
      <w:r>
        <w:t xml:space="preserve"> </w:t>
      </w:r>
      <w:r>
        <w:t xml:space="preserve">(</w:t>
      </w:r>
      <w:hyperlink w:anchor="ref-hmrc_gdpef">
        <w:r>
          <w:rPr>
            <w:rStyle w:val="Hyperlink"/>
          </w:rPr>
          <w:t xml:space="preserve">HMRC, 2023c</w:t>
        </w:r>
      </w:hyperlink>
      <w:r>
        <w:t xml:space="preserve">)</w:t>
      </w:r>
      <w:r>
        <w:t xml:space="preserve"> </w:t>
      </w:r>
      <w:r>
        <w:t xml:space="preserve">(see Part 5, Worked example: a mixed-use IT contract).</w:t>
      </w:r>
    </w:p>
    <w:p>
      <w:pPr>
        <w:pStyle w:val="Compact"/>
        <w:numPr>
          <w:ilvl w:val="0"/>
          <w:numId w:val="1304"/>
        </w:numPr>
      </w:pPr>
      <w:r>
        <w:rPr>
          <w:b/>
          <w:bCs/>
        </w:rPr>
        <w:t xml:space="preserve">Result:</w:t>
      </w:r>
      <w:r>
        <w:t xml:space="preserve"> </w:t>
      </w:r>
      <w:r>
        <w:rPr>
          <w:b/>
          <w:bCs/>
        </w:rPr>
        <w:t xml:space="preserve">Recoverable:</w:t>
      </w:r>
      <w:r>
        <w:t xml:space="preserve"> </w:t>
      </w:r>
      <w:r>
        <w:t xml:space="preserve">£30,000 under Heading 14, if the specification test is met. Net cost £150,000.</w:t>
      </w:r>
    </w:p>
    <w:p>
      <w:pPr>
        <w:pStyle w:val="FirstParagraph"/>
      </w:pPr>
      <w:r>
        <w:rPr>
          <w:b/>
          <w:bCs/>
        </w:rPr>
        <w:t xml:space="preserve">Example 3: Off-the-shelf software licences</w:t>
      </w:r>
    </w:p>
    <w:p>
      <w:pPr>
        <w:pStyle w:val="Compact"/>
        <w:numPr>
          <w:ilvl w:val="0"/>
          <w:numId w:val="1306"/>
        </w:numPr>
      </w:pPr>
      <w:r>
        <w:rPr>
          <w:b/>
          <w:bCs/>
        </w:rPr>
        <w:t xml:space="preserve">Situation:</w:t>
      </w:r>
      <w:r>
        <w:t xml:space="preserve"> </w:t>
      </w:r>
      <w:r>
        <w:t xml:space="preserve">The Department renews 1,000 subscriptions to a standard office software suite, such as Microsoft 365, through a UK reseller. Price £20,000, VAT £4,000. Its agreed business/non-business method gives 10% business use.</w:t>
      </w:r>
    </w:p>
    <w:p>
      <w:pPr>
        <w:pStyle w:val="Compact"/>
        <w:numPr>
          <w:ilvl w:val="0"/>
          <w:numId w:val="1306"/>
        </w:numPr>
      </w:pPr>
      <w:r>
        <w:rPr>
          <w:b/>
          <w:bCs/>
        </w:rPr>
        <w:t xml:space="preserve">VAT treatment:</w:t>
      </w:r>
    </w:p>
    <w:p>
      <w:pPr>
        <w:pStyle w:val="Compact"/>
        <w:numPr>
          <w:ilvl w:val="1"/>
          <w:numId w:val="1307"/>
        </w:numPr>
      </w:pPr>
      <w:r>
        <w:t xml:space="preserve">Heading 14 excludes</w:t>
      </w:r>
      <w:r>
        <w:t xml:space="preserve"> </w:t>
      </w:r>
      <w:r>
        <w:t xml:space="preserve">“</w:t>
      </w:r>
      <w:r>
        <w:t xml:space="preserve">the supply, license and/or support of off-the-shelf software</w:t>
      </w:r>
      <w:r>
        <w:t xml:space="preserve">”</w:t>
      </w:r>
      <w:r>
        <w:t xml:space="preserve"> </w:t>
      </w:r>
      <w:r>
        <w:t xml:space="preserve">(</w:t>
      </w:r>
      <w:hyperlink w:anchor="ref-hmrc_vatgpb">
        <w:r>
          <w:rPr>
            <w:rStyle w:val="Hyperlink"/>
          </w:rPr>
          <w:t xml:space="preserve">HMRC, 2026n, sec. VATGPB10010</w:t>
        </w:r>
      </w:hyperlink>
      <w:r>
        <w:t xml:space="preserve">)</w:t>
      </w:r>
      <w:r>
        <w:t xml:space="preserve">. HMRC treats Microsoft 365 as off-the-shelf software, so its licences are not COS-recoverable unless they are bought as part of a qualifying IT system and are needed for that system to work</w:t>
      </w:r>
      <w:r>
        <w:t xml:space="preserve"> </w:t>
      </w:r>
      <w:r>
        <w:t xml:space="preserve">(</w:t>
      </w:r>
      <w:hyperlink w:anchor="ref-hmrc_vatgpb">
        <w:r>
          <w:rPr>
            <w:rStyle w:val="Hyperlink"/>
          </w:rPr>
          <w:t xml:space="preserve">HMRC, 2026n, sec. VATGPB10020</w:t>
        </w:r>
      </w:hyperlink>
      <w:r>
        <w:t xml:space="preserve">)</w:t>
      </w:r>
      <w:r>
        <w:t xml:space="preserve">.</w:t>
      </w:r>
    </w:p>
    <w:p>
      <w:pPr>
        <w:pStyle w:val="Compact"/>
        <w:numPr>
          <w:ilvl w:val="1"/>
          <w:numId w:val="1307"/>
        </w:numPr>
      </w:pPr>
      <w:r>
        <w:t xml:space="preserve">Non-business share: £4,000 × 90% = £3,600. This is a cost.</w:t>
      </w:r>
    </w:p>
    <w:p>
      <w:pPr>
        <w:pStyle w:val="Compact"/>
        <w:numPr>
          <w:ilvl w:val="1"/>
          <w:numId w:val="1307"/>
        </w:numPr>
      </w:pPr>
      <w:r>
        <w:t xml:space="preserve">Business share: £4,000 × 10% = £400. This is input tax, subject to the Department’s partial exemption method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306"/>
        </w:numPr>
      </w:pPr>
      <w:r>
        <w:rPr>
          <w:b/>
          <w:bCs/>
        </w:rPr>
        <w:t xml:space="preserve">Result:</w:t>
      </w:r>
      <w:r>
        <w:t xml:space="preserve"> </w:t>
      </w:r>
      <w:r>
        <w:rPr>
          <w:b/>
          <w:bCs/>
        </w:rPr>
        <w:t xml:space="preserve">Partly recoverable:</w:t>
      </w:r>
      <w:r>
        <w:t xml:space="preserve"> </w:t>
      </w:r>
      <w:r>
        <w:t xml:space="preserve">£400 of £4,000, as input tax. Net cost £23,600 (£24,000 − £400).</w:t>
      </w:r>
    </w:p>
    <w:p>
      <w:pPr>
        <w:pStyle w:val="FirstParagraph"/>
      </w:pPr>
      <w:r>
        <w:rPr>
          <w:b/>
          <w:bCs/>
        </w:rPr>
        <w:t xml:space="preserve">Example 4: Mobile phone handsets and airtime</w:t>
      </w:r>
    </w:p>
    <w:p>
      <w:pPr>
        <w:pStyle w:val="Compact"/>
        <w:numPr>
          <w:ilvl w:val="0"/>
          <w:numId w:val="1308"/>
        </w:numPr>
      </w:pPr>
      <w:r>
        <w:rPr>
          <w:b/>
          <w:bCs/>
        </w:rPr>
        <w:t xml:space="preserve">Situation:</w:t>
      </w:r>
      <w:r>
        <w:t xml:space="preserve"> </w:t>
      </w:r>
      <w:r>
        <w:t xml:space="preserve">The Department buys 50 smartphones at £300 each (£15,000, VAT £3,000) with a 12-month airtime contract (£6,000, VAT £1,200) for staff on non-business work.</w:t>
      </w:r>
    </w:p>
    <w:p>
      <w:pPr>
        <w:pStyle w:val="Compact"/>
        <w:numPr>
          <w:ilvl w:val="0"/>
          <w:numId w:val="1308"/>
        </w:numPr>
      </w:pPr>
      <w:r>
        <w:rPr>
          <w:b/>
          <w:bCs/>
        </w:rPr>
        <w:t xml:space="preserve">VAT treatment:</w:t>
      </w:r>
    </w:p>
    <w:p>
      <w:pPr>
        <w:pStyle w:val="Compact"/>
        <w:numPr>
          <w:ilvl w:val="1"/>
          <w:numId w:val="1309"/>
        </w:numPr>
      </w:pPr>
      <w:r>
        <w:t xml:space="preserve">The handsets are standard-rated goods, so no heading applies.</w:t>
      </w:r>
    </w:p>
    <w:p>
      <w:pPr>
        <w:pStyle w:val="Compact"/>
        <w:numPr>
          <w:ilvl w:val="1"/>
          <w:numId w:val="1309"/>
        </w:numPr>
      </w:pPr>
      <w:r>
        <w:t xml:space="preserve">Airtime is telephony. Heading 14 excludes telephony in every case, and HMRC’s list of exclusions names</w:t>
      </w:r>
      <w:r>
        <w:t xml:space="preserve"> </w:t>
      </w:r>
      <w:r>
        <w:t xml:space="preserve">“</w:t>
      </w:r>
      <w:r>
        <w:t xml:space="preserve">Blackberry mobile phones, which are a telephony service</w:t>
      </w:r>
      <w:r>
        <w:t xml:space="preserve">”</w:t>
      </w:r>
      <w:r>
        <w:t xml:space="preserve"> </w:t>
      </w:r>
      <w:r>
        <w:t xml:space="preserve">(</w:t>
      </w:r>
      <w:hyperlink w:anchor="ref-hmrc_vatgpb">
        <w:r>
          <w:rPr>
            <w:rStyle w:val="Hyperlink"/>
          </w:rPr>
          <w:t xml:space="preserve">HMRC, 2026n, sec. VATGPB10010</w:t>
        </w:r>
      </w:hyperlink>
      <w:r>
        <w:t xml:space="preserve">)</w:t>
      </w:r>
      <w:r>
        <w:t xml:space="preserve">. No other heading covers it.</w:t>
      </w:r>
    </w:p>
    <w:p>
      <w:pPr>
        <w:pStyle w:val="Compact"/>
        <w:numPr>
          <w:ilvl w:val="1"/>
          <w:numId w:val="1309"/>
        </w:numPr>
      </w:pPr>
      <w:r>
        <w:t xml:space="preserve">The supplier charges VAT in the normal way. The domestic reverse charge for mobile phones does not apply to phones supplied with a contract for airtime</w:t>
      </w:r>
      <w:r>
        <w:t xml:space="preserve"> </w:t>
      </w:r>
      <w:r>
        <w:t xml:space="preserve">(</w:t>
      </w:r>
      <w:hyperlink w:anchor="ref-hmrc_n735">
        <w:r>
          <w:rPr>
            <w:rStyle w:val="Hyperlink"/>
          </w:rPr>
          <w:t xml:space="preserve">HMRC, 2026c, para. 3.3.2</w:t>
        </w:r>
      </w:hyperlink>
      <w:r>
        <w:t xml:space="preserve">)</w:t>
      </w:r>
      <w:r>
        <w:t xml:space="preserve">, or to supplies for non-business use</w:t>
      </w:r>
      <w:r>
        <w:t xml:space="preserve"> </w:t>
      </w:r>
      <w:r>
        <w:t xml:space="preserve">(</w:t>
      </w:r>
      <w:hyperlink w:anchor="ref-hmrc_n735">
        <w:r>
          <w:rPr>
            <w:rStyle w:val="Hyperlink"/>
          </w:rPr>
          <w:t xml:space="preserve">HMRC, 2026c, sec. 4</w:t>
        </w:r>
      </w:hyperlink>
      <w:r>
        <w:t xml:space="preserve">)</w:t>
      </w:r>
      <w:r>
        <w:t xml:space="preserve">.</w:t>
      </w:r>
    </w:p>
    <w:p>
      <w:pPr>
        <w:pStyle w:val="Compact"/>
        <w:numPr>
          <w:ilvl w:val="1"/>
          <w:numId w:val="1309"/>
        </w:numPr>
      </w:pPr>
      <w:r>
        <w:t xml:space="preserve">If the Department bought phones without airtime, for £5,000 or more on one invoice, and used them partly for business, the reverse charge would apply. The Department would then account for the VAT itself and restrict its input tax</w:t>
      </w:r>
      <w:r>
        <w:t xml:space="preserve"> </w:t>
      </w:r>
      <w:r>
        <w:t xml:space="preserve">(</w:t>
      </w:r>
      <w:hyperlink w:anchor="ref-hmrc_n735">
        <w:r>
          <w:rPr>
            <w:rStyle w:val="Hyperlink"/>
          </w:rPr>
          <w:t xml:space="preserve">HMRC, 2026c, para. 10.9.2</w:t>
        </w:r>
      </w:hyperlink>
      <w:r>
        <w:t xml:space="preserve">)</w:t>
      </w:r>
      <w:r>
        <w:t xml:space="preserve">.</w:t>
      </w:r>
    </w:p>
    <w:p>
      <w:pPr>
        <w:pStyle w:val="Compact"/>
        <w:numPr>
          <w:ilvl w:val="0"/>
          <w:numId w:val="1308"/>
        </w:numPr>
      </w:pPr>
      <w:r>
        <w:rPr>
          <w:b/>
          <w:bCs/>
        </w:rPr>
        <w:t xml:space="preserve">Result:</w:t>
      </w:r>
      <w:r>
        <w:t xml:space="preserve"> </w:t>
      </w:r>
      <w:r>
        <w:rPr>
          <w:b/>
          <w:bCs/>
        </w:rPr>
        <w:t xml:space="preserve">Not recoverable:</w:t>
      </w:r>
      <w:r>
        <w:t xml:space="preserve"> </w:t>
      </w:r>
      <w:r>
        <w:t xml:space="preserve">£4,200 (£3,000 + £1,200). Net cost £25,200.</w:t>
      </w:r>
    </w:p>
    <w:p>
      <w:pPr>
        <w:pStyle w:val="FirstParagraph"/>
      </w:pPr>
      <w:r>
        <w:rPr>
          <w:b/>
          <w:bCs/>
        </w:rPr>
        <w:t xml:space="preserve">Example 5: A business buys mobile phones (domestic reverse charge)</w:t>
      </w:r>
    </w:p>
    <w:p>
      <w:pPr>
        <w:pStyle w:val="Compact"/>
        <w:numPr>
          <w:ilvl w:val="0"/>
          <w:numId w:val="1310"/>
        </w:numPr>
      </w:pPr>
      <w:r>
        <w:rPr>
          <w:b/>
          <w:bCs/>
        </w:rPr>
        <w:t xml:space="preserve">Situation:</w:t>
      </w:r>
      <w:r>
        <w:t xml:space="preserve"> </w:t>
      </w:r>
      <w:r>
        <w:t xml:space="preserve">A VAT-registered engineering consultancy buys 20 handsets, without airtime, from a UK wholesaler for its staff. Price £8,000.</w:t>
      </w:r>
    </w:p>
    <w:p>
      <w:pPr>
        <w:pStyle w:val="Compact"/>
        <w:numPr>
          <w:ilvl w:val="0"/>
          <w:numId w:val="1310"/>
        </w:numPr>
      </w:pPr>
      <w:r>
        <w:rPr>
          <w:b/>
          <w:bCs/>
        </w:rPr>
        <w:t xml:space="preserve">VAT treatment:</w:t>
      </w:r>
    </w:p>
    <w:p>
      <w:pPr>
        <w:pStyle w:val="Compact"/>
        <w:numPr>
          <w:ilvl w:val="1"/>
          <w:numId w:val="1311"/>
        </w:numPr>
      </w:pPr>
      <w:r>
        <w:t xml:space="preserve">Mobile phones sold between VAT-registered businesses for business use fall under the</w:t>
      </w:r>
      <w:r>
        <w:t xml:space="preserve"> </w:t>
      </w:r>
      <w:r>
        <w:rPr>
          <w:b/>
          <w:bCs/>
        </w:rPr>
        <w:t xml:space="preserve">domestic reverse charge</w:t>
      </w:r>
      <w:r>
        <w:t xml:space="preserve"> </w:t>
      </w:r>
      <w:r>
        <w:t xml:space="preserve">where the VAT-exclusive value on the invoice is £5,000 or more</w:t>
      </w:r>
      <w:r>
        <w:t xml:space="preserve"> </w:t>
      </w:r>
      <w:r>
        <w:t xml:space="preserve">(</w:t>
      </w:r>
      <w:hyperlink w:anchor="ref-hmrc_n735">
        <w:r>
          <w:rPr>
            <w:rStyle w:val="Hyperlink"/>
          </w:rPr>
          <w:t xml:space="preserve">HMRC, 2026c, sec. 5</w:t>
        </w:r>
      </w:hyperlink>
      <w:r>
        <w:t xml:space="preserve">;</w:t>
      </w:r>
      <w:r>
        <w:t xml:space="preserve"> </w:t>
      </w:r>
      <w:hyperlink w:anchor="ref-hmrc_n735">
        <w:r>
          <w:rPr>
            <w:rStyle w:val="Hyperlink"/>
          </w:rPr>
          <w:t xml:space="preserve">2026c, para. 6.1</w:t>
        </w:r>
      </w:hyperlink>
      <w:r>
        <w:t xml:space="preserve">)</w:t>
      </w:r>
      <w:r>
        <w:t xml:space="preserve">. This covers retail as well as wholesale sales, as long as the buyer is a taxable person buying for a business purpose</w:t>
      </w:r>
      <w:r>
        <w:t xml:space="preserve"> </w:t>
      </w:r>
      <w:r>
        <w:t xml:space="preserve">(</w:t>
      </w:r>
      <w:hyperlink w:anchor="ref-hmrc_n735">
        <w:r>
          <w:rPr>
            <w:rStyle w:val="Hyperlink"/>
          </w:rPr>
          <w:t xml:space="preserve">HMRC, 2026c</w:t>
        </w:r>
      </w:hyperlink>
      <w:r>
        <w:t xml:space="preserve">, paras. 9.1 and 9.2)</w:t>
      </w:r>
      <w:r>
        <w:t xml:space="preserve">. Under a reverse charge, the customer, not the supplier, accounts for the VAT</w:t>
      </w:r>
      <w:r>
        <w:t xml:space="preserve"> </w:t>
      </w:r>
      <w:r>
        <w:t xml:space="preserve">(</w:t>
      </w:r>
      <w:hyperlink w:anchor="ref-hmrc_n735">
        <w:r>
          <w:rPr>
            <w:rStyle w:val="Hyperlink"/>
          </w:rPr>
          <w:t xml:space="preserve">HMRC, 2026c, sec. 5</w:t>
        </w:r>
      </w:hyperlink>
      <w:r>
        <w:t xml:space="preserve">)</w:t>
      </w:r>
      <w:r>
        <w:t xml:space="preserve">.</w:t>
      </w:r>
    </w:p>
    <w:p>
      <w:pPr>
        <w:pStyle w:val="Compact"/>
        <w:numPr>
          <w:ilvl w:val="1"/>
          <w:numId w:val="1311"/>
        </w:numPr>
      </w:pPr>
      <w:r>
        <w:t xml:space="preserve">The supplier charges no VAT. The consultancy accounts for output tax of £1,600 (£8,000 × 20%) and reclaims the same £1,600 as input tax on the same return</w:t>
      </w:r>
      <w:r>
        <w:t xml:space="preserve"> </w:t>
      </w:r>
      <w:r>
        <w:t xml:space="preserve">(</w:t>
      </w:r>
      <w:hyperlink w:anchor="ref-hmrc_n735">
        <w:r>
          <w:rPr>
            <w:rStyle w:val="Hyperlink"/>
          </w:rPr>
          <w:t xml:space="preserve">HMRC, 2026c, para. 8.1</w:t>
        </w:r>
      </w:hyperlink>
      <w:r>
        <w:t xml:space="preserve">)</w:t>
      </w:r>
      <w:r>
        <w:t xml:space="preserve">.</w:t>
      </w:r>
    </w:p>
    <w:p>
      <w:pPr>
        <w:pStyle w:val="Compact"/>
        <w:numPr>
          <w:ilvl w:val="1"/>
          <w:numId w:val="1311"/>
        </w:numPr>
      </w:pPr>
      <w:r>
        <w:t xml:space="preserve">Below £5,000, the supplier would simply charge VAT, which the consultancy would reclaim as input tax.</w:t>
      </w:r>
    </w:p>
    <w:p>
      <w:pPr>
        <w:pStyle w:val="Compact"/>
        <w:numPr>
          <w:ilvl w:val="0"/>
          <w:numId w:val="1310"/>
        </w:numPr>
      </w:pPr>
      <w:r>
        <w:rPr>
          <w:b/>
          <w:bCs/>
        </w:rPr>
        <w:t xml:space="preserve">Result:</w:t>
      </w:r>
      <w:r>
        <w:t xml:space="preserve"> </w:t>
      </w:r>
      <w:r>
        <w:rPr>
          <w:b/>
          <w:bCs/>
        </w:rPr>
        <w:t xml:space="preserve">Recoverable:</w:t>
      </w:r>
      <w:r>
        <w:t xml:space="preserve"> </w:t>
      </w:r>
      <w:r>
        <w:t xml:space="preserve">£1,600, so the two entries cancel out on the return. Net cost £8,000.</w:t>
      </w:r>
    </w:p>
    <w:p>
      <w:pPr>
        <w:pStyle w:val="FirstParagraph"/>
      </w:pPr>
      <w:r>
        <w:rPr>
          <w:b/>
          <w:bCs/>
        </w:rPr>
        <w:t xml:space="preserve">Example 6: A photocopier bought outright</w:t>
      </w:r>
    </w:p>
    <w:p>
      <w:pPr>
        <w:pStyle w:val="Compact"/>
        <w:numPr>
          <w:ilvl w:val="0"/>
          <w:numId w:val="1312"/>
        </w:numPr>
      </w:pPr>
      <w:r>
        <w:rPr>
          <w:b/>
          <w:bCs/>
        </w:rPr>
        <w:t xml:space="preserve">Situation:</w:t>
      </w:r>
      <w:r>
        <w:t xml:space="preserve"> </w:t>
      </w:r>
      <w:r>
        <w:t xml:space="preserve">The Department buys a multifunctional device (printer, copier and scanner) for £6,000, VAT £1,200. A three-year manufacturer’s warranty is included in the price.</w:t>
      </w:r>
    </w:p>
    <w:p>
      <w:pPr>
        <w:pStyle w:val="Compact"/>
        <w:numPr>
          <w:ilvl w:val="0"/>
          <w:numId w:val="1312"/>
        </w:numPr>
      </w:pPr>
      <w:r>
        <w:rPr>
          <w:b/>
          <w:bCs/>
        </w:rPr>
        <w:t xml:space="preserve">VAT treatment:</w:t>
      </w:r>
    </w:p>
    <w:p>
      <w:pPr>
        <w:pStyle w:val="Compact"/>
        <w:numPr>
          <w:ilvl w:val="1"/>
          <w:numId w:val="1313"/>
        </w:numPr>
      </w:pPr>
      <w:r>
        <w:t xml:space="preserve">This is a purchase of goods. Heading 25 covers hire only</w:t>
      </w:r>
      <w:r>
        <w:t xml:space="preserve"> </w:t>
      </w:r>
      <w:r>
        <w:t xml:space="preserve">(</w:t>
      </w:r>
      <w:hyperlink w:anchor="ref-hmrc_vatgpb">
        <w:r>
          <w:rPr>
            <w:rStyle w:val="Hyperlink"/>
          </w:rPr>
          <w:t xml:space="preserve">HMRC, 2026n, sec. VATGPB10230</w:t>
        </w:r>
      </w:hyperlink>
      <w:r>
        <w:t xml:space="preserve">)</w:t>
      </w:r>
      <w:r>
        <w:t xml:space="preserve">, and Heading 49 excludes the purchase of photocopiers</w:t>
      </w:r>
      <w:r>
        <w:t xml:space="preserve"> </w:t>
      </w:r>
      <w:r>
        <w:t xml:space="preserve">(</w:t>
      </w:r>
      <w:hyperlink w:anchor="ref-hmrc_vatgpb">
        <w:r>
          <w:rPr>
            <w:rStyle w:val="Hyperlink"/>
          </w:rPr>
          <w:t xml:space="preserve">HMRC, 2026n, sec. VATGPB10710</w:t>
        </w:r>
      </w:hyperlink>
      <w:r>
        <w:t xml:space="preserve">)</w:t>
      </w:r>
      <w:r>
        <w:t xml:space="preserve">.</w:t>
      </w:r>
    </w:p>
    <w:p>
      <w:pPr>
        <w:pStyle w:val="Compact"/>
        <w:numPr>
          <w:ilvl w:val="1"/>
          <w:numId w:val="1313"/>
        </w:numPr>
      </w:pPr>
      <w:r>
        <w:t xml:space="preserve">A warranty included in the purchase price is part of a single supply of goods, so it does not qualify under Heading 37 either</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312"/>
        </w:numPr>
      </w:pPr>
      <w:r>
        <w:rPr>
          <w:b/>
          <w:bCs/>
        </w:rPr>
        <w:t xml:space="preserve">Result:</w:t>
      </w:r>
      <w:r>
        <w:t xml:space="preserve"> </w:t>
      </w:r>
      <w:r>
        <w:rPr>
          <w:b/>
          <w:bCs/>
        </w:rPr>
        <w:t xml:space="preserve">Not recoverable:</w:t>
      </w:r>
      <w:r>
        <w:t xml:space="preserve"> </w:t>
      </w:r>
      <w:r>
        <w:t xml:space="preserve">£1,200. Net cost £7,200.</w:t>
      </w:r>
    </w:p>
    <w:p>
      <w:pPr>
        <w:pStyle w:val="FirstParagraph"/>
      </w:pPr>
      <w:r>
        <w:rPr>
          <w:b/>
          <w:bCs/>
        </w:rPr>
        <w:t xml:space="preserve">Example 7: A photocopier hired with maintenance (Heading 25)</w:t>
      </w:r>
    </w:p>
    <w:p>
      <w:pPr>
        <w:pStyle w:val="Compact"/>
        <w:numPr>
          <w:ilvl w:val="0"/>
          <w:numId w:val="1314"/>
        </w:numPr>
      </w:pPr>
      <w:r>
        <w:rPr>
          <w:b/>
          <w:bCs/>
        </w:rPr>
        <w:t xml:space="preserve">Situation:</w:t>
      </w:r>
      <w:r>
        <w:t xml:space="preserve"> </w:t>
      </w:r>
      <w:r>
        <w:t xml:space="preserve">The Department hires the same type of device for five years. The supplier keeps ownership, must repair and maintain it, and charges per copy (a</w:t>
      </w:r>
      <w:r>
        <w:t xml:space="preserve"> </w:t>
      </w:r>
      <w:r>
        <w:t xml:space="preserve">“</w:t>
      </w:r>
      <w:r>
        <w:t xml:space="preserve">click charge</w:t>
      </w:r>
      <w:r>
        <w:t xml:space="preserve">”</w:t>
      </w:r>
      <w:r>
        <w:t xml:space="preserve">) that includes toner. Annual charge £3,000, VAT £600. The Department also buys extra toner separately for £200, VAT £40.</w:t>
      </w:r>
    </w:p>
    <w:p>
      <w:pPr>
        <w:pStyle w:val="Compact"/>
        <w:numPr>
          <w:ilvl w:val="0"/>
          <w:numId w:val="1314"/>
        </w:numPr>
      </w:pPr>
      <w:r>
        <w:rPr>
          <w:b/>
          <w:bCs/>
        </w:rPr>
        <w:t xml:space="preserve">VAT treatment:</w:t>
      </w:r>
    </w:p>
    <w:p>
      <w:pPr>
        <w:pStyle w:val="Compact"/>
        <w:numPr>
          <w:ilvl w:val="1"/>
          <w:numId w:val="1315"/>
        </w:numPr>
      </w:pPr>
      <w:r>
        <w:t xml:space="preserve">Heading 25 covers hire of reprographic equipment where the agreement includes repair and maintenance and the provider keeps ownership. It includes multifunctional devices and consumables inside the click charge</w:t>
      </w:r>
      <w:r>
        <w:t xml:space="preserve"> </w:t>
      </w:r>
      <w:r>
        <w:t xml:space="preserve">(</w:t>
      </w:r>
      <w:hyperlink w:anchor="ref-hmrc_vatgpb">
        <w:r>
          <w:rPr>
            <w:rStyle w:val="Hyperlink"/>
          </w:rPr>
          <w:t xml:space="preserve">HMRC, 2026n, sec. VATGPB10230</w:t>
        </w:r>
      </w:hyperlink>
      <w:r>
        <w:t xml:space="preserve">)</w:t>
      </w:r>
      <w:r>
        <w:t xml:space="preserve">.</w:t>
      </w:r>
    </w:p>
    <w:p>
      <w:pPr>
        <w:pStyle w:val="Compact"/>
        <w:numPr>
          <w:ilvl w:val="1"/>
          <w:numId w:val="1315"/>
        </w:numPr>
      </w:pPr>
      <w:r>
        <w:t xml:space="preserve">It excludes consumables supplied separately, such as toner, and hire without repair and maintenance</w:t>
      </w:r>
      <w:r>
        <w:t xml:space="preserve"> </w:t>
      </w:r>
      <w:r>
        <w:t xml:space="preserve">(</w:t>
      </w:r>
      <w:hyperlink w:anchor="ref-hmrc_vatgpb">
        <w:r>
          <w:rPr>
            <w:rStyle w:val="Hyperlink"/>
          </w:rPr>
          <w:t xml:space="preserve">HMRC, 2026n, sec. VATGPB10230</w:t>
        </w:r>
      </w:hyperlink>
      <w:r>
        <w:t xml:space="preserve">)</w:t>
      </w:r>
      <w:r>
        <w:t xml:space="preserve">.</w:t>
      </w:r>
    </w:p>
    <w:p>
      <w:pPr>
        <w:pStyle w:val="Compact"/>
        <w:numPr>
          <w:ilvl w:val="0"/>
          <w:numId w:val="1314"/>
        </w:numPr>
      </w:pPr>
      <w:r>
        <w:rPr>
          <w:b/>
          <w:bCs/>
        </w:rPr>
        <w:t xml:space="preserve">Result:</w:t>
      </w:r>
      <w:r>
        <w:t xml:space="preserve"> </w:t>
      </w:r>
      <w:r>
        <w:rPr>
          <w:b/>
          <w:bCs/>
        </w:rPr>
        <w:t xml:space="preserve">Recoverable:</w:t>
      </w:r>
      <w:r>
        <w:t xml:space="preserve"> </w:t>
      </w:r>
      <w:r>
        <w:t xml:space="preserve">£600 a year under Heading 25.</w:t>
      </w:r>
      <w:r>
        <w:t xml:space="preserve"> </w:t>
      </w:r>
      <w:r>
        <w:rPr>
          <w:b/>
          <w:bCs/>
        </w:rPr>
        <w:t xml:space="preserve">Not recoverable:</w:t>
      </w:r>
      <w:r>
        <w:t xml:space="preserve"> </w:t>
      </w:r>
      <w:r>
        <w:t xml:space="preserve">£40 on the separate toner. Net cost £3,240 a year (£3,840 paid − £600 refund).</w:t>
      </w:r>
    </w:p>
    <w:p>
      <w:pPr>
        <w:pStyle w:val="FirstParagraph"/>
      </w:pPr>
      <w:r>
        <w:rPr>
          <w:b/>
          <w:bCs/>
        </w:rPr>
        <w:t xml:space="preserve">Example 8: Spare parts in a contracted repair vs spares bought for stock (Heading 37)</w:t>
      </w:r>
    </w:p>
    <w:p>
      <w:pPr>
        <w:pStyle w:val="Compact"/>
        <w:numPr>
          <w:ilvl w:val="0"/>
          <w:numId w:val="1316"/>
        </w:numPr>
      </w:pPr>
      <w:r>
        <w:rPr>
          <w:b/>
          <w:bCs/>
        </w:rPr>
        <w:t xml:space="preserve">Situation:</w:t>
      </w:r>
      <w:r>
        <w:t xml:space="preserve"> </w:t>
      </w:r>
      <w:r>
        <w:t xml:space="preserve">When the warranty on the copier in Example 6 runs out, the Department signs an annual maintenance contract: £1,000, VAT £200. Under that contract the engineer fits a new drum unit, charged at £150, VAT £30. The Department also buys 10 drum units to keep in stock for its own staff to fit: £1,500, VAT £300.</w:t>
      </w:r>
    </w:p>
    <w:p>
      <w:pPr>
        <w:pStyle w:val="Compact"/>
        <w:numPr>
          <w:ilvl w:val="0"/>
          <w:numId w:val="1316"/>
        </w:numPr>
      </w:pPr>
      <w:r>
        <w:rPr>
          <w:b/>
          <w:bCs/>
        </w:rPr>
        <w:t xml:space="preserve">VAT treatment:</w:t>
      </w:r>
    </w:p>
    <w:p>
      <w:pPr>
        <w:pStyle w:val="Compact"/>
        <w:numPr>
          <w:ilvl w:val="1"/>
          <w:numId w:val="1317"/>
        </w:numPr>
      </w:pPr>
      <w:r>
        <w:t xml:space="preserve">HMRC’s list of eligible items includes</w:t>
      </w:r>
      <w:r>
        <w:t xml:space="preserve"> </w:t>
      </w:r>
      <w:r>
        <w:t xml:space="preserve">“</w:t>
      </w:r>
      <w:r>
        <w:t xml:space="preserve">maintenance contracts entered into after the manufacturer’s warranty expires</w:t>
      </w:r>
      <w:r>
        <w:t xml:space="preserve">”</w:t>
      </w:r>
      <w:r>
        <w:t xml:space="preserve"> </w:t>
      </w:r>
      <w:r>
        <w:t xml:space="preserve">and spare parts</w:t>
      </w:r>
      <w:r>
        <w:t xml:space="preserve"> </w:t>
      </w:r>
      <w:r>
        <w:t xml:space="preserve">“</w:t>
      </w:r>
      <w:r>
        <w:t xml:space="preserve">provided as part of the eligible repair and maintenance services</w:t>
      </w:r>
      <w:r>
        <w:t xml:space="preserve">”</w:t>
      </w:r>
      <w:r>
        <w:t xml:space="preserve">, both under Heading 37</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1"/>
          <w:numId w:val="1317"/>
        </w:numPr>
      </w:pPr>
      <w:r>
        <w:t xml:space="preserve">Spares bought for stock are a standalone supply of goods, so no heading applies.</w:t>
      </w:r>
    </w:p>
    <w:p>
      <w:pPr>
        <w:pStyle w:val="Compact"/>
        <w:numPr>
          <w:ilvl w:val="0"/>
          <w:numId w:val="1316"/>
        </w:numPr>
      </w:pPr>
      <w:r>
        <w:rPr>
          <w:b/>
          <w:bCs/>
        </w:rPr>
        <w:t xml:space="preserve">Result:</w:t>
      </w:r>
      <w:r>
        <w:t xml:space="preserve"> </w:t>
      </w:r>
      <w:r>
        <w:rPr>
          <w:b/>
          <w:bCs/>
        </w:rPr>
        <w:t xml:space="preserve">Recoverable:</w:t>
      </w:r>
      <w:r>
        <w:t xml:space="preserve"> </w:t>
      </w:r>
      <w:r>
        <w:t xml:space="preserve">£230 (£200 + £30) under Heading 37.</w:t>
      </w:r>
      <w:r>
        <w:t xml:space="preserve"> </w:t>
      </w:r>
      <w:r>
        <w:rPr>
          <w:b/>
          <w:bCs/>
        </w:rPr>
        <w:t xml:space="preserve">Not recoverable:</w:t>
      </w:r>
      <w:r>
        <w:t xml:space="preserve"> </w:t>
      </w:r>
      <w:r>
        <w:t xml:space="preserve">£300 on the stock spares. Net cost £2,950 (£3,180 paid − £230).</w:t>
      </w:r>
    </w:p>
    <w:p>
      <w:pPr>
        <w:pStyle w:val="FirstParagraph"/>
      </w:pPr>
      <w:r>
        <w:rPr>
          <w:b/>
          <w:bCs/>
        </w:rPr>
        <w:t xml:space="preserve">Example 9: Office furniture, its delivery, and an office move</w:t>
      </w:r>
    </w:p>
    <w:p>
      <w:pPr>
        <w:pStyle w:val="Compact"/>
        <w:numPr>
          <w:ilvl w:val="0"/>
          <w:numId w:val="1318"/>
        </w:numPr>
      </w:pPr>
      <w:r>
        <w:rPr>
          <w:b/>
          <w:bCs/>
        </w:rPr>
        <w:t xml:space="preserve">Situation:</w:t>
      </w:r>
      <w:r>
        <w:t xml:space="preserve"> </w:t>
      </w:r>
      <w:r>
        <w:t xml:space="preserve">The Department buys 40 desks and chairs for £12,000, VAT £2,400, delivered by the seller with delivery included in the price. It then pays a removal firm to move existing furniture between floors: £3,000, VAT £600.</w:t>
      </w:r>
    </w:p>
    <w:p>
      <w:pPr>
        <w:pStyle w:val="Compact"/>
        <w:numPr>
          <w:ilvl w:val="0"/>
          <w:numId w:val="1318"/>
        </w:numPr>
      </w:pPr>
      <w:r>
        <w:rPr>
          <w:b/>
          <w:bCs/>
        </w:rPr>
        <w:t xml:space="preserve">VAT treatment:</w:t>
      </w:r>
    </w:p>
    <w:p>
      <w:pPr>
        <w:pStyle w:val="Compact"/>
        <w:numPr>
          <w:ilvl w:val="1"/>
          <w:numId w:val="1319"/>
        </w:numPr>
      </w:pPr>
      <w:r>
        <w:t xml:space="preserve">The furniture is goods, so no heading applies.</w:t>
      </w:r>
    </w:p>
    <w:p>
      <w:pPr>
        <w:pStyle w:val="Compact"/>
        <w:numPr>
          <w:ilvl w:val="1"/>
          <w:numId w:val="1319"/>
        </w:numPr>
      </w:pPr>
      <w:r>
        <w:t xml:space="preserve">Where delivery is built into the price, VAT is due on the full price as a supply of the goods</w:t>
      </w:r>
      <w:r>
        <w:t xml:space="preserve"> </w:t>
      </w:r>
      <w:r>
        <w:t xml:space="preserve">(</w:t>
      </w:r>
      <w:hyperlink w:anchor="ref-hmrc_n70024">
        <w:r>
          <w:rPr>
            <w:rStyle w:val="Hyperlink"/>
          </w:rPr>
          <w:t xml:space="preserve">HMRC, 2022e, para. 2.2</w:t>
        </w:r>
      </w:hyperlink>
      <w:r>
        <w:t xml:space="preserve">)</w:t>
      </w:r>
      <w:r>
        <w:t xml:space="preserve">. Heading 13 expressly excludes VAT on delivery charges when you buy goods, because the delivery is</w:t>
      </w:r>
      <w:r>
        <w:t xml:space="preserve"> </w:t>
      </w:r>
      <w:r>
        <w:t xml:space="preserve">“</w:t>
      </w:r>
      <w:r>
        <w:t xml:space="preserve">part of a single supply of delivered goods</w:t>
      </w:r>
      <w:r>
        <w:t xml:space="preserve">”</w:t>
      </w:r>
      <w:r>
        <w:t xml:space="preserve"> </w:t>
      </w:r>
      <w:r>
        <w:t xml:space="preserve">(</w:t>
      </w:r>
      <w:hyperlink w:anchor="ref-hmrc_vatgpb">
        <w:r>
          <w:rPr>
            <w:rStyle w:val="Hyperlink"/>
          </w:rPr>
          <w:t xml:space="preserve">HMRC, 2026n, sec. VATGPB9990</w:t>
        </w:r>
      </w:hyperlink>
      <w:r>
        <w:t xml:space="preserve">)</w:t>
      </w:r>
      <w:r>
        <w:t xml:space="preserve">.</w:t>
      </w:r>
    </w:p>
    <w:p>
      <w:pPr>
        <w:pStyle w:val="Compact"/>
        <w:numPr>
          <w:ilvl w:val="1"/>
          <w:numId w:val="1319"/>
        </w:numPr>
      </w:pPr>
      <w:r>
        <w:t xml:space="preserve">The move is within Heading 42, which includes</w:t>
      </w:r>
      <w:r>
        <w:t xml:space="preserve"> </w:t>
      </w:r>
      <w:r>
        <w:t xml:space="preserve">“</w:t>
      </w:r>
      <w:r>
        <w:t xml:space="preserve">contractors moving office accommodation, for example from one floor to another</w:t>
      </w:r>
      <w:r>
        <w:t xml:space="preserve">”</w:t>
      </w:r>
      <w:r>
        <w:t xml:space="preserve"> </w:t>
      </w:r>
      <w:r>
        <w:t xml:space="preserve">(</w:t>
      </w:r>
      <w:hyperlink w:anchor="ref-hmrc_vatgpb">
        <w:r>
          <w:rPr>
            <w:rStyle w:val="Hyperlink"/>
          </w:rPr>
          <w:t xml:space="preserve">HMRC, 2026n, sec. VATGPB10570</w:t>
        </w:r>
      </w:hyperlink>
      <w:r>
        <w:t xml:space="preserve">)</w:t>
      </w:r>
      <w:r>
        <w:t xml:space="preserve">.</w:t>
      </w:r>
    </w:p>
    <w:p>
      <w:pPr>
        <w:pStyle w:val="Compact"/>
        <w:numPr>
          <w:ilvl w:val="0"/>
          <w:numId w:val="1318"/>
        </w:numPr>
      </w:pPr>
      <w:r>
        <w:rPr>
          <w:b/>
          <w:bCs/>
        </w:rPr>
        <w:t xml:space="preserve">Result:</w:t>
      </w:r>
      <w:r>
        <w:t xml:space="preserve"> </w:t>
      </w:r>
      <w:r>
        <w:rPr>
          <w:b/>
          <w:bCs/>
        </w:rPr>
        <w:t xml:space="preserve">Not recoverable:</w:t>
      </w:r>
      <w:r>
        <w:t xml:space="preserve"> </w:t>
      </w:r>
      <w:r>
        <w:t xml:space="preserve">£2,400 on the furniture.</w:t>
      </w:r>
      <w:r>
        <w:t xml:space="preserve"> </w:t>
      </w:r>
      <w:r>
        <w:rPr>
          <w:b/>
          <w:bCs/>
        </w:rPr>
        <w:t xml:space="preserve">Recoverable:</w:t>
      </w:r>
      <w:r>
        <w:t xml:space="preserve"> </w:t>
      </w:r>
      <w:r>
        <w:t xml:space="preserve">£600 under Heading 42. Net cost £17,400 (£18,000 paid − £600).</w:t>
      </w:r>
    </w:p>
    <w:p>
      <w:pPr>
        <w:pStyle w:val="FirstParagraph"/>
      </w:pPr>
      <w:r>
        <w:rPr>
          <w:b/>
          <w:bCs/>
        </w:rPr>
        <w:t xml:space="preserve">Example 10: CCTV cameras bought vs supplied within a security service (Heading 60)</w:t>
      </w:r>
    </w:p>
    <w:p>
      <w:pPr>
        <w:pStyle w:val="Compact"/>
        <w:numPr>
          <w:ilvl w:val="0"/>
          <w:numId w:val="1320"/>
        </w:numPr>
      </w:pPr>
      <w:r>
        <w:rPr>
          <w:b/>
          <w:bCs/>
        </w:rPr>
        <w:t xml:space="preserve">Situation:</w:t>
      </w:r>
      <w:r>
        <w:t xml:space="preserve"> </w:t>
      </w:r>
      <w:r>
        <w:t xml:space="preserve">Option A: the Department buys 12 CCTV cameras and has them installed under a standalone contract, £8,000, VAT £1,600. Option B: a security company provides guards and CCTV monitoring for a year, supplying the cameras as part of that service, £40,000, VAT £8,000.</w:t>
      </w:r>
    </w:p>
    <w:p>
      <w:pPr>
        <w:pStyle w:val="Compact"/>
        <w:numPr>
          <w:ilvl w:val="0"/>
          <w:numId w:val="1320"/>
        </w:numPr>
      </w:pPr>
      <w:r>
        <w:rPr>
          <w:b/>
          <w:bCs/>
        </w:rPr>
        <w:t xml:space="preserve">VAT treatment:</w:t>
      </w:r>
    </w:p>
    <w:p>
      <w:pPr>
        <w:pStyle w:val="Compact"/>
        <w:numPr>
          <w:ilvl w:val="1"/>
          <w:numId w:val="1321"/>
        </w:numPr>
      </w:pPr>
      <w:r>
        <w:t xml:space="preserve">Heading 60 excludes the</w:t>
      </w:r>
      <w:r>
        <w:t xml:space="preserve"> </w:t>
      </w:r>
      <w:r>
        <w:t xml:space="preserve">“</w:t>
      </w:r>
      <w:r>
        <w:t xml:space="preserve">purchase of security equipment as a standalone supply</w:t>
      </w:r>
      <w:r>
        <w:t xml:space="preserve">”</w:t>
      </w:r>
      <w:r>
        <w:t xml:space="preserve"> </w:t>
      </w:r>
      <w:r>
        <w:t xml:space="preserve">and installation of security equipment under a standalone contract</w:t>
      </w:r>
      <w:r>
        <w:t xml:space="preserve"> </w:t>
      </w:r>
      <w:r>
        <w:t xml:space="preserve">(</w:t>
      </w:r>
      <w:hyperlink w:anchor="ref-hmrc_vatgpb">
        <w:r>
          <w:rPr>
            <w:rStyle w:val="Hyperlink"/>
          </w:rPr>
          <w:t xml:space="preserve">HMRC, 2026n, sec. VATGPB10930</w:t>
        </w:r>
      </w:hyperlink>
      <w:r>
        <w:t xml:space="preserve">)</w:t>
      </w:r>
      <w:r>
        <w:t xml:space="preserve">.</w:t>
      </w:r>
    </w:p>
    <w:p>
      <w:pPr>
        <w:pStyle w:val="Compact"/>
        <w:numPr>
          <w:ilvl w:val="1"/>
          <w:numId w:val="1321"/>
        </w:numPr>
      </w:pPr>
      <w:r>
        <w:t xml:space="preserve">It includes surveillance equipment</w:t>
      </w:r>
      <w:r>
        <w:t xml:space="preserve"> </w:t>
      </w:r>
      <w:r>
        <w:t xml:space="preserve">“</w:t>
      </w:r>
      <w:r>
        <w:t xml:space="preserve">supplied as part of a wider security service</w:t>
      </w:r>
      <w:r>
        <w:t xml:space="preserve">”</w:t>
      </w:r>
      <w:r>
        <w:t xml:space="preserve"> </w:t>
      </w:r>
      <w:r>
        <w:t xml:space="preserve">(</w:t>
      </w:r>
      <w:hyperlink w:anchor="ref-hmrc_vatgpb">
        <w:r>
          <w:rPr>
            <w:rStyle w:val="Hyperlink"/>
          </w:rPr>
          <w:t xml:space="preserve">HMRC, 2026n, sec. VATGPB10930</w:t>
        </w:r>
      </w:hyperlink>
      <w:r>
        <w:t xml:space="preserve">)</w:t>
      </w:r>
      <w:r>
        <w:t xml:space="preserve">.</w:t>
      </w:r>
    </w:p>
    <w:p>
      <w:pPr>
        <w:pStyle w:val="Compact"/>
        <w:numPr>
          <w:ilvl w:val="1"/>
          <w:numId w:val="1321"/>
        </w:numPr>
      </w:pPr>
      <w:r>
        <w:t xml:space="preserve">Repairs to cameras the Department owns may fall under Heading 37</w:t>
      </w:r>
      <w:r>
        <w:t xml:space="preserve"> </w:t>
      </w:r>
      <w:r>
        <w:t xml:space="preserve">(</w:t>
      </w:r>
      <w:hyperlink w:anchor="ref-hmrc_vatgpb">
        <w:r>
          <w:rPr>
            <w:rStyle w:val="Hyperlink"/>
          </w:rPr>
          <w:t xml:space="preserve">HMRC, 2026n, sec. VATGPB10930</w:t>
        </w:r>
      </w:hyperlink>
      <w:r>
        <w:t xml:space="preserve">)</w:t>
      </w:r>
      <w:r>
        <w:t xml:space="preserve">.</w:t>
      </w:r>
    </w:p>
    <w:p>
      <w:pPr>
        <w:pStyle w:val="Compact"/>
        <w:numPr>
          <w:ilvl w:val="0"/>
          <w:numId w:val="1320"/>
        </w:numPr>
      </w:pPr>
      <w:r>
        <w:rPr>
          <w:b/>
          <w:bCs/>
        </w:rPr>
        <w:t xml:space="preserve">Result:</w:t>
      </w:r>
      <w:r>
        <w:t xml:space="preserve"> </w:t>
      </w:r>
      <w:r>
        <w:t xml:space="preserve">Option A:</w:t>
      </w:r>
      <w:r>
        <w:t xml:space="preserve"> </w:t>
      </w:r>
      <w:r>
        <w:rPr>
          <w:b/>
          <w:bCs/>
        </w:rPr>
        <w:t xml:space="preserve">Not recoverable:</w:t>
      </w:r>
      <w:r>
        <w:t xml:space="preserve"> </w:t>
      </w:r>
      <w:r>
        <w:t xml:space="preserve">£1,600, net cost £9,600. Option B:</w:t>
      </w:r>
      <w:r>
        <w:t xml:space="preserve"> </w:t>
      </w:r>
      <w:r>
        <w:rPr>
          <w:b/>
          <w:bCs/>
        </w:rPr>
        <w:t xml:space="preserve">Recoverable:</w:t>
      </w:r>
      <w:r>
        <w:t xml:space="preserve"> </w:t>
      </w:r>
      <w:r>
        <w:t xml:space="preserve">£8,000 under Heading 60, net cost £40,000.</w:t>
      </w:r>
    </w:p>
    <w:p>
      <w:pPr>
        <w:pStyle w:val="FirstParagraph"/>
      </w:pPr>
      <w:r>
        <w:rPr>
          <w:b/>
          <w:bCs/>
        </w:rPr>
        <w:t xml:space="preserve">Example 11: A local authority buys laptops (section 33)</w:t>
      </w:r>
    </w:p>
    <w:p>
      <w:pPr>
        <w:pStyle w:val="Compact"/>
        <w:numPr>
          <w:ilvl w:val="0"/>
          <w:numId w:val="1322"/>
        </w:numPr>
      </w:pPr>
      <w:r>
        <w:rPr>
          <w:b/>
          <w:bCs/>
        </w:rPr>
        <w:t xml:space="preserve">Situation:</w:t>
      </w:r>
      <w:r>
        <w:t xml:space="preserve"> </w:t>
      </w:r>
      <w:r>
        <w:t xml:space="preserve">A council buys 100 laptops at £800 each for staff running its statutory functions. Price £80,000, VAT £16,000.</w:t>
      </w:r>
    </w:p>
    <w:p>
      <w:pPr>
        <w:pStyle w:val="Compact"/>
        <w:numPr>
          <w:ilvl w:val="0"/>
          <w:numId w:val="1322"/>
        </w:numPr>
      </w:pPr>
      <w:r>
        <w:rPr>
          <w:b/>
          <w:bCs/>
        </w:rPr>
        <w:t xml:space="preserve">VAT treatment:</w:t>
      </w:r>
    </w:p>
    <w:p>
      <w:pPr>
        <w:pStyle w:val="Compact"/>
        <w:numPr>
          <w:ilvl w:val="1"/>
          <w:numId w:val="1323"/>
        </w:numPr>
      </w:pPr>
      <w:r>
        <w:t xml:space="preserve">Section 33 of the Value Added Tax Act 1994 refunds a local authority’s VAT on its non-business activities</w:t>
      </w:r>
      <w:r>
        <w:t xml:space="preserve"> </w:t>
      </w:r>
      <w:r>
        <w:t xml:space="preserve">(</w:t>
      </w:r>
      <w:hyperlink w:anchor="ref-hmrc_n749">
        <w:r>
          <w:rPr>
            <w:rStyle w:val="Hyperlink"/>
          </w:rPr>
          <w:t xml:space="preserve">HMRC, 2025g, para. 4.2</w:t>
        </w:r>
      </w:hyperlink>
      <w:r>
        <w:t xml:space="preserve">)</w:t>
      </w:r>
      <w:r>
        <w:t xml:space="preserve">. Unlike COS, it is not limited to listed services, so goods are covered (Value Added Tax Act 1994, s. 33(1)).</w:t>
      </w:r>
    </w:p>
    <w:p>
      <w:pPr>
        <w:pStyle w:val="Compact"/>
        <w:numPr>
          <w:ilvl w:val="1"/>
          <w:numId w:val="1323"/>
        </w:numPr>
      </w:pPr>
      <w:r>
        <w:t xml:space="preserve">The council must place the order, receive the supply, hold a tax invoice addressed to it, and pay from its own funds</w:t>
      </w:r>
      <w:r>
        <w:t xml:space="preserve"> </w:t>
      </w:r>
      <w:r>
        <w:t xml:space="preserve">(</w:t>
      </w:r>
      <w:hyperlink w:anchor="ref-hmrc_n749">
        <w:r>
          <w:rPr>
            <w:rStyle w:val="Hyperlink"/>
          </w:rPr>
          <w:t xml:space="preserve">HMRC, 2025g, para. 6.1</w:t>
        </w:r>
      </w:hyperlink>
      <w:r>
        <w:t xml:space="preserve">)</w:t>
      </w:r>
      <w:r>
        <w:t xml:space="preserve">.</w:t>
      </w:r>
    </w:p>
    <w:p>
      <w:pPr>
        <w:pStyle w:val="Compact"/>
        <w:numPr>
          <w:ilvl w:val="1"/>
          <w:numId w:val="1323"/>
        </w:numPr>
      </w:pPr>
      <w:r>
        <w:t xml:space="preserve">VAT on costs of its exempt business activities is refundable only if it is insignificant: less than £7,500 a year or less than 5% of all the VAT it incurs</w:t>
      </w:r>
      <w:r>
        <w:t xml:space="preserve"> </w:t>
      </w:r>
      <w:r>
        <w:t xml:space="preserve">(</w:t>
      </w:r>
      <w:hyperlink w:anchor="ref-hmrc_n749">
        <w:r>
          <w:rPr>
            <w:rStyle w:val="Hyperlink"/>
          </w:rPr>
          <w:t xml:space="preserve">HMRC, 2025g, para. 7.2</w:t>
        </w:r>
      </w:hyperlink>
      <w:r>
        <w:t xml:space="preserve">)</w:t>
      </w:r>
      <w:r>
        <w:t xml:space="preserve">.</w:t>
      </w:r>
    </w:p>
    <w:p>
      <w:pPr>
        <w:pStyle w:val="Compact"/>
        <w:numPr>
          <w:ilvl w:val="0"/>
          <w:numId w:val="1322"/>
        </w:numPr>
      </w:pPr>
      <w:r>
        <w:rPr>
          <w:b/>
          <w:bCs/>
        </w:rPr>
        <w:t xml:space="preserve">Result:</w:t>
      </w:r>
      <w:r>
        <w:t xml:space="preserve"> </w:t>
      </w:r>
      <w:r>
        <w:rPr>
          <w:b/>
          <w:bCs/>
        </w:rPr>
        <w:t xml:space="preserve">Recoverable:</w:t>
      </w:r>
      <w:r>
        <w:t xml:space="preserve"> </w:t>
      </w:r>
      <w:r>
        <w:t xml:space="preserve">£16,000 under section 33. Net cost £80,000.</w:t>
      </w:r>
    </w:p>
    <w:p>
      <w:pPr>
        <w:pStyle w:val="FirstParagraph"/>
      </w:pPr>
      <w:r>
        <w:rPr>
          <w:b/>
          <w:bCs/>
        </w:rPr>
        <w:t xml:space="preserve">Example 12: A business buys laptops (input tax)</w:t>
      </w:r>
    </w:p>
    <w:p>
      <w:pPr>
        <w:pStyle w:val="Compact"/>
        <w:numPr>
          <w:ilvl w:val="0"/>
          <w:numId w:val="1324"/>
        </w:numPr>
      </w:pPr>
      <w:r>
        <w:rPr>
          <w:b/>
          <w:bCs/>
        </w:rPr>
        <w:t xml:space="preserve">Situation:</w:t>
      </w:r>
      <w:r>
        <w:t xml:space="preserve"> </w:t>
      </w:r>
      <w:r>
        <w:t xml:space="preserve">A VAT-registered architecture practice buys the same 100 laptops. Price £80,000, VAT £16,000.</w:t>
      </w:r>
    </w:p>
    <w:p>
      <w:pPr>
        <w:pStyle w:val="Compact"/>
        <w:numPr>
          <w:ilvl w:val="0"/>
          <w:numId w:val="1324"/>
        </w:numPr>
      </w:pPr>
      <w:r>
        <w:rPr>
          <w:b/>
          <w:bCs/>
        </w:rPr>
        <w:t xml:space="preserve">VAT treatment:</w:t>
      </w:r>
    </w:p>
    <w:p>
      <w:pPr>
        <w:pStyle w:val="Compact"/>
        <w:numPr>
          <w:ilvl w:val="1"/>
          <w:numId w:val="1325"/>
        </w:numPr>
      </w:pPr>
      <w:r>
        <w:t xml:space="preserve">The laptops are used to make taxable supplies, so the VAT is input tax and is deductible (Value Added Tax Act 1994, ss. 24 to 26)</w:t>
      </w:r>
      <w:r>
        <w:t xml:space="preserve"> </w:t>
      </w:r>
      <w:r>
        <w:t xml:space="preserve">(</w:t>
      </w:r>
      <w:hyperlink w:anchor="ref-hmrc_n700">
        <w:r>
          <w:rPr>
            <w:rStyle w:val="Hyperlink"/>
          </w:rPr>
          <w:t xml:space="preserve">HMRC, 2026o, para. 10.2</w:t>
        </w:r>
      </w:hyperlink>
      <w:r>
        <w:t xml:space="preserve">)</w:t>
      </w:r>
      <w:r>
        <w:t xml:space="preserve">.</w:t>
      </w:r>
    </w:p>
    <w:p>
      <w:pPr>
        <w:pStyle w:val="Compact"/>
        <w:numPr>
          <w:ilvl w:val="1"/>
          <w:numId w:val="1325"/>
        </w:numPr>
      </w:pPr>
      <w:r>
        <w:t xml:space="preserve">If the business also made exempt supplies, it would apply the partial exemption rules</w:t>
      </w:r>
      <w:r>
        <w:t xml:space="preserve"> </w:t>
      </w:r>
      <w:r>
        <w:t xml:space="preserve">(</w:t>
      </w:r>
      <w:hyperlink w:anchor="ref-hmrc_n706">
        <w:r>
          <w:rPr>
            <w:rStyle w:val="Hyperlink"/>
          </w:rPr>
          <w:t xml:space="preserve">HMRC, 2025h</w:t>
        </w:r>
      </w:hyperlink>
      <w:r>
        <w:t xml:space="preserve">)</w:t>
      </w:r>
      <w:r>
        <w:t xml:space="preserve">.</w:t>
      </w:r>
    </w:p>
    <w:p>
      <w:pPr>
        <w:pStyle w:val="Compact"/>
        <w:numPr>
          <w:ilvl w:val="0"/>
          <w:numId w:val="1324"/>
        </w:numPr>
      </w:pPr>
      <w:r>
        <w:rPr>
          <w:b/>
          <w:bCs/>
        </w:rPr>
        <w:t xml:space="preserve">Result:</w:t>
      </w:r>
      <w:r>
        <w:t xml:space="preserve"> </w:t>
      </w:r>
      <w:r>
        <w:rPr>
          <w:b/>
          <w:bCs/>
        </w:rPr>
        <w:t xml:space="preserve">Recoverable:</w:t>
      </w:r>
      <w:r>
        <w:t xml:space="preserve"> </w:t>
      </w:r>
      <w:r>
        <w:t xml:space="preserve">£16,000 as input tax. Net cost £80,000.</w:t>
      </w:r>
    </w:p>
    <w:bookmarkEnd w:id="245"/>
    <w:bookmarkStart w:id="246" w:name="vehicles-and-fuel"/>
    <w:p>
      <w:pPr>
        <w:pStyle w:val="Heading4"/>
      </w:pPr>
      <w:r>
        <w:t xml:space="preserve">Vehicles and fuel</w:t>
      </w:r>
    </w:p>
    <w:p>
      <w:pPr>
        <w:pStyle w:val="FirstParagraph"/>
      </w:pPr>
      <w:r>
        <w:rPr>
          <w:b/>
          <w:bCs/>
        </w:rPr>
        <w:t xml:space="preserve">Example 13: A pool car bought outright by the Department</w:t>
      </w:r>
    </w:p>
    <w:p>
      <w:pPr>
        <w:pStyle w:val="Compact"/>
        <w:numPr>
          <w:ilvl w:val="0"/>
          <w:numId w:val="1326"/>
        </w:numPr>
      </w:pPr>
      <w:r>
        <w:rPr>
          <w:b/>
          <w:bCs/>
        </w:rPr>
        <w:t xml:space="preserve">Situation:</w:t>
      </w:r>
      <w:r>
        <w:t xml:space="preserve"> </w:t>
      </w:r>
      <w:r>
        <w:t xml:space="preserve">The Department buys a car for official journeys, kept at its office. Price £25,000, VAT £5,000.</w:t>
      </w:r>
    </w:p>
    <w:p>
      <w:pPr>
        <w:pStyle w:val="Compact"/>
        <w:numPr>
          <w:ilvl w:val="0"/>
          <w:numId w:val="1326"/>
        </w:numPr>
      </w:pPr>
      <w:r>
        <w:rPr>
          <w:b/>
          <w:bCs/>
        </w:rPr>
        <w:t xml:space="preserve">VAT treatment:</w:t>
      </w:r>
    </w:p>
    <w:p>
      <w:pPr>
        <w:pStyle w:val="Compact"/>
        <w:numPr>
          <w:ilvl w:val="1"/>
          <w:numId w:val="1327"/>
        </w:numPr>
      </w:pPr>
      <w:r>
        <w:t xml:space="preserve">A car is goods. Heading 26 covers vehicle</w:t>
      </w:r>
      <w:r>
        <w:t xml:space="preserve"> </w:t>
      </w:r>
      <w:r>
        <w:rPr>
          <w:b/>
          <w:bCs/>
        </w:rPr>
        <w:t xml:space="preserve">hire</w:t>
      </w:r>
      <w:r>
        <w:t xml:space="preserve"> </w:t>
      </w:r>
      <w:r>
        <w:t xml:space="preserve">with repair and maintenance, not purchase</w:t>
      </w:r>
      <w:r>
        <w:t xml:space="preserve"> </w:t>
      </w:r>
      <w:r>
        <w:t xml:space="preserve">(</w:t>
      </w:r>
      <w:hyperlink w:anchor="ref-hmrc_vatgpb">
        <w:r>
          <w:rPr>
            <w:rStyle w:val="Hyperlink"/>
          </w:rPr>
          <w:t xml:space="preserve">HMRC, 2026n, sec. VATGPB10250</w:t>
        </w:r>
      </w:hyperlink>
      <w:r>
        <w:t xml:space="preserve">)</w:t>
      </w:r>
      <w:r>
        <w:t xml:space="preserve">. No other heading covers buying goods</w:t>
      </w:r>
      <w:r>
        <w:t xml:space="preserve"> </w:t>
      </w:r>
      <w:r>
        <w:t xml:space="preserve">(</w:t>
      </w:r>
      <w:hyperlink w:anchor="ref-hmrc_vatgpb">
        <w:r>
          <w:rPr>
            <w:rStyle w:val="Hyperlink"/>
          </w:rPr>
          <w:t xml:space="preserve">HMRC, 2026n, sec. VATGPB11370</w:t>
        </w:r>
      </w:hyperlink>
      <w:r>
        <w:t xml:space="preserve">)</w:t>
      </w:r>
      <w:r>
        <w:t xml:space="preserve">.</w:t>
      </w:r>
    </w:p>
    <w:p>
      <w:pPr>
        <w:pStyle w:val="Compact"/>
        <w:numPr>
          <w:ilvl w:val="0"/>
          <w:numId w:val="1326"/>
        </w:numPr>
      </w:pPr>
      <w:r>
        <w:rPr>
          <w:b/>
          <w:bCs/>
        </w:rPr>
        <w:t xml:space="preserve">Result:</w:t>
      </w:r>
      <w:r>
        <w:t xml:space="preserve"> </w:t>
      </w:r>
      <w:r>
        <w:rPr>
          <w:b/>
          <w:bCs/>
        </w:rPr>
        <w:t xml:space="preserve">Not recoverable:</w:t>
      </w:r>
      <w:r>
        <w:t xml:space="preserve"> </w:t>
      </w:r>
      <w:r>
        <w:t xml:space="preserve">£5,000. Net cost £30,000.</w:t>
      </w:r>
    </w:p>
    <w:p>
      <w:pPr>
        <w:pStyle w:val="FirstParagraph"/>
      </w:pPr>
      <w:r>
        <w:rPr>
          <w:b/>
          <w:bCs/>
        </w:rPr>
        <w:t xml:space="preserve">Example 14: The same car leased with maintenance for 36 months (Heading 26)</w:t>
      </w:r>
    </w:p>
    <w:p>
      <w:pPr>
        <w:pStyle w:val="Compact"/>
        <w:numPr>
          <w:ilvl w:val="0"/>
          <w:numId w:val="1328"/>
        </w:numPr>
      </w:pPr>
      <w:r>
        <w:rPr>
          <w:b/>
          <w:bCs/>
        </w:rPr>
        <w:t xml:space="preserve">Situation:</w:t>
      </w:r>
      <w:r>
        <w:t xml:space="preserve"> </w:t>
      </w:r>
      <w:r>
        <w:t xml:space="preserve">The Department leases the car for 36 months. The leasing company must repair and maintain it. Monthly rental £450, VAT £90.</w:t>
      </w:r>
    </w:p>
    <w:p>
      <w:pPr>
        <w:pStyle w:val="Compact"/>
        <w:numPr>
          <w:ilvl w:val="0"/>
          <w:numId w:val="1328"/>
        </w:numPr>
      </w:pPr>
      <w:r>
        <w:rPr>
          <w:b/>
          <w:bCs/>
        </w:rPr>
        <w:t xml:space="preserve">VAT treatment:</w:t>
      </w:r>
    </w:p>
    <w:p>
      <w:pPr>
        <w:pStyle w:val="Compact"/>
        <w:numPr>
          <w:ilvl w:val="1"/>
          <w:numId w:val="1329"/>
        </w:numPr>
      </w:pPr>
      <w:r>
        <w:t xml:space="preserve">Heading 26 covers hire of vehicles for more than 30 consecutive days where the contract includes repair and maintenance by the supplier. It includes pool cars</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1"/>
          <w:numId w:val="1329"/>
        </w:numPr>
      </w:pPr>
      <w:r>
        <w:t xml:space="preserve">If one contract covers some vehicles with maintenance and some without, only the</w:t>
      </w:r>
      <w:r>
        <w:t xml:space="preserve"> </w:t>
      </w:r>
      <w:r>
        <w:t xml:space="preserve">“</w:t>
      </w:r>
      <w:r>
        <w:t xml:space="preserve">with maintenance</w:t>
      </w:r>
      <w:r>
        <w:t xml:space="preserve">”</w:t>
      </w:r>
      <w:r>
        <w:t xml:space="preserve"> </w:t>
      </w:r>
      <w:r>
        <w:t xml:space="preserve">element is recoverable</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1"/>
          <w:numId w:val="1329"/>
        </w:numPr>
      </w:pPr>
      <w:r>
        <w:rPr>
          <w:b/>
          <w:bCs/>
        </w:rPr>
        <w:t xml:space="preserve">Check first:</w:t>
      </w:r>
      <w:r>
        <w:t xml:space="preserve"> </w:t>
      </w:r>
      <w:r>
        <w:t xml:space="preserve">businesses normally cannot recover 50% of the VAT on leasing a car, to cover private use</w:t>
      </w:r>
      <w:r>
        <w:t xml:space="preserve"> </w:t>
      </w:r>
      <w:r>
        <w:t xml:space="preserve">(</w:t>
      </w:r>
      <w:hyperlink w:anchor="ref-hmrc_n70064">
        <w:r>
          <w:rPr>
            <w:rStyle w:val="Hyperlink"/>
          </w:rPr>
          <w:t xml:space="preserve">HMRC, 2024c, para. 4.2</w:t>
        </w:r>
      </w:hyperlink>
      <w:r>
        <w:t xml:space="preserve">)</w:t>
      </w:r>
      <w:r>
        <w:t xml:space="preserve">. That is a restriction on input tax. HMRC’s Heading 26 guidance does not mention it, so this example assumes the full non-business VAT is refundable.</w:t>
      </w:r>
    </w:p>
    <w:p>
      <w:pPr>
        <w:pStyle w:val="Compact"/>
        <w:numPr>
          <w:ilvl w:val="0"/>
          <w:numId w:val="1328"/>
        </w:numPr>
      </w:pPr>
      <w:r>
        <w:rPr>
          <w:b/>
          <w:bCs/>
        </w:rPr>
        <w:t xml:space="preserve">Result:</w:t>
      </w:r>
      <w:r>
        <w:t xml:space="preserve"> </w:t>
      </w:r>
      <w:r>
        <w:rPr>
          <w:b/>
          <w:bCs/>
        </w:rPr>
        <w:t xml:space="preserve">Recoverable:</w:t>
      </w:r>
      <w:r>
        <w:t xml:space="preserve"> </w:t>
      </w:r>
      <w:r>
        <w:t xml:space="preserve">£1,080 a year (£90 × 12) under Heading 26. Net cost £5,400 a year (£450 × 12).</w:t>
      </w:r>
    </w:p>
    <w:p>
      <w:pPr>
        <w:pStyle w:val="FirstParagraph"/>
      </w:pPr>
      <w:r>
        <w:rPr>
          <w:b/>
          <w:bCs/>
        </w:rPr>
        <w:t xml:space="preserve">Example 15: Another department hires a van for 10 days</w:t>
      </w:r>
    </w:p>
    <w:p>
      <w:pPr>
        <w:pStyle w:val="Compact"/>
        <w:numPr>
          <w:ilvl w:val="0"/>
          <w:numId w:val="1330"/>
        </w:numPr>
      </w:pPr>
      <w:r>
        <w:rPr>
          <w:b/>
          <w:bCs/>
        </w:rPr>
        <w:t xml:space="preserve">Situation:</w:t>
      </w:r>
      <w:r>
        <w:t xml:space="preserve"> </w:t>
      </w:r>
      <w:r>
        <w:t xml:space="preserve">Another central government department hires a van for 10 days to clear an office store. The contract has no repair and maintenance obligation. Price £600, VAT £120.</w:t>
      </w:r>
    </w:p>
    <w:p>
      <w:pPr>
        <w:pStyle w:val="Compact"/>
        <w:numPr>
          <w:ilvl w:val="0"/>
          <w:numId w:val="1330"/>
        </w:numPr>
      </w:pPr>
      <w:r>
        <w:rPr>
          <w:b/>
          <w:bCs/>
        </w:rPr>
        <w:t xml:space="preserve">VAT treatment:</w:t>
      </w:r>
    </w:p>
    <w:p>
      <w:pPr>
        <w:pStyle w:val="Compact"/>
        <w:numPr>
          <w:ilvl w:val="1"/>
          <w:numId w:val="1331"/>
        </w:numPr>
      </w:pPr>
      <w:r>
        <w:t xml:space="preserve">Heading 26 needs hire for more than 30 consecutive days with repair and maintenance included. Hires of 30 days or less are excluded</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1"/>
          <w:numId w:val="1331"/>
        </w:numPr>
      </w:pPr>
      <w:r>
        <w:t xml:space="preserve">Heading 37 does not cover leasing or hire itself</w:t>
      </w:r>
      <w:r>
        <w:t xml:space="preserve"> </w:t>
      </w:r>
      <w:r>
        <w:t xml:space="preserve">(</w:t>
      </w:r>
      <w:hyperlink w:anchor="ref-hmrc_vatgpb">
        <w:r>
          <w:rPr>
            <w:rStyle w:val="Hyperlink"/>
          </w:rPr>
          <w:t xml:space="preserve">HMRC, 2026n, sec. VATGPB10470</w:t>
        </w:r>
      </w:hyperlink>
      <w:r>
        <w:t xml:space="preserve">)</w:t>
      </w:r>
      <w:r>
        <w:t xml:space="preserve">.</w:t>
      </w:r>
    </w:p>
    <w:p>
      <w:pPr>
        <w:pStyle w:val="Compact"/>
        <w:numPr>
          <w:ilvl w:val="1"/>
          <w:numId w:val="1331"/>
        </w:numPr>
      </w:pPr>
      <w:r>
        <w:t xml:space="preserve">Hiring a removal firm to do the job instead could fall within Heading 42, which covers removal services</w:t>
      </w:r>
      <w:r>
        <w:t xml:space="preserve"> </w:t>
      </w:r>
      <w:r>
        <w:t xml:space="preserve">(</w:t>
      </w:r>
      <w:hyperlink w:anchor="ref-hmrc_vatgpb">
        <w:r>
          <w:rPr>
            <w:rStyle w:val="Hyperlink"/>
          </w:rPr>
          <w:t xml:space="preserve">HMRC, 2026n, sec. VATGPB10570</w:t>
        </w:r>
      </w:hyperlink>
      <w:r>
        <w:t xml:space="preserve">)</w:t>
      </w:r>
      <w:r>
        <w:t xml:space="preserve">.</w:t>
      </w:r>
    </w:p>
    <w:p>
      <w:pPr>
        <w:pStyle w:val="Compact"/>
        <w:numPr>
          <w:ilvl w:val="0"/>
          <w:numId w:val="1330"/>
        </w:numPr>
      </w:pPr>
      <w:r>
        <w:rPr>
          <w:b/>
          <w:bCs/>
        </w:rPr>
        <w:t xml:space="preserve">Result:</w:t>
      </w:r>
      <w:r>
        <w:t xml:space="preserve"> </w:t>
      </w:r>
      <w:r>
        <w:rPr>
          <w:b/>
          <w:bCs/>
        </w:rPr>
        <w:t xml:space="preserve">Not recoverable:</w:t>
      </w:r>
      <w:r>
        <w:t xml:space="preserve"> </w:t>
      </w:r>
      <w:r>
        <w:t xml:space="preserve">£120. Net cost £720.</w:t>
      </w:r>
    </w:p>
    <w:p>
      <w:pPr>
        <w:pStyle w:val="FirstParagraph"/>
      </w:pPr>
      <w:r>
        <w:rPr>
          <w:b/>
          <w:bCs/>
        </w:rPr>
        <w:t xml:space="preserve">Example 16: A business buys a car</w:t>
      </w:r>
    </w:p>
    <w:p>
      <w:pPr>
        <w:pStyle w:val="Compact"/>
        <w:numPr>
          <w:ilvl w:val="0"/>
          <w:numId w:val="1332"/>
        </w:numPr>
      </w:pPr>
      <w:r>
        <w:rPr>
          <w:b/>
          <w:bCs/>
        </w:rPr>
        <w:t xml:space="preserve">Situation:</w:t>
      </w:r>
      <w:r>
        <w:t xml:space="preserve"> </w:t>
      </w:r>
      <w:r>
        <w:t xml:space="preserve">A VAT-registered business buys a car for its sales manager, who may also use it privately. Price £25,000, VAT £5,000.</w:t>
      </w:r>
    </w:p>
    <w:p>
      <w:pPr>
        <w:pStyle w:val="Compact"/>
        <w:numPr>
          <w:ilvl w:val="0"/>
          <w:numId w:val="1332"/>
        </w:numPr>
      </w:pPr>
      <w:r>
        <w:rPr>
          <w:b/>
          <w:bCs/>
        </w:rPr>
        <w:t xml:space="preserve">VAT treatment:</w:t>
      </w:r>
    </w:p>
    <w:p>
      <w:pPr>
        <w:pStyle w:val="Compact"/>
        <w:numPr>
          <w:ilvl w:val="1"/>
          <w:numId w:val="1333"/>
        </w:numPr>
      </w:pPr>
      <w:r>
        <w:t xml:space="preserve">VAT on buying a car is generally blocked (The Value Added Tax (Input Tax) Order 1992, art. 7)</w:t>
      </w:r>
      <w:r>
        <w:t xml:space="preserve"> </w:t>
      </w:r>
      <w:r>
        <w:t xml:space="preserve">(</w:t>
      </w:r>
      <w:hyperlink w:anchor="ref-hmrc_n70064">
        <w:r>
          <w:rPr>
            <w:rStyle w:val="Hyperlink"/>
          </w:rPr>
          <w:t xml:space="preserve">HMRC, 2024c, para. 3.1</w:t>
        </w:r>
      </w:hyperlink>
      <w:r>
        <w:t xml:space="preserve">)</w:t>
      </w:r>
      <w:r>
        <w:t xml:space="preserve">.</w:t>
      </w:r>
    </w:p>
    <w:p>
      <w:pPr>
        <w:pStyle w:val="Compact"/>
        <w:numPr>
          <w:ilvl w:val="1"/>
          <w:numId w:val="1333"/>
        </w:numPr>
      </w:pPr>
      <w:r>
        <w:t xml:space="preserve">The block does not apply to a car used only for business and not available for private use</w:t>
      </w:r>
      <w:r>
        <w:t xml:space="preserve"> </w:t>
      </w:r>
      <w:r>
        <w:t xml:space="preserve">(</w:t>
      </w:r>
      <w:hyperlink w:anchor="ref-hmrc_n70064">
        <w:r>
          <w:rPr>
            <w:rStyle w:val="Hyperlink"/>
          </w:rPr>
          <w:t xml:space="preserve">HMRC, 2024c, para. 3.5</w:t>
        </w:r>
      </w:hyperlink>
      <w:r>
        <w:t xml:space="preserve">)</w:t>
      </w:r>
      <w:r>
        <w:t xml:space="preserve">. HMRC accepts this for a pool car that is normally kept at the principal place of business, not allocated to one person and not kept at an employee’s home</w:t>
      </w:r>
      <w:r>
        <w:t xml:space="preserve"> </w:t>
      </w:r>
      <w:r>
        <w:t xml:space="preserve">(</w:t>
      </w:r>
      <w:hyperlink w:anchor="ref-hmrc_n70064">
        <w:r>
          <w:rPr>
            <w:rStyle w:val="Hyperlink"/>
          </w:rPr>
          <w:t xml:space="preserve">HMRC, 2024c, para. 3.7</w:t>
        </w:r>
      </w:hyperlink>
      <w:r>
        <w:t xml:space="preserve">)</w:t>
      </w:r>
      <w:r>
        <w:t xml:space="preserve">.</w:t>
      </w:r>
    </w:p>
    <w:p>
      <w:pPr>
        <w:pStyle w:val="Compact"/>
        <w:numPr>
          <w:ilvl w:val="0"/>
          <w:numId w:val="1332"/>
        </w:numPr>
      </w:pPr>
      <w:r>
        <w:rPr>
          <w:b/>
          <w:bCs/>
        </w:rPr>
        <w:t xml:space="preserve">Result:</w:t>
      </w:r>
      <w:r>
        <w:t xml:space="preserve"> </w:t>
      </w:r>
      <w:r>
        <w:rPr>
          <w:b/>
          <w:bCs/>
        </w:rPr>
        <w:t xml:space="preserve">Not recoverable:</w:t>
      </w:r>
      <w:r>
        <w:t xml:space="preserve"> </w:t>
      </w:r>
      <w:r>
        <w:t xml:space="preserve">£5,000, net cost £30,000. A genuine pool car would be</w:t>
      </w:r>
      <w:r>
        <w:t xml:space="preserve"> </w:t>
      </w:r>
      <w:r>
        <w:rPr>
          <w:b/>
          <w:bCs/>
        </w:rPr>
        <w:t xml:space="preserve">Recoverable:</w:t>
      </w:r>
      <w:r>
        <w:t xml:space="preserve"> </w:t>
      </w:r>
      <w:r>
        <w:t xml:space="preserve">£5,000, net cost £25,000.</w:t>
      </w:r>
    </w:p>
    <w:p>
      <w:pPr>
        <w:pStyle w:val="FirstParagraph"/>
      </w:pPr>
      <w:r>
        <w:rPr>
          <w:b/>
          <w:bCs/>
        </w:rPr>
        <w:t xml:space="preserve">Example 17: A business leases a car with maintenance</w:t>
      </w:r>
    </w:p>
    <w:p>
      <w:pPr>
        <w:pStyle w:val="Compact"/>
        <w:numPr>
          <w:ilvl w:val="0"/>
          <w:numId w:val="1334"/>
        </w:numPr>
      </w:pPr>
      <w:r>
        <w:rPr>
          <w:b/>
          <w:bCs/>
        </w:rPr>
        <w:t xml:space="preserve">Situation:</w:t>
      </w:r>
      <w:r>
        <w:t xml:space="preserve"> </w:t>
      </w:r>
      <w:r>
        <w:t xml:space="preserve">The same business leases a car for a manager who uses it privately as well. Monthly rental £400, VAT £80. Maintenance is supplied separately and shown separately on the invoice: £50, VAT £10.</w:t>
      </w:r>
    </w:p>
    <w:p>
      <w:pPr>
        <w:pStyle w:val="Compact"/>
        <w:numPr>
          <w:ilvl w:val="0"/>
          <w:numId w:val="1334"/>
        </w:numPr>
      </w:pPr>
      <w:r>
        <w:rPr>
          <w:b/>
          <w:bCs/>
        </w:rPr>
        <w:t xml:space="preserve">VAT treatment:</w:t>
      </w:r>
    </w:p>
    <w:p>
      <w:pPr>
        <w:pStyle w:val="Compact"/>
        <w:numPr>
          <w:ilvl w:val="1"/>
          <w:numId w:val="1335"/>
        </w:numPr>
      </w:pPr>
      <w:r>
        <w:t xml:space="preserve">Where a business leases a car for business purposes, it normally cannot recover 50% of the VAT on the rental. The block is there to cover private use</w:t>
      </w:r>
      <w:r>
        <w:t xml:space="preserve"> </w:t>
      </w:r>
      <w:r>
        <w:t xml:space="preserve">(</w:t>
      </w:r>
      <w:hyperlink w:anchor="ref-hmrc_n70064">
        <w:r>
          <w:rPr>
            <w:rStyle w:val="Hyperlink"/>
          </w:rPr>
          <w:t xml:space="preserve">HMRC, 2024c, para. 4.2</w:t>
        </w:r>
      </w:hyperlink>
      <w:r>
        <w:t xml:space="preserve">)</w:t>
      </w:r>
      <w:r>
        <w:t xml:space="preserve">.</w:t>
      </w:r>
    </w:p>
    <w:p>
      <w:pPr>
        <w:pStyle w:val="Compact"/>
        <w:numPr>
          <w:ilvl w:val="1"/>
          <w:numId w:val="1335"/>
        </w:numPr>
      </w:pPr>
      <w:r>
        <w:t xml:space="preserve">The 50% block covers all charges under the lease, including optional services, unless they are supplied and identified separately on the tax invoice</w:t>
      </w:r>
      <w:r>
        <w:t xml:space="preserve"> </w:t>
      </w:r>
      <w:r>
        <w:t xml:space="preserve">(</w:t>
      </w:r>
      <w:hyperlink w:anchor="ref-hmrc_n70064">
        <w:r>
          <w:rPr>
            <w:rStyle w:val="Hyperlink"/>
          </w:rPr>
          <w:t xml:space="preserve">HMRC, 2024c, para. 4.5</w:t>
        </w:r>
      </w:hyperlink>
      <w:r>
        <w:t xml:space="preserve">)</w:t>
      </w:r>
      <w:r>
        <w:t xml:space="preserve">. HMRC has agreed evidence rules for separate maintenance with the leasing trade</w:t>
      </w:r>
      <w:r>
        <w:t xml:space="preserve"> </w:t>
      </w:r>
      <w:r>
        <w:t xml:space="preserve">(</w:t>
      </w:r>
      <w:hyperlink w:anchor="ref-hmrc_n70064">
        <w:r>
          <w:rPr>
            <w:rStyle w:val="Hyperlink"/>
          </w:rPr>
          <w:t xml:space="preserve">HMRC, 2024c, para. 4.6</w:t>
        </w:r>
      </w:hyperlink>
      <w:r>
        <w:t xml:space="preserve">)</w:t>
      </w:r>
      <w:r>
        <w:t xml:space="preserve">.</w:t>
      </w:r>
    </w:p>
    <w:p>
      <w:pPr>
        <w:pStyle w:val="Compact"/>
        <w:numPr>
          <w:ilvl w:val="1"/>
          <w:numId w:val="1335"/>
        </w:numPr>
      </w:pPr>
      <w:r>
        <w:t xml:space="preserve">Monthly: rental £80 × 50% = £40, plus maintenance £10 in full = £50.</w:t>
      </w:r>
    </w:p>
    <w:p>
      <w:pPr>
        <w:pStyle w:val="Compact"/>
        <w:numPr>
          <w:ilvl w:val="0"/>
          <w:numId w:val="1334"/>
        </w:numPr>
      </w:pPr>
      <w:r>
        <w:rPr>
          <w:b/>
          <w:bCs/>
        </w:rPr>
        <w:t xml:space="preserve">Result:</w:t>
      </w:r>
      <w:r>
        <w:t xml:space="preserve"> </w:t>
      </w:r>
      <w:r>
        <w:rPr>
          <w:b/>
          <w:bCs/>
        </w:rPr>
        <w:t xml:space="preserve">Partly recoverable:</w:t>
      </w:r>
      <w:r>
        <w:t xml:space="preserve"> </w:t>
      </w:r>
      <w:r>
        <w:t xml:space="preserve">£50 of £90 a month, or £600 of £1,080 a year. Net cost £490 a month (£540 − £50).</w:t>
      </w:r>
    </w:p>
    <w:p>
      <w:pPr>
        <w:pStyle w:val="FirstParagraph"/>
      </w:pPr>
      <w:r>
        <w:rPr>
          <w:b/>
          <w:bCs/>
        </w:rPr>
        <w:t xml:space="preserve">Example 18: Road fuel</w:t>
      </w:r>
    </w:p>
    <w:p>
      <w:pPr>
        <w:pStyle w:val="Compact"/>
        <w:numPr>
          <w:ilvl w:val="0"/>
          <w:numId w:val="1336"/>
        </w:numPr>
      </w:pPr>
      <w:r>
        <w:rPr>
          <w:b/>
          <w:bCs/>
        </w:rPr>
        <w:t xml:space="preserve">Situation:</w:t>
      </w:r>
      <w:r>
        <w:t xml:space="preserve"> </w:t>
      </w:r>
      <w:r>
        <w:t xml:space="preserve">The Department buys road fuel for its pool cars, used only on non-business journeys: £5,000 a year, VAT £1,000. A business buys the same amount of fuel for its vehicles.</w:t>
      </w:r>
    </w:p>
    <w:p>
      <w:pPr>
        <w:pStyle w:val="Compact"/>
        <w:numPr>
          <w:ilvl w:val="0"/>
          <w:numId w:val="1336"/>
        </w:numPr>
      </w:pPr>
      <w:r>
        <w:rPr>
          <w:b/>
          <w:bCs/>
        </w:rPr>
        <w:t xml:space="preserve">VAT treatment:</w:t>
      </w:r>
    </w:p>
    <w:p>
      <w:pPr>
        <w:pStyle w:val="Compact"/>
        <w:numPr>
          <w:ilvl w:val="1"/>
          <w:numId w:val="1337"/>
        </w:numPr>
      </w:pPr>
      <w:r>
        <w:t xml:space="preserve">Road fuel is standard-rated goods</w:t>
      </w:r>
      <w:r>
        <w:t xml:space="preserve"> </w:t>
      </w:r>
      <w:r>
        <w:t xml:space="preserve">(</w:t>
      </w:r>
      <w:hyperlink w:anchor="ref-hmrc_n70119">
        <w:r>
          <w:rPr>
            <w:rStyle w:val="Hyperlink"/>
          </w:rPr>
          <w:t xml:space="preserve">HMRC, 2026e, para. 2.3</w:t>
        </w:r>
      </w:hyperlink>
      <w:r>
        <w:t xml:space="preserve">)</w:t>
      </w:r>
      <w:r>
        <w:t xml:space="preserve">. No heading covers it, so for the Department it is a cost.</w:t>
      </w:r>
    </w:p>
    <w:p>
      <w:pPr>
        <w:pStyle w:val="Compact"/>
        <w:numPr>
          <w:ilvl w:val="1"/>
          <w:numId w:val="1337"/>
        </w:numPr>
      </w:pPr>
      <w:r>
        <w:t xml:space="preserve">The business can reclaim fuel VAT as input tax. If it pays for fuel used privately, it must apply the fuel scale charge (a flat-rate amount of output tax, set by the car’s CO2 emissions, that covers the private use)</w:t>
      </w:r>
      <w:r>
        <w:t xml:space="preserve"> </w:t>
      </w:r>
      <w:r>
        <w:t xml:space="preserve">(</w:t>
      </w:r>
      <w:hyperlink w:anchor="ref-hmrc_n70064">
        <w:r>
          <w:rPr>
            <w:rStyle w:val="Hyperlink"/>
          </w:rPr>
          <w:t xml:space="preserve">HMRC, 2024c, para. 10.1</w:t>
        </w:r>
      </w:hyperlink>
      <w:r>
        <w:t xml:space="preserve">)</w:t>
      </w:r>
      <w:r>
        <w:t xml:space="preserve">, keep detailed mileage records, or claim no fuel VAT at all</w:t>
      </w:r>
      <w:r>
        <w:t xml:space="preserve"> </w:t>
      </w:r>
      <w:r>
        <w:t xml:space="preserve">(</w:t>
      </w:r>
      <w:hyperlink w:anchor="ref-hmrc_n70064">
        <w:r>
          <w:rPr>
            <w:rStyle w:val="Hyperlink"/>
          </w:rPr>
          <w:t xml:space="preserve">HMRC, 2024c, para. 9.1</w:t>
        </w:r>
      </w:hyperlink>
      <w:r>
        <w:t xml:space="preserve">)</w:t>
      </w:r>
      <w:r>
        <w:t xml:space="preserve">. Partial exemption and non-business restrictions still apply</w:t>
      </w:r>
      <w:r>
        <w:t xml:space="preserve"> </w:t>
      </w:r>
      <w:r>
        <w:t xml:space="preserve">(</w:t>
      </w:r>
      <w:hyperlink w:anchor="ref-hmrc_n70064">
        <w:r>
          <w:rPr>
            <w:rStyle w:val="Hyperlink"/>
          </w:rPr>
          <w:t xml:space="preserve">HMRC, 2024c, para. 9.2</w:t>
        </w:r>
      </w:hyperlink>
      <w:r>
        <w:t xml:space="preserve">)</w:t>
      </w:r>
      <w:r>
        <w:t xml:space="preserve">.</w:t>
      </w:r>
    </w:p>
    <w:p>
      <w:pPr>
        <w:pStyle w:val="Compact"/>
        <w:numPr>
          <w:ilvl w:val="0"/>
          <w:numId w:val="1336"/>
        </w:numPr>
      </w:pPr>
      <w:r>
        <w:rPr>
          <w:b/>
          <w:bCs/>
        </w:rPr>
        <w:t xml:space="preserve">Result:</w:t>
      </w:r>
      <w:r>
        <w:t xml:space="preserve"> </w:t>
      </w:r>
      <w:r>
        <w:t xml:space="preserve">The Department:</w:t>
      </w:r>
      <w:r>
        <w:t xml:space="preserve"> </w:t>
      </w:r>
      <w:r>
        <w:rPr>
          <w:b/>
          <w:bCs/>
        </w:rPr>
        <w:t xml:space="preserve">Not recoverable:</w:t>
      </w:r>
      <w:r>
        <w:t xml:space="preserve"> </w:t>
      </w:r>
      <w:r>
        <w:t xml:space="preserve">£1,000, net cost £6,000. The business:</w:t>
      </w:r>
      <w:r>
        <w:t xml:space="preserve"> </w:t>
      </w:r>
      <w:r>
        <w:rPr>
          <w:b/>
          <w:bCs/>
        </w:rPr>
        <w:t xml:space="preserve">Recoverable:</w:t>
      </w:r>
      <w:r>
        <w:t xml:space="preserve"> </w:t>
      </w:r>
      <w:r>
        <w:t xml:space="preserve">£1,000, less any scale charge for private use, net cost £5,000 before any scale charge.</w:t>
      </w:r>
    </w:p>
    <w:p>
      <w:pPr>
        <w:pStyle w:val="FirstParagraph"/>
      </w:pPr>
      <w:r>
        <w:rPr>
          <w:b/>
          <w:bCs/>
        </w:rPr>
        <w:t xml:space="preserve">Example 19: Servicing a vehicle the Department owns (Heading 37)</w:t>
      </w:r>
    </w:p>
    <w:p>
      <w:pPr>
        <w:pStyle w:val="Compact"/>
        <w:numPr>
          <w:ilvl w:val="0"/>
          <w:numId w:val="1338"/>
        </w:numPr>
      </w:pPr>
      <w:r>
        <w:rPr>
          <w:b/>
          <w:bCs/>
        </w:rPr>
        <w:t xml:space="preserve">Situation:</w:t>
      </w:r>
      <w:r>
        <w:t xml:space="preserve"> </w:t>
      </w:r>
      <w:r>
        <w:t xml:space="preserve">The pool car from Example 13 has its annual service at a garage, including two new tyres and brake pads: £700, VAT £140. The Department also buys a set of winter tyres for its own staff to fit later: £400, VAT £80.</w:t>
      </w:r>
    </w:p>
    <w:p>
      <w:pPr>
        <w:pStyle w:val="Compact"/>
        <w:numPr>
          <w:ilvl w:val="0"/>
          <w:numId w:val="1338"/>
        </w:numPr>
      </w:pPr>
      <w:r>
        <w:rPr>
          <w:b/>
          <w:bCs/>
        </w:rPr>
        <w:t xml:space="preserve">VAT treatment:</w:t>
      </w:r>
    </w:p>
    <w:p>
      <w:pPr>
        <w:pStyle w:val="Compact"/>
        <w:numPr>
          <w:ilvl w:val="1"/>
          <w:numId w:val="1339"/>
        </w:numPr>
      </w:pPr>
      <w:r>
        <w:t xml:space="preserve">Heading 37 covers repair, maintenance and cleaning of vehicles a department owns</w:t>
      </w:r>
      <w:r>
        <w:t xml:space="preserve"> </w:t>
      </w:r>
      <w:r>
        <w:t xml:space="preserve">(</w:t>
      </w:r>
      <w:hyperlink w:anchor="ref-hmrc_vatgpb">
        <w:r>
          <w:rPr>
            <w:rStyle w:val="Hyperlink"/>
          </w:rPr>
          <w:t xml:space="preserve">HMRC, 2026n, sec. VATGPB10470</w:t>
        </w:r>
      </w:hyperlink>
      <w:r>
        <w:t xml:space="preserve">)</w:t>
      </w:r>
      <w:r>
        <w:t xml:space="preserve">. Parts fitted as part of eligible repair and maintenance are included</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1"/>
          <w:numId w:val="1339"/>
        </w:numPr>
      </w:pPr>
      <w:r>
        <w:t xml:space="preserve">Tyres bought on their own are goods.</w:t>
      </w:r>
    </w:p>
    <w:p>
      <w:pPr>
        <w:pStyle w:val="Compact"/>
        <w:numPr>
          <w:ilvl w:val="0"/>
          <w:numId w:val="1338"/>
        </w:numPr>
      </w:pPr>
      <w:r>
        <w:rPr>
          <w:b/>
          <w:bCs/>
        </w:rPr>
        <w:t xml:space="preserve">Result:</w:t>
      </w:r>
      <w:r>
        <w:t xml:space="preserve"> </w:t>
      </w:r>
      <w:r>
        <w:rPr>
          <w:b/>
          <w:bCs/>
        </w:rPr>
        <w:t xml:space="preserve">Recoverable:</w:t>
      </w:r>
      <w:r>
        <w:t xml:space="preserve"> </w:t>
      </w:r>
      <w:r>
        <w:t xml:space="preserve">£140 under Heading 37.</w:t>
      </w:r>
      <w:r>
        <w:t xml:space="preserve"> </w:t>
      </w:r>
      <w:r>
        <w:rPr>
          <w:b/>
          <w:bCs/>
        </w:rPr>
        <w:t xml:space="preserve">Not recoverable:</w:t>
      </w:r>
      <w:r>
        <w:t xml:space="preserve"> </w:t>
      </w:r>
      <w:r>
        <w:t xml:space="preserve">£80. Net cost £1,180 (£1,320 paid − £140).</w:t>
      </w:r>
    </w:p>
    <w:bookmarkEnd w:id="246"/>
    <w:bookmarkStart w:id="247" w:name="buildings-repairs-and-maintenance"/>
    <w:p>
      <w:pPr>
        <w:pStyle w:val="Heading4"/>
      </w:pPr>
      <w:r>
        <w:t xml:space="preserve">Buildings, repairs and maintenance</w:t>
      </w:r>
    </w:p>
    <w:p>
      <w:pPr>
        <w:pStyle w:val="FirstParagraph"/>
      </w:pPr>
      <w:r>
        <w:rPr>
          <w:b/>
          <w:bCs/>
        </w:rPr>
        <w:t xml:space="preserve">Example 20: Renting offices from a landlord who has opted to tax</w:t>
      </w:r>
    </w:p>
    <w:p>
      <w:pPr>
        <w:pStyle w:val="Compact"/>
        <w:numPr>
          <w:ilvl w:val="0"/>
          <w:numId w:val="1340"/>
        </w:numPr>
      </w:pPr>
      <w:r>
        <w:rPr>
          <w:b/>
          <w:bCs/>
        </w:rPr>
        <w:t xml:space="preserve">Situation:</w:t>
      </w:r>
      <w:r>
        <w:t xml:space="preserve"> </w:t>
      </w:r>
      <w:r>
        <w:t xml:space="preserve">The Department leases a floor of a commercial office block for 10 years. The landlord has opted to tax the building. Rent £200,000 a year, VAT £40,000. Service charge £30,000, VAT £6,000. The use is wholly non-business.</w:t>
      </w:r>
    </w:p>
    <w:p>
      <w:pPr>
        <w:pStyle w:val="Compact"/>
        <w:numPr>
          <w:ilvl w:val="0"/>
          <w:numId w:val="1340"/>
        </w:numPr>
      </w:pPr>
      <w:r>
        <w:rPr>
          <w:b/>
          <w:bCs/>
        </w:rPr>
        <w:t xml:space="preserve">VAT treatment:</w:t>
      </w:r>
    </w:p>
    <w:p>
      <w:pPr>
        <w:pStyle w:val="Compact"/>
        <w:numPr>
          <w:ilvl w:val="1"/>
          <w:numId w:val="1341"/>
        </w:numPr>
      </w:pPr>
      <w:r>
        <w:t xml:space="preserve">Letting land and buildings is normally exempt. An</w:t>
      </w:r>
      <w:r>
        <w:t xml:space="preserve"> </w:t>
      </w:r>
      <w:r>
        <w:rPr>
          <w:b/>
          <w:bCs/>
        </w:rPr>
        <w:t xml:space="preserve">option to tax</w:t>
      </w:r>
      <w:r>
        <w:t xml:space="preserve"> </w:t>
      </w:r>
      <w:r>
        <w:t xml:space="preserve">is the landlord’s choice to charge VAT instead (HMRC notes that the person opting does not need to own the land), and once it is made, supplies of that property are normally standard-rated</w:t>
      </w:r>
      <w:r>
        <w:t xml:space="preserve"> </w:t>
      </w:r>
      <w:r>
        <w:t xml:space="preserve">(</w:t>
      </w:r>
      <w:hyperlink w:anchor="ref-hmrc_n742">
        <w:r>
          <w:rPr>
            <w:rStyle w:val="Hyperlink"/>
          </w:rPr>
          <w:t xml:space="preserve">HMRC, 2020a, para. 3.1</w:t>
        </w:r>
      </w:hyperlink>
      <w:r>
        <w:t xml:space="preserve">;</w:t>
      </w:r>
      <w:r>
        <w:t xml:space="preserve"> </w:t>
      </w:r>
      <w:hyperlink w:anchor="ref-hmrc_n742a">
        <w:r>
          <w:rPr>
            <w:rStyle w:val="Hyperlink"/>
          </w:rPr>
          <w:t xml:space="preserve">2026k, para. 1.2</w:t>
        </w:r>
      </w:hyperlink>
      <w:r>
        <w:t xml:space="preserve">)</w:t>
      </w:r>
      <w:r>
        <w:t xml:space="preserve">.</w:t>
      </w:r>
    </w:p>
    <w:p>
      <w:pPr>
        <w:pStyle w:val="Compact"/>
        <w:numPr>
          <w:ilvl w:val="1"/>
          <w:numId w:val="1341"/>
        </w:numPr>
      </w:pPr>
      <w:r>
        <w:t xml:space="preserve">Rent is not a listed service. Heading 53 (accommodation provided under a Private Finance Initiative, or PFI, agreement) does not include leases granted by commercial landlords</w:t>
      </w:r>
      <w:r>
        <w:t xml:space="preserve"> </w:t>
      </w:r>
      <w:r>
        <w:t xml:space="preserve">(</w:t>
      </w:r>
      <w:hyperlink w:anchor="ref-hmrc_vatgpb">
        <w:r>
          <w:rPr>
            <w:rStyle w:val="Hyperlink"/>
          </w:rPr>
          <w:t xml:space="preserve">HMRC, 2026n, sec. VATGPB10790</w:t>
        </w:r>
      </w:hyperlink>
      <w:r>
        <w:t xml:space="preserve">)</w:t>
      </w:r>
      <w:r>
        <w:t xml:space="preserve">. Heading 35 does not include service charges in a lease, because they are normally treated as extra rent</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1"/>
          <w:numId w:val="1341"/>
        </w:numPr>
      </w:pPr>
      <w:r>
        <w:rPr>
          <w:b/>
          <w:bCs/>
        </w:rPr>
        <w:t xml:space="preserve">Planning point:</w:t>
      </w:r>
      <w:r>
        <w:t xml:space="preserve"> </w:t>
      </w:r>
      <w:r>
        <w:t xml:space="preserve">rent on a building the landlord has not opted to tax is exempt, so no VAT is charged</w:t>
      </w:r>
      <w:r>
        <w:t xml:space="preserve"> </w:t>
      </w:r>
      <w:r>
        <w:t xml:space="preserve">(</w:t>
      </w:r>
      <w:hyperlink w:anchor="ref-hmrc_n742">
        <w:r>
          <w:rPr>
            <w:rStyle w:val="Hyperlink"/>
          </w:rPr>
          <w:t xml:space="preserve">HMRC, 2020a, para. 3.1</w:t>
        </w:r>
      </w:hyperlink>
      <w:r>
        <w:t xml:space="preserve">)</w:t>
      </w:r>
      <w:r>
        <w:t xml:space="preserve">. Check the option status before signing.</w:t>
      </w:r>
    </w:p>
    <w:p>
      <w:pPr>
        <w:pStyle w:val="Compact"/>
        <w:numPr>
          <w:ilvl w:val="0"/>
          <w:numId w:val="1340"/>
        </w:numPr>
      </w:pPr>
      <w:r>
        <w:rPr>
          <w:b/>
          <w:bCs/>
        </w:rPr>
        <w:t xml:space="preserve">Result:</w:t>
      </w:r>
      <w:r>
        <w:t xml:space="preserve"> </w:t>
      </w:r>
      <w:r>
        <w:rPr>
          <w:b/>
          <w:bCs/>
        </w:rPr>
        <w:t xml:space="preserve">Not recoverable:</w:t>
      </w:r>
      <w:r>
        <w:t xml:space="preserve"> </w:t>
      </w:r>
      <w:r>
        <w:t xml:space="preserve">£46,000 a year (£40,000 + £6,000). Net cost £276,000 a year. A fully taxable business tenant would recover the VAT as input tax.</w:t>
      </w:r>
    </w:p>
    <w:p>
      <w:pPr>
        <w:pStyle w:val="FirstParagraph"/>
      </w:pPr>
      <w:r>
        <w:rPr>
          <w:b/>
          <w:bCs/>
        </w:rPr>
        <w:t xml:space="preserve">Example 21: Buying an office building</w:t>
      </w:r>
    </w:p>
    <w:p>
      <w:pPr>
        <w:pStyle w:val="Compact"/>
        <w:numPr>
          <w:ilvl w:val="0"/>
          <w:numId w:val="1342"/>
        </w:numPr>
      </w:pPr>
      <w:r>
        <w:rPr>
          <w:b/>
          <w:bCs/>
        </w:rPr>
        <w:t xml:space="preserve">Situation:</w:t>
      </w:r>
      <w:r>
        <w:t xml:space="preserve"> </w:t>
      </w:r>
      <w:r>
        <w:t xml:space="preserve">The Department buys an office building for wholly non-business use. Option A: the freehold of an office building completed 18 months ago, for £5,000,000 plus VAT £1,000,000. Option B: a 15-year-old office for £5,000,000 from a seller that has not opted to tax.</w:t>
      </w:r>
    </w:p>
    <w:p>
      <w:pPr>
        <w:pStyle w:val="Compact"/>
        <w:numPr>
          <w:ilvl w:val="0"/>
          <w:numId w:val="1342"/>
        </w:numPr>
      </w:pPr>
      <w:r>
        <w:rPr>
          <w:b/>
          <w:bCs/>
        </w:rPr>
        <w:t xml:space="preserve">VAT treatment:</w:t>
      </w:r>
    </w:p>
    <w:p>
      <w:pPr>
        <w:pStyle w:val="Compact"/>
        <w:numPr>
          <w:ilvl w:val="1"/>
          <w:numId w:val="1343"/>
        </w:numPr>
      </w:pPr>
      <w:r>
        <w:t xml:space="preserve">The freehold sale of a commercial building is standard-rated while it is</w:t>
      </w:r>
      <w:r>
        <w:t xml:space="preserve"> </w:t>
      </w:r>
      <w:r>
        <w:t xml:space="preserve">“</w:t>
      </w:r>
      <w:r>
        <w:t xml:space="preserve">new</w:t>
      </w:r>
      <w:r>
        <w:t xml:space="preserve">”</w:t>
      </w:r>
      <w:r>
        <w:t xml:space="preserve">, meaning for three years from completion</w:t>
      </w:r>
      <w:r>
        <w:t xml:space="preserve"> </w:t>
      </w:r>
      <w:r>
        <w:t xml:space="preserve">(</w:t>
      </w:r>
      <w:hyperlink w:anchor="ref-hmrc_n742">
        <w:r>
          <w:rPr>
            <w:rStyle w:val="Hyperlink"/>
          </w:rPr>
          <w:t xml:space="preserve">HMRC, 2020a, para. 3.2</w:t>
        </w:r>
      </w:hyperlink>
      <w:r>
        <w:t xml:space="preserve">)</w:t>
      </w:r>
      <w:r>
        <w:t xml:space="preserve">.</w:t>
      </w:r>
    </w:p>
    <w:p>
      <w:pPr>
        <w:pStyle w:val="Compact"/>
        <w:numPr>
          <w:ilvl w:val="1"/>
          <w:numId w:val="1343"/>
        </w:numPr>
      </w:pPr>
      <w:r>
        <w:t xml:space="preserve">Older buildings are exempt unless the seller has opted to tax</w:t>
      </w:r>
      <w:r>
        <w:t xml:space="preserve"> </w:t>
      </w:r>
      <w:r>
        <w:t xml:space="preserve">(</w:t>
      </w:r>
      <w:hyperlink w:anchor="ref-hmrc_n742">
        <w:r>
          <w:rPr>
            <w:rStyle w:val="Hyperlink"/>
          </w:rPr>
          <w:t xml:space="preserve">HMRC, 2020a, para. 3.1</w:t>
        </w:r>
      </w:hyperlink>
      <w:r>
        <w:t xml:space="preserve">)</w:t>
      </w:r>
      <w:r>
        <w:t xml:space="preserve">.</w:t>
      </w:r>
    </w:p>
    <w:p>
      <w:pPr>
        <w:pStyle w:val="Compact"/>
        <w:numPr>
          <w:ilvl w:val="1"/>
          <w:numId w:val="1343"/>
        </w:numPr>
      </w:pPr>
      <w:r>
        <w:t xml:space="preserve">A building is not a listed service, so the Department cannot reclaim VAT on Option A.</w:t>
      </w:r>
    </w:p>
    <w:p>
      <w:pPr>
        <w:pStyle w:val="Compact"/>
        <w:numPr>
          <w:ilvl w:val="1"/>
          <w:numId w:val="1343"/>
        </w:numPr>
      </w:pPr>
      <w:r>
        <w:t xml:space="preserve">A business using the building for taxable supplies would reclaim the VAT as input tax. Land and buildings costing £250,000 or more (excluding VAT) also fall under the Capital Goods Scheme, which adjusts recovery if use changes over the following years. VAT on costs allocated entirely to non-business activities is not eligible for adjustment under that scheme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342"/>
        </w:numPr>
      </w:pPr>
      <w:r>
        <w:rPr>
          <w:b/>
          <w:bCs/>
        </w:rPr>
        <w:t xml:space="preserve">Result:</w:t>
      </w:r>
      <w:r>
        <w:t xml:space="preserve"> </w:t>
      </w:r>
      <w:r>
        <w:t xml:space="preserve">Option A:</w:t>
      </w:r>
      <w:r>
        <w:t xml:space="preserve"> </w:t>
      </w:r>
      <w:r>
        <w:rPr>
          <w:b/>
          <w:bCs/>
        </w:rPr>
        <w:t xml:space="preserve">Not recoverable:</w:t>
      </w:r>
      <w:r>
        <w:t xml:space="preserve"> </w:t>
      </w:r>
      <w:r>
        <w:t xml:space="preserve">£1,000,000, net cost £6,000,000. Option B: no VAT is charged, net cost £5,000,000.</w:t>
      </w:r>
    </w:p>
    <w:p>
      <w:pPr>
        <w:pStyle w:val="FirstParagraph"/>
      </w:pPr>
      <w:r>
        <w:rPr>
          <w:b/>
          <w:bCs/>
        </w:rPr>
        <w:t xml:space="preserve">Example 22: Constructing a new office building</w:t>
      </w:r>
    </w:p>
    <w:p>
      <w:pPr>
        <w:pStyle w:val="Compact"/>
        <w:numPr>
          <w:ilvl w:val="0"/>
          <w:numId w:val="1344"/>
        </w:numPr>
      </w:pPr>
      <w:r>
        <w:rPr>
          <w:b/>
          <w:bCs/>
        </w:rPr>
        <w:t xml:space="preserve">Situation:</w:t>
      </w:r>
      <w:r>
        <w:t xml:space="preserve"> </w:t>
      </w:r>
      <w:r>
        <w:t xml:space="preserve">The Department builds a new regional office, funded from its capital budget. Contract price £3,000,000, VAT £600,000.</w:t>
      </w:r>
    </w:p>
    <w:p>
      <w:pPr>
        <w:pStyle w:val="Compact"/>
        <w:numPr>
          <w:ilvl w:val="0"/>
          <w:numId w:val="1344"/>
        </w:numPr>
      </w:pPr>
      <w:r>
        <w:rPr>
          <w:b/>
          <w:bCs/>
        </w:rPr>
        <w:t xml:space="preserve">VAT treatment:</w:t>
      </w:r>
    </w:p>
    <w:p>
      <w:pPr>
        <w:pStyle w:val="Compact"/>
        <w:numPr>
          <w:ilvl w:val="1"/>
          <w:numId w:val="1345"/>
        </w:numPr>
      </w:pPr>
      <w:r>
        <w:t xml:space="preserve">Construction of a new commercial building is normally standard-rated</w:t>
      </w:r>
      <w:r>
        <w:t xml:space="preserve"> </w:t>
      </w:r>
      <w:r>
        <w:t xml:space="preserve">(</w:t>
      </w:r>
      <w:hyperlink w:anchor="ref-hmrc_n708">
        <w:r>
          <w:rPr>
            <w:rStyle w:val="Hyperlink"/>
          </w:rPr>
          <w:t xml:space="preserve">HMRC, 2026a, para. 2.1</w:t>
        </w:r>
      </w:hyperlink>
      <w:r>
        <w:t xml:space="preserve">)</w:t>
      </w:r>
      <w:r>
        <w:t xml:space="preserve">.</w:t>
      </w:r>
    </w:p>
    <w:p>
      <w:pPr>
        <w:pStyle w:val="Compact"/>
        <w:numPr>
          <w:ilvl w:val="1"/>
          <w:numId w:val="1345"/>
        </w:numPr>
      </w:pPr>
      <w:r>
        <w:t xml:space="preserve">Heading 35 excludes</w:t>
      </w:r>
      <w:r>
        <w:t xml:space="preserve"> </w:t>
      </w:r>
      <w:r>
        <w:t xml:space="preserve">“</w:t>
      </w:r>
      <w:r>
        <w:t xml:space="preserve">works which are more than remedial and which alter the structure or footprint of the building</w:t>
      </w:r>
      <w:r>
        <w:t xml:space="preserve">”</w:t>
      </w:r>
      <w:r>
        <w:t xml:space="preserve">. For government departments, HMRC accepts revenue-funded work as within the heading but not capital-funded work</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1"/>
          <w:numId w:val="1345"/>
        </w:numPr>
      </w:pPr>
      <w:r>
        <w:t xml:space="preserve">HMRC’s list confirms that building a new extension or a new room is not recoverable</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344"/>
        </w:numPr>
      </w:pPr>
      <w:r>
        <w:rPr>
          <w:b/>
          <w:bCs/>
        </w:rPr>
        <w:t xml:space="preserve">Result:</w:t>
      </w:r>
      <w:r>
        <w:t xml:space="preserve"> </w:t>
      </w:r>
      <w:r>
        <w:rPr>
          <w:b/>
          <w:bCs/>
        </w:rPr>
        <w:t xml:space="preserve">Not recoverable:</w:t>
      </w:r>
      <w:r>
        <w:t xml:space="preserve"> </w:t>
      </w:r>
      <w:r>
        <w:t xml:space="preserve">£600,000. Net cost £3,600,000.</w:t>
      </w:r>
    </w:p>
    <w:p>
      <w:pPr>
        <w:pStyle w:val="FirstParagraph"/>
      </w:pPr>
      <w:r>
        <w:rPr>
          <w:b/>
          <w:bCs/>
        </w:rPr>
        <w:t xml:space="preserve">Example 23: Redecorating and re-carpeting existing offices (Heading 35)</w:t>
      </w:r>
    </w:p>
    <w:p>
      <w:pPr>
        <w:pStyle w:val="Compact"/>
        <w:numPr>
          <w:ilvl w:val="0"/>
          <w:numId w:val="1346"/>
        </w:numPr>
      </w:pPr>
      <w:r>
        <w:rPr>
          <w:b/>
          <w:bCs/>
        </w:rPr>
        <w:t xml:space="preserve">Situation:</w:t>
      </w:r>
      <w:r>
        <w:t xml:space="preserve"> </w:t>
      </w:r>
      <w:r>
        <w:t xml:space="preserve">Paid from running costs, the Department repaints its existing offices (£20,000, VAT £4,000) and replaces worn carpet with new carpet (£10,000, VAT £2,000). It also replaces worn carpet in a meeting room with wooden flooring (£8,000, VAT £1,600).</w:t>
      </w:r>
    </w:p>
    <w:p>
      <w:pPr>
        <w:pStyle w:val="Compact"/>
        <w:numPr>
          <w:ilvl w:val="0"/>
          <w:numId w:val="1346"/>
        </w:numPr>
      </w:pPr>
      <w:r>
        <w:rPr>
          <w:b/>
          <w:bCs/>
        </w:rPr>
        <w:t xml:space="preserve">VAT treatment:</w:t>
      </w:r>
    </w:p>
    <w:p>
      <w:pPr>
        <w:pStyle w:val="Compact"/>
        <w:numPr>
          <w:ilvl w:val="1"/>
          <w:numId w:val="1347"/>
        </w:numPr>
      </w:pPr>
      <w:r>
        <w:t xml:space="preserve">Revenue-funded work is accepted as non-structural for government departments</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1"/>
          <w:numId w:val="1347"/>
        </w:numPr>
      </w:pPr>
      <w:r>
        <w:t xml:space="preserve">HMRC’s list includes repainting to restore decorative order and replacing worn flooring with the same type of covering. It excludes upgrading a worn floor covering, for example replacing linoleum with carpet, or carpet with wooden flooring</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346"/>
        </w:numPr>
      </w:pPr>
      <w:r>
        <w:rPr>
          <w:b/>
          <w:bCs/>
        </w:rPr>
        <w:t xml:space="preserve">Result:</w:t>
      </w:r>
      <w:r>
        <w:t xml:space="preserve"> </w:t>
      </w:r>
      <w:r>
        <w:rPr>
          <w:b/>
          <w:bCs/>
        </w:rPr>
        <w:t xml:space="preserve">Recoverable:</w:t>
      </w:r>
      <w:r>
        <w:t xml:space="preserve"> </w:t>
      </w:r>
      <w:r>
        <w:t xml:space="preserve">£6,000 (£4,000 + £2,000) under Heading 35.</w:t>
      </w:r>
      <w:r>
        <w:t xml:space="preserve"> </w:t>
      </w:r>
      <w:r>
        <w:rPr>
          <w:b/>
          <w:bCs/>
        </w:rPr>
        <w:t xml:space="preserve">Not recoverable:</w:t>
      </w:r>
      <w:r>
        <w:t xml:space="preserve"> </w:t>
      </w:r>
      <w:r>
        <w:t xml:space="preserve">£1,600 on the upgrade. Net cost £39,600 (£45,600 paid − £6,000).</w:t>
      </w:r>
    </w:p>
    <w:p>
      <w:pPr>
        <w:pStyle w:val="FirstParagraph"/>
      </w:pPr>
      <w:r>
        <w:rPr>
          <w:b/>
          <w:bCs/>
        </w:rPr>
        <w:t xml:space="preserve">Example 24: Repairing a boiler vs replacing it</w:t>
      </w:r>
    </w:p>
    <w:p>
      <w:pPr>
        <w:pStyle w:val="Compact"/>
        <w:numPr>
          <w:ilvl w:val="0"/>
          <w:numId w:val="1348"/>
        </w:numPr>
      </w:pPr>
      <w:r>
        <w:rPr>
          <w:b/>
          <w:bCs/>
        </w:rPr>
        <w:t xml:space="preserve">Situation:</w:t>
      </w:r>
      <w:r>
        <w:t xml:space="preserve"> </w:t>
      </w:r>
      <w:r>
        <w:t xml:space="preserve">A contractor repairs the Department’s boiler, including new parts: £2,500, VAT £500. A year later the boiler is replaced: £15,000, VAT £3,000.</w:t>
      </w:r>
    </w:p>
    <w:p>
      <w:pPr>
        <w:pStyle w:val="Compact"/>
        <w:numPr>
          <w:ilvl w:val="0"/>
          <w:numId w:val="1348"/>
        </w:numPr>
      </w:pPr>
      <w:r>
        <w:rPr>
          <w:b/>
          <w:bCs/>
        </w:rPr>
        <w:t xml:space="preserve">VAT treatment:</w:t>
      </w:r>
    </w:p>
    <w:p>
      <w:pPr>
        <w:pStyle w:val="Compact"/>
        <w:numPr>
          <w:ilvl w:val="1"/>
          <w:numId w:val="1349"/>
        </w:numPr>
      </w:pPr>
      <w:r>
        <w:t xml:space="preserve">HMRC’s list includes</w:t>
      </w:r>
      <w:r>
        <w:t xml:space="preserve"> </w:t>
      </w:r>
      <w:r>
        <w:t xml:space="preserve">“</w:t>
      </w:r>
      <w:r>
        <w:t xml:space="preserve">repair to boiler (including parts)</w:t>
      </w:r>
      <w:r>
        <w:t xml:space="preserve">”</w:t>
      </w:r>
      <w:r>
        <w:t xml:space="preserve"> </w:t>
      </w:r>
      <w:r>
        <w:t xml:space="preserve">under Heading 37 and excludes</w:t>
      </w:r>
      <w:r>
        <w:t xml:space="preserve"> </w:t>
      </w:r>
      <w:r>
        <w:t xml:space="preserve">“</w:t>
      </w:r>
      <w:r>
        <w:t xml:space="preserve">replacement of boiler</w:t>
      </w:r>
      <w:r>
        <w:t xml:space="preserve">”</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348"/>
        </w:numPr>
      </w:pPr>
      <w:r>
        <w:rPr>
          <w:b/>
          <w:bCs/>
        </w:rPr>
        <w:t xml:space="preserve">Result:</w:t>
      </w:r>
      <w:r>
        <w:t xml:space="preserve"> </w:t>
      </w:r>
      <w:r>
        <w:rPr>
          <w:b/>
          <w:bCs/>
        </w:rPr>
        <w:t xml:space="preserve">Recoverable:</w:t>
      </w:r>
      <w:r>
        <w:t xml:space="preserve"> </w:t>
      </w:r>
      <w:r>
        <w:t xml:space="preserve">£500 under Heading 37, net cost £2,500.</w:t>
      </w:r>
      <w:r>
        <w:t xml:space="preserve"> </w:t>
      </w:r>
      <w:r>
        <w:rPr>
          <w:b/>
          <w:bCs/>
        </w:rPr>
        <w:t xml:space="preserve">Not recoverable:</w:t>
      </w:r>
      <w:r>
        <w:t xml:space="preserve"> </w:t>
      </w:r>
      <w:r>
        <w:t xml:space="preserve">£3,000 on the replacement, net cost £18,000.</w:t>
      </w:r>
    </w:p>
    <w:p>
      <w:pPr>
        <w:pStyle w:val="FirstParagraph"/>
      </w:pPr>
      <w:r>
        <w:rPr>
          <w:b/>
          <w:bCs/>
        </w:rPr>
        <w:t xml:space="preserve">Example 25: An NHS trust refurbishes a ward (banding scheme)</w:t>
      </w:r>
    </w:p>
    <w:p>
      <w:pPr>
        <w:pStyle w:val="Compact"/>
        <w:numPr>
          <w:ilvl w:val="0"/>
          <w:numId w:val="1350"/>
        </w:numPr>
      </w:pPr>
      <w:r>
        <w:rPr>
          <w:b/>
          <w:bCs/>
        </w:rPr>
        <w:t xml:space="preserve">Situation:</w:t>
      </w:r>
      <w:r>
        <w:t xml:space="preserve"> </w:t>
      </w:r>
      <w:r>
        <w:t xml:space="preserve">An NHS trust refurbishes a ward with no alterations or additions. Construction works cost £400,000, VAT £80,000.</w:t>
      </w:r>
    </w:p>
    <w:p>
      <w:pPr>
        <w:pStyle w:val="Compact"/>
        <w:numPr>
          <w:ilvl w:val="0"/>
          <w:numId w:val="1350"/>
        </w:numPr>
      </w:pPr>
      <w:r>
        <w:rPr>
          <w:b/>
          <w:bCs/>
        </w:rPr>
        <w:t xml:space="preserve">VAT treatment:</w:t>
      </w:r>
    </w:p>
    <w:p>
      <w:pPr>
        <w:pStyle w:val="Compact"/>
        <w:numPr>
          <w:ilvl w:val="1"/>
          <w:numId w:val="1351"/>
        </w:numPr>
      </w:pPr>
      <w:r>
        <w:t xml:space="preserve">NHS bodies may use a</w:t>
      </w:r>
      <w:r>
        <w:t xml:space="preserve"> </w:t>
      </w:r>
      <w:r>
        <w:t xml:space="preserve">“</w:t>
      </w:r>
      <w:r>
        <w:t xml:space="preserve">banding scheme</w:t>
      </w:r>
      <w:r>
        <w:t xml:space="preserve">”</w:t>
      </w:r>
      <w:r>
        <w:t xml:space="preserve"> </w:t>
      </w:r>
      <w:r>
        <w:t xml:space="preserve">on capital building projects with a total cost of up to £15,000,000. They apply a fixed percentage to the VAT according to the type of project. The band for refurbishment, repair and maintenance is 75%</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1"/>
          <w:numId w:val="1351"/>
        </w:numPr>
      </w:pPr>
      <w:r>
        <w:t xml:space="preserve">The bands apply only to the construction works. Professional services, such as architects, are dealt with separately under the normal rules</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1"/>
          <w:numId w:val="1351"/>
        </w:numPr>
      </w:pPr>
      <w:r>
        <w:t xml:space="preserve">The banding scheme is an easement for NHS bodies. Government departments work out recovery line by line, or use the revenue/capital easement (see Example 22)</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350"/>
        </w:numPr>
      </w:pPr>
      <w:r>
        <w:rPr>
          <w:b/>
          <w:bCs/>
        </w:rPr>
        <w:t xml:space="preserve">Result:</w:t>
      </w:r>
      <w:r>
        <w:t xml:space="preserve"> </w:t>
      </w:r>
      <w:r>
        <w:rPr>
          <w:b/>
          <w:bCs/>
        </w:rPr>
        <w:t xml:space="preserve">Partly recoverable:</w:t>
      </w:r>
      <w:r>
        <w:t xml:space="preserve"> </w:t>
      </w:r>
      <w:r>
        <w:t xml:space="preserve">£60,000 of £80,000 (£80,000 × 75%). Net cost £420,000 (£480,000 − £60,000).</w:t>
      </w:r>
    </w:p>
    <w:p>
      <w:pPr>
        <w:pStyle w:val="FirstParagraph"/>
      </w:pPr>
      <w:r>
        <w:rPr>
          <w:b/>
          <w:bCs/>
        </w:rPr>
        <w:t xml:space="preserve">Example 26: A cleaning contract vs cleaning materials (Heading 35)</w:t>
      </w:r>
    </w:p>
    <w:p>
      <w:pPr>
        <w:pStyle w:val="Compact"/>
        <w:numPr>
          <w:ilvl w:val="0"/>
          <w:numId w:val="1352"/>
        </w:numPr>
      </w:pPr>
      <w:r>
        <w:rPr>
          <w:b/>
          <w:bCs/>
        </w:rPr>
        <w:t xml:space="preserve">Situation:</w:t>
      </w:r>
      <w:r>
        <w:t xml:space="preserve"> </w:t>
      </w:r>
      <w:r>
        <w:t xml:space="preserve">A contractor cleans the Department’s main office for £60,000 a year, VAT £12,000. At a smaller site, the Department’s own cleaners use materials it buys for £2,000, VAT £400.</w:t>
      </w:r>
    </w:p>
    <w:p>
      <w:pPr>
        <w:pStyle w:val="Compact"/>
        <w:numPr>
          <w:ilvl w:val="0"/>
          <w:numId w:val="1352"/>
        </w:numPr>
      </w:pPr>
      <w:r>
        <w:rPr>
          <w:b/>
          <w:bCs/>
        </w:rPr>
        <w:t xml:space="preserve">VAT treatment:</w:t>
      </w:r>
    </w:p>
    <w:p>
      <w:pPr>
        <w:pStyle w:val="Compact"/>
        <w:numPr>
          <w:ilvl w:val="1"/>
          <w:numId w:val="1353"/>
        </w:numPr>
      </w:pPr>
      <w:r>
        <w:t xml:space="preserve">Contract cleaning is on HMRC’s list under Heading 35</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1"/>
          <w:numId w:val="1353"/>
        </w:numPr>
      </w:pPr>
      <w:r>
        <w:t xml:space="preserve">Cleaning materials are goods, so no heading applies.</w:t>
      </w:r>
    </w:p>
    <w:p>
      <w:pPr>
        <w:pStyle w:val="Compact"/>
        <w:numPr>
          <w:ilvl w:val="0"/>
          <w:numId w:val="1352"/>
        </w:numPr>
      </w:pPr>
      <w:r>
        <w:rPr>
          <w:b/>
          <w:bCs/>
        </w:rPr>
        <w:t xml:space="preserve">Result:</w:t>
      </w:r>
      <w:r>
        <w:t xml:space="preserve"> </w:t>
      </w:r>
      <w:r>
        <w:rPr>
          <w:b/>
          <w:bCs/>
        </w:rPr>
        <w:t xml:space="preserve">Recoverable:</w:t>
      </w:r>
      <w:r>
        <w:t xml:space="preserve"> </w:t>
      </w:r>
      <w:r>
        <w:t xml:space="preserve">£12,000 under Heading 35, net cost £60,000.</w:t>
      </w:r>
      <w:r>
        <w:t xml:space="preserve"> </w:t>
      </w:r>
      <w:r>
        <w:rPr>
          <w:b/>
          <w:bCs/>
        </w:rPr>
        <w:t xml:space="preserve">Not recoverable:</w:t>
      </w:r>
      <w:r>
        <w:t xml:space="preserve"> </w:t>
      </w:r>
      <w:r>
        <w:t xml:space="preserve">£400 on the materials, net cost £2,400.</w:t>
      </w:r>
    </w:p>
    <w:bookmarkEnd w:id="247"/>
    <w:bookmarkStart w:id="248" w:name="printing-publications-and-stationery"/>
    <w:p>
      <w:pPr>
        <w:pStyle w:val="Heading4"/>
      </w:pPr>
      <w:r>
        <w:t xml:space="preserve">Printing, publications and stationery</w:t>
      </w:r>
    </w:p>
    <w:p>
      <w:pPr>
        <w:pStyle w:val="FirstParagraph"/>
      </w:pPr>
      <w:r>
        <w:rPr>
          <w:b/>
          <w:bCs/>
        </w:rPr>
        <w:t xml:space="preserve">Example 27: Paper bought vs letterheads printed (Heading 61)</w:t>
      </w:r>
    </w:p>
    <w:p>
      <w:pPr>
        <w:pStyle w:val="Compact"/>
        <w:numPr>
          <w:ilvl w:val="0"/>
          <w:numId w:val="1354"/>
        </w:numPr>
      </w:pPr>
      <w:r>
        <w:rPr>
          <w:b/>
          <w:bCs/>
        </w:rPr>
        <w:t xml:space="preserve">Situation:</w:t>
      </w:r>
      <w:r>
        <w:t xml:space="preserve"> </w:t>
      </w:r>
      <w:r>
        <w:t xml:space="preserve">The Department buys 500 reams of copier paper for £2,500, VAT £500. Separately, a printer prints 20,000 letterheads, designed specifically for the Department, on the printer’s own paper for £1,500, VAT £300.</w:t>
      </w:r>
    </w:p>
    <w:p>
      <w:pPr>
        <w:pStyle w:val="Compact"/>
        <w:numPr>
          <w:ilvl w:val="0"/>
          <w:numId w:val="1354"/>
        </w:numPr>
      </w:pPr>
      <w:r>
        <w:rPr>
          <w:b/>
          <w:bCs/>
        </w:rPr>
        <w:t xml:space="preserve">VAT treatment:</w:t>
      </w:r>
    </w:p>
    <w:p>
      <w:pPr>
        <w:pStyle w:val="Compact"/>
        <w:numPr>
          <w:ilvl w:val="1"/>
          <w:numId w:val="1355"/>
        </w:numPr>
      </w:pPr>
      <w:r>
        <w:t xml:space="preserve">Paper is goods, so no heading applies.</w:t>
      </w:r>
    </w:p>
    <w:p>
      <w:pPr>
        <w:pStyle w:val="Compact"/>
        <w:numPr>
          <w:ilvl w:val="1"/>
          <w:numId w:val="1355"/>
        </w:numPr>
      </w:pPr>
      <w:r>
        <w:t xml:space="preserve">Heading 61 includes printing bespoke letterheads, meaning designed from scratch specifically for the department. HMRC treats the paper as an intrinsic part of the printing service, so VAT on the whole contract price is eligible</w:t>
      </w:r>
      <w:r>
        <w:t xml:space="preserve"> </w:t>
      </w:r>
      <w:r>
        <w:t xml:space="preserve">(</w:t>
      </w:r>
      <w:hyperlink w:anchor="ref-hmrc_vatgpb">
        <w:r>
          <w:rPr>
            <w:rStyle w:val="Hyperlink"/>
          </w:rPr>
          <w:t xml:space="preserve">HMRC, 2026n, sec. VATGPB10950</w:t>
        </w:r>
      </w:hyperlink>
      <w:r>
        <w:t xml:space="preserve">)</w:t>
      </w:r>
      <w:r>
        <w:t xml:space="preserve">.</w:t>
      </w:r>
    </w:p>
    <w:p>
      <w:pPr>
        <w:pStyle w:val="Compact"/>
        <w:numPr>
          <w:ilvl w:val="0"/>
          <w:numId w:val="1354"/>
        </w:numPr>
      </w:pPr>
      <w:r>
        <w:rPr>
          <w:b/>
          <w:bCs/>
        </w:rPr>
        <w:t xml:space="preserve">Result:</w:t>
      </w:r>
      <w:r>
        <w:t xml:space="preserve"> </w:t>
      </w:r>
      <w:r>
        <w:rPr>
          <w:b/>
          <w:bCs/>
        </w:rPr>
        <w:t xml:space="preserve">Not recoverable:</w:t>
      </w:r>
      <w:r>
        <w:t xml:space="preserve"> </w:t>
      </w:r>
      <w:r>
        <w:t xml:space="preserve">£500 on the paper, net cost £3,000.</w:t>
      </w:r>
      <w:r>
        <w:t xml:space="preserve"> </w:t>
      </w:r>
      <w:r>
        <w:rPr>
          <w:b/>
          <w:bCs/>
        </w:rPr>
        <w:t xml:space="preserve">Recoverable:</w:t>
      </w:r>
      <w:r>
        <w:t xml:space="preserve"> </w:t>
      </w:r>
      <w:r>
        <w:t xml:space="preserve">£300 under Heading 61, net cost £1,500.</w:t>
      </w:r>
    </w:p>
    <w:p>
      <w:pPr>
        <w:pStyle w:val="FirstParagraph"/>
      </w:pPr>
      <w:r>
        <w:rPr>
          <w:b/>
          <w:bCs/>
        </w:rPr>
        <w:t xml:space="preserve">Example 28: Designing and printing the annual report</w:t>
      </w:r>
    </w:p>
    <w:p>
      <w:pPr>
        <w:pStyle w:val="Compact"/>
        <w:numPr>
          <w:ilvl w:val="0"/>
          <w:numId w:val="1356"/>
        </w:numPr>
      </w:pPr>
      <w:r>
        <w:rPr>
          <w:b/>
          <w:bCs/>
        </w:rPr>
        <w:t xml:space="preserve">Situation:</w:t>
      </w:r>
      <w:r>
        <w:t xml:space="preserve"> </w:t>
      </w:r>
      <w:r>
        <w:t xml:space="preserve">A design agency designs the Department’s annual report for £6,000, VAT £1,200. A separate printer prints and binds 1,000 copies as booklets for £4,000.</w:t>
      </w:r>
    </w:p>
    <w:p>
      <w:pPr>
        <w:pStyle w:val="Compact"/>
        <w:numPr>
          <w:ilvl w:val="0"/>
          <w:numId w:val="1356"/>
        </w:numPr>
      </w:pPr>
      <w:r>
        <w:rPr>
          <w:b/>
          <w:bCs/>
        </w:rPr>
        <w:t xml:space="preserve">VAT treatment:</w:t>
      </w:r>
    </w:p>
    <w:p>
      <w:pPr>
        <w:pStyle w:val="Compact"/>
        <w:numPr>
          <w:ilvl w:val="1"/>
          <w:numId w:val="1357"/>
        </w:numPr>
      </w:pPr>
      <w:r>
        <w:t xml:space="preserve">Heading 49 includes design and printing of annual reports</w:t>
      </w:r>
      <w:r>
        <w:t xml:space="preserve"> </w:t>
      </w:r>
      <w:r>
        <w:t xml:space="preserve">(</w:t>
      </w:r>
      <w:hyperlink w:anchor="ref-hmrc_vatgpb">
        <w:r>
          <w:rPr>
            <w:rStyle w:val="Hyperlink"/>
          </w:rPr>
          <w:t xml:space="preserve">HMRC, 2026n, sec. VATGPB10710</w:t>
        </w:r>
      </w:hyperlink>
      <w:r>
        <w:t xml:space="preserve">)</w:t>
      </w:r>
      <w:r>
        <w:t xml:space="preserve">.</w:t>
      </w:r>
    </w:p>
    <w:p>
      <w:pPr>
        <w:pStyle w:val="Compact"/>
        <w:numPr>
          <w:ilvl w:val="1"/>
          <w:numId w:val="1357"/>
        </w:numPr>
      </w:pPr>
      <w:r>
        <w:t xml:space="preserve">Printed booklets are zero-rated</w:t>
      </w:r>
      <w:r>
        <w:t xml:space="preserve"> </w:t>
      </w:r>
      <w:r>
        <w:t xml:space="preserve">(</w:t>
      </w:r>
      <w:hyperlink w:anchor="ref-hmrc_n70110">
        <w:r>
          <w:rPr>
            <w:rStyle w:val="Hyperlink"/>
          </w:rPr>
          <w:t xml:space="preserve">HMRC, 2020f, para. 3.1</w:t>
        </w:r>
      </w:hyperlink>
      <w:r>
        <w:t xml:space="preserve">)</w:t>
      </w:r>
      <w:r>
        <w:t xml:space="preserve">. A printer whose service produces new goods that are themselves zero-rated can zero-rate that service</w:t>
      </w:r>
      <w:r>
        <w:t xml:space="preserve"> </w:t>
      </w:r>
      <w:r>
        <w:t xml:space="preserve">(</w:t>
      </w:r>
      <w:hyperlink w:anchor="ref-hmrc_n70110">
        <w:r>
          <w:rPr>
            <w:rStyle w:val="Hyperlink"/>
          </w:rPr>
          <w:t xml:space="preserve">HMRC, 2020f</w:t>
        </w:r>
      </w:hyperlink>
      <w:r>
        <w:t xml:space="preserve">, paras. 7.1 and 7.3)</w:t>
      </w:r>
      <w:r>
        <w:t xml:space="preserve">. Zero-rated means VAT at 0%, so there is nothing to claim.</w:t>
      </w:r>
    </w:p>
    <w:p>
      <w:pPr>
        <w:pStyle w:val="Compact"/>
        <w:numPr>
          <w:ilvl w:val="0"/>
          <w:numId w:val="1356"/>
        </w:numPr>
      </w:pPr>
      <w:r>
        <w:rPr>
          <w:b/>
          <w:bCs/>
        </w:rPr>
        <w:t xml:space="preserve">Result:</w:t>
      </w:r>
      <w:r>
        <w:t xml:space="preserve"> </w:t>
      </w:r>
      <w:r>
        <w:rPr>
          <w:b/>
          <w:bCs/>
        </w:rPr>
        <w:t xml:space="preserve">Recoverable:</w:t>
      </w:r>
      <w:r>
        <w:t xml:space="preserve"> </w:t>
      </w:r>
      <w:r>
        <w:t xml:space="preserve">£1,200 under Heading 49. The printing carries no VAT. Net cost £10,000.</w:t>
      </w:r>
    </w:p>
    <w:p>
      <w:pPr>
        <w:pStyle w:val="FirstParagraph"/>
      </w:pPr>
      <w:r>
        <w:rPr>
          <w:b/>
          <w:bCs/>
        </w:rPr>
        <w:t xml:space="preserve">Example 29: Books, e-journals and stationery</w:t>
      </w:r>
    </w:p>
    <w:p>
      <w:pPr>
        <w:pStyle w:val="Compact"/>
        <w:numPr>
          <w:ilvl w:val="0"/>
          <w:numId w:val="1358"/>
        </w:numPr>
      </w:pPr>
      <w:r>
        <w:rPr>
          <w:b/>
          <w:bCs/>
        </w:rPr>
        <w:t xml:space="preserve">Situation:</w:t>
      </w:r>
      <w:r>
        <w:t xml:space="preserve"> </w:t>
      </w:r>
      <w:r>
        <w:t xml:space="preserve">The Department’s library buys printed books (£3,000) and online journal subscriptions (£5,000). The Department also buys notebooks and pens for £500, VAT £100.</w:t>
      </w:r>
    </w:p>
    <w:p>
      <w:pPr>
        <w:pStyle w:val="Compact"/>
        <w:numPr>
          <w:ilvl w:val="0"/>
          <w:numId w:val="1358"/>
        </w:numPr>
      </w:pPr>
      <w:r>
        <w:rPr>
          <w:b/>
          <w:bCs/>
        </w:rPr>
        <w:t xml:space="preserve">VAT treatment:</w:t>
      </w:r>
    </w:p>
    <w:p>
      <w:pPr>
        <w:pStyle w:val="Compact"/>
        <w:numPr>
          <w:ilvl w:val="1"/>
          <w:numId w:val="1359"/>
        </w:numPr>
      </w:pPr>
      <w:r>
        <w:t xml:space="preserve">Books and journals are zero-rated</w:t>
      </w:r>
      <w:r>
        <w:t xml:space="preserve"> </w:t>
      </w:r>
      <w:r>
        <w:t xml:space="preserve">(</w:t>
      </w:r>
      <w:hyperlink w:anchor="ref-hmrc_n70110">
        <w:r>
          <w:rPr>
            <w:rStyle w:val="Hyperlink"/>
          </w:rPr>
          <w:t xml:space="preserve">HMRC, 2020f</w:t>
        </w:r>
      </w:hyperlink>
      <w:r>
        <w:t xml:space="preserve">, paras. 3.1 and 3.6)</w:t>
      </w:r>
      <w:r>
        <w:t xml:space="preserve">. Since 1 May 2020, electronic versions are zero-rated too, unless they are wholly or predominantly devoted to advertising, audio or video content</w:t>
      </w:r>
      <w:r>
        <w:t xml:space="preserve"> </w:t>
      </w:r>
      <w:r>
        <w:t xml:space="preserve">(</w:t>
      </w:r>
      <w:hyperlink w:anchor="ref-hmrc_n70110">
        <w:r>
          <w:rPr>
            <w:rStyle w:val="Hyperlink"/>
          </w:rPr>
          <w:t xml:space="preserve">HMRC, 2020f, sec. 9</w:t>
        </w:r>
      </w:hyperlink>
      <w:r>
        <w:t xml:space="preserve">)</w:t>
      </w:r>
      <w:r>
        <w:t xml:space="preserve">.</w:t>
      </w:r>
    </w:p>
    <w:p>
      <w:pPr>
        <w:pStyle w:val="Compact"/>
        <w:numPr>
          <w:ilvl w:val="1"/>
          <w:numId w:val="1359"/>
        </w:numPr>
      </w:pPr>
      <w:r>
        <w:t xml:space="preserve">A subscription giving access to a mix of zero-rated and standard-rated e-publications is apportioned by the supplier</w:t>
      </w:r>
      <w:r>
        <w:t xml:space="preserve"> </w:t>
      </w:r>
      <w:r>
        <w:t xml:space="preserve">(</w:t>
      </w:r>
      <w:hyperlink w:anchor="ref-hmrc_n70110">
        <w:r>
          <w:rPr>
            <w:rStyle w:val="Hyperlink"/>
          </w:rPr>
          <w:t xml:space="preserve">HMRC, 2020f, para. 9.8</w:t>
        </w:r>
      </w:hyperlink>
      <w:r>
        <w:t xml:space="preserve">)</w:t>
      </w:r>
      <w:r>
        <w:t xml:space="preserve">. This example assumes the journals are wholly zero-rated.</w:t>
      </w:r>
    </w:p>
    <w:p>
      <w:pPr>
        <w:pStyle w:val="Compact"/>
        <w:numPr>
          <w:ilvl w:val="1"/>
          <w:numId w:val="1359"/>
        </w:numPr>
      </w:pPr>
      <w:r>
        <w:t xml:space="preserve">Stationery such as account books and exercise books is standard-rated</w:t>
      </w:r>
      <w:r>
        <w:t xml:space="preserve"> </w:t>
      </w:r>
      <w:r>
        <w:t xml:space="preserve">(</w:t>
      </w:r>
      <w:hyperlink w:anchor="ref-hmrc_n70110">
        <w:r>
          <w:rPr>
            <w:rStyle w:val="Hyperlink"/>
          </w:rPr>
          <w:t xml:space="preserve">HMRC, 2020f, para. 4.2</w:t>
        </w:r>
      </w:hyperlink>
      <w:r>
        <w:t xml:space="preserve">)</w:t>
      </w:r>
      <w:r>
        <w:t xml:space="preserve">. It is goods, so no heading applies.</w:t>
      </w:r>
    </w:p>
    <w:p>
      <w:pPr>
        <w:pStyle w:val="Compact"/>
        <w:numPr>
          <w:ilvl w:val="0"/>
          <w:numId w:val="1358"/>
        </w:numPr>
      </w:pPr>
      <w:r>
        <w:rPr>
          <w:b/>
          <w:bCs/>
        </w:rPr>
        <w:t xml:space="preserve">Result:</w:t>
      </w:r>
      <w:r>
        <w:t xml:space="preserve"> </w:t>
      </w:r>
      <w:r>
        <w:t xml:space="preserve">No VAT on the books or journals.</w:t>
      </w:r>
      <w:r>
        <w:t xml:space="preserve"> </w:t>
      </w:r>
      <w:r>
        <w:rPr>
          <w:b/>
          <w:bCs/>
        </w:rPr>
        <w:t xml:space="preserve">Not recoverable:</w:t>
      </w:r>
      <w:r>
        <w:t xml:space="preserve"> </w:t>
      </w:r>
      <w:r>
        <w:t xml:space="preserve">£100 on the stationery. Net cost £8,600 in total (£3,000 + £5,000 + £600).</w:t>
      </w:r>
    </w:p>
    <w:p>
      <w:pPr>
        <w:pStyle w:val="FirstParagraph"/>
      </w:pPr>
      <w:r>
        <w:rPr>
          <w:b/>
          <w:bCs/>
        </w:rPr>
        <w:t xml:space="preserve">Example 30: Promotional mugs vs a publicity campaign (Heading 54)</w:t>
      </w:r>
    </w:p>
    <w:p>
      <w:pPr>
        <w:pStyle w:val="Compact"/>
        <w:numPr>
          <w:ilvl w:val="0"/>
          <w:numId w:val="1360"/>
        </w:numPr>
      </w:pPr>
      <w:r>
        <w:rPr>
          <w:b/>
          <w:bCs/>
        </w:rPr>
        <w:t xml:space="preserve">Situation:</w:t>
      </w:r>
      <w:r>
        <w:t xml:space="preserve"> </w:t>
      </w:r>
      <w:r>
        <w:t xml:space="preserve">For a public information campaign, the Department orders 1,000 branded mugs and T-shirts for £2,000, VAT £400. It also hires a publicity agency to run the campaign for £30,000, VAT £6,000.</w:t>
      </w:r>
    </w:p>
    <w:p>
      <w:pPr>
        <w:pStyle w:val="Compact"/>
        <w:numPr>
          <w:ilvl w:val="0"/>
          <w:numId w:val="1360"/>
        </w:numPr>
      </w:pPr>
      <w:r>
        <w:rPr>
          <w:b/>
          <w:bCs/>
        </w:rPr>
        <w:t xml:space="preserve">VAT treatment:</w:t>
      </w:r>
    </w:p>
    <w:p>
      <w:pPr>
        <w:pStyle w:val="Compact"/>
        <w:numPr>
          <w:ilvl w:val="1"/>
          <w:numId w:val="1361"/>
        </w:numPr>
      </w:pPr>
      <w:r>
        <w:t xml:space="preserve">Heading 54 excludes promotional items such as mugs, T-shirts and stickers, because they are goods. It includes advertising campaigns other than recruitment adverts</w:t>
      </w:r>
      <w:r>
        <w:t xml:space="preserve"> </w:t>
      </w:r>
      <w:r>
        <w:t xml:space="preserve">(</w:t>
      </w:r>
      <w:hyperlink w:anchor="ref-hmrc_vatgpb">
        <w:r>
          <w:rPr>
            <w:rStyle w:val="Hyperlink"/>
          </w:rPr>
          <w:t xml:space="preserve">HMRC, 2026n, sec. VATGPB10810</w:t>
        </w:r>
      </w:hyperlink>
      <w:r>
        <w:t xml:space="preserve">)</w:t>
      </w:r>
      <w:r>
        <w:t xml:space="preserve">.</w:t>
      </w:r>
    </w:p>
    <w:p>
      <w:pPr>
        <w:pStyle w:val="Compact"/>
        <w:numPr>
          <w:ilvl w:val="1"/>
          <w:numId w:val="1361"/>
        </w:numPr>
      </w:pPr>
      <w:r>
        <w:t xml:space="preserve">It also excludes the Department placing an advert directly, for example in a newspaper</w:t>
      </w:r>
      <w:r>
        <w:t xml:space="preserve"> </w:t>
      </w:r>
      <w:r>
        <w:t xml:space="preserve">(</w:t>
      </w:r>
      <w:hyperlink w:anchor="ref-hmrc_vatgpb">
        <w:r>
          <w:rPr>
            <w:rStyle w:val="Hyperlink"/>
          </w:rPr>
          <w:t xml:space="preserve">HMRC, 2026n, sec. VATGPB10810</w:t>
        </w:r>
      </w:hyperlink>
      <w:r>
        <w:t xml:space="preserve">)</w:t>
      </w:r>
      <w:r>
        <w:t xml:space="preserve">.</w:t>
      </w:r>
    </w:p>
    <w:p>
      <w:pPr>
        <w:pStyle w:val="Compact"/>
        <w:numPr>
          <w:ilvl w:val="0"/>
          <w:numId w:val="1360"/>
        </w:numPr>
      </w:pPr>
      <w:r>
        <w:rPr>
          <w:b/>
          <w:bCs/>
        </w:rPr>
        <w:t xml:space="preserve">Result:</w:t>
      </w:r>
      <w:r>
        <w:t xml:space="preserve"> </w:t>
      </w:r>
      <w:r>
        <w:rPr>
          <w:b/>
          <w:bCs/>
        </w:rPr>
        <w:t xml:space="preserve">Not recoverable:</w:t>
      </w:r>
      <w:r>
        <w:t xml:space="preserve"> </w:t>
      </w:r>
      <w:r>
        <w:t xml:space="preserve">£400 on the mugs and T-shirts, net cost £2,400.</w:t>
      </w:r>
      <w:r>
        <w:t xml:space="preserve"> </w:t>
      </w:r>
      <w:r>
        <w:rPr>
          <w:b/>
          <w:bCs/>
        </w:rPr>
        <w:t xml:space="preserve">Recoverable:</w:t>
      </w:r>
      <w:r>
        <w:t xml:space="preserve"> </w:t>
      </w:r>
      <w:r>
        <w:t xml:space="preserve">£6,000 under Heading 54, net cost £30,000.</w:t>
      </w:r>
    </w:p>
    <w:bookmarkEnd w:id="248"/>
    <w:bookmarkStart w:id="249" w:name="food-catering-and-hospitality"/>
    <w:p>
      <w:pPr>
        <w:pStyle w:val="Heading4"/>
      </w:pPr>
      <w:r>
        <w:t xml:space="preserve">Food, catering and hospitality</w:t>
      </w:r>
    </w:p>
    <w:p>
      <w:pPr>
        <w:pStyle w:val="FirstParagraph"/>
      </w:pPr>
      <w:r>
        <w:rPr>
          <w:b/>
          <w:bCs/>
        </w:rPr>
        <w:t xml:space="preserve">Example 31: Food bought for an internal meeting</w:t>
      </w:r>
    </w:p>
    <w:p>
      <w:pPr>
        <w:pStyle w:val="Compact"/>
        <w:numPr>
          <w:ilvl w:val="0"/>
          <w:numId w:val="1362"/>
        </w:numPr>
      </w:pPr>
      <w:r>
        <w:rPr>
          <w:b/>
          <w:bCs/>
        </w:rPr>
        <w:t xml:space="preserve">Situation:</w:t>
      </w:r>
      <w:r>
        <w:t xml:space="preserve"> </w:t>
      </w:r>
      <w:r>
        <w:t xml:space="preserve">For an all-day internal meeting, the Department buys from a supermarket: sandwiches (£120, zero-rated), crisps (£20, VAT £4) and soft drinks (£30, VAT £6).</w:t>
      </w:r>
    </w:p>
    <w:p>
      <w:pPr>
        <w:pStyle w:val="Compact"/>
        <w:numPr>
          <w:ilvl w:val="0"/>
          <w:numId w:val="1362"/>
        </w:numPr>
      </w:pPr>
      <w:r>
        <w:rPr>
          <w:b/>
          <w:bCs/>
        </w:rPr>
        <w:t xml:space="preserve">VAT treatment:</w:t>
      </w:r>
    </w:p>
    <w:p>
      <w:pPr>
        <w:pStyle w:val="Compact"/>
        <w:numPr>
          <w:ilvl w:val="1"/>
          <w:numId w:val="1363"/>
        </w:numPr>
      </w:pPr>
      <w:r>
        <w:t xml:space="preserve">Most food that is not supplied in the course of catering is zero-rated. Potato crisps, some other savoury snacks and soft drinks are exceptions that are always standard-rated</w:t>
      </w:r>
      <w:r>
        <w:t xml:space="preserve"> </w:t>
      </w:r>
      <w:r>
        <w:t xml:space="preserve">(</w:t>
      </w:r>
      <w:hyperlink w:anchor="ref-hmrc_n70114">
        <w:r>
          <w:rPr>
            <w:rStyle w:val="Hyperlink"/>
          </w:rPr>
          <w:t xml:space="preserve">HMRC, 2026d, para. 2.2</w:t>
        </w:r>
      </w:hyperlink>
      <w:r>
        <w:t xml:space="preserve">)</w:t>
      </w:r>
      <w:r>
        <w:t xml:space="preserve">.</w:t>
      </w:r>
    </w:p>
    <w:p>
      <w:pPr>
        <w:pStyle w:val="Compact"/>
        <w:numPr>
          <w:ilvl w:val="1"/>
          <w:numId w:val="1363"/>
        </w:numPr>
      </w:pPr>
      <w:r>
        <w:t xml:space="preserve">This is a purchase of goods, so no heading applies.</w:t>
      </w:r>
    </w:p>
    <w:p>
      <w:pPr>
        <w:pStyle w:val="Compact"/>
        <w:numPr>
          <w:ilvl w:val="0"/>
          <w:numId w:val="1362"/>
        </w:numPr>
      </w:pPr>
      <w:r>
        <w:rPr>
          <w:b/>
          <w:bCs/>
        </w:rPr>
        <w:t xml:space="preserve">Result:</w:t>
      </w:r>
      <w:r>
        <w:t xml:space="preserve"> </w:t>
      </w:r>
      <w:r>
        <w:rPr>
          <w:b/>
          <w:bCs/>
        </w:rPr>
        <w:t xml:space="preserve">Not recoverable:</w:t>
      </w:r>
      <w:r>
        <w:t xml:space="preserve"> </w:t>
      </w:r>
      <w:r>
        <w:t xml:space="preserve">£10 (£4 + £6). Net cost £180.</w:t>
      </w:r>
    </w:p>
    <w:p>
      <w:pPr>
        <w:pStyle w:val="FirstParagraph"/>
      </w:pPr>
      <w:r>
        <w:rPr>
          <w:b/>
          <w:bCs/>
        </w:rPr>
        <w:t xml:space="preserve">Example 32: A contract caterer for an official reception (Heading 10)</w:t>
      </w:r>
    </w:p>
    <w:p>
      <w:pPr>
        <w:pStyle w:val="Compact"/>
        <w:numPr>
          <w:ilvl w:val="0"/>
          <w:numId w:val="1364"/>
        </w:numPr>
      </w:pPr>
      <w:r>
        <w:rPr>
          <w:b/>
          <w:bCs/>
        </w:rPr>
        <w:t xml:space="preserve">Situation:</w:t>
      </w:r>
      <w:r>
        <w:t xml:space="preserve"> </w:t>
      </w:r>
      <w:r>
        <w:t xml:space="preserve">The Department hosts an official reception for visiting overseas officials. A contract caterer supplies food, drink, serving staff and equipment for £5,000, VAT £1,000.</w:t>
      </w:r>
    </w:p>
    <w:p>
      <w:pPr>
        <w:pStyle w:val="Compact"/>
        <w:numPr>
          <w:ilvl w:val="0"/>
          <w:numId w:val="1364"/>
        </w:numPr>
      </w:pPr>
      <w:r>
        <w:rPr>
          <w:b/>
          <w:bCs/>
        </w:rPr>
        <w:t xml:space="preserve">VAT treatment:</w:t>
      </w:r>
    </w:p>
    <w:p>
      <w:pPr>
        <w:pStyle w:val="Compact"/>
        <w:numPr>
          <w:ilvl w:val="1"/>
          <w:numId w:val="1365"/>
        </w:numPr>
      </w:pPr>
      <w:r>
        <w:t xml:space="preserve">Food supplied in the course of catering is always standard-rated</w:t>
      </w:r>
      <w:r>
        <w:t xml:space="preserve"> </w:t>
      </w:r>
      <w:r>
        <w:t xml:space="preserve">(</w:t>
      </w:r>
      <w:hyperlink w:anchor="ref-hmrc_n70114">
        <w:r>
          <w:rPr>
            <w:rStyle w:val="Hyperlink"/>
          </w:rPr>
          <w:t xml:space="preserve">HMRC, 2026d, para. 2.1</w:t>
        </w:r>
      </w:hyperlink>
      <w:r>
        <w:t xml:space="preserve">)</w:t>
      </w:r>
      <w:r>
        <w:t xml:space="preserve">.</w:t>
      </w:r>
    </w:p>
    <w:p>
      <w:pPr>
        <w:pStyle w:val="Compact"/>
        <w:numPr>
          <w:ilvl w:val="1"/>
          <w:numId w:val="1365"/>
        </w:numPr>
      </w:pPr>
      <w:r>
        <w:t xml:space="preserve">Heading 10 includes catering for occasional functions and for official functions such as receptions, dinners and banquets, with serving staff and extra equipment that form part of the catering. It excludes vending machines supplied on their own</w:t>
      </w:r>
      <w:r>
        <w:t xml:space="preserve"> </w:t>
      </w:r>
      <w:r>
        <w:t xml:space="preserve">(</w:t>
      </w:r>
      <w:hyperlink w:anchor="ref-hmrc_vatgpb">
        <w:r>
          <w:rPr>
            <w:rStyle w:val="Hyperlink"/>
          </w:rPr>
          <w:t xml:space="preserve">HMRC, 2026n, sec. VATGPB9930</w:t>
        </w:r>
      </w:hyperlink>
      <w:r>
        <w:t xml:space="preserve">)</w:t>
      </w:r>
      <w:r>
        <w:t xml:space="preserve">.</w:t>
      </w:r>
    </w:p>
    <w:p>
      <w:pPr>
        <w:pStyle w:val="Compact"/>
        <w:numPr>
          <w:ilvl w:val="0"/>
          <w:numId w:val="1364"/>
        </w:numPr>
      </w:pPr>
      <w:r>
        <w:rPr>
          <w:b/>
          <w:bCs/>
        </w:rPr>
        <w:t xml:space="preserve">Result:</w:t>
      </w:r>
      <w:r>
        <w:t xml:space="preserve"> </w:t>
      </w:r>
      <w:r>
        <w:rPr>
          <w:b/>
          <w:bCs/>
        </w:rPr>
        <w:t xml:space="preserve">Recoverable:</w:t>
      </w:r>
      <w:r>
        <w:t xml:space="preserve"> </w:t>
      </w:r>
      <w:r>
        <w:t xml:space="preserve">£1,000 under Heading 10. Net cost £5,000.</w:t>
      </w:r>
    </w:p>
    <w:p>
      <w:pPr>
        <w:pStyle w:val="FirstParagraph"/>
      </w:pPr>
      <w:r>
        <w:rPr>
          <w:b/>
          <w:bCs/>
        </w:rPr>
        <w:t xml:space="preserve">Example 33: A business: a staff party vs a client dinner</w:t>
      </w:r>
    </w:p>
    <w:p>
      <w:pPr>
        <w:pStyle w:val="Compact"/>
        <w:numPr>
          <w:ilvl w:val="0"/>
          <w:numId w:val="1366"/>
        </w:numPr>
      </w:pPr>
      <w:r>
        <w:rPr>
          <w:b/>
          <w:bCs/>
        </w:rPr>
        <w:t xml:space="preserve">Situation:</w:t>
      </w:r>
      <w:r>
        <w:t xml:space="preserve"> </w:t>
      </w:r>
      <w:r>
        <w:t xml:space="preserve">A VAT-registered business holds a staff summer party for £3,000, VAT £600. It also takes UK clients to dinner for £1,000, VAT £200.</w:t>
      </w:r>
    </w:p>
    <w:p>
      <w:pPr>
        <w:pStyle w:val="Compact"/>
        <w:numPr>
          <w:ilvl w:val="0"/>
          <w:numId w:val="1366"/>
        </w:numPr>
      </w:pPr>
      <w:r>
        <w:rPr>
          <w:b/>
          <w:bCs/>
        </w:rPr>
        <w:t xml:space="preserve">VAT treatment:</w:t>
      </w:r>
    </w:p>
    <w:p>
      <w:pPr>
        <w:pStyle w:val="Compact"/>
        <w:numPr>
          <w:ilvl w:val="1"/>
          <w:numId w:val="1367"/>
        </w:numPr>
      </w:pPr>
      <w:r>
        <w:t xml:space="preserve">VAT on entertaining employees, such as staff parties, is input tax and is not blocked</w:t>
      </w:r>
      <w:r>
        <w:t xml:space="preserve"> </w:t>
      </w:r>
      <w:r>
        <w:t xml:space="preserve">(</w:t>
      </w:r>
      <w:hyperlink w:anchor="ref-hmrc_n70065">
        <w:r>
          <w:rPr>
            <w:rStyle w:val="Hyperlink"/>
          </w:rPr>
          <w:t xml:space="preserve">HMRC, 2026b, para. 3.1</w:t>
        </w:r>
      </w:hyperlink>
      <w:r>
        <w:t xml:space="preserve">)</w:t>
      </w:r>
      <w:r>
        <w:t xml:space="preserve">.</w:t>
      </w:r>
    </w:p>
    <w:p>
      <w:pPr>
        <w:pStyle w:val="Compact"/>
        <w:numPr>
          <w:ilvl w:val="1"/>
          <w:numId w:val="1367"/>
        </w:numPr>
      </w:pPr>
      <w:r>
        <w:t xml:space="preserve">VAT on business entertainment of UK business contacts, such as UK clients, is blocked (The Value Added Tax (Input Tax) Order 1992, art. 5)</w:t>
      </w:r>
      <w:r>
        <w:t xml:space="preserve"> </w:t>
      </w:r>
      <w:r>
        <w:t xml:space="preserve">(</w:t>
      </w:r>
      <w:hyperlink w:anchor="ref-hmrc_n70065">
        <w:r>
          <w:rPr>
            <w:rStyle w:val="Hyperlink"/>
          </w:rPr>
          <w:t xml:space="preserve">HMRC, 2026b, para. 1.2</w:t>
        </w:r>
      </w:hyperlink>
      <w:r>
        <w:t xml:space="preserve">)</w:t>
      </w:r>
      <w:r>
        <w:t xml:space="preserve">.</w:t>
      </w:r>
    </w:p>
    <w:p>
      <w:pPr>
        <w:pStyle w:val="Compact"/>
        <w:numPr>
          <w:ilvl w:val="1"/>
          <w:numId w:val="1367"/>
        </w:numPr>
      </w:pPr>
      <w:r>
        <w:t xml:space="preserve">If staff and clients attend the same event, only the VAT on entertaining employees is recoverable</w:t>
      </w:r>
      <w:r>
        <w:t xml:space="preserve"> </w:t>
      </w:r>
      <w:r>
        <w:t xml:space="preserve">(</w:t>
      </w:r>
      <w:hyperlink w:anchor="ref-hmrc_n70065">
        <w:r>
          <w:rPr>
            <w:rStyle w:val="Hyperlink"/>
          </w:rPr>
          <w:t xml:space="preserve">HMRC, 2026b, para. 3.4</w:t>
        </w:r>
      </w:hyperlink>
      <w:r>
        <w:t xml:space="preserve">)</w:t>
      </w:r>
      <w:r>
        <w:t xml:space="preserve">.</w:t>
      </w:r>
    </w:p>
    <w:p>
      <w:pPr>
        <w:pStyle w:val="Compact"/>
        <w:numPr>
          <w:ilvl w:val="0"/>
          <w:numId w:val="1366"/>
        </w:numPr>
      </w:pPr>
      <w:r>
        <w:rPr>
          <w:b/>
          <w:bCs/>
        </w:rPr>
        <w:t xml:space="preserve">Result:</w:t>
      </w:r>
      <w:r>
        <w:t xml:space="preserve"> </w:t>
      </w:r>
      <w:r>
        <w:rPr>
          <w:b/>
          <w:bCs/>
        </w:rPr>
        <w:t xml:space="preserve">Partly recoverable:</w:t>
      </w:r>
      <w:r>
        <w:t xml:space="preserve"> </w:t>
      </w:r>
      <w:r>
        <w:t xml:space="preserve">£600 of £800. Net cost £4,200 (£4,800 − £600).</w:t>
      </w:r>
    </w:p>
    <w:bookmarkEnd w:id="249"/>
    <w:bookmarkStart w:id="250" w:name="Xc8d301bec65a7d7feeb55428e979f65adee05c3"/>
    <w:p>
      <w:pPr>
        <w:pStyle w:val="Heading4"/>
      </w:pPr>
      <w:r>
        <w:t xml:space="preserve">Uniforms, safety equipment and medical items</w:t>
      </w:r>
    </w:p>
    <w:p>
      <w:pPr>
        <w:pStyle w:val="FirstParagraph"/>
      </w:pPr>
      <w:r>
        <w:rPr>
          <w:b/>
          <w:bCs/>
        </w:rPr>
        <w:t xml:space="preserve">Example 34: Uniforms bought vs laundered under contract (Heading 32)</w:t>
      </w:r>
    </w:p>
    <w:p>
      <w:pPr>
        <w:pStyle w:val="Compact"/>
        <w:numPr>
          <w:ilvl w:val="0"/>
          <w:numId w:val="1368"/>
        </w:numPr>
      </w:pPr>
      <w:r>
        <w:rPr>
          <w:b/>
          <w:bCs/>
        </w:rPr>
        <w:t xml:space="preserve">Situation:</w:t>
      </w:r>
      <w:r>
        <w:t xml:space="preserve"> </w:t>
      </w:r>
      <w:r>
        <w:t xml:space="preserve">The Department buys uniforms for its reception and security staff for £4,000, VAT £800. A laundry contractor cleans them for £1,200 a year, VAT £240.</w:t>
      </w:r>
    </w:p>
    <w:p>
      <w:pPr>
        <w:pStyle w:val="Compact"/>
        <w:numPr>
          <w:ilvl w:val="0"/>
          <w:numId w:val="1368"/>
        </w:numPr>
      </w:pPr>
      <w:r>
        <w:rPr>
          <w:b/>
          <w:bCs/>
        </w:rPr>
        <w:t xml:space="preserve">VAT treatment:</w:t>
      </w:r>
    </w:p>
    <w:p>
      <w:pPr>
        <w:pStyle w:val="Compact"/>
        <w:numPr>
          <w:ilvl w:val="1"/>
          <w:numId w:val="1369"/>
        </w:numPr>
      </w:pPr>
      <w:r>
        <w:t xml:space="preserve">Uniforms are goods, so no heading applies.</w:t>
      </w:r>
    </w:p>
    <w:p>
      <w:pPr>
        <w:pStyle w:val="Compact"/>
        <w:numPr>
          <w:ilvl w:val="1"/>
          <w:numId w:val="1369"/>
        </w:numPr>
      </w:pPr>
      <w:r>
        <w:t xml:space="preserve">Heading 32 includes</w:t>
      </w:r>
      <w:r>
        <w:t xml:space="preserve"> </w:t>
      </w:r>
      <w:r>
        <w:t xml:space="preserve">“</w:t>
      </w:r>
      <w:r>
        <w:t xml:space="preserve">cleaning and laundering of uniforms and fabrics</w:t>
      </w:r>
      <w:r>
        <w:t xml:space="preserve">”</w:t>
      </w:r>
      <w:r>
        <w:t xml:space="preserve"> </w:t>
      </w:r>
      <w:r>
        <w:t xml:space="preserve">(</w:t>
      </w:r>
      <w:hyperlink w:anchor="ref-hmrc_vatgpb">
        <w:r>
          <w:rPr>
            <w:rStyle w:val="Hyperlink"/>
          </w:rPr>
          <w:t xml:space="preserve">HMRC, 2026n, sec. VATGPB10370</w:t>
        </w:r>
      </w:hyperlink>
      <w:r>
        <w:t xml:space="preserve">)</w:t>
      </w:r>
      <w:r>
        <w:t xml:space="preserve">.</w:t>
      </w:r>
    </w:p>
    <w:p>
      <w:pPr>
        <w:pStyle w:val="Compact"/>
        <w:numPr>
          <w:ilvl w:val="0"/>
          <w:numId w:val="1368"/>
        </w:numPr>
      </w:pPr>
      <w:r>
        <w:rPr>
          <w:b/>
          <w:bCs/>
        </w:rPr>
        <w:t xml:space="preserve">Result:</w:t>
      </w:r>
      <w:r>
        <w:t xml:space="preserve"> </w:t>
      </w:r>
      <w:r>
        <w:rPr>
          <w:b/>
          <w:bCs/>
        </w:rPr>
        <w:t xml:space="preserve">Not recoverable:</w:t>
      </w:r>
      <w:r>
        <w:t xml:space="preserve"> </w:t>
      </w:r>
      <w:r>
        <w:t xml:space="preserve">£800 on the uniforms, net cost £4,800.</w:t>
      </w:r>
      <w:r>
        <w:t xml:space="preserve"> </w:t>
      </w:r>
      <w:r>
        <w:rPr>
          <w:b/>
          <w:bCs/>
        </w:rPr>
        <w:t xml:space="preserve">Recoverable:</w:t>
      </w:r>
      <w:r>
        <w:t xml:space="preserve"> </w:t>
      </w:r>
      <w:r>
        <w:t xml:space="preserve">£240 a year under Heading 32, net cost £1,200 a year.</w:t>
      </w:r>
    </w:p>
    <w:p>
      <w:pPr>
        <w:pStyle w:val="FirstParagraph"/>
      </w:pPr>
      <w:r>
        <w:rPr>
          <w:b/>
          <w:bCs/>
        </w:rPr>
        <w:t xml:space="preserve">Example 35: Safety boots for staff</w:t>
      </w:r>
    </w:p>
    <w:p>
      <w:pPr>
        <w:pStyle w:val="Compact"/>
        <w:numPr>
          <w:ilvl w:val="0"/>
          <w:numId w:val="1370"/>
        </w:numPr>
      </w:pPr>
      <w:r>
        <w:rPr>
          <w:b/>
          <w:bCs/>
        </w:rPr>
        <w:t xml:space="preserve">Situation:</w:t>
      </w:r>
      <w:r>
        <w:t xml:space="preserve"> </w:t>
      </w:r>
      <w:r>
        <w:t xml:space="preserve">The Department buys 20 pairs of protective boots for its estates staff for £1,600, VAT £320. A construction company buys the same boots for its site workers.</w:t>
      </w:r>
    </w:p>
    <w:p>
      <w:pPr>
        <w:pStyle w:val="Compact"/>
        <w:numPr>
          <w:ilvl w:val="0"/>
          <w:numId w:val="1370"/>
        </w:numPr>
      </w:pPr>
      <w:r>
        <w:rPr>
          <w:b/>
          <w:bCs/>
        </w:rPr>
        <w:t xml:space="preserve">VAT treatment:</w:t>
      </w:r>
    </w:p>
    <w:p>
      <w:pPr>
        <w:pStyle w:val="Compact"/>
        <w:numPr>
          <w:ilvl w:val="1"/>
          <w:numId w:val="1371"/>
        </w:numPr>
      </w:pPr>
      <w:r>
        <w:t xml:space="preserve">Protective boots for industrial use can be zero-rated, but not when they are supplied to an employer for its employees to use</w:t>
      </w:r>
      <w:r>
        <w:t xml:space="preserve"> </w:t>
      </w:r>
      <w:r>
        <w:t xml:space="preserve">(</w:t>
      </w:r>
      <w:hyperlink w:anchor="ref-hmrc_n70123">
        <w:r>
          <w:rPr>
            <w:rStyle w:val="Hyperlink"/>
          </w:rPr>
          <w:t xml:space="preserve">HMRC, 2022f</w:t>
        </w:r>
      </w:hyperlink>
      <w:r>
        <w:t xml:space="preserve">, paras. 2.1 and 2.5)</w:t>
      </w:r>
      <w:r>
        <w:t xml:space="preserve">. So both buyers are charged 20%.</w:t>
      </w:r>
    </w:p>
    <w:p>
      <w:pPr>
        <w:pStyle w:val="Compact"/>
        <w:numPr>
          <w:ilvl w:val="1"/>
          <w:numId w:val="1371"/>
        </w:numPr>
      </w:pPr>
      <w:r>
        <w:t xml:space="preserve">The Department: goods, so no heading applies.</w:t>
      </w:r>
    </w:p>
    <w:p>
      <w:pPr>
        <w:pStyle w:val="Compact"/>
        <w:numPr>
          <w:ilvl w:val="1"/>
          <w:numId w:val="1371"/>
        </w:numPr>
      </w:pPr>
      <w:r>
        <w:t xml:space="preserve">The construction company: input tax.</w:t>
      </w:r>
    </w:p>
    <w:p>
      <w:pPr>
        <w:pStyle w:val="Compact"/>
        <w:numPr>
          <w:ilvl w:val="0"/>
          <w:numId w:val="1370"/>
        </w:numPr>
      </w:pPr>
      <w:r>
        <w:rPr>
          <w:b/>
          <w:bCs/>
        </w:rPr>
        <w:t xml:space="preserve">Result:</w:t>
      </w:r>
      <w:r>
        <w:t xml:space="preserve"> </w:t>
      </w:r>
      <w:r>
        <w:t xml:space="preserve">The Department:</w:t>
      </w:r>
      <w:r>
        <w:t xml:space="preserve"> </w:t>
      </w:r>
      <w:r>
        <w:rPr>
          <w:b/>
          <w:bCs/>
        </w:rPr>
        <w:t xml:space="preserve">Not recoverable:</w:t>
      </w:r>
      <w:r>
        <w:t xml:space="preserve"> </w:t>
      </w:r>
      <w:r>
        <w:t xml:space="preserve">£320, net cost £1,920. The company:</w:t>
      </w:r>
      <w:r>
        <w:t xml:space="preserve"> </w:t>
      </w:r>
      <w:r>
        <w:rPr>
          <w:b/>
          <w:bCs/>
        </w:rPr>
        <w:t xml:space="preserve">Recoverable:</w:t>
      </w:r>
      <w:r>
        <w:t xml:space="preserve"> </w:t>
      </w:r>
      <w:r>
        <w:t xml:space="preserve">£320, net cost £1,600.</w:t>
      </w:r>
    </w:p>
    <w:p>
      <w:pPr>
        <w:pStyle w:val="FirstParagraph"/>
      </w:pPr>
      <w:r>
        <w:rPr>
          <w:b/>
          <w:bCs/>
        </w:rPr>
        <w:t xml:space="preserve">Example 36: An NHS trust buys an ultrasound scanner</w:t>
      </w:r>
    </w:p>
    <w:p>
      <w:pPr>
        <w:pStyle w:val="Compact"/>
        <w:numPr>
          <w:ilvl w:val="0"/>
          <w:numId w:val="1372"/>
        </w:numPr>
      </w:pPr>
      <w:r>
        <w:rPr>
          <w:b/>
          <w:bCs/>
        </w:rPr>
        <w:t xml:space="preserve">Situation:</w:t>
      </w:r>
      <w:r>
        <w:t xml:space="preserve"> </w:t>
      </w:r>
      <w:r>
        <w:t xml:space="preserve">Option A: an NHS trust buys a scanner with NHS funds for £50,000, VAT £10,000. Option B: the trust’s linked NHS charity places the order, pays from its charitable funds, and donates the scanner to the trust.</w:t>
      </w:r>
    </w:p>
    <w:p>
      <w:pPr>
        <w:pStyle w:val="Compact"/>
        <w:numPr>
          <w:ilvl w:val="0"/>
          <w:numId w:val="1372"/>
        </w:numPr>
      </w:pPr>
      <w:r>
        <w:rPr>
          <w:b/>
          <w:bCs/>
        </w:rPr>
        <w:t xml:space="preserve">VAT treatment:</w:t>
      </w:r>
    </w:p>
    <w:p>
      <w:pPr>
        <w:pStyle w:val="Compact"/>
        <w:numPr>
          <w:ilvl w:val="1"/>
          <w:numId w:val="1373"/>
        </w:numPr>
      </w:pPr>
      <w:r>
        <w:t xml:space="preserve">Option A: healthcare provided free is non-business, and VAT on non-business costs outside the COS headings cannot be recovered</w:t>
      </w:r>
      <w:r>
        <w:t xml:space="preserve"> </w:t>
      </w:r>
      <w:r>
        <w:t xml:space="preserve">(</w:t>
      </w:r>
      <w:hyperlink w:anchor="ref-hmrc_nhspef">
        <w:r>
          <w:rPr>
            <w:rStyle w:val="Hyperlink"/>
          </w:rPr>
          <w:t xml:space="preserve">HMRC, 2022c</w:t>
        </w:r>
      </w:hyperlink>
      <w:r>
        <w:t xml:space="preserve">)</w:t>
      </w:r>
      <w:r>
        <w:t xml:space="preserve">. A scanner is goods. National Health Service funds</w:t>
      </w:r>
      <w:r>
        <w:t xml:space="preserve"> </w:t>
      </w:r>
      <w:r>
        <w:t xml:space="preserve">“</w:t>
      </w:r>
      <w:r>
        <w:t xml:space="preserve">are not charitable or donated</w:t>
      </w:r>
      <w:r>
        <w:t xml:space="preserve">”</w:t>
      </w:r>
      <w:r>
        <w:t xml:space="preserve">, so the zero rate below does not apply</w:t>
      </w:r>
      <w:r>
        <w:t xml:space="preserve"> </w:t>
      </w:r>
      <w:r>
        <w:t xml:space="preserve">(</w:t>
      </w:r>
      <w:hyperlink w:anchor="ref-hmrc_n7016">
        <w:r>
          <w:rPr>
            <w:rStyle w:val="Hyperlink"/>
          </w:rPr>
          <w:t xml:space="preserve">HMRC, 2025b, para. 5.1</w:t>
        </w:r>
      </w:hyperlink>
      <w:r>
        <w:t xml:space="preserve">)</w:t>
      </w:r>
      <w:r>
        <w:t xml:space="preserve">.</w:t>
      </w:r>
    </w:p>
    <w:p>
      <w:pPr>
        <w:pStyle w:val="Compact"/>
        <w:numPr>
          <w:ilvl w:val="1"/>
          <w:numId w:val="1373"/>
        </w:numPr>
      </w:pPr>
      <w:r>
        <w:t xml:space="preserve">Option B: medical equipment bought with charitable funds and donated to an NHS trust can be zero-rated, if it is used mainly for medical diagnosis or treatment and the supplier holds a valid eligibility declaration</w:t>
      </w:r>
      <w:r>
        <w:t xml:space="preserve"> </w:t>
      </w:r>
      <w:r>
        <w:t xml:space="preserve">(</w:t>
      </w:r>
      <w:hyperlink w:anchor="ref-hmrc_n7016">
        <w:r>
          <w:rPr>
            <w:rStyle w:val="Hyperlink"/>
          </w:rPr>
          <w:t xml:space="preserve">HMRC, 2025b</w:t>
        </w:r>
      </w:hyperlink>
      <w:r>
        <w:t xml:space="preserve">, paras. 2.1 and 6.1)</w:t>
      </w:r>
      <w:r>
        <w:t xml:space="preserve">.</w:t>
      </w:r>
    </w:p>
    <w:p>
      <w:pPr>
        <w:pStyle w:val="Compact"/>
        <w:numPr>
          <w:ilvl w:val="1"/>
          <w:numId w:val="1373"/>
        </w:numPr>
      </w:pPr>
      <w:r>
        <w:t xml:space="preserve">The Healthcare Financial Management Association (HFMA) advises that there must be</w:t>
      </w:r>
      <w:r>
        <w:t xml:space="preserve"> </w:t>
      </w:r>
      <w:r>
        <w:t xml:space="preserve">“</w:t>
      </w:r>
      <w:r>
        <w:t xml:space="preserve">a separate order for the equipment from the charity and the purchase needs to be made by the charity</w:t>
      </w:r>
      <w:r>
        <w:t xml:space="preserve">”</w:t>
      </w:r>
      <w:r>
        <w:t xml:space="preserve"> </w:t>
      </w:r>
      <w:r>
        <w:t xml:space="preserve">(</w:t>
      </w:r>
      <w:hyperlink w:anchor="ref-hfma_nhs_charities">
        <w:r>
          <w:rPr>
            <w:rStyle w:val="Hyperlink"/>
          </w:rPr>
          <w:t xml:space="preserve">Paterson, D., 2024</w:t>
        </w:r>
      </w:hyperlink>
      <w:r>
        <w:t xml:space="preserve">)</w:t>
      </w:r>
      <w:r>
        <w:t xml:space="preserve">.</w:t>
      </w:r>
    </w:p>
    <w:p>
      <w:pPr>
        <w:pStyle w:val="Compact"/>
        <w:numPr>
          <w:ilvl w:val="1"/>
          <w:numId w:val="1373"/>
        </w:numPr>
      </w:pPr>
      <w:r>
        <w:rPr>
          <w:b/>
          <w:bCs/>
        </w:rPr>
        <w:t xml:space="preserve">Check first:</w:t>
      </w:r>
      <w:r>
        <w:t xml:space="preserve"> </w:t>
      </w:r>
      <w:r>
        <w:t xml:space="preserve">the supplier decides the VAT treatment and may refuse to zero-rate even with a certificate, so confirm the equipment is on HMRC’s eligible list before ordering</w:t>
      </w:r>
      <w:r>
        <w:t xml:space="preserve"> </w:t>
      </w:r>
      <w:r>
        <w:t xml:space="preserve">(</w:t>
      </w:r>
      <w:hyperlink w:anchor="ref-hfma_nhs_charities">
        <w:r>
          <w:rPr>
            <w:rStyle w:val="Hyperlink"/>
          </w:rPr>
          <w:t xml:space="preserve">Paterson, D., 2024</w:t>
        </w:r>
      </w:hyperlink>
      <w:r>
        <w:t xml:space="preserve">)</w:t>
      </w:r>
      <w:r>
        <w:t xml:space="preserve">.</w:t>
      </w:r>
    </w:p>
    <w:p>
      <w:pPr>
        <w:pStyle w:val="Compact"/>
        <w:numPr>
          <w:ilvl w:val="0"/>
          <w:numId w:val="1372"/>
        </w:numPr>
      </w:pPr>
      <w:r>
        <w:rPr>
          <w:b/>
          <w:bCs/>
        </w:rPr>
        <w:t xml:space="preserve">Result:</w:t>
      </w:r>
      <w:r>
        <w:t xml:space="preserve"> </w:t>
      </w:r>
      <w:r>
        <w:t xml:space="preserve">Option A:</w:t>
      </w:r>
      <w:r>
        <w:t xml:space="preserve"> </w:t>
      </w:r>
      <w:r>
        <w:rPr>
          <w:b/>
          <w:bCs/>
        </w:rPr>
        <w:t xml:space="preserve">Not recoverable:</w:t>
      </w:r>
      <w:r>
        <w:t xml:space="preserve"> </w:t>
      </w:r>
      <w:r>
        <w:t xml:space="preserve">£10,000. Net cost £60,000. Option B: no VAT is charged. Net cost £50,000, borne by the charity.</w:t>
      </w:r>
    </w:p>
    <w:p>
      <w:pPr>
        <w:pStyle w:val="FirstParagraph"/>
      </w:pPr>
      <w:r>
        <w:rPr>
          <w:b/>
          <w:bCs/>
        </w:rPr>
        <w:t xml:space="preserve">Example 37: A charity hospice buys medical equipment; a campaigning charity buys laptops</w:t>
      </w:r>
    </w:p>
    <w:p>
      <w:pPr>
        <w:pStyle w:val="Compact"/>
        <w:numPr>
          <w:ilvl w:val="0"/>
          <w:numId w:val="1374"/>
        </w:numPr>
      </w:pPr>
      <w:r>
        <w:rPr>
          <w:b/>
          <w:bCs/>
        </w:rPr>
        <w:t xml:space="preserve">Situation:</w:t>
      </w:r>
      <w:r>
        <w:t xml:space="preserve"> </w:t>
      </w:r>
      <w:r>
        <w:t xml:space="preserve">Option A: a charitable hospice, registered with the care regulator and mainly treating people who are chronically sick, buys 10 syringe drivers for £8,000 from donated funds. Option B: an environmental campaigning charity buys 10 laptops for £10,000, VAT £2,000, for its unpaid campaigning work.</w:t>
      </w:r>
    </w:p>
    <w:p>
      <w:pPr>
        <w:pStyle w:val="Compact"/>
        <w:numPr>
          <w:ilvl w:val="0"/>
          <w:numId w:val="1374"/>
        </w:numPr>
      </w:pPr>
      <w:r>
        <w:rPr>
          <w:b/>
          <w:bCs/>
        </w:rPr>
        <w:t xml:space="preserve">VAT treatment:</w:t>
      </w:r>
    </w:p>
    <w:p>
      <w:pPr>
        <w:pStyle w:val="Compact"/>
        <w:numPr>
          <w:ilvl w:val="1"/>
          <w:numId w:val="1375"/>
        </w:numPr>
      </w:pPr>
      <w:r>
        <w:t xml:space="preserve">Option A: a registered charitable establishment that provides medical treatment, mainly to people who are chronically sick or disabled, is an</w:t>
      </w:r>
      <w:r>
        <w:t xml:space="preserve"> </w:t>
      </w:r>
      <w:r>
        <w:t xml:space="preserve">“</w:t>
      </w:r>
      <w:r>
        <w:t xml:space="preserve">eligible body</w:t>
      </w:r>
      <w:r>
        <w:t xml:space="preserve">”</w:t>
      </w:r>
      <w:r>
        <w:t xml:space="preserve"> </w:t>
      </w:r>
      <w:r>
        <w:t xml:space="preserve">(</w:t>
      </w:r>
      <w:hyperlink w:anchor="ref-hmrc_n7016">
        <w:r>
          <w:rPr>
            <w:rStyle w:val="Hyperlink"/>
          </w:rPr>
          <w:t xml:space="preserve">HMRC, 2025b, para. 3.4.1</w:t>
        </w:r>
      </w:hyperlink>
      <w:r>
        <w:t xml:space="preserve">)</w:t>
      </w:r>
      <w:r>
        <w:t xml:space="preserve">. Medical equipment it buys with charitable or donated funds, mainly for treatment, can be zero-rated if it gives the supplier a valid eligibility declaration</w:t>
      </w:r>
      <w:r>
        <w:t xml:space="preserve"> </w:t>
      </w:r>
      <w:r>
        <w:t xml:space="preserve">(</w:t>
      </w:r>
      <w:hyperlink w:anchor="ref-hmrc_n7016">
        <w:r>
          <w:rPr>
            <w:rStyle w:val="Hyperlink"/>
          </w:rPr>
          <w:t xml:space="preserve">HMRC, 2025b, para. 2.1</w:t>
        </w:r>
      </w:hyperlink>
      <w:r>
        <w:t xml:space="preserve">)</w:t>
      </w:r>
      <w:r>
        <w:t xml:space="preserve">.</w:t>
      </w:r>
    </w:p>
    <w:p>
      <w:pPr>
        <w:pStyle w:val="Compact"/>
        <w:numPr>
          <w:ilvl w:val="1"/>
          <w:numId w:val="1375"/>
        </w:numPr>
      </w:pPr>
      <w:r>
        <w:t xml:space="preserve">Option B: a charity cannot reclaim VAT on purchases that relate directly to its non-business activities</w:t>
      </w:r>
      <w:r>
        <w:t xml:space="preserve"> </w:t>
      </w:r>
      <w:r>
        <w:t xml:space="preserve">(</w:t>
      </w:r>
      <w:hyperlink w:anchor="ref-hmrc_n7011">
        <w:r>
          <w:rPr>
            <w:rStyle w:val="Hyperlink"/>
          </w:rPr>
          <w:t xml:space="preserve">HMRC, 2026h, para. 3.7.1</w:t>
        </w:r>
      </w:hyperlink>
      <w:r>
        <w:t xml:space="preserve">)</w:t>
      </w:r>
      <w:r>
        <w:t xml:space="preserve">. Computer equipment qualifies for this zero rate only when an eligible body buys it mainly for medical or veterinary research, training, diagnosis or treatment</w:t>
      </w:r>
      <w:r>
        <w:t xml:space="preserve"> </w:t>
      </w:r>
      <w:r>
        <w:t xml:space="preserve">(</w:t>
      </w:r>
      <w:hyperlink w:anchor="ref-hmrc_n7016">
        <w:r>
          <w:rPr>
            <w:rStyle w:val="Hyperlink"/>
          </w:rPr>
          <w:t xml:space="preserve">HMRC, 2025b</w:t>
        </w:r>
      </w:hyperlink>
      <w:r>
        <w:t xml:space="preserve">, paras. 4.2.4 and 4.3)</w:t>
      </w:r>
      <w:r>
        <w:t xml:space="preserve">.</w:t>
      </w:r>
    </w:p>
    <w:p>
      <w:pPr>
        <w:pStyle w:val="Compact"/>
        <w:numPr>
          <w:ilvl w:val="0"/>
          <w:numId w:val="1374"/>
        </w:numPr>
      </w:pPr>
      <w:r>
        <w:rPr>
          <w:b/>
          <w:bCs/>
        </w:rPr>
        <w:t xml:space="preserve">Result:</w:t>
      </w:r>
      <w:r>
        <w:t xml:space="preserve"> </w:t>
      </w:r>
      <w:r>
        <w:t xml:space="preserve">Option A: no VAT is charged, net cost £8,000. Option B:</w:t>
      </w:r>
      <w:r>
        <w:t xml:space="preserve"> </w:t>
      </w:r>
      <w:r>
        <w:rPr>
          <w:b/>
          <w:bCs/>
        </w:rPr>
        <w:t xml:space="preserve">Not recoverable:</w:t>
      </w:r>
      <w:r>
        <w:t xml:space="preserve"> </w:t>
      </w:r>
      <w:r>
        <w:t xml:space="preserve">£2,000, net cost £12,000.</w:t>
      </w:r>
    </w:p>
    <w:bookmarkEnd w:id="250"/>
    <w:bookmarkStart w:id="251" w:name="Xb88588ff0a10a219cb9edbf68eadd8928eb4aef"/>
    <w:p>
      <w:pPr>
        <w:pStyle w:val="Heading4"/>
      </w:pPr>
      <w:r>
        <w:t xml:space="preserve">Goods from overseas and goods sent overseas</w:t>
      </w:r>
    </w:p>
    <w:p>
      <w:pPr>
        <w:pStyle w:val="FirstParagraph"/>
      </w:pPr>
      <w:r>
        <w:rPr>
          <w:b/>
          <w:bCs/>
        </w:rPr>
        <w:t xml:space="preserve">Example 38: Importing a laboratory instrument</w:t>
      </w:r>
    </w:p>
    <w:p>
      <w:pPr>
        <w:pStyle w:val="Compact"/>
        <w:numPr>
          <w:ilvl w:val="0"/>
          <w:numId w:val="1376"/>
        </w:numPr>
      </w:pPr>
      <w:r>
        <w:rPr>
          <w:b/>
          <w:bCs/>
        </w:rPr>
        <w:t xml:space="preserve">Situation:</w:t>
      </w:r>
      <w:r>
        <w:t xml:space="preserve"> </w:t>
      </w:r>
      <w:r>
        <w:t xml:space="preserve">The Department buys an instrument from a US manufacturer for £30,000. Freight and insurance to its laboratory cost £2,000, and no customs duty is due. It will use the instrument 80% for non-business research and 20% for its business data-licensing activity.</w:t>
      </w:r>
    </w:p>
    <w:p>
      <w:pPr>
        <w:pStyle w:val="Compact"/>
        <w:numPr>
          <w:ilvl w:val="0"/>
          <w:numId w:val="1376"/>
        </w:numPr>
      </w:pPr>
      <w:r>
        <w:rPr>
          <w:b/>
          <w:bCs/>
        </w:rPr>
        <w:t xml:space="preserve">VAT treatment:</w:t>
      </w:r>
    </w:p>
    <w:p>
      <w:pPr>
        <w:pStyle w:val="Compact"/>
        <w:numPr>
          <w:ilvl w:val="1"/>
          <w:numId w:val="1377"/>
        </w:numPr>
      </w:pPr>
      <w:r>
        <w:t xml:space="preserve">Import VAT is charged on the customs value plus incidental costs such as transport and insurance to the first UK destination, plus any duty</w:t>
      </w:r>
      <w:r>
        <w:t xml:space="preserve"> </w:t>
      </w:r>
      <w:r>
        <w:t xml:space="preserve">(</w:t>
      </w:r>
      <w:hyperlink w:anchor="ref-hmrc_import_value">
        <w:r>
          <w:rPr>
            <w:rStyle w:val="Hyperlink"/>
          </w:rPr>
          <w:t xml:space="preserve">HMRC, 2025m</w:t>
        </w:r>
      </w:hyperlink>
      <w:r>
        <w:t xml:space="preserve">)</w:t>
      </w:r>
      <w:r>
        <w:t xml:space="preserve">: (£30,000 + £2,000) × 20% = £6,400.</w:t>
      </w:r>
    </w:p>
    <w:p>
      <w:pPr>
        <w:pStyle w:val="Compact"/>
        <w:numPr>
          <w:ilvl w:val="1"/>
          <w:numId w:val="1377"/>
        </w:numPr>
      </w:pPr>
      <w:r>
        <w:t xml:space="preserve">The non-business share is not refundable, because the Direction does not cover standalone goods (see Part 4, Import VAT and government departments).</w:t>
      </w:r>
    </w:p>
    <w:p>
      <w:pPr>
        <w:pStyle w:val="Compact"/>
        <w:numPr>
          <w:ilvl w:val="1"/>
          <w:numId w:val="1377"/>
        </w:numPr>
      </w:pPr>
      <w:r>
        <w:t xml:space="preserve">The business share (20% use) is input tax: £6,400 × 20% = £1,280. For goods used for both business and non-business purposes, the Department can use</w:t>
      </w:r>
      <w:r>
        <w:t xml:space="preserve"> </w:t>
      </w:r>
      <w:r>
        <w:rPr>
          <w:b/>
          <w:bCs/>
        </w:rPr>
        <w:t xml:space="preserve">postponed VAT accounting</w:t>
      </w:r>
      <w:r>
        <w:t xml:space="preserve"> </w:t>
      </w:r>
      <w:r>
        <w:t xml:space="preserve">(PVA), which means declaring the import VAT on its VAT return instead of paying it at the border</w:t>
      </w:r>
      <w:r>
        <w:t xml:space="preserve"> </w:t>
      </w:r>
      <w:r>
        <w:t xml:space="preserve">(</w:t>
      </w:r>
      <w:hyperlink w:anchor="ref-hmrc_pva">
        <w:r>
          <w:rPr>
            <w:rStyle w:val="Hyperlink"/>
          </w:rPr>
          <w:t xml:space="preserve">HMRC, 2025c</w:t>
        </w:r>
      </w:hyperlink>
      <w:r>
        <w:t xml:space="preserve">)</w:t>
      </w:r>
      <w:r>
        <w:t xml:space="preserve">.</w:t>
      </w:r>
    </w:p>
    <w:p>
      <w:pPr>
        <w:pStyle w:val="Compact"/>
        <w:numPr>
          <w:ilvl w:val="1"/>
          <w:numId w:val="1377"/>
        </w:numPr>
      </w:pPr>
      <w:r>
        <w:rPr>
          <w:b/>
          <w:bCs/>
        </w:rPr>
        <w:t xml:space="preserve">Check first:</w:t>
      </w:r>
      <w:r>
        <w:t xml:space="preserve"> </w:t>
      </w:r>
      <w:r>
        <w:t xml:space="preserve">for goods to be used</w:t>
      </w:r>
      <w:r>
        <w:t xml:space="preserve"> </w:t>
      </w:r>
      <w:r>
        <w:rPr>
          <w:b/>
          <w:bCs/>
        </w:rPr>
        <w:t xml:space="preserve">only</w:t>
      </w:r>
      <w:r>
        <w:t xml:space="preserve"> </w:t>
      </w:r>
      <w:r>
        <w:t xml:space="preserve">for non-business purposes, HMRC says PVA is available only to a body that is eligible to reclaim import VAT through a VAT refund scheme</w:t>
      </w:r>
      <w:r>
        <w:t xml:space="preserve"> </w:t>
      </w:r>
      <w:r>
        <w:t xml:space="preserve">(</w:t>
      </w:r>
      <w:hyperlink w:anchor="ref-hmrc_pva">
        <w:r>
          <w:rPr>
            <w:rStyle w:val="Hyperlink"/>
          </w:rPr>
          <w:t xml:space="preserve">HMRC, 2025c</w:t>
        </w:r>
      </w:hyperlink>
      <w:r>
        <w:t xml:space="preserve">)</w:t>
      </w:r>
      <w:r>
        <w:t xml:space="preserve">. Ask your VAT team before using PVA on a wholly non-business import.</w:t>
      </w:r>
    </w:p>
    <w:p>
      <w:pPr>
        <w:pStyle w:val="Compact"/>
        <w:numPr>
          <w:ilvl w:val="0"/>
          <w:numId w:val="1376"/>
        </w:numPr>
      </w:pPr>
      <w:r>
        <w:rPr>
          <w:b/>
          <w:bCs/>
        </w:rPr>
        <w:t xml:space="preserve">Result:</w:t>
      </w:r>
      <w:r>
        <w:t xml:space="preserve"> </w:t>
      </w:r>
      <w:r>
        <w:rPr>
          <w:b/>
          <w:bCs/>
        </w:rPr>
        <w:t xml:space="preserve">Partly recoverable:</w:t>
      </w:r>
      <w:r>
        <w:t xml:space="preserve"> </w:t>
      </w:r>
      <w:r>
        <w:t xml:space="preserve">£1,280 of £6,400. Net cost £37,120 (£32,000 + £6,400 − £1,280).</w:t>
      </w:r>
    </w:p>
    <w:p>
      <w:pPr>
        <w:pStyle w:val="FirstParagraph"/>
      </w:pPr>
      <w:r>
        <w:rPr>
          <w:b/>
          <w:bCs/>
        </w:rPr>
        <w:t xml:space="preserve">Example 39: Low-value goods bought online from abroad</w:t>
      </w:r>
    </w:p>
    <w:p>
      <w:pPr>
        <w:pStyle w:val="Compact"/>
        <w:numPr>
          <w:ilvl w:val="0"/>
          <w:numId w:val="1378"/>
        </w:numPr>
      </w:pPr>
      <w:r>
        <w:rPr>
          <w:b/>
          <w:bCs/>
        </w:rPr>
        <w:t xml:space="preserve">Situation:</w:t>
      </w:r>
      <w:r>
        <w:t xml:space="preserve"> </w:t>
      </w:r>
      <w:r>
        <w:t xml:space="preserve">The Department buys a £100 specialist cable directly from an overseas seller’s own website (not through an online marketplace) for non-business use. The consignment is worth £135 or less.</w:t>
      </w:r>
    </w:p>
    <w:p>
      <w:pPr>
        <w:pStyle w:val="Compact"/>
        <w:numPr>
          <w:ilvl w:val="0"/>
          <w:numId w:val="1378"/>
        </w:numPr>
      </w:pPr>
      <w:r>
        <w:rPr>
          <w:b/>
          <w:bCs/>
        </w:rPr>
        <w:t xml:space="preserve">VAT treatment:</w:t>
      </w:r>
    </w:p>
    <w:p>
      <w:pPr>
        <w:pStyle w:val="Compact"/>
        <w:numPr>
          <w:ilvl w:val="1"/>
          <w:numId w:val="1379"/>
        </w:numPr>
      </w:pPr>
      <w:r>
        <w:t xml:space="preserve">For consignments of £135 or less sent from outside the UK and sold directly to customers in Great Britain, the seller charges UK VAT at the point of sale. If the sale is business to business and the customer gives its UK VAT registration number, the seller does not charge VAT and the customer accounts for it under the reverse charge</w:t>
      </w:r>
      <w:r>
        <w:t xml:space="preserve"> </w:t>
      </w:r>
      <w:r>
        <w:t xml:space="preserve">(</w:t>
      </w:r>
      <w:hyperlink w:anchor="ref-hmrc_lvc_direct">
        <w:r>
          <w:rPr>
            <w:rStyle w:val="Hyperlink"/>
          </w:rPr>
          <w:t xml:space="preserve">HMRC, 2022h</w:t>
        </w:r>
      </w:hyperlink>
      <w:r>
        <w:t xml:space="preserve">)</w:t>
      </w:r>
      <w:r>
        <w:t xml:space="preserve">.</w:t>
      </w:r>
    </w:p>
    <w:p>
      <w:pPr>
        <w:pStyle w:val="Compact"/>
        <w:numPr>
          <w:ilvl w:val="1"/>
          <w:numId w:val="1379"/>
        </w:numPr>
      </w:pPr>
      <w:r>
        <w:t xml:space="preserve">Either way, the use is non-business and the purchase is goods, so neither input tax nor COS applies.</w:t>
      </w:r>
    </w:p>
    <w:p>
      <w:pPr>
        <w:pStyle w:val="Compact"/>
        <w:numPr>
          <w:ilvl w:val="1"/>
          <w:numId w:val="1379"/>
        </w:numPr>
      </w:pPr>
      <w:r>
        <w:rPr>
          <w:b/>
          <w:bCs/>
        </w:rPr>
        <w:t xml:space="preserve">Check first:</w:t>
      </w:r>
      <w:r>
        <w:t xml:space="preserve"> </w:t>
      </w:r>
      <w:r>
        <w:t xml:space="preserve">HMRC frames the VAT-number route as a business-to-business sale. Quoting the Department’s VAT number for a non-business purchase creates output tax it cannot reclaim, so check your internal procedure first.</w:t>
      </w:r>
    </w:p>
    <w:p>
      <w:pPr>
        <w:pStyle w:val="Compact"/>
        <w:numPr>
          <w:ilvl w:val="0"/>
          <w:numId w:val="1378"/>
        </w:numPr>
      </w:pPr>
      <w:r>
        <w:rPr>
          <w:b/>
          <w:bCs/>
        </w:rPr>
        <w:t xml:space="preserve">Result:</w:t>
      </w:r>
      <w:r>
        <w:t xml:space="preserve"> </w:t>
      </w:r>
      <w:r>
        <w:rPr>
          <w:b/>
          <w:bCs/>
        </w:rPr>
        <w:t xml:space="preserve">Not recoverable:</w:t>
      </w:r>
      <w:r>
        <w:t xml:space="preserve"> </w:t>
      </w:r>
      <w:r>
        <w:t xml:space="preserve">£20 (£100 × 20%). Net cost £120.</w:t>
      </w:r>
    </w:p>
    <w:p>
      <w:pPr>
        <w:pStyle w:val="FirstParagraph"/>
      </w:pPr>
      <w:r>
        <w:rPr>
          <w:b/>
          <w:bCs/>
        </w:rPr>
        <w:t xml:space="preserve">Example 40: Goods to give to an overseas government</w:t>
      </w:r>
    </w:p>
    <w:p>
      <w:pPr>
        <w:pStyle w:val="Compact"/>
        <w:numPr>
          <w:ilvl w:val="0"/>
          <w:numId w:val="1380"/>
        </w:numPr>
      </w:pPr>
      <w:r>
        <w:rPr>
          <w:b/>
          <w:bCs/>
        </w:rPr>
        <w:t xml:space="preserve">Situation:</w:t>
      </w:r>
      <w:r>
        <w:t xml:space="preserve"> </w:t>
      </w:r>
      <w:r>
        <w:t xml:space="preserve">The Department buys 10 generators for £50,000 to give to an overseas government. Option A: the supplier delivers them to the Department’s UK store. Option B: the supplier exports them directly to the recipient country.</w:t>
      </w:r>
    </w:p>
    <w:p>
      <w:pPr>
        <w:pStyle w:val="Compact"/>
        <w:numPr>
          <w:ilvl w:val="0"/>
          <w:numId w:val="1380"/>
        </w:numPr>
      </w:pPr>
      <w:r>
        <w:rPr>
          <w:b/>
          <w:bCs/>
        </w:rPr>
        <w:t xml:space="preserve">VAT treatment:</w:t>
      </w:r>
    </w:p>
    <w:p>
      <w:pPr>
        <w:pStyle w:val="Compact"/>
        <w:numPr>
          <w:ilvl w:val="1"/>
          <w:numId w:val="1381"/>
        </w:numPr>
      </w:pPr>
      <w:r>
        <w:t xml:space="preserve">A supplier can zero-rate goods supplied to a government department only if it arranges their direct export. It</w:t>
      </w:r>
      <w:r>
        <w:t xml:space="preserve"> </w:t>
      </w:r>
      <w:r>
        <w:t xml:space="preserve">“</w:t>
      </w:r>
      <w:r>
        <w:t xml:space="preserve">must not zero rate goods for export delivered to government departments in the UK</w:t>
      </w:r>
      <w:r>
        <w:t xml:space="preserve">”</w:t>
      </w:r>
      <w:r>
        <w:t xml:space="preserve"> </w:t>
      </w:r>
      <w:r>
        <w:t xml:space="preserve">(</w:t>
      </w:r>
      <w:hyperlink w:anchor="ref-hmrc_n703">
        <w:r>
          <w:rPr>
            <w:rStyle w:val="Hyperlink"/>
          </w:rPr>
          <w:t xml:space="preserve">HMRC, 2026p, para. 4.12</w:t>
        </w:r>
      </w:hyperlink>
      <w:r>
        <w:t xml:space="preserve">)</w:t>
      </w:r>
      <w:r>
        <w:t xml:space="preserve">. The goods must be exported, and evidence obtained, within three months</w:t>
      </w:r>
      <w:r>
        <w:t xml:space="preserve"> </w:t>
      </w:r>
      <w:r>
        <w:t xml:space="preserve">(</w:t>
      </w:r>
      <w:hyperlink w:anchor="ref-hmrc_n703">
        <w:r>
          <w:rPr>
            <w:rStyle w:val="Hyperlink"/>
          </w:rPr>
          <w:t xml:space="preserve">HMRC, 2026p, para. 3.5</w:t>
        </w:r>
      </w:hyperlink>
      <w:r>
        <w:t xml:space="preserve">)</w:t>
      </w:r>
      <w:r>
        <w:t xml:space="preserve">.</w:t>
      </w:r>
    </w:p>
    <w:p>
      <w:pPr>
        <w:pStyle w:val="Compact"/>
        <w:numPr>
          <w:ilvl w:val="1"/>
          <w:numId w:val="1381"/>
        </w:numPr>
      </w:pPr>
      <w:r>
        <w:t xml:space="preserve">The gift is non-business and the generators are goods, so UK VAT charged on them cannot be recovered (see Part 6, Providing items to overseas governments).</w:t>
      </w:r>
    </w:p>
    <w:p>
      <w:pPr>
        <w:pStyle w:val="Compact"/>
        <w:numPr>
          <w:ilvl w:val="0"/>
          <w:numId w:val="1380"/>
        </w:numPr>
      </w:pPr>
      <w:r>
        <w:rPr>
          <w:b/>
          <w:bCs/>
        </w:rPr>
        <w:t xml:space="preserve">Result:</w:t>
      </w:r>
      <w:r>
        <w:t xml:space="preserve"> </w:t>
      </w:r>
      <w:r>
        <w:t xml:space="preserve">Option A:</w:t>
      </w:r>
      <w:r>
        <w:t xml:space="preserve"> </w:t>
      </w:r>
      <w:r>
        <w:rPr>
          <w:b/>
          <w:bCs/>
        </w:rPr>
        <w:t xml:space="preserve">Not recoverable:</w:t>
      </w:r>
      <w:r>
        <w:t xml:space="preserve"> </w:t>
      </w:r>
      <w:r>
        <w:t xml:space="preserve">£10,000, net cost £60,000. Option B: zero-rated, so no VAT, net cost £50,000.</w:t>
      </w:r>
    </w:p>
    <w:p>
      <w:pPr>
        <w:pStyle w:val="FirstParagraph"/>
      </w:pPr>
      <w:r>
        <w:rPr>
          <w:b/>
          <w:bCs/>
        </w:rPr>
        <w:t xml:space="preserve">Example 41: Selling surplus equipment abroad</w:t>
      </w:r>
    </w:p>
    <w:p>
      <w:pPr>
        <w:pStyle w:val="Compact"/>
        <w:numPr>
          <w:ilvl w:val="0"/>
          <w:numId w:val="1382"/>
        </w:numPr>
      </w:pPr>
      <w:r>
        <w:rPr>
          <w:b/>
          <w:bCs/>
        </w:rPr>
        <w:t xml:space="preserve">Situation:</w:t>
      </w:r>
      <w:r>
        <w:t xml:space="preserve"> </w:t>
      </w:r>
      <w:r>
        <w:t xml:space="preserve">The Department sells surplus laboratory equipment to a buyer in Canada for £20,000 and arranges the shipping. Before the sale it pays for reconditioning (£2,000, VAT £400) and specialist packing (£500, VAT £100). International freight is zero-rated.</w:t>
      </w:r>
    </w:p>
    <w:p>
      <w:pPr>
        <w:pStyle w:val="Compact"/>
        <w:numPr>
          <w:ilvl w:val="0"/>
          <w:numId w:val="1382"/>
        </w:numPr>
      </w:pPr>
      <w:r>
        <w:rPr>
          <w:b/>
          <w:bCs/>
        </w:rPr>
        <w:t xml:space="preserve">VAT treatment:</w:t>
      </w:r>
    </w:p>
    <w:p>
      <w:pPr>
        <w:pStyle w:val="Compact"/>
        <w:numPr>
          <w:ilvl w:val="1"/>
          <w:numId w:val="1383"/>
        </w:numPr>
      </w:pPr>
      <w:r>
        <w:t xml:space="preserve">HMRC lists the sale of assets among a department’s taxable (business) supplies</w:t>
      </w:r>
      <w:r>
        <w:t xml:space="preserve"> </w:t>
      </w:r>
      <w:r>
        <w:t xml:space="preserve">(</w:t>
      </w:r>
      <w:hyperlink w:anchor="ref-hmrc_gdpef">
        <w:r>
          <w:rPr>
            <w:rStyle w:val="Hyperlink"/>
          </w:rPr>
          <w:t xml:space="preserve">HMRC, 2023c</w:t>
        </w:r>
      </w:hyperlink>
      <w:r>
        <w:t xml:space="preserve">)</w:t>
      </w:r>
      <w:r>
        <w:t xml:space="preserve">. Exported goods are zero-rated if the export happens, and evidence is obtained, within the time limits</w:t>
      </w:r>
      <w:r>
        <w:t xml:space="preserve"> </w:t>
      </w:r>
      <w:r>
        <w:t xml:space="preserve">(</w:t>
      </w:r>
      <w:hyperlink w:anchor="ref-hmrc_n703">
        <w:r>
          <w:rPr>
            <w:rStyle w:val="Hyperlink"/>
          </w:rPr>
          <w:t xml:space="preserve">HMRC, 2026p</w:t>
        </w:r>
      </w:hyperlink>
      <w:r>
        <w:t xml:space="preserve">, paras. 3.3 and 3.5)</w:t>
      </w:r>
      <w:r>
        <w:t xml:space="preserve">. Freight transport to a place outside the UK is zero-rated</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1"/>
          <w:numId w:val="1383"/>
        </w:numPr>
      </w:pPr>
      <w:r>
        <w:t xml:space="preserve">Input tax on costs of zero-rated supplies is recoverable</w:t>
      </w:r>
      <w:r>
        <w:t xml:space="preserve"> </w:t>
      </w:r>
      <w:r>
        <w:t xml:space="preserve">(</w:t>
      </w:r>
      <w:hyperlink w:anchor="ref-hmrc_n700">
        <w:r>
          <w:rPr>
            <w:rStyle w:val="Hyperlink"/>
          </w:rPr>
          <w:t xml:space="preserve">HMRC, 2026o, para. 10.2</w:t>
        </w:r>
      </w:hyperlink>
      <w:r>
        <w:t xml:space="preserve">)</w:t>
      </w:r>
      <w:r>
        <w:t xml:space="preserve">. This is normal input tax, not COS (see Part 6, Selling items abroad, which has a fuller worked example using different figures).</w:t>
      </w:r>
    </w:p>
    <w:p>
      <w:pPr>
        <w:pStyle w:val="Compact"/>
        <w:numPr>
          <w:ilvl w:val="0"/>
          <w:numId w:val="1382"/>
        </w:numPr>
      </w:pPr>
      <w:r>
        <w:rPr>
          <w:b/>
          <w:bCs/>
        </w:rPr>
        <w:t xml:space="preserve">Result:</w:t>
      </w:r>
      <w:r>
        <w:t xml:space="preserve"> </w:t>
      </w:r>
      <w:r>
        <w:rPr>
          <w:b/>
          <w:bCs/>
        </w:rPr>
        <w:t xml:space="preserve">Recoverable:</w:t>
      </w:r>
      <w:r>
        <w:t xml:space="preserve"> </w:t>
      </w:r>
      <w:r>
        <w:t xml:space="preserve">£500 (£400 + £100) as input tax. Net cost of the preparation work £2,500 (£3,000 paid − £500). No output VAT is due on the sale.</w:t>
      </w:r>
    </w:p>
    <w:bookmarkEnd w:id="251"/>
    <w:bookmarkStart w:id="252" w:name="utilities-insurance-and-postage"/>
    <w:p>
      <w:pPr>
        <w:pStyle w:val="Heading4"/>
      </w:pPr>
      <w:r>
        <w:t xml:space="preserve">Utilities, insurance and postage</w:t>
      </w:r>
    </w:p>
    <w:p>
      <w:pPr>
        <w:pStyle w:val="FirstParagraph"/>
      </w:pPr>
      <w:r>
        <w:rPr>
          <w:b/>
          <w:bCs/>
        </w:rPr>
        <w:t xml:space="preserve">Example 42: Electricity and gas for the Department’s offices</w:t>
      </w:r>
    </w:p>
    <w:p>
      <w:pPr>
        <w:pStyle w:val="Compact"/>
        <w:numPr>
          <w:ilvl w:val="0"/>
          <w:numId w:val="1384"/>
        </w:numPr>
      </w:pPr>
      <w:r>
        <w:rPr>
          <w:b/>
          <w:bCs/>
        </w:rPr>
        <w:t xml:space="preserve">Situation:</w:t>
      </w:r>
      <w:r>
        <w:t xml:space="preserve"> </w:t>
      </w:r>
      <w:r>
        <w:t xml:space="preserve">The Department’s offices use far more than the small-user limits. Electricity £60,000 a year, VAT £12,000. Gas £20,000, VAT £4,000. Its agreed method gives 10% business use.</w:t>
      </w:r>
    </w:p>
    <w:p>
      <w:pPr>
        <w:pStyle w:val="Compact"/>
        <w:numPr>
          <w:ilvl w:val="0"/>
          <w:numId w:val="1384"/>
        </w:numPr>
      </w:pPr>
      <w:r>
        <w:rPr>
          <w:b/>
          <w:bCs/>
        </w:rPr>
        <w:t xml:space="preserve">VAT treatment:</w:t>
      </w:r>
    </w:p>
    <w:p>
      <w:pPr>
        <w:pStyle w:val="Compact"/>
        <w:numPr>
          <w:ilvl w:val="1"/>
          <w:numId w:val="1385"/>
        </w:numPr>
      </w:pPr>
      <w:r>
        <w:t xml:space="preserve">The 5% reduced rate applies only to domestic use, charity non-business use and very small supplies (an average of up to 33 kWh of electricity or 145 kWh of gas a day)</w:t>
      </w:r>
      <w:r>
        <w:t xml:space="preserve"> </w:t>
      </w:r>
      <w:r>
        <w:t xml:space="preserve">(</w:t>
      </w:r>
      <w:hyperlink w:anchor="ref-hmrc_n70119">
        <w:r>
          <w:rPr>
            <w:rStyle w:val="Hyperlink"/>
          </w:rPr>
          <w:t xml:space="preserve">HMRC, 2026e</w:t>
        </w:r>
      </w:hyperlink>
      <w:r>
        <w:t xml:space="preserve">, paras. 2.1, 4.2 and 5.2)</w:t>
      </w:r>
      <w:r>
        <w:t xml:space="preserve">. A government department’s non-business use does not qualify, so 20% applies.</w:t>
      </w:r>
    </w:p>
    <w:p>
      <w:pPr>
        <w:pStyle w:val="Compact"/>
        <w:numPr>
          <w:ilvl w:val="1"/>
          <w:numId w:val="1385"/>
        </w:numPr>
      </w:pPr>
      <w:r>
        <w:t xml:space="preserve">Fuel and power are goods for VAT purposes (Value Added Tax Act 1994, Sch. 4, para. 3)</w:t>
      </w:r>
      <w:r>
        <w:t xml:space="preserve"> </w:t>
      </w:r>
      <w:r>
        <w:t xml:space="preserve">(</w:t>
      </w:r>
      <w:hyperlink w:anchor="ref-hmrc_n70119">
        <w:r>
          <w:rPr>
            <w:rStyle w:val="Hyperlink"/>
          </w:rPr>
          <w:t xml:space="preserve">HMRC, 2026e, para. 1.2</w:t>
        </w:r>
      </w:hyperlink>
      <w:r>
        <w:t xml:space="preserve">)</w:t>
      </w:r>
      <w:r>
        <w:t xml:space="preserve">. HMRC’s framework says the non-business share of VAT on certain utilities is not refundable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1"/>
          <w:numId w:val="1385"/>
        </w:numPr>
      </w:pPr>
      <w:r>
        <w:t xml:space="preserve">Heading 21 excludes separate recharges of utilities, because they are goods</w:t>
      </w:r>
      <w:r>
        <w:t xml:space="preserve"> </w:t>
      </w:r>
      <w:r>
        <w:t xml:space="preserve">(</w:t>
      </w:r>
      <w:hyperlink w:anchor="ref-hmrc_vatgpb">
        <w:r>
          <w:rPr>
            <w:rStyle w:val="Hyperlink"/>
          </w:rPr>
          <w:t xml:space="preserve">HMRC, 2026n, sec. VATGPB10150</w:t>
        </w:r>
      </w:hyperlink>
      <w:r>
        <w:t xml:space="preserve">)</w:t>
      </w:r>
      <w:r>
        <w:t xml:space="preserve">. Heading 53 covers utilities only when they are included in the single all-in fee (the</w:t>
      </w:r>
      <w:r>
        <w:t xml:space="preserve"> </w:t>
      </w:r>
      <w:r>
        <w:t xml:space="preserve">“</w:t>
      </w:r>
      <w:r>
        <w:t xml:space="preserve">unitary charge</w:t>
      </w:r>
      <w:r>
        <w:t xml:space="preserve">”</w:t>
      </w:r>
      <w:r>
        <w:t xml:space="preserve">) paid under a PFI contract</w:t>
      </w:r>
      <w:r>
        <w:t xml:space="preserve"> </w:t>
      </w:r>
      <w:r>
        <w:t xml:space="preserve">(</w:t>
      </w:r>
      <w:hyperlink w:anchor="ref-hmrc_vatgpb">
        <w:r>
          <w:rPr>
            <w:rStyle w:val="Hyperlink"/>
          </w:rPr>
          <w:t xml:space="preserve">HMRC, 2026n, sec. VATGPB10790</w:t>
        </w:r>
      </w:hyperlink>
      <w:r>
        <w:t xml:space="preserve">)</w:t>
      </w:r>
      <w:r>
        <w:t xml:space="preserve">.</w:t>
      </w:r>
    </w:p>
    <w:p>
      <w:pPr>
        <w:pStyle w:val="Compact"/>
        <w:numPr>
          <w:ilvl w:val="1"/>
          <w:numId w:val="1385"/>
        </w:numPr>
      </w:pPr>
      <w:r>
        <w:t xml:space="preserve">Business share: £16,000 × 10% = £1,600 input tax.</w:t>
      </w:r>
    </w:p>
    <w:p>
      <w:pPr>
        <w:pStyle w:val="Compact"/>
        <w:numPr>
          <w:ilvl w:val="0"/>
          <w:numId w:val="1384"/>
        </w:numPr>
      </w:pPr>
      <w:r>
        <w:rPr>
          <w:b/>
          <w:bCs/>
        </w:rPr>
        <w:t xml:space="preserve">Result:</w:t>
      </w:r>
      <w:r>
        <w:t xml:space="preserve"> </w:t>
      </w:r>
      <w:r>
        <w:rPr>
          <w:b/>
          <w:bCs/>
        </w:rPr>
        <w:t xml:space="preserve">Partly recoverable:</w:t>
      </w:r>
      <w:r>
        <w:t xml:space="preserve"> </w:t>
      </w:r>
      <w:r>
        <w:t xml:space="preserve">£1,600 of £16,000. Net cost £94,400 (£96,000 − £1,600).</w:t>
      </w:r>
    </w:p>
    <w:p>
      <w:pPr>
        <w:pStyle w:val="FirstParagraph"/>
      </w:pPr>
      <w:r>
        <w:rPr>
          <w:b/>
          <w:bCs/>
        </w:rPr>
        <w:t xml:space="preserve">Example 43: Electricity for a charity vs a business</w:t>
      </w:r>
    </w:p>
    <w:p>
      <w:pPr>
        <w:pStyle w:val="Compact"/>
        <w:numPr>
          <w:ilvl w:val="0"/>
          <w:numId w:val="1386"/>
        </w:numPr>
      </w:pPr>
      <w:r>
        <w:rPr>
          <w:b/>
          <w:bCs/>
        </w:rPr>
        <w:t xml:space="preserve">Situation:</w:t>
      </w:r>
      <w:r>
        <w:t xml:space="preserve"> </w:t>
      </w:r>
      <w:r>
        <w:t xml:space="preserve">A charity runs a free advice centre, a wholly non-business use, and uses £60,000 of electricity a year. A business uses the same amount.</w:t>
      </w:r>
    </w:p>
    <w:p>
      <w:pPr>
        <w:pStyle w:val="Compact"/>
        <w:numPr>
          <w:ilvl w:val="0"/>
          <w:numId w:val="1386"/>
        </w:numPr>
      </w:pPr>
      <w:r>
        <w:rPr>
          <w:b/>
          <w:bCs/>
        </w:rPr>
        <w:t xml:space="preserve">VAT treatment:</w:t>
      </w:r>
    </w:p>
    <w:p>
      <w:pPr>
        <w:pStyle w:val="Compact"/>
        <w:numPr>
          <w:ilvl w:val="1"/>
          <w:numId w:val="1387"/>
        </w:numPr>
      </w:pPr>
      <w:r>
        <w:t xml:space="preserve">Fuel and power for charity non-business use is reduced-rated at 5%</w:t>
      </w:r>
      <w:r>
        <w:t xml:space="preserve"> </w:t>
      </w:r>
      <w:r>
        <w:t xml:space="preserve">(</w:t>
      </w:r>
      <w:hyperlink w:anchor="ref-hmrc_n70119">
        <w:r>
          <w:rPr>
            <w:rStyle w:val="Hyperlink"/>
          </w:rPr>
          <w:t xml:space="preserve">HMRC, 2026e, para. 3.3</w:t>
        </w:r>
      </w:hyperlink>
      <w:r>
        <w:t xml:space="preserve">)</w:t>
      </w:r>
      <w:r>
        <w:t xml:space="preserve">. Where 60% or more of a supply is for qualifying use, the whole supply is reduced-rated</w:t>
      </w:r>
      <w:r>
        <w:t xml:space="preserve"> </w:t>
      </w:r>
      <w:r>
        <w:t xml:space="preserve">(</w:t>
      </w:r>
      <w:hyperlink w:anchor="ref-hmrc_n70119">
        <w:r>
          <w:rPr>
            <w:rStyle w:val="Hyperlink"/>
          </w:rPr>
          <w:t xml:space="preserve">HMRC, 2026e, para. 3.4</w:t>
        </w:r>
      </w:hyperlink>
      <w:r>
        <w:t xml:space="preserve">)</w:t>
      </w:r>
      <w:r>
        <w:t xml:space="preserve">.</w:t>
      </w:r>
    </w:p>
    <w:p>
      <w:pPr>
        <w:pStyle w:val="Compact"/>
        <w:numPr>
          <w:ilvl w:val="1"/>
          <w:numId w:val="1387"/>
        </w:numPr>
      </w:pPr>
      <w:r>
        <w:t xml:space="preserve">The charity cannot reclaim VAT on costs of its non-business activities</w:t>
      </w:r>
      <w:r>
        <w:t xml:space="preserve"> </w:t>
      </w:r>
      <w:r>
        <w:t xml:space="preserve">(</w:t>
      </w:r>
      <w:hyperlink w:anchor="ref-hmrc_n7011">
        <w:r>
          <w:rPr>
            <w:rStyle w:val="Hyperlink"/>
          </w:rPr>
          <w:t xml:space="preserve">HMRC, 2026h, para. 3.7.1</w:t>
        </w:r>
      </w:hyperlink>
      <w:r>
        <w:t xml:space="preserve">)</w:t>
      </w:r>
      <w:r>
        <w:t xml:space="preserve">.</w:t>
      </w:r>
    </w:p>
    <w:p>
      <w:pPr>
        <w:pStyle w:val="Compact"/>
        <w:numPr>
          <w:ilvl w:val="1"/>
          <w:numId w:val="1387"/>
        </w:numPr>
      </w:pPr>
      <w:r>
        <w:t xml:space="preserve">The business pays 20% and reclaims it as input tax.</w:t>
      </w:r>
    </w:p>
    <w:p>
      <w:pPr>
        <w:pStyle w:val="Compact"/>
        <w:numPr>
          <w:ilvl w:val="0"/>
          <w:numId w:val="1386"/>
        </w:numPr>
      </w:pPr>
      <w:r>
        <w:rPr>
          <w:b/>
          <w:bCs/>
        </w:rPr>
        <w:t xml:space="preserve">Result:</w:t>
      </w:r>
      <w:r>
        <w:t xml:space="preserve"> </w:t>
      </w:r>
      <w:r>
        <w:t xml:space="preserve">The charity:</w:t>
      </w:r>
      <w:r>
        <w:t xml:space="preserve"> </w:t>
      </w:r>
      <w:r>
        <w:rPr>
          <w:b/>
          <w:bCs/>
        </w:rPr>
        <w:t xml:space="preserve">Not recoverable:</w:t>
      </w:r>
      <w:r>
        <w:t xml:space="preserve"> </w:t>
      </w:r>
      <w:r>
        <w:t xml:space="preserve">£3,000 (£60,000 × 5%), net cost £63,000. The business:</w:t>
      </w:r>
      <w:r>
        <w:t xml:space="preserve"> </w:t>
      </w:r>
      <w:r>
        <w:rPr>
          <w:b/>
          <w:bCs/>
        </w:rPr>
        <w:t xml:space="preserve">Recoverable:</w:t>
      </w:r>
      <w:r>
        <w:t xml:space="preserve"> </w:t>
      </w:r>
      <w:r>
        <w:t xml:space="preserve">£12,000, net cost £60,000.</w:t>
      </w:r>
    </w:p>
    <w:p>
      <w:pPr>
        <w:pStyle w:val="FirstParagraph"/>
      </w:pPr>
      <w:r>
        <w:rPr>
          <w:b/>
          <w:bCs/>
        </w:rPr>
        <w:t xml:space="preserve">Example 44: Water and sewerage</w:t>
      </w:r>
    </w:p>
    <w:p>
      <w:pPr>
        <w:pStyle w:val="Compact"/>
        <w:numPr>
          <w:ilvl w:val="0"/>
          <w:numId w:val="1388"/>
        </w:numPr>
      </w:pPr>
      <w:r>
        <w:rPr>
          <w:b/>
          <w:bCs/>
        </w:rPr>
        <w:t xml:space="preserve">Situation:</w:t>
      </w:r>
      <w:r>
        <w:t xml:space="preserve"> </w:t>
      </w:r>
      <w:r>
        <w:t xml:space="preserve">The Department pays £6,000 a year for water and £2,000 for sewerage at its offices. A metal fabrication company pays the same amounts.</w:t>
      </w:r>
    </w:p>
    <w:p>
      <w:pPr>
        <w:pStyle w:val="Compact"/>
        <w:numPr>
          <w:ilvl w:val="0"/>
          <w:numId w:val="1388"/>
        </w:numPr>
      </w:pPr>
      <w:r>
        <w:rPr>
          <w:b/>
          <w:bCs/>
        </w:rPr>
        <w:t xml:space="preserve">VAT treatment:</w:t>
      </w:r>
    </w:p>
    <w:p>
      <w:pPr>
        <w:pStyle w:val="Compact"/>
        <w:numPr>
          <w:ilvl w:val="1"/>
          <w:numId w:val="1389"/>
        </w:numPr>
      </w:pPr>
      <w:r>
        <w:t xml:space="preserve">Water is zero-rated unless the customer’s main business is a</w:t>
      </w:r>
      <w:r>
        <w:t xml:space="preserve"> </w:t>
      </w:r>
      <w:r>
        <w:t xml:space="preserve">“</w:t>
      </w:r>
      <w:r>
        <w:t xml:space="preserve">relevant industrial activity</w:t>
      </w:r>
      <w:r>
        <w:t xml:space="preserve">”</w:t>
      </w:r>
      <w:r>
        <w:t xml:space="preserve">, which broadly covers construction, engineering, manufacturing, mining, quarrying, fuel production, power and water</w:t>
      </w:r>
      <w:r>
        <w:t xml:space="preserve"> </w:t>
      </w:r>
      <w:r>
        <w:t xml:space="preserve">(</w:t>
      </w:r>
      <w:hyperlink w:anchor="ref-hmrc_vwass">
        <w:r>
          <w:rPr>
            <w:rStyle w:val="Hyperlink"/>
          </w:rPr>
          <w:t xml:space="preserve">HMRC, 2021b</w:t>
        </w:r>
      </w:hyperlink>
      <w:r>
        <w:t xml:space="preserve">, secs. VWASS2100 and VWASS2200)</w:t>
      </w:r>
      <w:r>
        <w:t xml:space="preserve">. The Department is not an industrial customer.</w:t>
      </w:r>
    </w:p>
    <w:p>
      <w:pPr>
        <w:pStyle w:val="Compact"/>
        <w:numPr>
          <w:ilvl w:val="1"/>
          <w:numId w:val="1389"/>
        </w:numPr>
      </w:pPr>
      <w:r>
        <w:t xml:space="preserve">Sewerage services (reception, disposal or treatment of foul water) are zero-rated for both industrial and non-industrial users</w:t>
      </w:r>
      <w:r>
        <w:t xml:space="preserve"> </w:t>
      </w:r>
      <w:r>
        <w:t xml:space="preserve">(</w:t>
      </w:r>
      <w:hyperlink w:anchor="ref-hmrc_vwass">
        <w:r>
          <w:rPr>
            <w:rStyle w:val="Hyperlink"/>
          </w:rPr>
          <w:t xml:space="preserve">HMRC, 2021b, sec. VWASS3000</w:t>
        </w:r>
      </w:hyperlink>
      <w:r>
        <w:t xml:space="preserve">)</w:t>
      </w:r>
      <w:r>
        <w:t xml:space="preserve">.</w:t>
      </w:r>
    </w:p>
    <w:p>
      <w:pPr>
        <w:pStyle w:val="Compact"/>
        <w:numPr>
          <w:ilvl w:val="0"/>
          <w:numId w:val="1388"/>
        </w:numPr>
      </w:pPr>
      <w:r>
        <w:rPr>
          <w:b/>
          <w:bCs/>
        </w:rPr>
        <w:t xml:space="preserve">Result:</w:t>
      </w:r>
      <w:r>
        <w:t xml:space="preserve"> </w:t>
      </w:r>
      <w:r>
        <w:t xml:space="preserve">The Department: no VAT is charged, net cost £8,000. The company:</w:t>
      </w:r>
      <w:r>
        <w:t xml:space="preserve"> </w:t>
      </w:r>
      <w:r>
        <w:rPr>
          <w:b/>
          <w:bCs/>
        </w:rPr>
        <w:t xml:space="preserve">Recoverable:</w:t>
      </w:r>
      <w:r>
        <w:t xml:space="preserve"> </w:t>
      </w:r>
      <w:r>
        <w:t xml:space="preserve">£1,200 water VAT (£6,000 × 20%) as input tax; sewerage carries no VAT; net cost £8,000.</w:t>
      </w:r>
    </w:p>
    <w:p>
      <w:pPr>
        <w:pStyle w:val="FirstParagraph"/>
      </w:pPr>
      <w:r>
        <w:rPr>
          <w:b/>
          <w:bCs/>
        </w:rPr>
        <w:t xml:space="preserve">Example 45: Insurance on lifts and boilers</w:t>
      </w:r>
    </w:p>
    <w:p>
      <w:pPr>
        <w:pStyle w:val="Compact"/>
        <w:numPr>
          <w:ilvl w:val="0"/>
          <w:numId w:val="1390"/>
        </w:numPr>
      </w:pPr>
      <w:r>
        <w:rPr>
          <w:b/>
          <w:bCs/>
        </w:rPr>
        <w:t xml:space="preserve">Situation:</w:t>
      </w:r>
      <w:r>
        <w:t xml:space="preserve"> </w:t>
      </w:r>
      <w:r>
        <w:t xml:space="preserve">Another central government department’s lease requires it to insure the lifts and boilers. Premium £5,000, plus Insurance Premium Tax (IPT) of £600.</w:t>
      </w:r>
    </w:p>
    <w:p>
      <w:pPr>
        <w:pStyle w:val="Compact"/>
        <w:numPr>
          <w:ilvl w:val="0"/>
          <w:numId w:val="1390"/>
        </w:numPr>
      </w:pPr>
      <w:r>
        <w:rPr>
          <w:b/>
          <w:bCs/>
        </w:rPr>
        <w:t xml:space="preserve">VAT treatment:</w:t>
      </w:r>
    </w:p>
    <w:p>
      <w:pPr>
        <w:pStyle w:val="Compact"/>
        <w:numPr>
          <w:ilvl w:val="1"/>
          <w:numId w:val="1391"/>
        </w:numPr>
      </w:pPr>
      <w:r>
        <w:t xml:space="preserve">Central government organisations</w:t>
      </w:r>
      <w:r>
        <w:t xml:space="preserve"> </w:t>
      </w:r>
      <w:r>
        <w:t xml:space="preserve">“</w:t>
      </w:r>
      <w:r>
        <w:t xml:space="preserve">shall not normally buy commercial insurance to protect against risk</w:t>
      </w:r>
      <w:r>
        <w:t xml:space="preserve">”</w:t>
      </w:r>
      <w:r>
        <w:t xml:space="preserve"> </w:t>
      </w:r>
      <w:r>
        <w:t xml:space="preserve">(</w:t>
      </w:r>
      <w:hyperlink w:anchor="ref-hmt_mpm">
        <w:r>
          <w:rPr>
            <w:rStyle w:val="Hyperlink"/>
          </w:rPr>
          <w:t xml:space="preserve">HM Treasury, 2026, para. A4.4.1</w:t>
        </w:r>
      </w:hyperlink>
      <w:r>
        <w:t xml:space="preserve">)</w:t>
      </w:r>
      <w:r>
        <w:t xml:space="preserve">. Any decision to insure needs a cost-benefit analysis, and HM Treasury’s Box A4.4A lists insurance of boilers and lifts, which may be a condition of a lease, as an acceptable reason</w:t>
      </w:r>
      <w:r>
        <w:t xml:space="preserve"> </w:t>
      </w:r>
      <w:r>
        <w:t xml:space="preserve">(</w:t>
      </w:r>
      <w:hyperlink w:anchor="ref-hmt_mpm">
        <w:r>
          <w:rPr>
            <w:rStyle w:val="Hyperlink"/>
          </w:rPr>
          <w:t xml:space="preserve">HM Treasury, 2026, para. A4.4.2</w:t>
        </w:r>
      </w:hyperlink>
      <w:r>
        <w:t xml:space="preserve">)</w:t>
      </w:r>
      <w:r>
        <w:t xml:space="preserve">.</w:t>
      </w:r>
    </w:p>
    <w:p>
      <w:pPr>
        <w:pStyle w:val="Compact"/>
        <w:numPr>
          <w:ilvl w:val="1"/>
          <w:numId w:val="1391"/>
        </w:numPr>
      </w:pPr>
      <w:r>
        <w:t xml:space="preserve">Insurance is exempt from VAT, so no VAT is charged. IPT is a separate tax, and</w:t>
      </w:r>
      <w:r>
        <w:t xml:space="preserve"> </w:t>
      </w:r>
      <w:r>
        <w:t xml:space="preserve">“</w:t>
      </w:r>
      <w:r>
        <w:t xml:space="preserve">unlike VAT, IPT cannot be recovered</w:t>
      </w:r>
      <w:r>
        <w:t xml:space="preserve">”</w:t>
      </w:r>
      <w:r>
        <w:t xml:space="preserve"> </w:t>
      </w:r>
      <w:r>
        <w:t xml:space="preserve">(</w:t>
      </w:r>
      <w:hyperlink w:anchor="ref-hmrc_n70136">
        <w:r>
          <w:rPr>
            <w:rStyle w:val="Hyperlink"/>
          </w:rPr>
          <w:t xml:space="preserve">HMRC, 2026i, para. 2.1</w:t>
        </w:r>
      </w:hyperlink>
      <w:r>
        <w:t xml:space="preserve">)</w:t>
      </w:r>
      <w:r>
        <w:t xml:space="preserve">. The standard rate of IPT is 12%</w:t>
      </w:r>
      <w:r>
        <w:t xml:space="preserve"> </w:t>
      </w:r>
      <w:r>
        <w:t xml:space="preserve">(</w:t>
      </w:r>
      <w:hyperlink w:anchor="ref-hmrc_ipt1">
        <w:r>
          <w:rPr>
            <w:rStyle w:val="Hyperlink"/>
          </w:rPr>
          <w:t xml:space="preserve">HMRC, 2026j, para. 2.1</w:t>
        </w:r>
      </w:hyperlink>
      <w:r>
        <w:t xml:space="preserve">)</w:t>
      </w:r>
      <w:r>
        <w:t xml:space="preserve">: £5,000 × 12% = £600.</w:t>
      </w:r>
    </w:p>
    <w:p>
      <w:pPr>
        <w:pStyle w:val="Compact"/>
        <w:numPr>
          <w:ilvl w:val="0"/>
          <w:numId w:val="1390"/>
        </w:numPr>
      </w:pPr>
      <w:r>
        <w:rPr>
          <w:b/>
          <w:bCs/>
        </w:rPr>
        <w:t xml:space="preserve">Result:</w:t>
      </w:r>
      <w:r>
        <w:t xml:space="preserve"> </w:t>
      </w:r>
      <w:r>
        <w:rPr>
          <w:b/>
          <w:bCs/>
        </w:rPr>
        <w:t xml:space="preserve">Not recoverable:</w:t>
      </w:r>
      <w:r>
        <w:t xml:space="preserve"> </w:t>
      </w:r>
      <w:r>
        <w:t xml:space="preserve">£600 of IPT. There is no VAT. Net cost £5,600. A business would be in the same position.</w:t>
      </w:r>
    </w:p>
    <w:p>
      <w:pPr>
        <w:pStyle w:val="FirstParagraph"/>
      </w:pPr>
      <w:r>
        <w:rPr>
          <w:b/>
          <w:bCs/>
        </w:rPr>
        <w:t xml:space="preserve">Example 46: Postage stamps vs a courier (Heading 13)</w:t>
      </w:r>
    </w:p>
    <w:p>
      <w:pPr>
        <w:pStyle w:val="Compact"/>
        <w:numPr>
          <w:ilvl w:val="0"/>
          <w:numId w:val="1392"/>
        </w:numPr>
      </w:pPr>
      <w:r>
        <w:rPr>
          <w:b/>
          <w:bCs/>
        </w:rPr>
        <w:t xml:space="preserve">Situation:</w:t>
      </w:r>
      <w:r>
        <w:t xml:space="preserve"> </w:t>
      </w:r>
      <w:r>
        <w:t xml:space="preserve">The Department buys first- and second-class stamps for £1,000. It also uses a courier for urgent documents: £2,000, VAT £400.</w:t>
      </w:r>
    </w:p>
    <w:p>
      <w:pPr>
        <w:pStyle w:val="Compact"/>
        <w:numPr>
          <w:ilvl w:val="0"/>
          <w:numId w:val="1392"/>
        </w:numPr>
      </w:pPr>
      <w:r>
        <w:rPr>
          <w:b/>
          <w:bCs/>
        </w:rPr>
        <w:t xml:space="preserve">VAT treatment:</w:t>
      </w:r>
    </w:p>
    <w:p>
      <w:pPr>
        <w:pStyle w:val="Compact"/>
        <w:numPr>
          <w:ilvl w:val="1"/>
          <w:numId w:val="1393"/>
        </w:numPr>
      </w:pPr>
      <w:r>
        <w:t xml:space="preserve">Royal Mail’s universal postal services, such as standard first- and second-class post, are exempt</w:t>
      </w:r>
      <w:r>
        <w:t xml:space="preserve"> </w:t>
      </w:r>
      <w:r>
        <w:t xml:space="preserve">(</w:t>
      </w:r>
      <w:hyperlink w:anchor="ref-hmrc_n70024">
        <w:r>
          <w:rPr>
            <w:rStyle w:val="Hyperlink"/>
          </w:rPr>
          <w:t xml:space="preserve">HMRC, 2022e, para. 1.3</w:t>
        </w:r>
      </w:hyperlink>
      <w:r>
        <w:t xml:space="preserve">;</w:t>
      </w:r>
      <w:r>
        <w:t xml:space="preserve"> </w:t>
      </w:r>
      <w:hyperlink w:anchor="ref-hmrc_vat_rates">
        <w:r>
          <w:rPr>
            <w:rStyle w:val="Hyperlink"/>
          </w:rPr>
          <w:t xml:space="preserve">2026r</w:t>
        </w:r>
      </w:hyperlink>
      <w:r>
        <w:t xml:space="preserve">)</w:t>
      </w:r>
      <w:r>
        <w:t xml:space="preserve">. Buying unused postage stamps does not attract VAT</w:t>
      </w:r>
      <w:r>
        <w:t xml:space="preserve"> </w:t>
      </w:r>
      <w:r>
        <w:t xml:space="preserve">(</w:t>
      </w:r>
      <w:hyperlink w:anchor="ref-hmrc_n70024">
        <w:r>
          <w:rPr>
            <w:rStyle w:val="Hyperlink"/>
          </w:rPr>
          <w:t xml:space="preserve">HMRC, 2022e, para. 1.3</w:t>
        </w:r>
      </w:hyperlink>
      <w:r>
        <w:t xml:space="preserve">)</w:t>
      </w:r>
      <w:r>
        <w:t xml:space="preserve">.</w:t>
      </w:r>
    </w:p>
    <w:p>
      <w:pPr>
        <w:pStyle w:val="Compact"/>
        <w:numPr>
          <w:ilvl w:val="1"/>
          <w:numId w:val="1393"/>
        </w:numPr>
      </w:pPr>
      <w:r>
        <w:t xml:space="preserve">Courier services are standard-rated. Heading 13 includes courier services</w:t>
      </w:r>
      <w:r>
        <w:t xml:space="preserve"> </w:t>
      </w:r>
      <w:r>
        <w:t xml:space="preserve">“</w:t>
      </w:r>
      <w:r>
        <w:t xml:space="preserve">regardless of the nature of the item</w:t>
      </w:r>
      <w:r>
        <w:t xml:space="preserve">”</w:t>
      </w:r>
      <w:r>
        <w:t xml:space="preserve"> </w:t>
      </w:r>
      <w:r>
        <w:t xml:space="preserve">(</w:t>
      </w:r>
      <w:hyperlink w:anchor="ref-hmrc_vatgpb">
        <w:r>
          <w:rPr>
            <w:rStyle w:val="Hyperlink"/>
          </w:rPr>
          <w:t xml:space="preserve">HMRC, 2026n, sec. VATGPB9990</w:t>
        </w:r>
      </w:hyperlink>
      <w:r>
        <w:t xml:space="preserve">)</w:t>
      </w:r>
      <w:r>
        <w:t xml:space="preserve">.</w:t>
      </w:r>
    </w:p>
    <w:p>
      <w:pPr>
        <w:pStyle w:val="Compact"/>
        <w:numPr>
          <w:ilvl w:val="1"/>
          <w:numId w:val="1393"/>
        </w:numPr>
      </w:pPr>
      <w:r>
        <w:t xml:space="preserve">A business would reclaim the courier VAT as input tax.</w:t>
      </w:r>
    </w:p>
    <w:p>
      <w:pPr>
        <w:pStyle w:val="Compact"/>
        <w:numPr>
          <w:ilvl w:val="0"/>
          <w:numId w:val="1392"/>
        </w:numPr>
      </w:pPr>
      <w:r>
        <w:rPr>
          <w:b/>
          <w:bCs/>
        </w:rPr>
        <w:t xml:space="preserve">Result:</w:t>
      </w:r>
      <w:r>
        <w:t xml:space="preserve"> </w:t>
      </w:r>
      <w:r>
        <w:t xml:space="preserve">No VAT on the stamps, net cost £1,000.</w:t>
      </w:r>
      <w:r>
        <w:t xml:space="preserve"> </w:t>
      </w:r>
      <w:r>
        <w:rPr>
          <w:b/>
          <w:bCs/>
        </w:rPr>
        <w:t xml:space="preserve">Recoverable:</w:t>
      </w:r>
      <w:r>
        <w:t xml:space="preserve"> </w:t>
      </w:r>
      <w:r>
        <w:t xml:space="preserve">£400 under Heading 13, net cost £2,000.</w:t>
      </w:r>
    </w:p>
    <w:bookmarkEnd w:id="252"/>
    <w:bookmarkEnd w:id="253"/>
    <w:bookmarkStart w:id="254" w:name="what-these-examples-show"/>
    <w:p>
      <w:pPr>
        <w:pStyle w:val="Heading3"/>
      </w:pPr>
      <w:r>
        <w:t xml:space="preserve">What these examples show</w:t>
      </w:r>
    </w:p>
    <w:p>
      <w:pPr>
        <w:pStyle w:val="Compact"/>
        <w:numPr>
          <w:ilvl w:val="0"/>
          <w:numId w:val="1394"/>
        </w:numPr>
      </w:pPr>
      <w:r>
        <w:rPr>
          <w:b/>
          <w:bCs/>
        </w:rPr>
        <w:t xml:space="preserve">Goods are a cost for the Department</w:t>
      </w:r>
      <w:r>
        <w:t xml:space="preserve"> </w:t>
      </w:r>
      <w:r>
        <w:t xml:space="preserve">unless they come inside a qualifying service contract</w:t>
      </w:r>
      <w:r>
        <w:t xml:space="preserve"> </w:t>
      </w:r>
      <w:r>
        <w:t xml:space="preserve">(</w:t>
      </w:r>
      <w:hyperlink w:anchor="ref-gazette_2020">
        <w:r>
          <w:rPr>
            <w:rStyle w:val="Hyperlink"/>
          </w:rPr>
          <w:t xml:space="preserve">HM Treasury, 2020b, para. 2(c)</w:t>
        </w:r>
      </w:hyperlink>
      <w:r>
        <w:t xml:space="preserve">;</w:t>
      </w:r>
      <w:r>
        <w:t xml:space="preserve"> </w:t>
      </w:r>
      <w:hyperlink w:anchor="ref-hmrc_vatgpb">
        <w:r>
          <w:rPr>
            <w:rStyle w:val="Hyperlink"/>
          </w:rPr>
          <w:t xml:space="preserve">HMRC, 2026n, sec. VATGPB10010</w:t>
        </w:r>
      </w:hyperlink>
      <w:r>
        <w:t xml:space="preserve">)</w:t>
      </w:r>
      <w:r>
        <w:t xml:space="preserve">. Before buying equipment, ask whether a hire, managed-service or maintenance contract would fall within a heading (Examples 2, 7, 10 and 14). The contract must still give value for money in its own right.</w:t>
      </w:r>
    </w:p>
    <w:p>
      <w:pPr>
        <w:pStyle w:val="Compact"/>
        <w:numPr>
          <w:ilvl w:val="0"/>
          <w:numId w:val="1394"/>
        </w:numPr>
      </w:pPr>
      <w:r>
        <w:rPr>
          <w:b/>
          <w:bCs/>
        </w:rPr>
        <w:t xml:space="preserve">Read the heading’s conditions, not just its title.</w:t>
      </w:r>
      <w:r>
        <w:t xml:space="preserve"> </w:t>
      </w:r>
      <w:r>
        <w:t xml:space="preserve">Heading 25 needs repair and maintenance in the hire contract, and Heading 26 also needs more than 30 days</w:t>
      </w:r>
      <w:r>
        <w:t xml:space="preserve"> </w:t>
      </w:r>
      <w:r>
        <w:t xml:space="preserve">(</w:t>
      </w:r>
      <w:hyperlink w:anchor="ref-hmrc_vatgpb">
        <w:r>
          <w:rPr>
            <w:rStyle w:val="Hyperlink"/>
          </w:rPr>
          <w:t xml:space="preserve">HMRC, 2026n</w:t>
        </w:r>
      </w:hyperlink>
      <w:r>
        <w:t xml:space="preserve">, secs. VATGPB10230 and VATGPB10250)</w:t>
      </w:r>
      <w:r>
        <w:t xml:space="preserve">.</w:t>
      </w:r>
    </w:p>
    <w:p>
      <w:pPr>
        <w:pStyle w:val="Compact"/>
        <w:numPr>
          <w:ilvl w:val="0"/>
          <w:numId w:val="1394"/>
        </w:numPr>
      </w:pPr>
      <w:r>
        <w:rPr>
          <w:b/>
          <w:bCs/>
        </w:rPr>
        <w:t xml:space="preserve">Zero-rated and exempt purchases leave nothing to claim.</w:t>
      </w:r>
      <w:r>
        <w:t xml:space="preserve"> </w:t>
      </w:r>
      <w:r>
        <w:t xml:space="preserve">Books, water, stamps and insurance carry no VAT, but IPT on insurance is a real cost (Examples 29, 44, 45 and 46).</w:t>
      </w:r>
    </w:p>
    <w:p>
      <w:pPr>
        <w:pStyle w:val="Compact"/>
        <w:numPr>
          <w:ilvl w:val="0"/>
          <w:numId w:val="1394"/>
        </w:numPr>
      </w:pPr>
      <w:r>
        <w:rPr>
          <w:b/>
          <w:bCs/>
        </w:rPr>
        <w:t xml:space="preserve">Local authorities do better on goods.</w:t>
      </w:r>
      <w:r>
        <w:t xml:space="preserve"> </w:t>
      </w:r>
      <w:r>
        <w:t xml:space="preserve">Section 33 refunds VAT on goods as well as services used for non-business activities, whereas COS covers goods only as part of a qualifying service (Example 11)</w:t>
      </w:r>
      <w:r>
        <w:t xml:space="preserve"> </w:t>
      </w:r>
      <w:r>
        <w:t xml:space="preserve">(</w:t>
      </w:r>
      <w:hyperlink w:anchor="ref-hmrc_n749">
        <w:r>
          <w:rPr>
            <w:rStyle w:val="Hyperlink"/>
          </w:rPr>
          <w:t xml:space="preserve">HMRC, 2025g</w:t>
        </w:r>
      </w:hyperlink>
      <w:r>
        <w:t xml:space="preserve">, paras. 4.2 and 6.1)</w:t>
      </w:r>
      <w:r>
        <w:t xml:space="preserve">.</w:t>
      </w:r>
    </w:p>
    <w:p>
      <w:pPr>
        <w:pStyle w:val="Compact"/>
        <w:numPr>
          <w:ilvl w:val="0"/>
          <w:numId w:val="1394"/>
        </w:numPr>
      </w:pPr>
      <w:r>
        <w:rPr>
          <w:b/>
          <w:bCs/>
        </w:rPr>
        <w:t xml:space="preserve">Businesses face their own blocks.</w:t>
      </w:r>
      <w:r>
        <w:t xml:space="preserve"> </w:t>
      </w:r>
      <w:r>
        <w:t xml:space="preserve">Cars and business entertainment are restricted even for a fully taxable business (Examples 16, 17 and 33)</w:t>
      </w:r>
      <w:r>
        <w:t xml:space="preserve"> </w:t>
      </w:r>
      <w:r>
        <w:t xml:space="preserve">(</w:t>
      </w:r>
      <w:hyperlink w:anchor="ref-hmrc_n700">
        <w:r>
          <w:rPr>
            <w:rStyle w:val="Hyperlink"/>
          </w:rPr>
          <w:t xml:space="preserve">HMRC, 2026o, para. 10.3</w:t>
        </w:r>
      </w:hyperlink>
      <w:r>
        <w:t xml:space="preserve">)</w:t>
      </w:r>
      <w:r>
        <w:t xml:space="preserve">.</w:t>
      </w:r>
    </w:p>
    <w:p>
      <w:pPr>
        <w:pStyle w:val="Compact"/>
        <w:numPr>
          <w:ilvl w:val="0"/>
          <w:numId w:val="1394"/>
        </w:numPr>
      </w:pPr>
      <w:r>
        <w:rPr>
          <w:b/>
          <w:bCs/>
        </w:rPr>
        <w:t xml:space="preserve">Where goods go overseas, ask the supplier to export them directly.</w:t>
      </w:r>
      <w:r>
        <w:t xml:space="preserve"> </w:t>
      </w:r>
      <w:r>
        <w:t xml:space="preserve">This removes UK VAT at source (Example 40)</w:t>
      </w:r>
      <w:r>
        <w:t xml:space="preserve"> </w:t>
      </w:r>
      <w:r>
        <w:t xml:space="preserve">(</w:t>
      </w:r>
      <w:hyperlink w:anchor="ref-hmrc_n703">
        <w:r>
          <w:rPr>
            <w:rStyle w:val="Hyperlink"/>
          </w:rPr>
          <w:t xml:space="preserve">HMRC, 2026p, para. 4.12</w:t>
        </w:r>
      </w:hyperlink>
      <w:r>
        <w:t xml:space="preserve">)</w:t>
      </w:r>
      <w:r>
        <w:t xml:space="preserve">.</w:t>
      </w:r>
    </w:p>
    <w:bookmarkEnd w:id="254"/>
    <w:bookmarkEnd w:id="255"/>
    <w:bookmarkStart w:id="340" w:name="part-8-the-cos-headings-one-by-one"/>
    <w:p>
      <w:pPr>
        <w:pStyle w:val="Heading2"/>
      </w:pPr>
      <w:r>
        <w:t xml:space="preserve">Part 8: The COS headings, one by one</w:t>
      </w:r>
    </w:p>
    <w:bookmarkStart w:id="256" w:name="how-to-read-each-entry"/>
    <w:p>
      <w:pPr>
        <w:pStyle w:val="Heading3"/>
      </w:pPr>
      <w:r>
        <w:t xml:space="preserve">How to read each entry</w:t>
      </w:r>
    </w:p>
    <w:p>
      <w:pPr>
        <w:pStyle w:val="FirstParagraph"/>
      </w:pPr>
      <w:r>
        <w:t xml:space="preserve">Each heading below follows the same layout:</w:t>
      </w:r>
    </w:p>
    <w:p>
      <w:pPr>
        <w:pStyle w:val="Compact"/>
        <w:numPr>
          <w:ilvl w:val="0"/>
          <w:numId w:val="1395"/>
        </w:numPr>
      </w:pPr>
      <w:r>
        <w:rPr>
          <w:b/>
          <w:bCs/>
        </w:rPr>
        <w:t xml:space="preserve">Title.</w:t>
      </w:r>
      <w:r>
        <w:t xml:space="preserve"> </w:t>
      </w:r>
      <w:r>
        <w:t xml:space="preserve">This is the short title HMRC uses for its manual page</w:t>
      </w:r>
      <w:r>
        <w:t xml:space="preserve"> </w:t>
      </w:r>
      <w:r>
        <w:t xml:space="preserve">(</w:t>
      </w:r>
      <w:hyperlink w:anchor="ref-hmrc_vatgpb">
        <w:r>
          <w:rPr>
            <w:rStyle w:val="Hyperlink"/>
          </w:rPr>
          <w:t xml:space="preserve">HMRC, 2026n, sec. VATGPB9700</w:t>
        </w:r>
      </w:hyperlink>
      <w:r>
        <w:t xml:space="preserve">)</w:t>
      </w:r>
      <w:r>
        <w:t xml:space="preserve">. Where it differs from the wording of the Treasury Direction</w:t>
      </w:r>
      <w:r>
        <w:t xml:space="preserve"> </w:t>
      </w:r>
      <w:r>
        <w:t xml:space="preserve">(</w:t>
      </w:r>
      <w:hyperlink w:anchor="ref-gazette_2020">
        <w:r>
          <w:rPr>
            <w:rStyle w:val="Hyperlink"/>
          </w:rPr>
          <w:t xml:space="preserve">HM Treasury, 2020b</w:t>
        </w:r>
      </w:hyperlink>
      <w:r>
        <w:t xml:space="preserve">)</w:t>
      </w:r>
      <w:r>
        <w:t xml:space="preserve"> </w:t>
      </w:r>
      <w:r>
        <w:t xml:space="preserve">in a way that matters, the entry says so.</w:t>
      </w:r>
    </w:p>
    <w:p>
      <w:pPr>
        <w:pStyle w:val="Compact"/>
        <w:numPr>
          <w:ilvl w:val="0"/>
          <w:numId w:val="1395"/>
        </w:numPr>
      </w:pPr>
      <w:r>
        <w:rPr>
          <w:b/>
          <w:bCs/>
        </w:rPr>
        <w:t xml:space="preserve">What it covers (HMRC’s description).</w:t>
      </w:r>
      <w:r>
        <w:t xml:space="preserve"> </w:t>
      </w:r>
      <w:r>
        <w:t xml:space="preserve">A faithful summary of HMRC’s manual page, with key phrases quoted. Where HMRC says nothing beyond the title, the entry says so plainly instead of guessing.</w:t>
      </w:r>
    </w:p>
    <w:p>
      <w:pPr>
        <w:pStyle w:val="Compact"/>
        <w:numPr>
          <w:ilvl w:val="0"/>
          <w:numId w:val="1395"/>
        </w:numPr>
      </w:pPr>
      <w:r>
        <w:rPr>
          <w:b/>
          <w:bCs/>
        </w:rPr>
        <w:t xml:space="preserve">Includes / Excludes.</w:t>
      </w:r>
      <w:r>
        <w:t xml:space="preserve"> </w:t>
      </w:r>
      <w:r>
        <w:t xml:space="preserve">Taken from HMRC’s own lists. Nothing has been added that HMRC does not say.</w:t>
      </w:r>
    </w:p>
    <w:p>
      <w:pPr>
        <w:pStyle w:val="Compact"/>
        <w:numPr>
          <w:ilvl w:val="0"/>
          <w:numId w:val="1395"/>
        </w:numPr>
      </w:pPr>
      <w:r>
        <w:rPr>
          <w:b/>
          <w:bCs/>
        </w:rPr>
        <w:t xml:space="preserve">Examples for the Department.</w:t>
      </w:r>
      <w:r>
        <w:t xml:space="preserve"> </w:t>
      </w:r>
      <w:r>
        <w:t xml:space="preserve">These are this guide’s own illustrations, not HMRC’s. Each example starts with a bold text label that gives the likely outcome:</w:t>
      </w:r>
    </w:p>
    <w:p>
      <w:pPr>
        <w:pStyle w:val="Compact"/>
        <w:numPr>
          <w:ilvl w:val="1"/>
          <w:numId w:val="1396"/>
        </w:numPr>
      </w:pPr>
      <w:r>
        <w:rPr>
          <w:b/>
          <w:bCs/>
        </w:rPr>
        <w:t xml:space="preserve">Claimable:</w:t>
      </w:r>
      <w:r>
        <w:t xml:space="preserve"> </w:t>
      </w:r>
      <w:r>
        <w:t xml:space="preserve">likely to be claimable under the heading</w:t>
      </w:r>
    </w:p>
    <w:p>
      <w:pPr>
        <w:pStyle w:val="Compact"/>
        <w:numPr>
          <w:ilvl w:val="1"/>
          <w:numId w:val="1396"/>
        </w:numPr>
      </w:pPr>
      <w:r>
        <w:rPr>
          <w:b/>
          <w:bCs/>
        </w:rPr>
        <w:t xml:space="preserve">Not claimable:</w:t>
      </w:r>
      <w:r>
        <w:t xml:space="preserve"> </w:t>
      </w:r>
      <w:r>
        <w:t xml:space="preserve">not claimable under the heading (with the reason)</w:t>
      </w:r>
    </w:p>
    <w:p>
      <w:pPr>
        <w:pStyle w:val="Compact"/>
        <w:numPr>
          <w:ilvl w:val="1"/>
          <w:numId w:val="1396"/>
        </w:numPr>
      </w:pPr>
      <w:r>
        <w:rPr>
          <w:b/>
          <w:bCs/>
        </w:rPr>
        <w:t xml:space="preserve">Check first:</w:t>
      </w:r>
      <w:r>
        <w:t xml:space="preserve"> </w:t>
      </w:r>
      <w:r>
        <w:t xml:space="preserve">possibly claimable, but uncertain, so confirm with HMRC first. A few entries use the longer label</w:t>
      </w:r>
      <w:r>
        <w:t xml:space="preserve"> </w:t>
      </w:r>
      <w:r>
        <w:rPr>
          <w:b/>
          <w:bCs/>
        </w:rPr>
        <w:t xml:space="preserve">Possibly claimable (check with HMRC first):</w:t>
      </w:r>
      <w:r>
        <w:t xml:space="preserve">, which means the same.</w:t>
      </w:r>
    </w:p>
    <w:p>
      <w:pPr>
        <w:pStyle w:val="Compact"/>
        <w:numPr>
          <w:ilvl w:val="1"/>
          <w:numId w:val="1396"/>
        </w:numPr>
      </w:pPr>
      <w:r>
        <w:t xml:space="preserve">Words in brackets after a label add a condition. For example,</w:t>
      </w:r>
      <w:r>
        <w:t xml:space="preserve"> </w:t>
      </w:r>
      <w:r>
        <w:rPr>
          <w:b/>
          <w:bCs/>
        </w:rPr>
        <w:t xml:space="preserve">Not claimable (under this heading):</w:t>
      </w:r>
      <w:r>
        <w:t xml:space="preserve"> </w:t>
      </w:r>
      <w:r>
        <w:t xml:space="preserve">means another heading may still apply, and</w:t>
      </w:r>
      <w:r>
        <w:t xml:space="preserve"> </w:t>
      </w:r>
      <w:r>
        <w:rPr>
          <w:b/>
          <w:bCs/>
        </w:rPr>
        <w:t xml:space="preserve">Claimable (generic):</w:t>
      </w:r>
      <w:r>
        <w:t xml:space="preserve"> </w:t>
      </w:r>
      <w:r>
        <w:t xml:space="preserve">marks a general illustration of what the heading covers, rather than a typical purchase by the Department.</w:t>
      </w:r>
    </w:p>
    <w:p>
      <w:pPr>
        <w:pStyle w:val="Compact"/>
        <w:numPr>
          <w:ilvl w:val="0"/>
          <w:numId w:val="1395"/>
        </w:numPr>
      </w:pPr>
      <w:r>
        <w:rPr>
          <w:b/>
          <w:bCs/>
        </w:rPr>
        <w:t xml:space="preserve">Source.</w:t>
      </w:r>
      <w:r>
        <w:t xml:space="preserve"> </w:t>
      </w:r>
      <w:r>
        <w:t xml:space="preserve">The HMRC manual section number and the date HMRC last updated that page, followed by a citation. Full details of HMRC’s</w:t>
      </w:r>
      <w:r>
        <w:t xml:space="preserve"> </w:t>
      </w:r>
      <w:r>
        <w:rPr>
          <w:i/>
          <w:iCs/>
        </w:rPr>
        <w:t xml:space="preserve">VAT Government and Public Bodies</w:t>
      </w:r>
      <w:r>
        <w:t xml:space="preserve"> </w:t>
      </w:r>
      <w:r>
        <w:t xml:space="preserve">manual are in the reference list</w:t>
      </w:r>
      <w:r>
        <w:t xml:space="preserve"> </w:t>
      </w:r>
      <w:r>
        <w:t xml:space="preserve">(</w:t>
      </w:r>
      <w:hyperlink w:anchor="ref-hmrc_vatgpb">
        <w:r>
          <w:rPr>
            <w:rStyle w:val="Hyperlink"/>
          </w:rPr>
          <w:t xml:space="preserve">HMRC, 2026n</w:t>
        </w:r>
      </w:hyperlink>
      <w:r>
        <w:t xml:space="preserve">)</w:t>
      </w:r>
      <w:r>
        <w:t xml:space="preserve">.</w:t>
      </w:r>
    </w:p>
    <w:p>
      <w:pPr>
        <w:pStyle w:val="FirstParagraph"/>
      </w:pPr>
      <w:r>
        <w:rPr>
          <w:b/>
          <w:bCs/>
        </w:rPr>
        <w:t xml:space="preserve">The same basic test applies to every heading.</w:t>
      </w:r>
      <w:r>
        <w:t xml:space="preserve"> </w:t>
      </w:r>
      <w:r>
        <w:t xml:space="preserve">Check these before you look at any heading:</w:t>
      </w:r>
    </w:p>
    <w:p>
      <w:pPr>
        <w:pStyle w:val="Compact"/>
        <w:numPr>
          <w:ilvl w:val="0"/>
          <w:numId w:val="1397"/>
        </w:numPr>
      </w:pPr>
      <w:r>
        <w:rPr>
          <w:b/>
          <w:bCs/>
        </w:rPr>
        <w:t xml:space="preserve">Is it UK VAT?</w:t>
      </w:r>
      <w:r>
        <w:t xml:space="preserve"> </w:t>
      </w:r>
      <w:r>
        <w:t xml:space="preserve">COS only refunds UK VAT (Value Added Tax Act 1994, ss. 1(1) and 41(3)). Foreign VAT charged abroad is never refundable through COS.</w:t>
      </w:r>
    </w:p>
    <w:p>
      <w:pPr>
        <w:pStyle w:val="Compact"/>
        <w:numPr>
          <w:ilvl w:val="0"/>
          <w:numId w:val="1397"/>
        </w:numPr>
      </w:pPr>
      <w:r>
        <w:rPr>
          <w:b/>
          <w:bCs/>
        </w:rPr>
        <w:t xml:space="preserve">Is the purchase for non-business use?</w:t>
      </w:r>
      <w:r>
        <w:t xml:space="preserve"> </w:t>
      </w:r>
      <w:r>
        <w:t xml:space="preserve">Under section 41(3) of the Value Added Tax Act 1994, COS refunds are only for VAT on purchases used for the Department’s</w:t>
      </w:r>
      <w:r>
        <w:t xml:space="preserve"> </w:t>
      </w:r>
      <w:r>
        <w:rPr>
          <w:b/>
          <w:bCs/>
        </w:rPr>
        <w:t xml:space="preserve">non-business</w:t>
      </w:r>
      <w:r>
        <w:t xml:space="preserve"> </w:t>
      </w:r>
      <w:r>
        <w:t xml:space="preserve">activities, such as policy, regulation, free public services and gifts to overseas governments</w:t>
      </w:r>
      <w:r>
        <w:t xml:space="preserve"> </w:t>
      </w:r>
      <w:r>
        <w:t xml:space="preserve">(</w:t>
      </w:r>
      <w:hyperlink w:anchor="ref-gazette_2020">
        <w:r>
          <w:rPr>
            <w:rStyle w:val="Hyperlink"/>
          </w:rPr>
          <w:t xml:space="preserve">HM Treasury, 2020b</w:t>
        </w:r>
      </w:hyperlink>
      <w:r>
        <w:t xml:space="preserve">;</w:t>
      </w:r>
      <w:r>
        <w:t xml:space="preserve"> </w:t>
      </w:r>
      <w:hyperlink w:anchor="ref-hmrc_gdpef">
        <w:r>
          <w:rPr>
            <w:rStyle w:val="Hyperlink"/>
          </w:rPr>
          <w:t xml:space="preserve">HMRC, 2023c</w:t>
        </w:r>
      </w:hyperlink>
      <w:r>
        <w:t xml:space="preserve">)</w:t>
      </w:r>
      <w:r>
        <w:t xml:space="preserve">. VAT on purchases used for</w:t>
      </w:r>
      <w:r>
        <w:t xml:space="preserve"> </w:t>
      </w:r>
      <w:r>
        <w:rPr>
          <w:b/>
          <w:bCs/>
        </w:rPr>
        <w:t xml:space="preserve">business</w:t>
      </w:r>
      <w:r>
        <w:t xml:space="preserve"> </w:t>
      </w:r>
      <w:r>
        <w:t xml:space="preserve">activities, such as selling surplus equipment, publications or data licences, goes through the normal</w:t>
      </w:r>
      <w:r>
        <w:t xml:space="preserve"> </w:t>
      </w:r>
      <w:r>
        <w:rPr>
          <w:b/>
          <w:bCs/>
        </w:rPr>
        <w:t xml:space="preserve">input tax</w:t>
      </w:r>
      <w:r>
        <w:t xml:space="preserve"> </w:t>
      </w:r>
      <w:r>
        <w:t xml:space="preserve">rules instead (see Part 1), under the Department’s partial exemption method</w:t>
      </w:r>
      <w:r>
        <w:t xml:space="preserve"> </w:t>
      </w:r>
      <w:r>
        <w:t xml:space="preserve">(</w:t>
      </w:r>
      <w:hyperlink w:anchor="ref-hmrc_gdpef">
        <w:r>
          <w:rPr>
            <w:rStyle w:val="Hyperlink"/>
          </w:rPr>
          <w:t xml:space="preserve">HMRC, 2023c</w:t>
        </w:r>
      </w:hyperlink>
      <w:r>
        <w:t xml:space="preserve">)</w:t>
      </w:r>
      <w:r>
        <w:t xml:space="preserve">. Mixed-use costs are split</w:t>
      </w:r>
      <w:r>
        <w:t xml:space="preserve"> </w:t>
      </w:r>
      <w:r>
        <w:t xml:space="preserve">(</w:t>
      </w:r>
      <w:hyperlink w:anchor="ref-hmrc_gdpef">
        <w:r>
          <w:rPr>
            <w:rStyle w:val="Hyperlink"/>
          </w:rPr>
          <w:t xml:space="preserve">HMRC, 2023c</w:t>
        </w:r>
      </w:hyperlink>
      <w:r>
        <w:t xml:space="preserve">)</w:t>
      </w:r>
      <w:r>
        <w:t xml:space="preserve">. See Part 5,</w:t>
      </w:r>
      <w:r>
        <w:t xml:space="preserve"> </w:t>
      </w:r>
      <w:hyperlink w:anchor="business-vs-non-business-the-key-test">
        <w:r>
          <w:rPr>
            <w:rStyle w:val="Hyperlink"/>
          </w:rPr>
          <w:t xml:space="preserve">Business vs non-business: the key test</w:t>
        </w:r>
      </w:hyperlink>
      <w:r>
        <w:t xml:space="preserve">.</w:t>
      </w:r>
    </w:p>
    <w:p>
      <w:pPr>
        <w:pStyle w:val="Compact"/>
        <w:numPr>
          <w:ilvl w:val="0"/>
          <w:numId w:val="1397"/>
        </w:numPr>
      </w:pPr>
      <w:r>
        <w:rPr>
          <w:b/>
          <w:bCs/>
        </w:rPr>
        <w:t xml:space="preserve">Is it a service?</w:t>
      </w:r>
      <w:r>
        <w:t xml:space="preserve"> </w:t>
      </w:r>
      <w:r>
        <w:t xml:space="preserve">COS covers services</w:t>
      </w:r>
      <w:r>
        <w:t xml:space="preserve"> </w:t>
      </w:r>
      <w:r>
        <w:t xml:space="preserve">(</w:t>
      </w:r>
      <w:hyperlink w:anchor="ref-gazette_2020">
        <w:r>
          <w:rPr>
            <w:rStyle w:val="Hyperlink"/>
          </w:rPr>
          <w:t xml:space="preserve">HM Treasury, 2020b, para. 2</w:t>
        </w:r>
      </w:hyperlink>
      <w:r>
        <w:t xml:space="preserve">)</w:t>
      </w:r>
      <w:r>
        <w:t xml:space="preserve">. Goods count only as an integral part of a qualifying service</w:t>
      </w:r>
      <w:r>
        <w:t xml:space="preserve"> </w:t>
      </w:r>
      <w:r>
        <w:t xml:space="preserve">(</w:t>
      </w:r>
      <w:hyperlink w:anchor="ref-hmt_s41_paper_2020">
        <w:r>
          <w:rPr>
            <w:rStyle w:val="Hyperlink"/>
          </w:rPr>
          <w:t xml:space="preserve">HM Treasury, 2020a</w:t>
        </w:r>
      </w:hyperlink>
      <w:r>
        <w:t xml:space="preserve">;</w:t>
      </w:r>
      <w:r>
        <w:t xml:space="preserve"> </w:t>
      </w:r>
      <w:hyperlink w:anchor="ref-hmrc_vatgpb">
        <w:r>
          <w:rPr>
            <w:rStyle w:val="Hyperlink"/>
          </w:rPr>
          <w:t xml:space="preserve">HMRC, 2026n, sec. VATGPB10010</w:t>
        </w:r>
      </w:hyperlink>
      <w:r>
        <w:t xml:space="preserve">)</w:t>
      </w:r>
      <w:r>
        <w:t xml:space="preserve">. Heading 82 (HS2 Ltd only) is the one exception</w:t>
      </w:r>
      <w:r>
        <w:t xml:space="preserve"> </w:t>
      </w:r>
      <w:r>
        <w:t xml:space="preserve">(</w:t>
      </w:r>
      <w:hyperlink w:anchor="ref-hmrc_vatgpb">
        <w:r>
          <w:rPr>
            <w:rStyle w:val="Hyperlink"/>
          </w:rPr>
          <w:t xml:space="preserve">HMRC, 2026n, sec. VATGPB11370</w:t>
        </w:r>
      </w:hyperlink>
      <w:r>
        <w:t xml:space="preserve">)</w:t>
      </w:r>
      <w:r>
        <w:t xml:space="preserve">. For more detail, see</w:t>
      </w:r>
      <w:r>
        <w:t xml:space="preserve"> </w:t>
      </w:r>
      <w:hyperlink w:anchor="what-are-cos-headings">
        <w:r>
          <w:rPr>
            <w:rStyle w:val="Hyperlink"/>
          </w:rPr>
          <w:t xml:space="preserve">What are COS headings?</w:t>
        </w:r>
      </w:hyperlink>
      <w:r>
        <w:t xml:space="preserve"> </w:t>
      </w:r>
      <w:r>
        <w:t xml:space="preserve">in Part 5.</w:t>
      </w:r>
    </w:p>
    <w:p>
      <w:pPr>
        <w:pStyle w:val="Compact"/>
        <w:numPr>
          <w:ilvl w:val="0"/>
          <w:numId w:val="1397"/>
        </w:numPr>
      </w:pPr>
      <w:r>
        <w:rPr>
          <w:b/>
          <w:bCs/>
        </w:rPr>
        <w:t xml:space="preserve">Is it a supply of staff?</w:t>
      </w:r>
      <w:r>
        <w:t xml:space="preserve"> </w:t>
      </w:r>
      <w:r>
        <w:t xml:space="preserve">Most headings exclude staff working under the Department’s control</w:t>
      </w:r>
      <w:r>
        <w:t xml:space="preserve"> </w:t>
      </w:r>
      <w:r>
        <w:t xml:space="preserve">(</w:t>
      </w:r>
      <w:hyperlink w:anchor="ref-hmrc_vatgpb">
        <w:r>
          <w:rPr>
            <w:rStyle w:val="Hyperlink"/>
          </w:rPr>
          <w:t xml:space="preserve">HMRC, 2026n, sec. VATGPB11350</w:t>
        </w:r>
      </w:hyperlink>
      <w:r>
        <w:t xml:space="preserve">;</w:t>
      </w:r>
      <w:r>
        <w:t xml:space="preserve"> </w:t>
      </w:r>
      <w:hyperlink w:anchor="ref-hmrc_vatgpb">
        <w:r>
          <w:rPr>
            <w:rStyle w:val="Hyperlink"/>
          </w:rPr>
          <w:t xml:space="preserve">2026n, sec. VATGPB10020</w:t>
        </w:r>
      </w:hyperlink>
      <w:r>
        <w:t xml:space="preserve">)</w:t>
      </w:r>
      <w:r>
        <w:t xml:space="preserve">.</w:t>
      </w:r>
    </w:p>
    <w:p>
      <w:pPr>
        <w:pStyle w:val="Compact"/>
        <w:numPr>
          <w:ilvl w:val="0"/>
          <w:numId w:val="1397"/>
        </w:numPr>
      </w:pPr>
      <w:r>
        <w:rPr>
          <w:b/>
          <w:bCs/>
        </w:rPr>
        <w:t xml:space="preserve">Do you have a valid VAT invoice addressed to the Department?</w:t>
      </w:r>
      <w:r>
        <w:t xml:space="preserve"> </w:t>
      </w:r>
      <w:r>
        <w:t xml:space="preserve">Without one, there is nothing to claim</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VATGPB10670</w:t>
        </w:r>
      </w:hyperlink>
      <w:r>
        <w:t xml:space="preserve">)</w:t>
      </w:r>
      <w:r>
        <w:t xml:space="preserve">. HMRC can make a refund depend on keeping and producing records (Value Added Tax Act 1994, s. 41(4)). See Part 5,</w:t>
      </w:r>
      <w:r>
        <w:t xml:space="preserve"> </w:t>
      </w:r>
      <w:hyperlink w:anchor="evidence-the-vat-invoice">
        <w:r>
          <w:rPr>
            <w:rStyle w:val="Hyperlink"/>
          </w:rPr>
          <w:t xml:space="preserve">Evidence: the VAT invoice</w:t>
        </w:r>
      </w:hyperlink>
      <w:r>
        <w:t xml:space="preserve">.</w:t>
      </w:r>
    </w:p>
    <w:bookmarkEnd w:id="256"/>
    <w:bookmarkStart w:id="257" w:name="index-of-headings"/>
    <w:p>
      <w:pPr>
        <w:pStyle w:val="Heading3"/>
      </w:pPr>
      <w:r>
        <w:t xml:space="preserve">Index of headings</w:t>
      </w:r>
    </w:p>
    <w:p>
      <w:pPr>
        <w:pStyle w:val="FirstParagraph"/>
      </w:pPr>
      <w:r>
        <w:t xml:space="preserve">The table below lists all 82 headings in number order, using HMRC’s short titles</w:t>
      </w:r>
      <w:r>
        <w:t xml:space="preserve"> </w:t>
      </w:r>
      <w:r>
        <w:t xml:space="preserve">(</w:t>
      </w:r>
      <w:hyperlink w:anchor="ref-hmrc_vatgpb">
        <w:r>
          <w:rPr>
            <w:rStyle w:val="Hyperlink"/>
          </w:rPr>
          <w:t xml:space="preserve">HMRC, 2026n, sec. VATGPB9700</w:t>
        </w:r>
      </w:hyperlink>
      <w:r>
        <w:t xml:space="preserve">)</w:t>
      </w:r>
      <w:r>
        <w:t xml:space="preserve">.</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2630"/>
        <w:gridCol w:w="6395"/>
      </w:tblGrid>
      <w:tr>
        <w:trPr>
          <w:tblHeader w:val="true"/>
          <w:cantSplit w:val="true"/>
        </w:trPr>
        <w:tc>
          <w:tcPr>
            <w:tcW w:w="2630" w:type="dxa"/>
            <w:shd w:val="clear" w:color="auto" w:fill="1B3A5C"/>
          </w:tcPr>
          <w:p>
            <w:pPr>
              <w:pStyle w:val="Compact"/>
              <w:spacing w:after="40" w:before="40"/>
              <w:jc w:val="left"/>
            </w:pPr>
            <w:r>
              <w:rPr>
                <w:rFonts w:ascii="Tahoma" w:hAnsi="Tahoma"/>
                <w:b/>
                <w:color w:val="FFFFFF"/>
                <w:sz w:val="22"/>
              </w:rPr>
              <w:t xml:space="preserve">No.</w:t>
            </w:r>
          </w:p>
        </w:tc>
        <w:tc>
          <w:tcPr>
            <w:tcW w:w="6395" w:type="dxa"/>
            <w:shd w:val="clear" w:color="auto" w:fill="1B3A5C"/>
          </w:tcPr>
          <w:p>
            <w:pPr>
              <w:pStyle w:val="Compact"/>
              <w:spacing w:after="40" w:before="40"/>
              <w:jc w:val="left"/>
            </w:pPr>
            <w:r>
              <w:rPr>
                <w:rFonts w:ascii="Tahoma" w:hAnsi="Tahoma"/>
                <w:b/>
                <w:color w:val="FFFFFF"/>
                <w:sz w:val="22"/>
              </w:rPr>
              <w:t xml:space="preserve">Heading</w:t>
            </w:r>
          </w:p>
        </w:tc>
      </w:tr>
      <w:tr>
        <w:trPr>
          <w:cantSplit w:val="true"/>
        </w:trPr>
        <w:tc>
          <w:tcPr>
            <w:tcW w:w="2630" w:type="dxa"/>
            <w:shd w:val="clear" w:color="auto" w:fill="EAF3FA"/>
          </w:tcPr>
          <w:p>
            <w:pPr>
              <w:pStyle w:val="Compact"/>
              <w:spacing w:after="40" w:before="40"/>
              <w:jc w:val="left"/>
            </w:pPr>
            <w:r>
              <w:rPr>
                <w:rFonts w:ascii="Tahoma" w:hAnsi="Tahoma"/>
                <w:sz w:val="22"/>
              </w:rPr>
              <w:t xml:space="preserve">1</w:t>
            </w:r>
          </w:p>
        </w:tc>
        <w:tc>
          <w:tcPr>
            <w:tcW w:w="6395" w:type="dxa"/>
            <w:shd w:val="clear" w:color="auto" w:fill="EAF3FA"/>
          </w:tcPr>
          <w:p>
            <w:pPr>
              <w:pStyle w:val="Compact"/>
              <w:spacing w:after="40" w:before="40"/>
              <w:jc w:val="left"/>
            </w:pPr>
            <w:hyperlink w:anchor="Xed6add349021bbcf262959cce785e2ac0b25aa9">
              <w:r>
                <w:rPr>
                  <w:rStyle w:val="Hyperlink"/>
                </w:rPr>
                <w:t xml:space="preserve">Accounting, invoicing and related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2</w:t>
            </w:r>
          </w:p>
        </w:tc>
        <w:tc>
          <w:tcPr>
            <w:tcW w:w="6395" w:type="dxa"/>
            <w:shd w:val="clear" w:color="auto" w:fill="FFFFFF"/>
          </w:tcPr>
          <w:p>
            <w:pPr>
              <w:pStyle w:val="Compact"/>
              <w:spacing w:after="40" w:before="40"/>
              <w:jc w:val="left"/>
            </w:pPr>
            <w:hyperlink w:anchor="Xd3939dd433e32c51130c6360563abfdd0cfdc5c">
              <w:r>
                <w:rPr>
                  <w:rStyle w:val="Hyperlink"/>
                </w:rPr>
                <w:t xml:space="preserve">Administration of certain programmes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3</w:t>
            </w:r>
          </w:p>
        </w:tc>
        <w:tc>
          <w:tcPr>
            <w:tcW w:w="6395" w:type="dxa"/>
            <w:shd w:val="clear" w:color="auto" w:fill="FBEAF1"/>
          </w:tcPr>
          <w:p>
            <w:pPr>
              <w:pStyle w:val="Compact"/>
              <w:spacing w:after="40" w:before="40"/>
              <w:jc w:val="left"/>
            </w:pPr>
            <w:hyperlink w:anchor="X7d06cd7b31c383abbeea5996c9dc704d1b15c90">
              <w:r>
                <w:rPr>
                  <w:rStyle w:val="Hyperlink"/>
                </w:rPr>
                <w:t xml:space="preserve">Administration and collection of toll charges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4</w:t>
            </w:r>
          </w:p>
        </w:tc>
        <w:tc>
          <w:tcPr>
            <w:tcW w:w="6395" w:type="dxa"/>
            <w:shd w:val="clear" w:color="auto" w:fill="EAF3FA"/>
          </w:tcPr>
          <w:p>
            <w:pPr>
              <w:pStyle w:val="Compact"/>
              <w:spacing w:after="40" w:before="40"/>
              <w:jc w:val="left"/>
            </w:pPr>
            <w:hyperlink w:anchor="X6eadcb306f707c5281911a72af303940d1ea734">
              <w:r>
                <w:rPr>
                  <w:rStyle w:val="Hyperlink"/>
                </w:rPr>
                <w:t xml:space="preserve">Aerial photographic surveys and aerial surveillance</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5</w:t>
            </w:r>
          </w:p>
        </w:tc>
        <w:tc>
          <w:tcPr>
            <w:tcW w:w="6395" w:type="dxa"/>
            <w:shd w:val="clear" w:color="auto" w:fill="FFFFFF"/>
          </w:tcPr>
          <w:p>
            <w:pPr>
              <w:pStyle w:val="Compact"/>
              <w:spacing w:after="40" w:before="40"/>
              <w:jc w:val="left"/>
            </w:pPr>
            <w:hyperlink w:anchor="X1370c257cccac8d05424ae958ea7aaade0d2522">
              <w:r>
                <w:rPr>
                  <w:rStyle w:val="Hyperlink"/>
                </w:rPr>
                <w:t xml:space="preserve">Agricultural services of the kind normally carried out by the Department for Environment, Food and Rural Affairs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6</w:t>
            </w:r>
          </w:p>
        </w:tc>
        <w:tc>
          <w:tcPr>
            <w:tcW w:w="6395" w:type="dxa"/>
            <w:shd w:val="clear" w:color="auto" w:fill="FBEAF1"/>
          </w:tcPr>
          <w:p>
            <w:pPr>
              <w:pStyle w:val="Compact"/>
              <w:spacing w:after="40" w:before="40"/>
              <w:jc w:val="left"/>
            </w:pPr>
            <w:hyperlink w:anchor="X73ed2adf779e76d5b1f90649cd6d0ab6c451118">
              <w:r>
                <w:rPr>
                  <w:rStyle w:val="Hyperlink"/>
                </w:rPr>
                <w:t xml:space="preserve">Alteration, repair and maintenance of road schemes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7</w:t>
            </w:r>
          </w:p>
        </w:tc>
        <w:tc>
          <w:tcPr>
            <w:tcW w:w="6395" w:type="dxa"/>
            <w:shd w:val="clear" w:color="auto" w:fill="EAF3FA"/>
          </w:tcPr>
          <w:p>
            <w:pPr>
              <w:pStyle w:val="Compact"/>
              <w:spacing w:after="40" w:before="40"/>
              <w:jc w:val="left"/>
            </w:pPr>
            <w:hyperlink w:anchor="heading-7-broadcast-monitoring-services">
              <w:r>
                <w:rPr>
                  <w:rStyle w:val="Hyperlink"/>
                </w:rPr>
                <w:t xml:space="preserve">Broadcast monitoring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8</w:t>
            </w:r>
          </w:p>
        </w:tc>
        <w:tc>
          <w:tcPr>
            <w:tcW w:w="6395" w:type="dxa"/>
            <w:shd w:val="clear" w:color="auto" w:fill="FFFFFF"/>
          </w:tcPr>
          <w:p>
            <w:pPr>
              <w:pStyle w:val="Compact"/>
              <w:spacing w:after="40" w:before="40"/>
              <w:jc w:val="left"/>
            </w:pPr>
            <w:hyperlink w:anchor="heading-8-cartographic-services">
              <w:r>
                <w:rPr>
                  <w:rStyle w:val="Hyperlink"/>
                </w:rPr>
                <w:t xml:space="preserve">Cartographic services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9</w:t>
            </w:r>
          </w:p>
        </w:tc>
        <w:tc>
          <w:tcPr>
            <w:tcW w:w="6395" w:type="dxa"/>
            <w:shd w:val="clear" w:color="auto" w:fill="FBEAF1"/>
          </w:tcPr>
          <w:p>
            <w:pPr>
              <w:pStyle w:val="Compact"/>
              <w:spacing w:after="40" w:before="40"/>
              <w:jc w:val="left"/>
            </w:pPr>
            <w:hyperlink w:anchor="heading-9-cash-in-transit-services">
              <w:r>
                <w:rPr>
                  <w:rStyle w:val="Hyperlink"/>
                </w:rPr>
                <w:t xml:space="preserve">Cash in transit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10</w:t>
            </w:r>
          </w:p>
        </w:tc>
        <w:tc>
          <w:tcPr>
            <w:tcW w:w="6395" w:type="dxa"/>
            <w:shd w:val="clear" w:color="auto" w:fill="EAF3FA"/>
          </w:tcPr>
          <w:p>
            <w:pPr>
              <w:pStyle w:val="Compact"/>
              <w:spacing w:after="40" w:before="40"/>
              <w:jc w:val="left"/>
            </w:pPr>
            <w:hyperlink w:anchor="heading-10-catering">
              <w:r>
                <w:rPr>
                  <w:rStyle w:val="Hyperlink"/>
                </w:rPr>
                <w:t xml:space="preserve">Catering</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11</w:t>
            </w:r>
          </w:p>
        </w:tc>
        <w:tc>
          <w:tcPr>
            <w:tcW w:w="6395" w:type="dxa"/>
            <w:shd w:val="clear" w:color="auto" w:fill="FFFFFF"/>
          </w:tcPr>
          <w:p>
            <w:pPr>
              <w:pStyle w:val="Compact"/>
              <w:spacing w:after="40" w:before="40"/>
              <w:jc w:val="left"/>
            </w:pPr>
            <w:hyperlink w:anchor="heading-11-ceremonial-services">
              <w:r>
                <w:rPr>
                  <w:rStyle w:val="Hyperlink"/>
                </w:rPr>
                <w:t xml:space="preserve">Ceremonial services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12</w:t>
            </w:r>
          </w:p>
        </w:tc>
        <w:tc>
          <w:tcPr>
            <w:tcW w:w="6395" w:type="dxa"/>
            <w:shd w:val="clear" w:color="auto" w:fill="FBEAF1"/>
          </w:tcPr>
          <w:p>
            <w:pPr>
              <w:pStyle w:val="Compact"/>
              <w:spacing w:after="40" w:before="40"/>
              <w:jc w:val="left"/>
            </w:pPr>
            <w:hyperlink w:anchor="heading-12-childcare-services">
              <w:r>
                <w:rPr>
                  <w:rStyle w:val="Hyperlink"/>
                </w:rPr>
                <w:t xml:space="preserve">Childcare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13</w:t>
            </w:r>
          </w:p>
        </w:tc>
        <w:tc>
          <w:tcPr>
            <w:tcW w:w="6395" w:type="dxa"/>
            <w:shd w:val="clear" w:color="auto" w:fill="EAF3FA"/>
          </w:tcPr>
          <w:p>
            <w:pPr>
              <w:pStyle w:val="Compact"/>
              <w:spacing w:after="40" w:before="40"/>
              <w:jc w:val="left"/>
            </w:pPr>
            <w:hyperlink w:anchor="X5e0607e3cac8f8b3f7103ced30ecb13c46deb92">
              <w:r>
                <w:rPr>
                  <w:rStyle w:val="Hyperlink"/>
                </w:rPr>
                <w:t xml:space="preserve">Collection, delivery and distribution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14</w:t>
            </w:r>
          </w:p>
        </w:tc>
        <w:tc>
          <w:tcPr>
            <w:tcW w:w="6395" w:type="dxa"/>
            <w:shd w:val="clear" w:color="auto" w:fill="FFFFFF"/>
          </w:tcPr>
          <w:p>
            <w:pPr>
              <w:pStyle w:val="Compact"/>
              <w:spacing w:after="40" w:before="40"/>
              <w:jc w:val="left"/>
            </w:pPr>
            <w:hyperlink w:anchor="X559c808acfdfd9392c41878ca3ac069165eb24b">
              <w:r>
                <w:rPr>
                  <w:rStyle w:val="Hyperlink"/>
                </w:rPr>
                <w:t xml:space="preserve">Computer services supplied to the specification of the recipient</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15</w:t>
            </w:r>
          </w:p>
        </w:tc>
        <w:tc>
          <w:tcPr>
            <w:tcW w:w="6395" w:type="dxa"/>
            <w:shd w:val="clear" w:color="auto" w:fill="FBEAF1"/>
          </w:tcPr>
          <w:p>
            <w:pPr>
              <w:pStyle w:val="Compact"/>
              <w:spacing w:after="40" w:before="40"/>
              <w:jc w:val="left"/>
            </w:pPr>
            <w:hyperlink w:anchor="X248fbb919b4d3a31f954deba94c6df77de5e904">
              <w:r>
                <w:rPr>
                  <w:rStyle w:val="Hyperlink"/>
                </w:rPr>
                <w:t xml:space="preserve">Conference and exhibition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16</w:t>
            </w:r>
          </w:p>
        </w:tc>
        <w:tc>
          <w:tcPr>
            <w:tcW w:w="6395" w:type="dxa"/>
            <w:shd w:val="clear" w:color="auto" w:fill="EAF3FA"/>
          </w:tcPr>
          <w:p>
            <w:pPr>
              <w:pStyle w:val="Compact"/>
              <w:spacing w:after="40" w:before="40"/>
              <w:jc w:val="left"/>
            </w:pPr>
            <w:hyperlink w:anchor="heading-16-debt-collection">
              <w:r>
                <w:rPr>
                  <w:rStyle w:val="Hyperlink"/>
                </w:rPr>
                <w:t xml:space="preserve">Debt collection</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17</w:t>
            </w:r>
          </w:p>
        </w:tc>
        <w:tc>
          <w:tcPr>
            <w:tcW w:w="6395" w:type="dxa"/>
            <w:shd w:val="clear" w:color="auto" w:fill="FFFFFF"/>
          </w:tcPr>
          <w:p>
            <w:pPr>
              <w:pStyle w:val="Compact"/>
              <w:spacing w:after="40" w:before="40"/>
              <w:jc w:val="left"/>
            </w:pPr>
            <w:hyperlink w:anchor="Xfc1446659aa033301aec6329268aa8c887013d8">
              <w:r>
                <w:rPr>
                  <w:rStyle w:val="Hyperlink"/>
                </w:rPr>
                <w:t xml:space="preserve">Departmental staff records and payroll systems including administration and payment of pensions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18</w:t>
            </w:r>
          </w:p>
        </w:tc>
        <w:tc>
          <w:tcPr>
            <w:tcW w:w="6395" w:type="dxa"/>
            <w:shd w:val="clear" w:color="auto" w:fill="FBEAF1"/>
          </w:tcPr>
          <w:p>
            <w:pPr>
              <w:pStyle w:val="Compact"/>
              <w:spacing w:after="40" w:before="40"/>
              <w:jc w:val="left"/>
            </w:pPr>
            <w:hyperlink w:anchor="Xd4c9c6d3eb51e20616379b2394a74b0c9528326">
              <w:r>
                <w:rPr>
                  <w:rStyle w:val="Hyperlink"/>
                </w:rPr>
                <w:t xml:space="preserve">Employment advisory services as directed by the Race Relations Act 1976</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19</w:t>
            </w:r>
          </w:p>
        </w:tc>
        <w:tc>
          <w:tcPr>
            <w:tcW w:w="6395" w:type="dxa"/>
            <w:shd w:val="clear" w:color="auto" w:fill="EAF3FA"/>
          </w:tcPr>
          <w:p>
            <w:pPr>
              <w:pStyle w:val="Compact"/>
              <w:spacing w:after="40" w:before="40"/>
              <w:jc w:val="left"/>
            </w:pPr>
            <w:hyperlink w:anchor="Xbbfa28f167057c825d1ffcbafa9c58c1a894ef2">
              <w:r>
                <w:rPr>
                  <w:rStyle w:val="Hyperlink"/>
                </w:rPr>
                <w:t xml:space="preserve">Engineering, excluding computer engineering, and related process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20</w:t>
            </w:r>
          </w:p>
        </w:tc>
        <w:tc>
          <w:tcPr>
            <w:tcW w:w="6395" w:type="dxa"/>
            <w:shd w:val="clear" w:color="auto" w:fill="FFFFFF"/>
          </w:tcPr>
          <w:p>
            <w:pPr>
              <w:pStyle w:val="Compact"/>
              <w:spacing w:after="40" w:before="40"/>
              <w:jc w:val="left"/>
            </w:pPr>
            <w:hyperlink w:anchor="X29bc8ef572fa0e2ae82446b85d466da26ae7e74">
              <w:r>
                <w:rPr>
                  <w:rStyle w:val="Hyperlink"/>
                </w:rPr>
                <w:t xml:space="preserve">Environmental protection services of the kind normally carried out for the Department of the Environment, Food and Rural Affairs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21</w:t>
            </w:r>
          </w:p>
        </w:tc>
        <w:tc>
          <w:tcPr>
            <w:tcW w:w="6395" w:type="dxa"/>
            <w:shd w:val="clear" w:color="auto" w:fill="FBEAF1"/>
          </w:tcPr>
          <w:p>
            <w:pPr>
              <w:pStyle w:val="Compact"/>
              <w:spacing w:after="40" w:before="40"/>
              <w:jc w:val="left"/>
            </w:pPr>
            <w:hyperlink w:anchor="heading-21-estate-management-services">
              <w:r>
                <w:rPr>
                  <w:rStyle w:val="Hyperlink"/>
                </w:rPr>
                <w:t xml:space="preserve">Estate management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22</w:t>
            </w:r>
          </w:p>
        </w:tc>
        <w:tc>
          <w:tcPr>
            <w:tcW w:w="6395" w:type="dxa"/>
            <w:shd w:val="clear" w:color="auto" w:fill="EAF3FA"/>
          </w:tcPr>
          <w:p>
            <w:pPr>
              <w:pStyle w:val="Compact"/>
              <w:spacing w:after="40" w:before="40"/>
              <w:jc w:val="left"/>
            </w:pPr>
            <w:hyperlink w:anchor="heading-22-export-intelligence-services">
              <w:r>
                <w:rPr>
                  <w:rStyle w:val="Hyperlink"/>
                </w:rPr>
                <w:t xml:space="preserve">Export intelligence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23</w:t>
            </w:r>
          </w:p>
        </w:tc>
        <w:tc>
          <w:tcPr>
            <w:tcW w:w="6395" w:type="dxa"/>
            <w:shd w:val="clear" w:color="auto" w:fill="FFFFFF"/>
          </w:tcPr>
          <w:p>
            <w:pPr>
              <w:pStyle w:val="Compact"/>
              <w:spacing w:after="40" w:before="40"/>
              <w:jc w:val="left"/>
            </w:pPr>
            <w:hyperlink w:anchor="Xa8c0f67e69dea3e01617ed5cd06608ff44cca85">
              <w:r>
                <w:rPr>
                  <w:rStyle w:val="Hyperlink"/>
                </w:rPr>
                <w:t xml:space="preserve">Filming, audio-visual and production services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24</w:t>
            </w:r>
          </w:p>
        </w:tc>
        <w:tc>
          <w:tcPr>
            <w:tcW w:w="6395" w:type="dxa"/>
            <w:shd w:val="clear" w:color="auto" w:fill="FBEAF1"/>
          </w:tcPr>
          <w:p>
            <w:pPr>
              <w:pStyle w:val="Compact"/>
              <w:spacing w:after="40" w:before="40"/>
              <w:jc w:val="left"/>
            </w:pPr>
            <w:hyperlink w:anchor="heading-24-health-promotion-activities">
              <w:r>
                <w:rPr>
                  <w:rStyle w:val="Hyperlink"/>
                </w:rPr>
                <w:t xml:space="preserve">Health promotion activities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25</w:t>
            </w:r>
          </w:p>
        </w:tc>
        <w:tc>
          <w:tcPr>
            <w:tcW w:w="6395" w:type="dxa"/>
            <w:shd w:val="clear" w:color="auto" w:fill="EAF3FA"/>
          </w:tcPr>
          <w:p>
            <w:pPr>
              <w:pStyle w:val="Compact"/>
              <w:spacing w:after="40" w:before="40"/>
              <w:jc w:val="left"/>
            </w:pPr>
            <w:hyperlink w:anchor="Xfb7313bf3f5421bc6b73908d86df71713ef0a25">
              <w:r>
                <w:rPr>
                  <w:rStyle w:val="Hyperlink"/>
                </w:rPr>
                <w:t xml:space="preserve">Hire of reprographic equipment including repair and maintenance</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26</w:t>
            </w:r>
          </w:p>
        </w:tc>
        <w:tc>
          <w:tcPr>
            <w:tcW w:w="6395" w:type="dxa"/>
            <w:shd w:val="clear" w:color="auto" w:fill="FFFFFF"/>
          </w:tcPr>
          <w:p>
            <w:pPr>
              <w:pStyle w:val="Compact"/>
              <w:spacing w:after="40" w:before="40"/>
              <w:jc w:val="left"/>
            </w:pPr>
            <w:hyperlink w:anchor="Xfa603d40ff7d63b82871492d07535c3992b8a9d">
              <w:r>
                <w:rPr>
                  <w:rStyle w:val="Hyperlink"/>
                </w:rPr>
                <w:t xml:space="preserve">Hire of vehicles, including repair and maintenance</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27</w:t>
            </w:r>
          </w:p>
        </w:tc>
        <w:tc>
          <w:tcPr>
            <w:tcW w:w="6395" w:type="dxa"/>
            <w:shd w:val="clear" w:color="auto" w:fill="FBEAF1"/>
          </w:tcPr>
          <w:p>
            <w:pPr>
              <w:pStyle w:val="Compact"/>
              <w:spacing w:after="40" w:before="40"/>
              <w:jc w:val="left"/>
            </w:pPr>
            <w:hyperlink w:anchor="heading-27-insolvency-services">
              <w:r>
                <w:rPr>
                  <w:rStyle w:val="Hyperlink"/>
                </w:rPr>
                <w:t xml:space="preserve">Insolvency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28</w:t>
            </w:r>
          </w:p>
        </w:tc>
        <w:tc>
          <w:tcPr>
            <w:tcW w:w="6395" w:type="dxa"/>
            <w:shd w:val="clear" w:color="auto" w:fill="EAF3FA"/>
          </w:tcPr>
          <w:p>
            <w:pPr>
              <w:pStyle w:val="Compact"/>
              <w:spacing w:after="40" w:before="40"/>
              <w:jc w:val="left"/>
            </w:pPr>
            <w:hyperlink w:anchor="X520d753fa7583d21c9bd78c6f492162f9b70c7f">
              <w:r>
                <w:rPr>
                  <w:rStyle w:val="Hyperlink"/>
                </w:rPr>
                <w:t xml:space="preserve">Interpretation and translation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29</w:t>
            </w:r>
          </w:p>
        </w:tc>
        <w:tc>
          <w:tcPr>
            <w:tcW w:w="6395" w:type="dxa"/>
            <w:shd w:val="clear" w:color="auto" w:fill="FFFFFF"/>
          </w:tcPr>
          <w:p>
            <w:pPr>
              <w:pStyle w:val="Compact"/>
              <w:spacing w:after="40" w:before="40"/>
              <w:jc w:val="left"/>
            </w:pPr>
            <w:hyperlink w:anchor="X5766b4a9515c904be12fa1260da81097639baaa">
              <w:r>
                <w:rPr>
                  <w:rStyle w:val="Hyperlink"/>
                </w:rPr>
                <w:t xml:space="preserve">Issue of documents to, and control of, bingo halls and off-course bookmakers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30</w:t>
            </w:r>
          </w:p>
        </w:tc>
        <w:tc>
          <w:tcPr>
            <w:tcW w:w="6395" w:type="dxa"/>
            <w:shd w:val="clear" w:color="auto" w:fill="FBEAF1"/>
          </w:tcPr>
          <w:p>
            <w:pPr>
              <w:pStyle w:val="Compact"/>
              <w:spacing w:after="40" w:before="40"/>
              <w:jc w:val="left"/>
            </w:pPr>
            <w:hyperlink w:anchor="Xb9fa358aa4e1d770cdefcbd527c83d35d23233f">
              <w:r>
                <w:rPr>
                  <w:rStyle w:val="Hyperlink"/>
                </w:rPr>
                <w:t xml:space="preserve">Issue of documents under the Wireless and Telegraphy Acts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31</w:t>
            </w:r>
          </w:p>
        </w:tc>
        <w:tc>
          <w:tcPr>
            <w:tcW w:w="6395" w:type="dxa"/>
            <w:shd w:val="clear" w:color="auto" w:fill="EAF3FA"/>
          </w:tcPr>
          <w:p>
            <w:pPr>
              <w:pStyle w:val="Compact"/>
              <w:spacing w:after="40" w:before="40"/>
              <w:jc w:val="left"/>
            </w:pPr>
            <w:hyperlink w:anchor="heading-31-laboratory-services">
              <w:r>
                <w:rPr>
                  <w:rStyle w:val="Hyperlink"/>
                </w:rPr>
                <w:t xml:space="preserve">Laboratory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32</w:t>
            </w:r>
          </w:p>
        </w:tc>
        <w:tc>
          <w:tcPr>
            <w:tcW w:w="6395" w:type="dxa"/>
            <w:shd w:val="clear" w:color="auto" w:fill="FFFFFF"/>
          </w:tcPr>
          <w:p>
            <w:pPr>
              <w:pStyle w:val="Compact"/>
              <w:spacing w:after="40" w:before="40"/>
              <w:jc w:val="left"/>
            </w:pPr>
            <w:hyperlink w:anchor="heading-32-laundry-services">
              <w:r>
                <w:rPr>
                  <w:rStyle w:val="Hyperlink"/>
                </w:rPr>
                <w:t xml:space="preserve">Laundry services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33</w:t>
            </w:r>
          </w:p>
        </w:tc>
        <w:tc>
          <w:tcPr>
            <w:tcW w:w="6395" w:type="dxa"/>
            <w:shd w:val="clear" w:color="auto" w:fill="FBEAF1"/>
          </w:tcPr>
          <w:p>
            <w:pPr>
              <w:pStyle w:val="Compact"/>
              <w:spacing w:after="40" w:before="40"/>
              <w:jc w:val="left"/>
            </w:pPr>
            <w:hyperlink w:anchor="heading-33-library-services">
              <w:r>
                <w:rPr>
                  <w:rStyle w:val="Hyperlink"/>
                </w:rPr>
                <w:t xml:space="preserve">Library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34</w:t>
            </w:r>
          </w:p>
        </w:tc>
        <w:tc>
          <w:tcPr>
            <w:tcW w:w="6395" w:type="dxa"/>
            <w:shd w:val="clear" w:color="auto" w:fill="EAF3FA"/>
          </w:tcPr>
          <w:p>
            <w:pPr>
              <w:pStyle w:val="Compact"/>
              <w:spacing w:after="40" w:before="40"/>
              <w:jc w:val="left"/>
            </w:pPr>
            <w:hyperlink w:anchor="Xcaa505fd7742889944cc62d7106edeb919ccbc0">
              <w:r>
                <w:rPr>
                  <w:rStyle w:val="Hyperlink"/>
                </w:rPr>
                <w:t xml:space="preserve">Maintenance and care of livestock and fauna in connection with the Royal Parks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35</w:t>
            </w:r>
          </w:p>
        </w:tc>
        <w:tc>
          <w:tcPr>
            <w:tcW w:w="6395" w:type="dxa"/>
            <w:shd w:val="clear" w:color="auto" w:fill="FFFFFF"/>
          </w:tcPr>
          <w:p>
            <w:pPr>
              <w:pStyle w:val="Compact"/>
              <w:spacing w:after="40" w:before="40"/>
              <w:jc w:val="left"/>
            </w:pPr>
            <w:hyperlink w:anchor="X8283296de4c0a71b9f31b8528d8f68bbe0f9e7e">
              <w:r>
                <w:rPr>
                  <w:rStyle w:val="Hyperlink"/>
                </w:rPr>
                <w:t xml:space="preserve">Maintenance, repair and cleaning of buildings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36</w:t>
            </w:r>
          </w:p>
        </w:tc>
        <w:tc>
          <w:tcPr>
            <w:tcW w:w="6395" w:type="dxa"/>
            <w:shd w:val="clear" w:color="auto" w:fill="FBEAF1"/>
          </w:tcPr>
          <w:p>
            <w:pPr>
              <w:pStyle w:val="Compact"/>
              <w:spacing w:after="40" w:before="40"/>
              <w:jc w:val="left"/>
            </w:pPr>
            <w:hyperlink w:anchor="X90295c2bce3ea5997670e3162a0302dd51f871f">
              <w:r>
                <w:rPr>
                  <w:rStyle w:val="Hyperlink"/>
                </w:rPr>
                <w:t xml:space="preserve">Maintenance and repair of civil engineering works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37</w:t>
            </w:r>
          </w:p>
        </w:tc>
        <w:tc>
          <w:tcPr>
            <w:tcW w:w="6395" w:type="dxa"/>
            <w:shd w:val="clear" w:color="auto" w:fill="EAF3FA"/>
          </w:tcPr>
          <w:p>
            <w:pPr>
              <w:pStyle w:val="Compact"/>
              <w:spacing w:after="40" w:before="40"/>
              <w:jc w:val="left"/>
            </w:pPr>
            <w:hyperlink w:anchor="Xc4e561f61c4c943a82bd50bec894726910be1cc">
              <w:r>
                <w:rPr>
                  <w:rStyle w:val="Hyperlink"/>
                </w:rPr>
                <w:t xml:space="preserve">Maintenance, repair and cleaning of equipment, plant, vehicles and vessels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38</w:t>
            </w:r>
          </w:p>
        </w:tc>
        <w:tc>
          <w:tcPr>
            <w:tcW w:w="6395" w:type="dxa"/>
            <w:shd w:val="clear" w:color="auto" w:fill="FFFFFF"/>
          </w:tcPr>
          <w:p>
            <w:pPr>
              <w:pStyle w:val="Compact"/>
              <w:spacing w:after="40" w:before="40"/>
              <w:jc w:val="left"/>
            </w:pPr>
            <w:hyperlink w:anchor="Xdf382d3f2695f32c39453f89c923308b5c9037a">
              <w:r>
                <w:rPr>
                  <w:rStyle w:val="Hyperlink"/>
                </w:rPr>
                <w:t xml:space="preserve">Maintenance and repair of statues, monuments and works of art</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39</w:t>
            </w:r>
          </w:p>
        </w:tc>
        <w:tc>
          <w:tcPr>
            <w:tcW w:w="6395" w:type="dxa"/>
            <w:shd w:val="clear" w:color="auto" w:fill="FBEAF1"/>
          </w:tcPr>
          <w:p>
            <w:pPr>
              <w:pStyle w:val="Compact"/>
              <w:spacing w:after="40" w:before="40"/>
              <w:jc w:val="left"/>
            </w:pPr>
            <w:hyperlink w:anchor="heading-39-medical-and-social-surveys">
              <w:r>
                <w:rPr>
                  <w:rStyle w:val="Hyperlink"/>
                </w:rPr>
                <w:t xml:space="preserve">Medical and social surveys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40</w:t>
            </w:r>
          </w:p>
        </w:tc>
        <w:tc>
          <w:tcPr>
            <w:tcW w:w="6395" w:type="dxa"/>
            <w:shd w:val="clear" w:color="auto" w:fill="EAF3FA"/>
          </w:tcPr>
          <w:p>
            <w:pPr>
              <w:pStyle w:val="Compact"/>
              <w:spacing w:after="40" w:before="40"/>
              <w:jc w:val="left"/>
            </w:pPr>
            <w:hyperlink w:anchor="X7f6a094e3227ddf141b36e9afa49b76e0d08043">
              <w:r>
                <w:rPr>
                  <w:rStyle w:val="Hyperlink"/>
                </w:rPr>
                <w:t xml:space="preserve">Messenger, portering and reception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41</w:t>
            </w:r>
          </w:p>
        </w:tc>
        <w:tc>
          <w:tcPr>
            <w:tcW w:w="6395" w:type="dxa"/>
            <w:shd w:val="clear" w:color="auto" w:fill="FFFFFF"/>
          </w:tcPr>
          <w:p>
            <w:pPr>
              <w:pStyle w:val="Compact"/>
              <w:spacing w:after="40" w:before="40"/>
              <w:jc w:val="left"/>
            </w:pPr>
            <w:hyperlink w:anchor="heading-41-nursing-services">
              <w:r>
                <w:rPr>
                  <w:rStyle w:val="Hyperlink"/>
                </w:rPr>
                <w:t xml:space="preserve">Nursing services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42</w:t>
            </w:r>
          </w:p>
        </w:tc>
        <w:tc>
          <w:tcPr>
            <w:tcW w:w="6395" w:type="dxa"/>
            <w:shd w:val="clear" w:color="auto" w:fill="FBEAF1"/>
          </w:tcPr>
          <w:p>
            <w:pPr>
              <w:pStyle w:val="Compact"/>
              <w:spacing w:after="40" w:before="40"/>
              <w:jc w:val="left"/>
            </w:pPr>
            <w:hyperlink w:anchor="heading-42-office-removals">
              <w:r>
                <w:rPr>
                  <w:rStyle w:val="Hyperlink"/>
                </w:rPr>
                <w:t xml:space="preserve">Office removals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43</w:t>
            </w:r>
          </w:p>
        </w:tc>
        <w:tc>
          <w:tcPr>
            <w:tcW w:w="6395" w:type="dxa"/>
            <w:shd w:val="clear" w:color="auto" w:fill="EAF3FA"/>
          </w:tcPr>
          <w:p>
            <w:pPr>
              <w:pStyle w:val="Compact"/>
              <w:spacing w:after="40" w:before="40"/>
              <w:jc w:val="left"/>
            </w:pPr>
            <w:hyperlink w:anchor="X56347ec2eed82e3302de08cb148f060719cf811">
              <w:r>
                <w:rPr>
                  <w:rStyle w:val="Hyperlink"/>
                </w:rPr>
                <w:t xml:space="preserve">Operation and maintenance of static test facilities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44</w:t>
            </w:r>
          </w:p>
        </w:tc>
        <w:tc>
          <w:tcPr>
            <w:tcW w:w="6395" w:type="dxa"/>
            <w:shd w:val="clear" w:color="auto" w:fill="FFFFFF"/>
          </w:tcPr>
          <w:p>
            <w:pPr>
              <w:pStyle w:val="Compact"/>
              <w:spacing w:after="40" w:before="40"/>
              <w:jc w:val="left"/>
            </w:pPr>
            <w:hyperlink w:anchor="X0303068d0dea6a86ea6e33a25ada40051b39850">
              <w:r>
                <w:rPr>
                  <w:rStyle w:val="Hyperlink"/>
                </w:rPr>
                <w:t xml:space="preserve">Operation and maintenance of stores depots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45</w:t>
            </w:r>
          </w:p>
        </w:tc>
        <w:tc>
          <w:tcPr>
            <w:tcW w:w="6395" w:type="dxa"/>
            <w:shd w:val="clear" w:color="auto" w:fill="FBEAF1"/>
          </w:tcPr>
          <w:p>
            <w:pPr>
              <w:pStyle w:val="Compact"/>
              <w:spacing w:after="40" w:before="40"/>
              <w:jc w:val="left"/>
            </w:pPr>
            <w:hyperlink w:anchor="X58e825a3c692f8c52ebde5d7853a557b6a0c6ef">
              <w:r>
                <w:rPr>
                  <w:rStyle w:val="Hyperlink"/>
                </w:rPr>
                <w:t xml:space="preserve">Operation, including the provision of any related services, of hospitals, health care establishments and health care facilities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46</w:t>
            </w:r>
          </w:p>
        </w:tc>
        <w:tc>
          <w:tcPr>
            <w:tcW w:w="6395" w:type="dxa"/>
            <w:shd w:val="clear" w:color="auto" w:fill="EAF3FA"/>
          </w:tcPr>
          <w:p>
            <w:pPr>
              <w:pStyle w:val="Compact"/>
              <w:spacing w:after="40" w:before="40"/>
              <w:jc w:val="left"/>
            </w:pPr>
            <w:hyperlink w:anchor="Xa6d4bef4a984b55dc521a04f3daef621445610c">
              <w:r>
                <w:rPr>
                  <w:rStyle w:val="Hyperlink"/>
                </w:rPr>
                <w:t xml:space="preserve">Operation of prisons, detention centres and remand centres, including medical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47</w:t>
            </w:r>
          </w:p>
        </w:tc>
        <w:tc>
          <w:tcPr>
            <w:tcW w:w="6395" w:type="dxa"/>
            <w:shd w:val="clear" w:color="auto" w:fill="FFFFFF"/>
          </w:tcPr>
          <w:p>
            <w:pPr>
              <w:pStyle w:val="Compact"/>
              <w:spacing w:after="40" w:before="40"/>
              <w:jc w:val="left"/>
            </w:pPr>
            <w:hyperlink w:anchor="heading-47-passenger-transport-services">
              <w:r>
                <w:rPr>
                  <w:rStyle w:val="Hyperlink"/>
                </w:rPr>
                <w:t xml:space="preserve">Passenger transport services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48</w:t>
            </w:r>
          </w:p>
        </w:tc>
        <w:tc>
          <w:tcPr>
            <w:tcW w:w="6395" w:type="dxa"/>
            <w:shd w:val="clear" w:color="auto" w:fill="FBEAF1"/>
          </w:tcPr>
          <w:p>
            <w:pPr>
              <w:pStyle w:val="Compact"/>
              <w:spacing w:after="40" w:before="40"/>
              <w:jc w:val="left"/>
            </w:pPr>
            <w:hyperlink w:anchor="heading-48-pest-control-services">
              <w:r>
                <w:rPr>
                  <w:rStyle w:val="Hyperlink"/>
                </w:rPr>
                <w:t xml:space="preserve">Pest control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49</w:t>
            </w:r>
          </w:p>
        </w:tc>
        <w:tc>
          <w:tcPr>
            <w:tcW w:w="6395" w:type="dxa"/>
            <w:shd w:val="clear" w:color="auto" w:fill="EAF3FA"/>
          </w:tcPr>
          <w:p>
            <w:pPr>
              <w:pStyle w:val="Compact"/>
              <w:spacing w:after="40" w:before="40"/>
              <w:jc w:val="left"/>
            </w:pPr>
            <w:hyperlink w:anchor="Xfa3b85c533db511f09fb4af1a9b3f9f46e8af1a">
              <w:r>
                <w:rPr>
                  <w:rStyle w:val="Hyperlink"/>
                </w:rPr>
                <w:t xml:space="preserve">Photographic, reprographic, graphic and design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50</w:t>
            </w:r>
          </w:p>
        </w:tc>
        <w:tc>
          <w:tcPr>
            <w:tcW w:w="6395" w:type="dxa"/>
            <w:shd w:val="clear" w:color="auto" w:fill="FFFFFF"/>
          </w:tcPr>
          <w:p>
            <w:pPr>
              <w:pStyle w:val="Compact"/>
              <w:spacing w:after="40" w:before="40"/>
              <w:jc w:val="left"/>
            </w:pPr>
            <w:hyperlink w:anchor="X9b28686a2fe53731a9e8c58963f68701584a2bc">
              <w:r>
                <w:rPr>
                  <w:rStyle w:val="Hyperlink"/>
                </w:rPr>
                <w:t xml:space="preserve">Preparation and despatch of forms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51</w:t>
            </w:r>
          </w:p>
        </w:tc>
        <w:tc>
          <w:tcPr>
            <w:tcW w:w="6395" w:type="dxa"/>
            <w:shd w:val="clear" w:color="auto" w:fill="FBEAF1"/>
          </w:tcPr>
          <w:p>
            <w:pPr>
              <w:pStyle w:val="Compact"/>
              <w:spacing w:after="40" w:before="40"/>
              <w:jc w:val="left"/>
            </w:pPr>
            <w:hyperlink w:anchor="heading-51-press-cutting-services">
              <w:r>
                <w:rPr>
                  <w:rStyle w:val="Hyperlink"/>
                </w:rPr>
                <w:t xml:space="preserve">Press cutting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52</w:t>
            </w:r>
          </w:p>
        </w:tc>
        <w:tc>
          <w:tcPr>
            <w:tcW w:w="6395" w:type="dxa"/>
            <w:shd w:val="clear" w:color="auto" w:fill="EAF3FA"/>
          </w:tcPr>
          <w:p>
            <w:pPr>
              <w:pStyle w:val="Compact"/>
              <w:spacing w:after="40" w:before="40"/>
              <w:jc w:val="left"/>
            </w:pPr>
            <w:hyperlink w:anchor="heading-52-professional-advice">
              <w:r>
                <w:rPr>
                  <w:rStyle w:val="Hyperlink"/>
                </w:rPr>
                <w:t xml:space="preserve">Professional advice</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53</w:t>
            </w:r>
          </w:p>
        </w:tc>
        <w:tc>
          <w:tcPr>
            <w:tcW w:w="6395" w:type="dxa"/>
            <w:shd w:val="clear" w:color="auto" w:fill="FFFFFF"/>
          </w:tcPr>
          <w:p>
            <w:pPr>
              <w:pStyle w:val="Compact"/>
              <w:spacing w:after="40" w:before="40"/>
              <w:jc w:val="left"/>
            </w:pPr>
            <w:hyperlink w:anchor="Xdaf533c2d142f563953fa667ee9b678c1151b9c">
              <w:r>
                <w:rPr>
                  <w:rStyle w:val="Hyperlink"/>
                </w:rPr>
                <w:t xml:space="preserve">Provision under a PFI agreement of accommodation, for office or other governmental use</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54</w:t>
            </w:r>
          </w:p>
        </w:tc>
        <w:tc>
          <w:tcPr>
            <w:tcW w:w="6395" w:type="dxa"/>
            <w:shd w:val="clear" w:color="auto" w:fill="FBEAF1"/>
          </w:tcPr>
          <w:p>
            <w:pPr>
              <w:pStyle w:val="Compact"/>
              <w:spacing w:after="40" w:before="40"/>
              <w:jc w:val="left"/>
            </w:pPr>
            <w:hyperlink w:anchor="Xedbf786b30a3020dbe8d24b595a905f4b0c9da6">
              <w:r>
                <w:rPr>
                  <w:rStyle w:val="Hyperlink"/>
                </w:rPr>
                <w:t xml:space="preserve">Publicity services including those provided through a digital medium</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55</w:t>
            </w:r>
          </w:p>
        </w:tc>
        <w:tc>
          <w:tcPr>
            <w:tcW w:w="6395" w:type="dxa"/>
            <w:shd w:val="clear" w:color="auto" w:fill="EAF3FA"/>
          </w:tcPr>
          <w:p>
            <w:pPr>
              <w:pStyle w:val="Compact"/>
              <w:spacing w:after="40" w:before="40"/>
              <w:jc w:val="left"/>
            </w:pPr>
            <w:hyperlink w:anchor="X984f85e42c045aae149b996499bb0461e6e2b87">
              <w:r>
                <w:rPr>
                  <w:rStyle w:val="Hyperlink"/>
                </w:rPr>
                <w:t xml:space="preserve">Purchasing and procurement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56</w:t>
            </w:r>
          </w:p>
        </w:tc>
        <w:tc>
          <w:tcPr>
            <w:tcW w:w="6395" w:type="dxa"/>
            <w:shd w:val="clear" w:color="auto" w:fill="FFFFFF"/>
          </w:tcPr>
          <w:p>
            <w:pPr>
              <w:pStyle w:val="Compact"/>
              <w:spacing w:after="40" w:before="40"/>
              <w:jc w:val="left"/>
            </w:pPr>
            <w:hyperlink w:anchor="Xd8a906251edf66379c86491a09518eb599ba336">
              <w:r>
                <w:rPr>
                  <w:rStyle w:val="Hyperlink"/>
                </w:rPr>
                <w:t xml:space="preserve">Broadcasting services via radio, radio bandwidth or the internet</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57</w:t>
            </w:r>
          </w:p>
        </w:tc>
        <w:tc>
          <w:tcPr>
            <w:tcW w:w="6395" w:type="dxa"/>
            <w:shd w:val="clear" w:color="auto" w:fill="FBEAF1"/>
          </w:tcPr>
          <w:p>
            <w:pPr>
              <w:pStyle w:val="Compact"/>
              <w:spacing w:after="40" w:before="40"/>
              <w:jc w:val="left"/>
            </w:pPr>
            <w:hyperlink w:anchor="X5e2cc5ae95ef4e16ddae9159fa3ba8ce8765e19">
              <w:r>
                <w:rPr>
                  <w:rStyle w:val="Hyperlink"/>
                </w:rPr>
                <w:t xml:space="preserve">Recruitment and relocation of staff and other related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58</w:t>
            </w:r>
          </w:p>
        </w:tc>
        <w:tc>
          <w:tcPr>
            <w:tcW w:w="6395" w:type="dxa"/>
            <w:shd w:val="clear" w:color="auto" w:fill="EAF3FA"/>
          </w:tcPr>
          <w:p>
            <w:pPr>
              <w:pStyle w:val="Compact"/>
              <w:spacing w:after="40" w:before="40"/>
              <w:jc w:val="left"/>
            </w:pPr>
            <w:hyperlink w:anchor="X576f64227b87fca36dd2807f51a951af855ea0f">
              <w:r>
                <w:rPr>
                  <w:rStyle w:val="Hyperlink"/>
                </w:rPr>
                <w:t xml:space="preserve">Research, testing, inspection, certification and approval work for the Health and Safety Executive</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59</w:t>
            </w:r>
          </w:p>
        </w:tc>
        <w:tc>
          <w:tcPr>
            <w:tcW w:w="6395" w:type="dxa"/>
            <w:shd w:val="clear" w:color="auto" w:fill="FFFFFF"/>
          </w:tcPr>
          <w:p>
            <w:pPr>
              <w:pStyle w:val="Compact"/>
              <w:spacing w:after="40" w:before="40"/>
              <w:jc w:val="left"/>
            </w:pPr>
            <w:hyperlink w:anchor="Xf09834c05cf08bd5f623cd1027ef4032752b664">
              <w:r>
                <w:rPr>
                  <w:rStyle w:val="Hyperlink"/>
                </w:rPr>
                <w:t xml:space="preserve">Scientific work of the kind normally carried out for the Department of the Environment, Food and Rural Affairs and the Food Standards Agency</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60</w:t>
            </w:r>
          </w:p>
        </w:tc>
        <w:tc>
          <w:tcPr>
            <w:tcW w:w="6395" w:type="dxa"/>
            <w:shd w:val="clear" w:color="auto" w:fill="FBEAF1"/>
          </w:tcPr>
          <w:p>
            <w:pPr>
              <w:pStyle w:val="Compact"/>
              <w:spacing w:after="40" w:before="40"/>
              <w:jc w:val="left"/>
            </w:pPr>
            <w:hyperlink w:anchor="Xedbb426c0aac9a179fd12f91cdc5e606f6fc01c">
              <w:r>
                <w:rPr>
                  <w:rStyle w:val="Hyperlink"/>
                </w:rPr>
                <w:t xml:space="preserve">Security services, including security guards, CCTV monitoring, secure transport of items and monitoring the safety of those working alone</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61</w:t>
            </w:r>
          </w:p>
        </w:tc>
        <w:tc>
          <w:tcPr>
            <w:tcW w:w="6395" w:type="dxa"/>
            <w:shd w:val="clear" w:color="auto" w:fill="EAF3FA"/>
          </w:tcPr>
          <w:p>
            <w:pPr>
              <w:pStyle w:val="Compact"/>
              <w:spacing w:after="40" w:before="40"/>
              <w:jc w:val="left"/>
            </w:pPr>
            <w:hyperlink w:anchor="X4fb3066222037bf3d3f36efdaf4d7fa187e4d0d">
              <w:r>
                <w:rPr>
                  <w:rStyle w:val="Hyperlink"/>
                </w:rPr>
                <w:t xml:space="preserve">Services of printing, copying, reproducing or mailing of any documents or publications, including typesetting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62</w:t>
            </w:r>
          </w:p>
        </w:tc>
        <w:tc>
          <w:tcPr>
            <w:tcW w:w="6395" w:type="dxa"/>
            <w:shd w:val="clear" w:color="auto" w:fill="FFFFFF"/>
          </w:tcPr>
          <w:p>
            <w:pPr>
              <w:pStyle w:val="Compact"/>
              <w:spacing w:after="40" w:before="40"/>
              <w:jc w:val="left"/>
            </w:pPr>
            <w:hyperlink w:anchor="heading-62-share-registry-survey">
              <w:r>
                <w:rPr>
                  <w:rStyle w:val="Hyperlink"/>
                </w:rPr>
                <w:t xml:space="preserve">Share Registry Survey</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63</w:t>
            </w:r>
          </w:p>
        </w:tc>
        <w:tc>
          <w:tcPr>
            <w:tcW w:w="6395" w:type="dxa"/>
            <w:shd w:val="clear" w:color="auto" w:fill="FBEAF1"/>
          </w:tcPr>
          <w:p>
            <w:pPr>
              <w:pStyle w:val="Compact"/>
              <w:spacing w:after="40" w:before="40"/>
              <w:jc w:val="left"/>
            </w:pPr>
            <w:hyperlink w:anchor="X9f7426051e2cf6defef9c7d1ba7710b8e2d3729">
              <w:r>
                <w:rPr>
                  <w:rStyle w:val="Hyperlink"/>
                </w:rPr>
                <w:t xml:space="preserve">Storage, distribution and goods disposal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64</w:t>
            </w:r>
          </w:p>
        </w:tc>
        <w:tc>
          <w:tcPr>
            <w:tcW w:w="6395" w:type="dxa"/>
            <w:shd w:val="clear" w:color="auto" w:fill="EAF3FA"/>
          </w:tcPr>
          <w:p>
            <w:pPr>
              <w:pStyle w:val="Compact"/>
              <w:spacing w:after="40" w:before="40"/>
              <w:jc w:val="left"/>
            </w:pPr>
            <w:hyperlink w:anchor="Xe21247a1db06a4eb0e91c0d6be8f317e99c9517">
              <w:r>
                <w:rPr>
                  <w:rStyle w:val="Hyperlink"/>
                </w:rPr>
                <w:t xml:space="preserve">Surveying, certification and registration in connection with ships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65</w:t>
            </w:r>
          </w:p>
        </w:tc>
        <w:tc>
          <w:tcPr>
            <w:tcW w:w="6395" w:type="dxa"/>
            <w:shd w:val="clear" w:color="auto" w:fill="FFFFFF"/>
          </w:tcPr>
          <w:p>
            <w:pPr>
              <w:pStyle w:val="Compact"/>
              <w:spacing w:after="40" w:before="40"/>
              <w:jc w:val="left"/>
            </w:pPr>
            <w:hyperlink w:anchor="heading-65-training-tuition-or-education">
              <w:r>
                <w:rPr>
                  <w:rStyle w:val="Hyperlink"/>
                </w:rPr>
                <w:t xml:space="preserve">Training, tuition or education</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66</w:t>
            </w:r>
          </w:p>
        </w:tc>
        <w:tc>
          <w:tcPr>
            <w:tcW w:w="6395" w:type="dxa"/>
            <w:shd w:val="clear" w:color="auto" w:fill="FBEAF1"/>
          </w:tcPr>
          <w:p>
            <w:pPr>
              <w:pStyle w:val="Compact"/>
              <w:spacing w:after="40" w:before="40"/>
              <w:jc w:val="left"/>
            </w:pPr>
            <w:hyperlink w:anchor="X089f89baec36f35cb73c9ce081554fbea787d5e">
              <w:r>
                <w:rPr>
                  <w:rStyle w:val="Hyperlink"/>
                </w:rPr>
                <w:t xml:space="preserve">Transport research of the kind normally carried out for the Department for Transport</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67</w:t>
            </w:r>
          </w:p>
        </w:tc>
        <w:tc>
          <w:tcPr>
            <w:tcW w:w="6395" w:type="dxa"/>
            <w:shd w:val="clear" w:color="auto" w:fill="EAF3FA"/>
          </w:tcPr>
          <w:p>
            <w:pPr>
              <w:pStyle w:val="Compact"/>
              <w:spacing w:after="40" w:before="40"/>
              <w:jc w:val="left"/>
            </w:pPr>
            <w:hyperlink w:anchor="Xea8a2fca292e9a220f92f5bb20f095219792c08">
              <w:r>
                <w:rPr>
                  <w:rStyle w:val="Hyperlink"/>
                </w:rPr>
                <w:t xml:space="preserve">Travel services, excluding hotel accommodation and fares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68</w:t>
            </w:r>
          </w:p>
        </w:tc>
        <w:tc>
          <w:tcPr>
            <w:tcW w:w="6395" w:type="dxa"/>
            <w:shd w:val="clear" w:color="auto" w:fill="FFFFFF"/>
          </w:tcPr>
          <w:p>
            <w:pPr>
              <w:pStyle w:val="Compact"/>
              <w:spacing w:after="40" w:before="40"/>
              <w:jc w:val="left"/>
            </w:pPr>
            <w:hyperlink w:anchor="Xf064fabee9ab908e5d52c4722105dce2b33849b">
              <w:r>
                <w:rPr>
                  <w:rStyle w:val="Hyperlink"/>
                </w:rPr>
                <w:t xml:space="preserve">Travel and transport surveys, including traffic census counts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69</w:t>
            </w:r>
          </w:p>
        </w:tc>
        <w:tc>
          <w:tcPr>
            <w:tcW w:w="6395" w:type="dxa"/>
            <w:shd w:val="clear" w:color="auto" w:fill="FBEAF1"/>
          </w:tcPr>
          <w:p>
            <w:pPr>
              <w:pStyle w:val="Compact"/>
              <w:spacing w:after="40" w:before="40"/>
              <w:jc w:val="left"/>
            </w:pPr>
            <w:hyperlink w:anchor="X84a8f7b30b908d0894bc8d51cd0fd2327b5c130">
              <w:r>
                <w:rPr>
                  <w:rStyle w:val="Hyperlink"/>
                </w:rPr>
                <w:t xml:space="preserve">Typing, secretarial, telephonist and clerical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70</w:t>
            </w:r>
          </w:p>
        </w:tc>
        <w:tc>
          <w:tcPr>
            <w:tcW w:w="6395" w:type="dxa"/>
            <w:shd w:val="clear" w:color="auto" w:fill="EAF3FA"/>
          </w:tcPr>
          <w:p>
            <w:pPr>
              <w:pStyle w:val="Compact"/>
              <w:spacing w:after="40" w:before="40"/>
              <w:jc w:val="left"/>
            </w:pPr>
            <w:hyperlink w:anchor="heading-70-waste-disposal-services">
              <w:r>
                <w:rPr>
                  <w:rStyle w:val="Hyperlink"/>
                </w:rPr>
                <w:t xml:space="preserve">Waste disposal services</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71</w:t>
            </w:r>
          </w:p>
        </w:tc>
        <w:tc>
          <w:tcPr>
            <w:tcW w:w="6395" w:type="dxa"/>
            <w:shd w:val="clear" w:color="auto" w:fill="FFFFFF"/>
          </w:tcPr>
          <w:p>
            <w:pPr>
              <w:pStyle w:val="Compact"/>
              <w:spacing w:after="40" w:before="40"/>
              <w:jc w:val="left"/>
            </w:pPr>
            <w:hyperlink w:anchor="heading-71-welfare-services">
              <w:r>
                <w:rPr>
                  <w:rStyle w:val="Hyperlink"/>
                </w:rPr>
                <w:t xml:space="preserve">Welfare services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72</w:t>
            </w:r>
          </w:p>
        </w:tc>
        <w:tc>
          <w:tcPr>
            <w:tcW w:w="6395" w:type="dxa"/>
            <w:shd w:val="clear" w:color="auto" w:fill="FBEAF1"/>
          </w:tcPr>
          <w:p>
            <w:pPr>
              <w:pStyle w:val="Compact"/>
              <w:spacing w:after="40" w:before="40"/>
              <w:jc w:val="left"/>
            </w:pPr>
            <w:hyperlink w:anchor="X7ebde5f9c364d50375c2eeadbf637f3b315ce8f">
              <w:r>
                <w:rPr>
                  <w:rStyle w:val="Hyperlink"/>
                </w:rPr>
                <w:t xml:space="preserve">Career guidance, mentoring, counselling and other related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73</w:t>
            </w:r>
          </w:p>
        </w:tc>
        <w:tc>
          <w:tcPr>
            <w:tcW w:w="6395" w:type="dxa"/>
            <w:shd w:val="clear" w:color="auto" w:fill="EAF3FA"/>
          </w:tcPr>
          <w:p>
            <w:pPr>
              <w:pStyle w:val="Compact"/>
              <w:spacing w:after="40" w:before="40"/>
              <w:jc w:val="left"/>
            </w:pPr>
            <w:hyperlink w:anchor="heading-73-intentionally-left-blank">
              <w:r>
                <w:rPr>
                  <w:rStyle w:val="Hyperlink"/>
                </w:rPr>
                <w:t xml:space="preserve">[Intentionally left blank]</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74</w:t>
            </w:r>
          </w:p>
        </w:tc>
        <w:tc>
          <w:tcPr>
            <w:tcW w:w="6395" w:type="dxa"/>
            <w:shd w:val="clear" w:color="auto" w:fill="FFFFFF"/>
          </w:tcPr>
          <w:p>
            <w:pPr>
              <w:pStyle w:val="Compact"/>
              <w:spacing w:after="40" w:before="40"/>
              <w:jc w:val="left"/>
            </w:pPr>
            <w:hyperlink w:anchor="X008bb8cc793f4519cdc854a25b1b1f6edefb6a3">
              <w:r>
                <w:rPr>
                  <w:rStyle w:val="Hyperlink"/>
                </w:rPr>
                <w:t xml:space="preserve">Original research undertaken to gain knowledge and understanding</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75</w:t>
            </w:r>
          </w:p>
        </w:tc>
        <w:tc>
          <w:tcPr>
            <w:tcW w:w="6395" w:type="dxa"/>
            <w:shd w:val="clear" w:color="auto" w:fill="FBEAF1"/>
          </w:tcPr>
          <w:p>
            <w:pPr>
              <w:pStyle w:val="Compact"/>
              <w:spacing w:after="40" w:before="40"/>
              <w:jc w:val="left"/>
            </w:pPr>
            <w:hyperlink w:anchor="X82983a1f7643d7ebea5d2ffa5fc55668dbe3558">
              <w:r>
                <w:rPr>
                  <w:rStyle w:val="Hyperlink"/>
                </w:rPr>
                <w:t xml:space="preserve">Inspection of woodland sites for approval of felling licence applications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76</w:t>
            </w:r>
          </w:p>
        </w:tc>
        <w:tc>
          <w:tcPr>
            <w:tcW w:w="6395" w:type="dxa"/>
            <w:shd w:val="clear" w:color="auto" w:fill="EAF3FA"/>
          </w:tcPr>
          <w:p>
            <w:pPr>
              <w:pStyle w:val="Compact"/>
              <w:spacing w:after="40" w:before="40"/>
              <w:jc w:val="left"/>
            </w:pPr>
            <w:hyperlink w:anchor="X74af5e4386fc2013dd2d52a0e2e5c13c168d19b">
              <w:r>
                <w:rPr>
                  <w:rStyle w:val="Hyperlink"/>
                </w:rPr>
                <w:t xml:space="preserve">Probation Services delivered under section 3(2) of the Offender Management Act 2007</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77</w:t>
            </w:r>
          </w:p>
        </w:tc>
        <w:tc>
          <w:tcPr>
            <w:tcW w:w="6395" w:type="dxa"/>
            <w:shd w:val="clear" w:color="auto" w:fill="FFFFFF"/>
          </w:tcPr>
          <w:p>
            <w:pPr>
              <w:pStyle w:val="Compact"/>
              <w:spacing w:after="40" w:before="40"/>
              <w:jc w:val="left"/>
            </w:pPr>
            <w:hyperlink w:anchor="Xde138a78231914bb48c40d5a75fd16b050ebdf0">
              <w:r>
                <w:rPr>
                  <w:rStyle w:val="Hyperlink"/>
                </w:rPr>
                <w:t xml:space="preserve">Services commissioned by the DCMS of management and maintenance of the Royal Parks</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78</w:t>
            </w:r>
          </w:p>
        </w:tc>
        <w:tc>
          <w:tcPr>
            <w:tcW w:w="6395" w:type="dxa"/>
            <w:shd w:val="clear" w:color="auto" w:fill="FBEAF1"/>
          </w:tcPr>
          <w:p>
            <w:pPr>
              <w:pStyle w:val="Compact"/>
              <w:spacing w:after="40" w:before="40"/>
              <w:jc w:val="left"/>
            </w:pPr>
            <w:hyperlink w:anchor="X9e94d18207cca33ccfd6c84a2ee1f9549c244be">
              <w:r>
                <w:rPr>
                  <w:rStyle w:val="Hyperlink"/>
                </w:rPr>
                <w:t xml:space="preserve">Call centre and contact centre services</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79</w:t>
            </w:r>
          </w:p>
        </w:tc>
        <w:tc>
          <w:tcPr>
            <w:tcW w:w="6395" w:type="dxa"/>
            <w:shd w:val="clear" w:color="auto" w:fill="EAF3FA"/>
          </w:tcPr>
          <w:p>
            <w:pPr>
              <w:pStyle w:val="Compact"/>
              <w:spacing w:after="40" w:before="40"/>
              <w:jc w:val="left"/>
            </w:pPr>
            <w:hyperlink w:anchor="Xe60fc21c3c378a81627569e316774cf2c2a25a0">
              <w:r>
                <w:rPr>
                  <w:rStyle w:val="Hyperlink"/>
                </w:rPr>
                <w:t xml:space="preserve">Services provided by International Trade Advisors to the Department for International Trade</w:t>
              </w:r>
            </w:hyperlink>
          </w:p>
        </w:tc>
      </w:tr>
      <w:tr>
        <w:trPr>
          <w:cantSplit w:val="true"/>
        </w:trPr>
        <w:tc>
          <w:tcPr>
            <w:tcW w:w="2630" w:type="dxa"/>
            <w:shd w:val="clear" w:color="auto" w:fill="FFFFFF"/>
          </w:tcPr>
          <w:p>
            <w:pPr>
              <w:pStyle w:val="Compact"/>
              <w:spacing w:after="40" w:before="40"/>
              <w:jc w:val="left"/>
            </w:pPr>
            <w:r>
              <w:rPr>
                <w:rFonts w:ascii="Tahoma" w:hAnsi="Tahoma"/>
                <w:sz w:val="22"/>
              </w:rPr>
              <w:t xml:space="preserve">80</w:t>
            </w:r>
          </w:p>
        </w:tc>
        <w:tc>
          <w:tcPr>
            <w:tcW w:w="6395" w:type="dxa"/>
            <w:shd w:val="clear" w:color="auto" w:fill="FFFFFF"/>
          </w:tcPr>
          <w:p>
            <w:pPr>
              <w:pStyle w:val="Compact"/>
              <w:spacing w:after="40" w:before="40"/>
              <w:jc w:val="left"/>
            </w:pPr>
            <w:hyperlink w:anchor="X14f6e8356fc4fbf81d5d239acd4eeb35469e3db">
              <w:r>
                <w:rPr>
                  <w:rStyle w:val="Hyperlink"/>
                </w:rPr>
                <w:t xml:space="preserve">Services of fire prevention and rescue services provided to the Ministry of Defence</w:t>
              </w:r>
            </w:hyperlink>
          </w:p>
        </w:tc>
      </w:tr>
      <w:tr>
        <w:trPr>
          <w:cantSplit w:val="true"/>
        </w:trPr>
        <w:tc>
          <w:tcPr>
            <w:tcW w:w="2630" w:type="dxa"/>
            <w:shd w:val="clear" w:color="auto" w:fill="FBEAF1"/>
          </w:tcPr>
          <w:p>
            <w:pPr>
              <w:pStyle w:val="Compact"/>
              <w:spacing w:after="40" w:before="40"/>
              <w:jc w:val="left"/>
            </w:pPr>
            <w:r>
              <w:rPr>
                <w:rFonts w:ascii="Tahoma" w:hAnsi="Tahoma"/>
                <w:sz w:val="22"/>
              </w:rPr>
              <w:t xml:space="preserve">81</w:t>
            </w:r>
          </w:p>
        </w:tc>
        <w:tc>
          <w:tcPr>
            <w:tcW w:w="6395" w:type="dxa"/>
            <w:shd w:val="clear" w:color="auto" w:fill="FBEAF1"/>
          </w:tcPr>
          <w:p>
            <w:pPr>
              <w:pStyle w:val="Compact"/>
              <w:spacing w:after="40" w:before="40"/>
              <w:jc w:val="left"/>
            </w:pPr>
            <w:hyperlink w:anchor="X10dd14313ab334d73aee5826351ad752f6cd3ee">
              <w:r>
                <w:rPr>
                  <w:rStyle w:val="Hyperlink"/>
                </w:rPr>
                <w:t xml:space="preserve">Secondment of staff accredited by the Government Commercial Development Centre from the Government Commercial Organisation</w:t>
              </w:r>
            </w:hyperlink>
          </w:p>
        </w:tc>
      </w:tr>
      <w:tr>
        <w:trPr>
          <w:cantSplit w:val="true"/>
        </w:trPr>
        <w:tc>
          <w:tcPr>
            <w:tcW w:w="2630" w:type="dxa"/>
            <w:shd w:val="clear" w:color="auto" w:fill="EAF3FA"/>
          </w:tcPr>
          <w:p>
            <w:pPr>
              <w:pStyle w:val="Compact"/>
              <w:spacing w:after="40" w:before="40"/>
              <w:jc w:val="left"/>
            </w:pPr>
            <w:r>
              <w:rPr>
                <w:rFonts w:ascii="Tahoma" w:hAnsi="Tahoma"/>
                <w:sz w:val="22"/>
              </w:rPr>
              <w:t xml:space="preserve">82</w:t>
            </w:r>
          </w:p>
        </w:tc>
        <w:tc>
          <w:tcPr>
            <w:tcW w:w="6395" w:type="dxa"/>
            <w:shd w:val="clear" w:color="auto" w:fill="EAF3FA"/>
          </w:tcPr>
          <w:p>
            <w:pPr>
              <w:pStyle w:val="Compact"/>
              <w:spacing w:after="40" w:before="40"/>
              <w:jc w:val="left"/>
            </w:pPr>
            <w:hyperlink w:anchor="X7db0cbd1dc7ef3b955d7a2ecd207d7d6accafc1">
              <w:r>
                <w:rPr>
                  <w:rStyle w:val="Hyperlink"/>
                </w:rPr>
                <w:t xml:space="preserve">Goods and services supplied to High Speed Two (HS2) Limited</w:t>
              </w:r>
            </w:hyperlink>
          </w:p>
        </w:tc>
      </w:tr>
    </w:tbl>
    <w:bookmarkEnd w:id="257"/>
    <w:bookmarkStart w:id="258" w:name="Xed6add349021bbcf262959cce785e2ac0b25aa9"/>
    <w:p>
      <w:pPr>
        <w:pStyle w:val="Heading3"/>
      </w:pPr>
      <w:r>
        <w:t xml:space="preserve">Heading 1: Accounting, invoicing and related services</w:t>
      </w:r>
    </w:p>
    <w:p>
      <w:pPr>
        <w:pStyle w:val="FirstParagraph"/>
      </w:pPr>
      <w:r>
        <w:rPr>
          <w:b/>
          <w:bCs/>
        </w:rPr>
        <w:t xml:space="preserve">What it covers (HMRC’s description):</w:t>
      </w:r>
      <w:r>
        <w:t xml:space="preserve"> </w:t>
      </w:r>
      <w:r>
        <w:t xml:space="preserve">The full heading reads:</w:t>
      </w:r>
      <w:r>
        <w:t xml:space="preserve"> </w:t>
      </w:r>
      <w:r>
        <w:t xml:space="preserve">“</w:t>
      </w:r>
      <w:r>
        <w:t xml:space="preserve">Accounting, invoicing and related services including the preparation of financial accounts, statements and professional advice intended to assist in compliance with tax obligations but excluding external audits and services relating to arrangements the main purpose, or one of the main purposes of which is to obtain a tax advantage</w:t>
      </w:r>
      <w:r>
        <w:t xml:space="preserve">”</w:t>
      </w:r>
      <w:r>
        <w:t xml:space="preserve"> </w:t>
      </w:r>
      <w:r>
        <w:t xml:space="preserve">(</w:t>
      </w:r>
      <w:hyperlink w:anchor="ref-hmrc_vatgpb">
        <w:r>
          <w:rPr>
            <w:rStyle w:val="Hyperlink"/>
          </w:rPr>
          <w:t xml:space="preserve">HMRC, 2026n, sec. VATGPB9750</w:t>
        </w:r>
      </w:hyperlink>
      <w:r>
        <w:t xml:space="preserve">)</w:t>
      </w:r>
      <w:r>
        <w:t xml:space="preserve">.</w:t>
      </w:r>
    </w:p>
    <w:p>
      <w:pPr>
        <w:pStyle w:val="BodyText"/>
      </w:pPr>
      <w:r>
        <w:t xml:space="preserve">HMRC says the heading</w:t>
      </w:r>
      <w:r>
        <w:t xml:space="preserve"> </w:t>
      </w:r>
      <w:r>
        <w:t xml:space="preserve">“</w:t>
      </w:r>
      <w:r>
        <w:t xml:space="preserve">concerns the outsourcing of all, or part, of an accounts department</w:t>
      </w:r>
      <w:r>
        <w:t xml:space="preserve">”</w:t>
      </w:r>
      <w:r>
        <w:t xml:space="preserve">. It also covers buying</w:t>
      </w:r>
      <w:r>
        <w:t xml:space="preserve"> </w:t>
      </w:r>
      <w:r>
        <w:t xml:space="preserve">“</w:t>
      </w:r>
      <w:r>
        <w:t xml:space="preserve">the type of services which would have been undertaken by an accounts department</w:t>
      </w:r>
      <w:r>
        <w:t xml:space="preserve">”</w:t>
      </w:r>
      <w:r>
        <w:t xml:space="preserve">. The exclusions are functions that</w:t>
      </w:r>
      <w:r>
        <w:t xml:space="preserve"> </w:t>
      </w:r>
      <w:r>
        <w:t xml:space="preserve">“</w:t>
      </w:r>
      <w:r>
        <w:t xml:space="preserve">either had to be procured from external accountants or have since evolved as services supplied by external accountants</w:t>
      </w:r>
      <w:r>
        <w:t xml:space="preserve">”</w:t>
      </w:r>
      <w:r>
        <w:t xml:space="preserve">. External audit fees are out because</w:t>
      </w:r>
      <w:r>
        <w:t xml:space="preserve"> </w:t>
      </w:r>
      <w:r>
        <w:t xml:space="preserve">“</w:t>
      </w:r>
      <w:r>
        <w:t xml:space="preserve">by their very nature, they would never have been performed in-house so could not be contracted out</w:t>
      </w:r>
      <w:r>
        <w:t xml:space="preserve">”</w:t>
      </w:r>
      <w:r>
        <w:t xml:space="preserve">. The heading was reworded in 2020 to exclude external audits and tax-advantage arrangements explicitly. HMRC says these</w:t>
      </w:r>
      <w:r>
        <w:t xml:space="preserve"> </w:t>
      </w:r>
      <w:r>
        <w:t xml:space="preserve">“</w:t>
      </w:r>
      <w:r>
        <w:t xml:space="preserve">have always been excluded from this heading but were not previously made clear</w:t>
      </w:r>
      <w:r>
        <w:t xml:space="preserve">”</w:t>
      </w:r>
      <w:r>
        <w:t xml:space="preserve"> </w:t>
      </w:r>
      <w:r>
        <w:t xml:space="preserve">(</w:t>
      </w:r>
      <w:hyperlink w:anchor="ref-hmrc_vatgpb">
        <w:r>
          <w:rPr>
            <w:rStyle w:val="Hyperlink"/>
          </w:rPr>
          <w:t xml:space="preserve">HMRC, 2026n, sec. VATGPB9750</w:t>
        </w:r>
      </w:hyperlink>
      <w:r>
        <w:t xml:space="preserve">)</w:t>
      </w:r>
      <w:r>
        <w:t xml:space="preserve">.</w:t>
      </w:r>
    </w:p>
    <w:p>
      <w:pPr>
        <w:pStyle w:val="BodyText"/>
      </w:pPr>
      <w:r>
        <w:t xml:space="preserve">HMRC adds that internal audit reports</w:t>
      </w:r>
      <w:r>
        <w:t xml:space="preserve"> </w:t>
      </w:r>
      <w:r>
        <w:t xml:space="preserve">“</w:t>
      </w:r>
      <w:r>
        <w:t xml:space="preserve">deal with efficiency and any VAT incurred can be recovered under heading 52</w:t>
      </w:r>
      <w:r>
        <w:t xml:space="preserve">”</w:t>
      </w:r>
      <w:r>
        <w:t xml:space="preserve">. They do not come under this heading</w:t>
      </w:r>
      <w:r>
        <w:t xml:space="preserve"> </w:t>
      </w:r>
      <w:r>
        <w:t xml:space="preserve">(</w:t>
      </w:r>
      <w:hyperlink w:anchor="ref-hmrc_vatgpb">
        <w:r>
          <w:rPr>
            <w:rStyle w:val="Hyperlink"/>
          </w:rPr>
          <w:t xml:space="preserve">HMRC, 2026n, sec. VATGPB9750</w:t>
        </w:r>
      </w:hyperlink>
      <w:r>
        <w:t xml:space="preserve">)</w:t>
      </w:r>
      <w:r>
        <w:t xml:space="preserve">.</w:t>
      </w:r>
    </w:p>
    <w:p>
      <w:pPr>
        <w:pStyle w:val="BodyText"/>
      </w:pPr>
      <w:r>
        <w:rPr>
          <w:b/>
          <w:bCs/>
        </w:rPr>
        <w:t xml:space="preserve">Includes:</w:t>
      </w:r>
    </w:p>
    <w:p>
      <w:pPr>
        <w:pStyle w:val="Compact"/>
        <w:numPr>
          <w:ilvl w:val="0"/>
          <w:numId w:val="1398"/>
        </w:numPr>
      </w:pPr>
      <w:r>
        <w:t xml:space="preserve">“</w:t>
      </w:r>
      <w:r>
        <w:t xml:space="preserve">Accountancy services which include general record keeping, invoicing and preparation of tax returns and other related supplies</w:t>
      </w:r>
      <w:r>
        <w:t xml:space="preserve">”</w:t>
      </w:r>
    </w:p>
    <w:p>
      <w:pPr>
        <w:pStyle w:val="Compact"/>
        <w:numPr>
          <w:ilvl w:val="0"/>
          <w:numId w:val="1398"/>
        </w:numPr>
      </w:pPr>
      <w:r>
        <w:t xml:space="preserve">“</w:t>
      </w:r>
      <w:r>
        <w:t xml:space="preserve">Preparation of financial accounts and/or statements and accountancy advice</w:t>
      </w:r>
      <w:r>
        <w:t xml:space="preserve">”</w:t>
      </w:r>
    </w:p>
    <w:p>
      <w:pPr>
        <w:pStyle w:val="FirstParagraph"/>
      </w:pPr>
      <w:r>
        <w:rPr>
          <w:b/>
          <w:bCs/>
        </w:rPr>
        <w:t xml:space="preserve">Excludes:</w:t>
      </w:r>
    </w:p>
    <w:p>
      <w:pPr>
        <w:pStyle w:val="Compact"/>
        <w:numPr>
          <w:ilvl w:val="0"/>
          <w:numId w:val="1399"/>
        </w:numPr>
      </w:pPr>
      <w:r>
        <w:t xml:space="preserve">“</w:t>
      </w:r>
      <w:r>
        <w:t xml:space="preserve">External Audit fees</w:t>
      </w:r>
      <w:r>
        <w:t xml:space="preserve">”</w:t>
      </w:r>
    </w:p>
    <w:p>
      <w:pPr>
        <w:pStyle w:val="Compact"/>
        <w:numPr>
          <w:ilvl w:val="0"/>
          <w:numId w:val="1399"/>
        </w:numPr>
      </w:pPr>
      <w:r>
        <w:t xml:space="preserve">“</w:t>
      </w:r>
      <w:r>
        <w:t xml:space="preserve">Tax planning advice</w:t>
      </w:r>
      <w:r>
        <w:t xml:space="preserve">”</w:t>
      </w:r>
      <w:r>
        <w:t xml:space="preserve">. HMRC points to VATGPB9450, which sends departments to HM Treasury’s view on tax advisers and tax avoidance in section 4.2.4 of</w:t>
      </w:r>
      <w:r>
        <w:t xml:space="preserve"> </w:t>
      </w:r>
      <w:r>
        <w:rPr>
          <w:i/>
          <w:iCs/>
        </w:rPr>
        <w:t xml:space="preserve">Managing Public Money</w:t>
      </w:r>
      <w:r>
        <w:t xml:space="preserve"> </w:t>
      </w:r>
      <w:r>
        <w:t xml:space="preserve">(</w:t>
      </w:r>
      <w:hyperlink w:anchor="ref-hmrc_vatgpb">
        <w:r>
          <w:rPr>
            <w:rStyle w:val="Hyperlink"/>
          </w:rPr>
          <w:t xml:space="preserve">HMRC, 2026n, sec. VATGPB9450</w:t>
        </w:r>
      </w:hyperlink>
      <w:r>
        <w:t xml:space="preserve">)</w:t>
      </w:r>
      <w:r>
        <w:t xml:space="preserve">. In the current (April 2026) edition of</w:t>
      </w:r>
      <w:r>
        <w:t xml:space="preserve"> </w:t>
      </w:r>
      <w:r>
        <w:rPr>
          <w:i/>
          <w:iCs/>
        </w:rPr>
        <w:t xml:space="preserve">Managing Public Money</w:t>
      </w:r>
      <w:r>
        <w:t xml:space="preserve">, that guidance is in section 5.6</w:t>
      </w:r>
      <w:r>
        <w:t xml:space="preserve"> </w:t>
      </w:r>
      <w:r>
        <w:t xml:space="preserve">(</w:t>
      </w:r>
      <w:hyperlink w:anchor="ref-hmt_mpm">
        <w:r>
          <w:rPr>
            <w:rStyle w:val="Hyperlink"/>
          </w:rPr>
          <w:t xml:space="preserve">HM Treasury, 2026, sec. 5.6</w:t>
        </w:r>
      </w:hyperlink>
      <w:r>
        <w:t xml:space="preserve">)</w:t>
      </w:r>
      <w:r>
        <w:t xml:space="preserve">. HMRC says it applies in England and Wales. The devolved administrations in Scotland and Northern Ireland use their own equivalent manuals</w:t>
      </w:r>
      <w:r>
        <w:t xml:space="preserve"> </w:t>
      </w:r>
      <w:r>
        <w:t xml:space="preserve">(</w:t>
      </w:r>
      <w:hyperlink w:anchor="ref-hmrc_vatgpb">
        <w:r>
          <w:rPr>
            <w:rStyle w:val="Hyperlink"/>
          </w:rPr>
          <w:t xml:space="preserve">HMRC, 2026n, sec. VATGPB9450</w:t>
        </w:r>
      </w:hyperlink>
      <w:r>
        <w:t xml:space="preserve">)</w:t>
      </w:r>
      <w:r>
        <w:t xml:space="preserve">.</w:t>
      </w:r>
    </w:p>
    <w:p>
      <w:pPr>
        <w:pStyle w:val="FirstParagraph"/>
      </w:pPr>
      <w:r>
        <w:rPr>
          <w:b/>
          <w:bCs/>
        </w:rPr>
        <w:t xml:space="preserve">Examples for the Department:</w:t>
      </w:r>
    </w:p>
    <w:p>
      <w:pPr>
        <w:pStyle w:val="Compact"/>
        <w:numPr>
          <w:ilvl w:val="0"/>
          <w:numId w:val="1400"/>
        </w:numPr>
      </w:pPr>
      <w:r>
        <w:rPr>
          <w:b/>
          <w:bCs/>
        </w:rPr>
        <w:t xml:space="preserve">Claimable:</w:t>
      </w:r>
      <w:r>
        <w:t xml:space="preserve"> </w:t>
      </w:r>
      <w:r>
        <w:t xml:space="preserve">A contractor runs the Department’s purchase ledger. It processes supplier invoices from training providers, travel agencies and IT suppliers and keeps the records. This is</w:t>
      </w:r>
      <w:r>
        <w:t xml:space="preserve"> </w:t>
      </w:r>
      <w:r>
        <w:t xml:space="preserve">“</w:t>
      </w:r>
      <w:r>
        <w:t xml:space="preserve">general record keeping, invoicing</w:t>
      </w:r>
      <w:r>
        <w:t xml:space="preserve">”</w:t>
      </w:r>
      <w:r>
        <w:t xml:space="preserve">, which is work an in-house accounts team would do. If the service also supports business activities, such as sales to overseas customers, apportion the VAT: claim the non-business share under COS and put the business share through the normal input tax rules</w:t>
      </w:r>
      <w:r>
        <w:t xml:space="preserve"> </w:t>
      </w:r>
      <w:r>
        <w:t xml:space="preserve">(</w:t>
      </w:r>
      <w:hyperlink w:anchor="ref-hmrc_gdpef">
        <w:r>
          <w:rPr>
            <w:rStyle w:val="Hyperlink"/>
          </w:rPr>
          <w:t xml:space="preserve">HMRC, 2023c</w:t>
        </w:r>
      </w:hyperlink>
      <w:r>
        <w:t xml:space="preserve">)</w:t>
      </w:r>
      <w:r>
        <w:t xml:space="preserve"> </w:t>
      </w:r>
      <w:r>
        <w:t xml:space="preserve">(see</w:t>
      </w:r>
      <w:r>
        <w:t xml:space="preserve"> </w:t>
      </w:r>
      <w:hyperlink w:anchor="how-to-read-each-entry">
        <w:r>
          <w:rPr>
            <w:rStyle w:val="Hyperlink"/>
          </w:rPr>
          <w:t xml:space="preserve">How to read each entry</w:t>
        </w:r>
      </w:hyperlink>
      <w:r>
        <w:t xml:space="preserve">).</w:t>
      </w:r>
    </w:p>
    <w:p>
      <w:pPr>
        <w:pStyle w:val="Compact"/>
        <w:numPr>
          <w:ilvl w:val="0"/>
          <w:numId w:val="1400"/>
        </w:numPr>
      </w:pPr>
      <w:r>
        <w:rPr>
          <w:b/>
          <w:bCs/>
        </w:rPr>
        <w:t xml:space="preserve">Claimable:</w:t>
      </w:r>
      <w:r>
        <w:t xml:space="preserve"> </w:t>
      </w:r>
      <w:r>
        <w:t xml:space="preserve">An accountancy firm prepares the Department’s year-end financial statements. This is listed as</w:t>
      </w:r>
      <w:r>
        <w:t xml:space="preserve"> </w:t>
      </w:r>
      <w:r>
        <w:t xml:space="preserve">“</w:t>
      </w:r>
      <w:r>
        <w:t xml:space="preserve">Preparation of financial accounts and/or statements</w:t>
      </w:r>
      <w:r>
        <w:t xml:space="preserve">”</w:t>
      </w:r>
      <w:r>
        <w:t xml:space="preserve">.</w:t>
      </w:r>
    </w:p>
    <w:p>
      <w:pPr>
        <w:pStyle w:val="Compact"/>
        <w:numPr>
          <w:ilvl w:val="0"/>
          <w:numId w:val="1400"/>
        </w:numPr>
      </w:pPr>
      <w:r>
        <w:rPr>
          <w:b/>
          <w:bCs/>
        </w:rPr>
        <w:t xml:space="preserve">Not claimable:</w:t>
      </w:r>
      <w:r>
        <w:t xml:space="preserve"> </w:t>
      </w:r>
      <w:r>
        <w:t xml:space="preserve">A UK audit firm charges a fee to audit the accounts of a joint international project run with an overseas government.</w:t>
      </w:r>
      <w:r>
        <w:t xml:space="preserve"> </w:t>
      </w:r>
      <w:r>
        <w:t xml:space="preserve">“</w:t>
      </w:r>
      <w:r>
        <w:t xml:space="preserve">External Audit fees</w:t>
      </w:r>
      <w:r>
        <w:t xml:space="preserve">”</w:t>
      </w:r>
      <w:r>
        <w:t xml:space="preserve"> </w:t>
      </w:r>
      <w:r>
        <w:t xml:space="preserve">are excluded, whatever the audit is for.</w:t>
      </w:r>
    </w:p>
    <w:p>
      <w:pPr>
        <w:pStyle w:val="Compact"/>
        <w:numPr>
          <w:ilvl w:val="0"/>
          <w:numId w:val="1400"/>
        </w:numPr>
      </w:pPr>
      <w:r>
        <w:rPr>
          <w:b/>
          <w:bCs/>
        </w:rPr>
        <w:t xml:space="preserve">Not claimable:</w:t>
      </w:r>
      <w:r>
        <w:t xml:space="preserve"> </w:t>
      </w:r>
      <w:r>
        <w:t xml:space="preserve">An outsourced invoicing service is used only to bill overseas customers for surplus equipment, publications and data licences. Selling is a business activity, so any UK VAT goes through the normal input tax rules, not COS</w:t>
      </w:r>
      <w:r>
        <w:t xml:space="preserve"> </w:t>
      </w:r>
      <w:r>
        <w:t xml:space="preserve">(</w:t>
      </w:r>
      <w:hyperlink w:anchor="ref-hmrc_gdpef">
        <w:r>
          <w:rPr>
            <w:rStyle w:val="Hyperlink"/>
          </w:rPr>
          <w:t xml:space="preserve">HMRC, 2023c</w:t>
        </w:r>
      </w:hyperlink>
      <w:r>
        <w:t xml:space="preserve">)</w:t>
      </w:r>
      <w:r>
        <w:t xml:space="preserve"> </w:t>
      </w:r>
      <w:r>
        <w:t xml:space="preserve">(see</w:t>
      </w:r>
      <w:r>
        <w:t xml:space="preserve"> </w:t>
      </w:r>
      <w:hyperlink w:anchor="how-to-read-each-entry">
        <w:r>
          <w:rPr>
            <w:rStyle w:val="Hyperlink"/>
          </w:rPr>
          <w:t xml:space="preserve">How to read each entry</w:t>
        </w:r>
      </w:hyperlink>
      <w:r>
        <w:t xml:space="preserve">).</w:t>
      </w:r>
    </w:p>
    <w:p>
      <w:pPr>
        <w:pStyle w:val="FirstParagraph"/>
      </w:pPr>
      <w:r>
        <w:rPr>
          <w:b/>
          <w:bCs/>
        </w:rPr>
        <w:t xml:space="preserve">Source:</w:t>
      </w:r>
      <w:r>
        <w:t xml:space="preserve"> </w:t>
      </w:r>
      <w:r>
        <w:t xml:space="preserve">HMRC manual section VATGPB9750, page last updated 17 February 2021</w:t>
      </w:r>
      <w:r>
        <w:t xml:space="preserve"> </w:t>
      </w:r>
      <w:r>
        <w:t xml:space="preserve">(</w:t>
      </w:r>
      <w:hyperlink w:anchor="ref-hmrc_vatgpb">
        <w:r>
          <w:rPr>
            <w:rStyle w:val="Hyperlink"/>
          </w:rPr>
          <w:t xml:space="preserve">HMRC, 2026n, sec. VATGPB9750</w:t>
        </w:r>
      </w:hyperlink>
      <w:r>
        <w:t xml:space="preserve">)</w:t>
      </w:r>
      <w:r>
        <w:t xml:space="preserve">.</w:t>
      </w:r>
    </w:p>
    <w:bookmarkEnd w:id="258"/>
    <w:bookmarkStart w:id="259" w:name="Xd3939dd433e32c51130c6360563abfdd0cfdc5c"/>
    <w:p>
      <w:pPr>
        <w:pStyle w:val="Heading3"/>
      </w:pPr>
      <w:r>
        <w:t xml:space="preserve">Heading 2: Administration of certain programmes</w:t>
      </w:r>
    </w:p>
    <w:p>
      <w:pPr>
        <w:pStyle w:val="FirstParagraph"/>
      </w:pPr>
      <w:r>
        <w:rPr>
          <w:b/>
          <w:bCs/>
        </w:rPr>
        <w:t xml:space="preserve">What it covers (HMRC’s description):</w:t>
      </w:r>
      <w:r>
        <w:t xml:space="preserve"> </w:t>
      </w:r>
      <w:r>
        <w:t xml:space="preserve">The full heading reads:</w:t>
      </w:r>
      <w:r>
        <w:t xml:space="preserve"> </w:t>
      </w:r>
      <w:r>
        <w:t xml:space="preserve">“</w:t>
      </w:r>
      <w:r>
        <w:t xml:space="preserve">Administration of the following: Certificates of Experience, Government support to the Railway Industry Pension Funds, Grants and awards, Services supplied under the Companies Acts and the Patent and Trademarks Acts, Teachers’ Superannuation Scheme, Vehicle Excise Duty refunds, Winter fuel payment scheme, Inherited State Earnings Related Pension Scheme; and Student Loan Scheme</w:t>
      </w:r>
      <w:r>
        <w:t xml:space="preserve">”</w:t>
      </w:r>
      <w:r>
        <w:t xml:space="preserve"> </w:t>
      </w:r>
      <w:r>
        <w:t xml:space="preserve">(</w:t>
      </w:r>
      <w:hyperlink w:anchor="ref-hmrc_vatgpb">
        <w:r>
          <w:rPr>
            <w:rStyle w:val="Hyperlink"/>
          </w:rPr>
          <w:t xml:space="preserve">HMRC, 2026n, sec. VATGPB9770</w:t>
        </w:r>
      </w:hyperlink>
      <w:r>
        <w:t xml:space="preserve">)</w:t>
      </w:r>
      <w:r>
        <w:t xml:space="preserve">.</w:t>
      </w:r>
    </w:p>
    <w:p>
      <w:pPr>
        <w:pStyle w:val="BodyText"/>
      </w:pPr>
      <w:r>
        <w:t xml:space="preserve">HMRC says:</w:t>
      </w:r>
      <w:r>
        <w:t xml:space="preserve"> </w:t>
      </w:r>
      <w:r>
        <w:t xml:space="preserve">“</w:t>
      </w:r>
      <w:r>
        <w:t xml:space="preserve">This Heading can only be used to recover costs which relate to the named programmes. New programmes can only be added to the list by agreement with HM Treasury.</w:t>
      </w:r>
      <w:r>
        <w:t xml:space="preserve">”</w:t>
      </w:r>
      <w:r>
        <w:t xml:space="preserve"> </w:t>
      </w:r>
      <w:r>
        <w:t xml:space="preserve">For</w:t>
      </w:r>
      <w:r>
        <w:t xml:space="preserve"> </w:t>
      </w:r>
      <w:r>
        <w:t xml:space="preserve">“</w:t>
      </w:r>
      <w:r>
        <w:t xml:space="preserve">grants and awards</w:t>
      </w:r>
      <w:r>
        <w:t xml:space="preserve">”</w:t>
      </w:r>
      <w:r>
        <w:t xml:space="preserve">, HMRC says this</w:t>
      </w:r>
      <w:r>
        <w:t xml:space="preserve"> </w:t>
      </w:r>
      <w:r>
        <w:t xml:space="preserve">“</w:t>
      </w:r>
      <w:r>
        <w:t xml:space="preserve">relates to payments made to third parties for the administration of a departmental grant scheme</w:t>
      </w:r>
      <w:r>
        <w:t xml:space="preserve">”</w:t>
      </w:r>
      <w:r>
        <w:t xml:space="preserve"> </w:t>
      </w:r>
      <w:r>
        <w:t xml:space="preserve">(</w:t>
      </w:r>
      <w:hyperlink w:anchor="ref-hmrc_vatgpb">
        <w:r>
          <w:rPr>
            <w:rStyle w:val="Hyperlink"/>
          </w:rPr>
          <w:t xml:space="preserve">HMRC, 2026n, sec. VATGPB9770</w:t>
        </w:r>
      </w:hyperlink>
      <w:r>
        <w:t xml:space="preserve">)</w:t>
      </w:r>
      <w:r>
        <w:t xml:space="preserve">.</w:t>
      </w:r>
    </w:p>
    <w:p>
      <w:pPr>
        <w:pStyle w:val="BodyText"/>
      </w:pPr>
      <w:r>
        <w:t xml:space="preserve">Most of the named programmes belong to specific departments. For the Department, only</w:t>
      </w:r>
      <w:r>
        <w:t xml:space="preserve"> </w:t>
      </w:r>
      <w:r>
        <w:t xml:space="preserve">“</w:t>
      </w:r>
      <w:r>
        <w:t xml:space="preserve">Grants and awards</w:t>
      </w:r>
      <w:r>
        <w:t xml:space="preserve">”</w:t>
      </w:r>
      <w:r>
        <w:t xml:space="preserve"> </w:t>
      </w:r>
      <w:r>
        <w:t xml:space="preserve">is likely to be relevant.</w:t>
      </w:r>
    </w:p>
    <w:p>
      <w:pPr>
        <w:pStyle w:val="BodyText"/>
      </w:pPr>
      <w:r>
        <w:rPr>
          <w:b/>
          <w:bCs/>
        </w:rPr>
        <w:t xml:space="preserve">Examples for the Department:</w:t>
      </w:r>
    </w:p>
    <w:p>
      <w:pPr>
        <w:pStyle w:val="Compact"/>
        <w:numPr>
          <w:ilvl w:val="0"/>
          <w:numId w:val="1401"/>
        </w:numPr>
      </w:pPr>
      <w:r>
        <w:rPr>
          <w:b/>
          <w:bCs/>
        </w:rPr>
        <w:t xml:space="preserve">Claimable:</w:t>
      </w:r>
      <w:r>
        <w:t xml:space="preserve"> </w:t>
      </w:r>
      <w:r>
        <w:t xml:space="preserve">A contractor charges the Department a fee to run its grant scheme. The scheme funds UK partner organisations that deliver capability-building work with overseas governments, and the contractor assesses applications, pays grants and monitors them.</w:t>
      </w:r>
      <w:r>
        <w:t xml:space="preserve"> </w:t>
      </w:r>
      <w:r>
        <w:t xml:space="preserve">“</w:t>
      </w:r>
      <w:r>
        <w:t xml:space="preserve">Grants and awards</w:t>
      </w:r>
      <w:r>
        <w:t xml:space="preserve">”</w:t>
      </w:r>
      <w:r>
        <w:t xml:space="preserve"> </w:t>
      </w:r>
      <w:r>
        <w:t xml:space="preserve">is a named programme, and this is a payment to a third party</w:t>
      </w:r>
      <w:r>
        <w:t xml:space="preserve"> </w:t>
      </w:r>
      <w:r>
        <w:t xml:space="preserve">“</w:t>
      </w:r>
      <w:r>
        <w:t xml:space="preserve">for the administration of a departmental grant scheme</w:t>
      </w:r>
      <w:r>
        <w:t xml:space="preserve">”</w:t>
      </w:r>
      <w:r>
        <w:t xml:space="preserve">.</w:t>
      </w:r>
    </w:p>
    <w:p>
      <w:pPr>
        <w:pStyle w:val="Compact"/>
        <w:numPr>
          <w:ilvl w:val="0"/>
          <w:numId w:val="1401"/>
        </w:numPr>
      </w:pPr>
      <w:r>
        <w:rPr>
          <w:b/>
          <w:bCs/>
        </w:rPr>
        <w:t xml:space="preserve">Not claimable:</w:t>
      </w:r>
      <w:r>
        <w:t xml:space="preserve"> </w:t>
      </w:r>
      <w:r>
        <w:t xml:space="preserve">The grant payments themselves. A grant given freely is not payment for a supply, so no VAT is charged on it and there is nothing to reclaim</w:t>
      </w:r>
      <w:r>
        <w:t xml:space="preserve"> </w:t>
      </w:r>
      <w:r>
        <w:t xml:space="preserve">(</w:t>
      </w:r>
      <w:hyperlink w:anchor="ref-hmrc_n700">
        <w:r>
          <w:rPr>
            <w:rStyle w:val="Hyperlink"/>
          </w:rPr>
          <w:t xml:space="preserve">HMRC, 2026o, para. 4.6.5</w:t>
        </w:r>
      </w:hyperlink>
      <w:r>
        <w:t xml:space="preserve">)</w:t>
      </w:r>
      <w:r>
        <w:t xml:space="preserve">.</w:t>
      </w:r>
    </w:p>
    <w:p>
      <w:pPr>
        <w:pStyle w:val="Compact"/>
        <w:numPr>
          <w:ilvl w:val="0"/>
          <w:numId w:val="1401"/>
        </w:numPr>
      </w:pPr>
      <w:r>
        <w:rPr>
          <w:b/>
          <w:bCs/>
        </w:rPr>
        <w:t xml:space="preserve">Not claimable:</w:t>
      </w:r>
      <w:r>
        <w:t xml:space="preserve"> </w:t>
      </w:r>
      <w:r>
        <w:t xml:space="preserve">A provider charges a fee to administer the Department’s scheme of allowances for staff posted overseas. This is not a named programme, and</w:t>
      </w:r>
      <w:r>
        <w:t xml:space="preserve"> </w:t>
      </w:r>
      <w:r>
        <w:t xml:space="preserve">“</w:t>
      </w:r>
      <w:r>
        <w:t xml:space="preserve">New programmes can only be added to the list by agreement with HM Treasury.</w:t>
      </w:r>
      <w:r>
        <w:t xml:space="preserve">”</w:t>
      </w:r>
      <w:r>
        <w:t xml:space="preserve"> </w:t>
      </w:r>
      <w:r>
        <w:t xml:space="preserve">If the provider is running payroll, check it against Heading 17</w:t>
      </w:r>
      <w:r>
        <w:t xml:space="preserve"> </w:t>
      </w:r>
      <w:r>
        <w:t xml:space="preserve">(</w:t>
      </w:r>
      <w:hyperlink w:anchor="ref-hmrc_vatgpb">
        <w:r>
          <w:rPr>
            <w:rStyle w:val="Hyperlink"/>
          </w:rPr>
          <w:t xml:space="preserve">HMRC, 2026n, sec. VATGPB10070</w:t>
        </w:r>
      </w:hyperlink>
      <w:r>
        <w:t xml:space="preserve">)</w:t>
      </w:r>
      <w:r>
        <w:t xml:space="preserve">.</w:t>
      </w:r>
    </w:p>
    <w:p>
      <w:pPr>
        <w:pStyle w:val="FirstParagraph"/>
      </w:pPr>
      <w:r>
        <w:rPr>
          <w:b/>
          <w:bCs/>
        </w:rPr>
        <w:t xml:space="preserve">Source:</w:t>
      </w:r>
      <w:r>
        <w:t xml:space="preserve"> </w:t>
      </w:r>
      <w:r>
        <w:t xml:space="preserve">HMRC manual section VATGPB9770, page last updated 21 May 2021</w:t>
      </w:r>
      <w:r>
        <w:t xml:space="preserve"> </w:t>
      </w:r>
      <w:r>
        <w:t xml:space="preserve">(</w:t>
      </w:r>
      <w:hyperlink w:anchor="ref-hmrc_vatgpb">
        <w:r>
          <w:rPr>
            <w:rStyle w:val="Hyperlink"/>
          </w:rPr>
          <w:t xml:space="preserve">HMRC, 2026n, sec. VATGPB9770</w:t>
        </w:r>
      </w:hyperlink>
      <w:r>
        <w:t xml:space="preserve">)</w:t>
      </w:r>
      <w:r>
        <w:t xml:space="preserve">.</w:t>
      </w:r>
    </w:p>
    <w:bookmarkEnd w:id="259"/>
    <w:bookmarkStart w:id="260" w:name="X7d06cd7b31c383abbeea5996c9dc704d1b15c90"/>
    <w:p>
      <w:pPr>
        <w:pStyle w:val="Heading3"/>
      </w:pPr>
      <w:r>
        <w:t xml:space="preserve">Heading 3: Administration and collection of toll charges</w:t>
      </w:r>
    </w:p>
    <w:p>
      <w:pPr>
        <w:pStyle w:val="FirstParagraph"/>
      </w:pPr>
      <w:r>
        <w:rPr>
          <w:b/>
          <w:bCs/>
        </w:rPr>
        <w:t xml:space="preserve">What it covers (HMRC’s description):</w:t>
      </w:r>
      <w:r>
        <w:t xml:space="preserve"> </w:t>
      </w:r>
      <w:r>
        <w:t xml:space="preserve">“</w:t>
      </w:r>
      <w:r>
        <w:t xml:space="preserve">This Heading covers the use of a private sector supplier to manage a public sector tolled road or bridge.</w:t>
      </w:r>
      <w:r>
        <w:t xml:space="preserve">”</w:t>
      </w:r>
      <w:r>
        <w:t xml:space="preserve"> </w:t>
      </w:r>
      <w:r>
        <w:t xml:space="preserve">HMRC’s manual gives no further detail</w:t>
      </w:r>
      <w:r>
        <w:t xml:space="preserve"> </w:t>
      </w:r>
      <w:r>
        <w:t xml:space="preserve">(</w:t>
      </w:r>
      <w:hyperlink w:anchor="ref-hmrc_vatgpb">
        <w:r>
          <w:rPr>
            <w:rStyle w:val="Hyperlink"/>
          </w:rPr>
          <w:t xml:space="preserve">HMRC, 2026n, sec. VATGPB9790</w:t>
        </w:r>
      </w:hyperlink>
      <w:r>
        <w:t xml:space="preserve">)</w:t>
      </w:r>
      <w:r>
        <w:t xml:space="preserve">.</w:t>
      </w:r>
    </w:p>
    <w:p>
      <w:pPr>
        <w:pStyle w:val="BodyText"/>
      </w:pPr>
      <w:r>
        <w:t xml:space="preserve">This heading is for bodies responsible for a public sector tolled road or bridge. It is unlikely to apply to the Department.</w:t>
      </w:r>
    </w:p>
    <w:p>
      <w:pPr>
        <w:pStyle w:val="BodyText"/>
      </w:pPr>
      <w:r>
        <w:rPr>
          <w:b/>
          <w:bCs/>
        </w:rPr>
        <w:t xml:space="preserve">Examples for the Department:</w:t>
      </w:r>
    </w:p>
    <w:p>
      <w:pPr>
        <w:pStyle w:val="Compact"/>
        <w:numPr>
          <w:ilvl w:val="0"/>
          <w:numId w:val="1402"/>
        </w:numPr>
      </w:pPr>
      <w:r>
        <w:rPr>
          <w:b/>
          <w:bCs/>
        </w:rPr>
        <w:t xml:space="preserve">Claimable (generic):</w:t>
      </w:r>
      <w:r>
        <w:t xml:space="preserve"> </w:t>
      </w:r>
      <w:r>
        <w:t xml:space="preserve">A public body responsible for a tolled bridge pays a private company to run the toll booths and collect the charges. This is</w:t>
      </w:r>
      <w:r>
        <w:t xml:space="preserve"> </w:t>
      </w:r>
      <w:r>
        <w:t xml:space="preserve">“</w:t>
      </w:r>
      <w:r>
        <w:t xml:space="preserve">a private sector supplier to manage a public sector tolled road or bridge</w:t>
      </w:r>
      <w:r>
        <w:t xml:space="preserve">”</w:t>
      </w:r>
      <w:r>
        <w:t xml:space="preserve">.</w:t>
      </w:r>
    </w:p>
    <w:p>
      <w:pPr>
        <w:pStyle w:val="Compact"/>
        <w:numPr>
          <w:ilvl w:val="0"/>
          <w:numId w:val="1402"/>
        </w:numPr>
      </w:pPr>
      <w:r>
        <w:rPr>
          <w:b/>
          <w:bCs/>
        </w:rPr>
        <w:t xml:space="preserve">Not claimable:</w:t>
      </w:r>
      <w:r>
        <w:t xml:space="preserve"> </w:t>
      </w:r>
      <w:r>
        <w:t xml:space="preserve">Tolls paid by Department staff driving on official business abroad. Paying a toll is not buying a toll-management service. Any VAT charged abroad is also</w:t>
      </w:r>
      <w:r>
        <w:t xml:space="preserve"> </w:t>
      </w:r>
      <w:r>
        <w:rPr>
          <w:b/>
          <w:bCs/>
        </w:rPr>
        <w:t xml:space="preserve">foreign VAT</w:t>
      </w:r>
      <w:r>
        <w:t xml:space="preserve">, meaning VAT charged under another country’s law. Section 41(3) only refunds UK VAT, so foreign VAT can never be claimed under COS (Value Added Tax Act 1994, ss. 1(1) and 41(3)).</w:t>
      </w:r>
    </w:p>
    <w:p>
      <w:pPr>
        <w:pStyle w:val="FirstParagraph"/>
      </w:pPr>
      <w:r>
        <w:rPr>
          <w:b/>
          <w:bCs/>
        </w:rPr>
        <w:t xml:space="preserve">Source:</w:t>
      </w:r>
      <w:r>
        <w:t xml:space="preserve"> </w:t>
      </w:r>
      <w:r>
        <w:t xml:space="preserve">HMRC manual section VATGPB9790, page last updated 7 January 2016</w:t>
      </w:r>
      <w:r>
        <w:t xml:space="preserve"> </w:t>
      </w:r>
      <w:r>
        <w:t xml:space="preserve">(</w:t>
      </w:r>
      <w:hyperlink w:anchor="ref-hmrc_vatgpb">
        <w:r>
          <w:rPr>
            <w:rStyle w:val="Hyperlink"/>
          </w:rPr>
          <w:t xml:space="preserve">HMRC, 2026n, sec. VATGPB9790</w:t>
        </w:r>
      </w:hyperlink>
      <w:r>
        <w:t xml:space="preserve">)</w:t>
      </w:r>
      <w:r>
        <w:t xml:space="preserve">.</w:t>
      </w:r>
    </w:p>
    <w:bookmarkEnd w:id="260"/>
    <w:bookmarkStart w:id="261" w:name="X6eadcb306f707c5281911a72af303940d1ea734"/>
    <w:p>
      <w:pPr>
        <w:pStyle w:val="Heading3"/>
      </w:pPr>
      <w:r>
        <w:t xml:space="preserve">Heading 4: Aerial photographic surveys and aerial surveillance</w:t>
      </w:r>
    </w:p>
    <w:p>
      <w:pPr>
        <w:pStyle w:val="FirstParagraph"/>
      </w:pPr>
      <w:r>
        <w:rPr>
          <w:b/>
          <w:bCs/>
        </w:rPr>
        <w:t xml:space="preserve">What it covers (HMRC’s description):</w:t>
      </w:r>
      <w:r>
        <w:t xml:space="preserve"> </w:t>
      </w:r>
      <w:r>
        <w:t xml:space="preserve">“</w:t>
      </w:r>
      <w:r>
        <w:t xml:space="preserve">This Heading covers aerial photographic surveys and aerial surveillance which includes satellite imagery or photographs.</w:t>
      </w:r>
      <w:r>
        <w:t xml:space="preserve">”</w:t>
      </w:r>
      <w:r>
        <w:t xml:space="preserve"> </w:t>
      </w:r>
      <w:r>
        <w:t xml:space="preserve">HMRC’s manual gives no further detail</w:t>
      </w:r>
      <w:r>
        <w:t xml:space="preserve"> </w:t>
      </w:r>
      <w:r>
        <w:t xml:space="preserve">(</w:t>
      </w:r>
      <w:hyperlink w:anchor="ref-hmrc_vatgpb">
        <w:r>
          <w:rPr>
            <w:rStyle w:val="Hyperlink"/>
          </w:rPr>
          <w:t xml:space="preserve">HMRC, 2026n, sec. VATGPB9810</w:t>
        </w:r>
      </w:hyperlink>
      <w:r>
        <w:t xml:space="preserve">)</w:t>
      </w:r>
      <w:r>
        <w:t xml:space="preserve">.</w:t>
      </w:r>
    </w:p>
    <w:p>
      <w:pPr>
        <w:pStyle w:val="BodyText"/>
      </w:pPr>
      <w:r>
        <w:rPr>
          <w:b/>
          <w:bCs/>
        </w:rPr>
        <w:t xml:space="preserve">Examples for the Department:</w:t>
      </w:r>
    </w:p>
    <w:p>
      <w:pPr>
        <w:pStyle w:val="Compact"/>
        <w:numPr>
          <w:ilvl w:val="0"/>
          <w:numId w:val="1403"/>
        </w:numPr>
      </w:pPr>
      <w:r>
        <w:rPr>
          <w:b/>
          <w:bCs/>
        </w:rPr>
        <w:t xml:space="preserve">Claimable:</w:t>
      </w:r>
      <w:r>
        <w:t xml:space="preserve"> </w:t>
      </w:r>
      <w:r>
        <w:t xml:space="preserve">The Department commissions satellite imagery from a UK supplier to plan a joint project with an overseas government, as part of its non-business work. The heading expressly</w:t>
      </w:r>
      <w:r>
        <w:t xml:space="preserve"> </w:t>
      </w:r>
      <w:r>
        <w:t xml:space="preserve">“</w:t>
      </w:r>
      <w:r>
        <w:t xml:space="preserve">includes satellite imagery or photographs</w:t>
      </w:r>
      <w:r>
        <w:t xml:space="preserve">”</w:t>
      </w:r>
      <w:r>
        <w:t xml:space="preserve">.</w:t>
      </w:r>
    </w:p>
    <w:p>
      <w:pPr>
        <w:pStyle w:val="Compact"/>
        <w:numPr>
          <w:ilvl w:val="0"/>
          <w:numId w:val="1403"/>
        </w:numPr>
      </w:pPr>
      <w:r>
        <w:rPr>
          <w:b/>
          <w:bCs/>
        </w:rPr>
        <w:t xml:space="preserve">Claimable:</w:t>
      </w:r>
      <w:r>
        <w:t xml:space="preserve"> </w:t>
      </w:r>
      <w:r>
        <w:t xml:space="preserve">A survey firm uses a drone to photograph the roofs and grounds of the Department’s UK estate. This is an</w:t>
      </w:r>
      <w:r>
        <w:t xml:space="preserve"> </w:t>
      </w:r>
      <w:r>
        <w:t xml:space="preserve">“</w:t>
      </w:r>
      <w:r>
        <w:t xml:space="preserve">aerial photographic survey</w:t>
      </w:r>
      <w:r>
        <w:t xml:space="preserve">”</w:t>
      </w:r>
      <w:r>
        <w:t xml:space="preserve">.</w:t>
      </w:r>
    </w:p>
    <w:p>
      <w:pPr>
        <w:pStyle w:val="Compact"/>
        <w:numPr>
          <w:ilvl w:val="0"/>
          <w:numId w:val="1403"/>
        </w:numPr>
      </w:pPr>
      <w:r>
        <w:rPr>
          <w:b/>
          <w:bCs/>
        </w:rPr>
        <w:t xml:space="preserve">Not claimable:</w:t>
      </w:r>
      <w:r>
        <w:t xml:space="preserve"> </w:t>
      </w:r>
      <w:r>
        <w:t xml:space="preserve">The Department buys a drone or camera for its own staff to use. These are goods, not a survey or surveillance service, and goods on their own are not covered by any heading except Heading 82</w:t>
      </w:r>
      <w:r>
        <w:t xml:space="preserve"> </w:t>
      </w:r>
      <w:r>
        <w:t xml:space="preserve">(</w:t>
      </w:r>
      <w:hyperlink w:anchor="ref-hmrc_vatgpb">
        <w:r>
          <w:rPr>
            <w:rStyle w:val="Hyperlink"/>
          </w:rPr>
          <w:t xml:space="preserve">HMRC, 2026n, sec. VATGPB11370</w:t>
        </w:r>
      </w:hyperlink>
      <w:r>
        <w:t xml:space="preserve">)</w:t>
      </w:r>
      <w:r>
        <w:t xml:space="preserve">.</w:t>
      </w:r>
    </w:p>
    <w:p>
      <w:pPr>
        <w:pStyle w:val="Compact"/>
        <w:numPr>
          <w:ilvl w:val="0"/>
          <w:numId w:val="1403"/>
        </w:numPr>
      </w:pPr>
      <w:r>
        <w:rPr>
          <w:b/>
          <w:bCs/>
        </w:rPr>
        <w:t xml:space="preserve">Not claimable:</w:t>
      </w:r>
      <w:r>
        <w:t xml:space="preserve"> </w:t>
      </w:r>
      <w:r>
        <w:t xml:space="preserve">Imagery bought so the Department can repackage it and sell it under data licences to overseas customers. This supports a business activity, so the normal input tax rules apply,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VATGPB9810, page last updated 7 January 2016</w:t>
      </w:r>
      <w:r>
        <w:t xml:space="preserve"> </w:t>
      </w:r>
      <w:r>
        <w:t xml:space="preserve">(</w:t>
      </w:r>
      <w:hyperlink w:anchor="ref-hmrc_vatgpb">
        <w:r>
          <w:rPr>
            <w:rStyle w:val="Hyperlink"/>
          </w:rPr>
          <w:t xml:space="preserve">HMRC, 2026n, sec. VATGPB9810</w:t>
        </w:r>
      </w:hyperlink>
      <w:r>
        <w:t xml:space="preserve">)</w:t>
      </w:r>
      <w:r>
        <w:t xml:space="preserve">.</w:t>
      </w:r>
    </w:p>
    <w:bookmarkEnd w:id="261"/>
    <w:bookmarkStart w:id="262" w:name="X1370c257cccac8d05424ae958ea7aaade0d2522"/>
    <w:p>
      <w:pPr>
        <w:pStyle w:val="Heading3"/>
      </w:pPr>
      <w:r>
        <w:t xml:space="preserve">Heading 5: Agricultural services of the kind normally carried out by the Department for Environment, Food and Rural Affairs</w:t>
      </w:r>
    </w:p>
    <w:p>
      <w:pPr>
        <w:pStyle w:val="FirstParagraph"/>
      </w:pPr>
      <w:r>
        <w:rPr>
          <w:b/>
          <w:bCs/>
        </w:rPr>
        <w:t xml:space="preserve">What it covers (HMRC’s description):</w:t>
      </w:r>
      <w:r>
        <w:t xml:space="preserve"> </w:t>
      </w:r>
      <w:r>
        <w:t xml:space="preserve">HMRC says the heading covers</w:t>
      </w:r>
      <w:r>
        <w:t xml:space="preserve"> </w:t>
      </w:r>
      <w:r>
        <w:t xml:space="preserve">“</w:t>
      </w:r>
      <w:r>
        <w:t xml:space="preserve">agricultural services of the kind normally carried out by the Department for Environment, Food and Rural Affairs (DEFRA) but which have been outsourced to a third party, and where DEFRA are being charged for those services</w:t>
      </w:r>
      <w:r>
        <w:t xml:space="preserve">”</w:t>
      </w:r>
      <w:r>
        <w:t xml:space="preserve">. It</w:t>
      </w:r>
      <w:r>
        <w:t xml:space="preserve"> </w:t>
      </w:r>
      <w:r>
        <w:t xml:space="preserve">“</w:t>
      </w:r>
      <w:r>
        <w:t xml:space="preserve">can be used by the departments of the devolved administrations which have assumed responsibility for such activities from DEFRA and are outsourcing in the same way.</w:t>
      </w:r>
      <w:r>
        <w:t xml:space="preserve">”</w:t>
      </w:r>
      <w:r>
        <w:t xml:space="preserve"> </w:t>
      </w:r>
      <w:r>
        <w:t xml:space="preserve">HMRC’s manual gives no further detail</w:t>
      </w:r>
      <w:r>
        <w:t xml:space="preserve"> </w:t>
      </w:r>
      <w:r>
        <w:t xml:space="preserve">(</w:t>
      </w:r>
      <w:hyperlink w:anchor="ref-hmrc_vatgpb">
        <w:r>
          <w:rPr>
            <w:rStyle w:val="Hyperlink"/>
          </w:rPr>
          <w:t xml:space="preserve">HMRC, 2026n, sec. VATGPB9830</w:t>
        </w:r>
      </w:hyperlink>
      <w:r>
        <w:t xml:space="preserve">)</w:t>
      </w:r>
      <w:r>
        <w:t xml:space="preserve">.</w:t>
      </w:r>
    </w:p>
    <w:p>
      <w:pPr>
        <w:pStyle w:val="BodyText"/>
      </w:pPr>
      <w:r>
        <w:t xml:space="preserve">Under paragraph 4 of the Direction this heading is restricted to DEFRA (and devolved administrations exercising DEFRA’s functions), so it does not apply to the Department</w:t>
      </w:r>
      <w:r>
        <w:t xml:space="preserve"> </w:t>
      </w:r>
      <w:r>
        <w:t xml:space="preserve">(</w:t>
      </w:r>
      <w:hyperlink w:anchor="ref-gazette_2020">
        <w:r>
          <w:rPr>
            <w:rStyle w:val="Hyperlink"/>
          </w:rPr>
          <w:t xml:space="preserve">HM Treasury, 2020b, para. 4</w:t>
        </w:r>
      </w:hyperlink>
      <w:r>
        <w:t xml:space="preserve">;</w:t>
      </w:r>
      <w:r>
        <w:t xml:space="preserve"> </w:t>
      </w:r>
      <w:hyperlink w:anchor="ref-hmrc_vatgpb">
        <w:r>
          <w:rPr>
            <w:rStyle w:val="Hyperlink"/>
          </w:rPr>
          <w:t xml:space="preserve">HMRC, 2026n, sec. VATGPB9830</w:t>
        </w:r>
      </w:hyperlink>
      <w:r>
        <w:t xml:space="preserve">)</w:t>
      </w:r>
      <w:r>
        <w:t xml:space="preserve">.</w:t>
      </w:r>
    </w:p>
    <w:p>
      <w:pPr>
        <w:pStyle w:val="BodyText"/>
      </w:pPr>
      <w:r>
        <w:rPr>
          <w:b/>
          <w:bCs/>
        </w:rPr>
        <w:t xml:space="preserve">Examples for the Department:</w:t>
      </w:r>
    </w:p>
    <w:p>
      <w:pPr>
        <w:pStyle w:val="Compact"/>
        <w:numPr>
          <w:ilvl w:val="0"/>
          <w:numId w:val="1404"/>
        </w:numPr>
      </w:pPr>
      <w:r>
        <w:rPr>
          <w:b/>
          <w:bCs/>
        </w:rPr>
        <w:t xml:space="preserve">Claimable (generic):</w:t>
      </w:r>
      <w:r>
        <w:t xml:space="preserve"> </w:t>
      </w:r>
      <w:r>
        <w:t xml:space="preserve">DEFRA, or a devolved administration that has taken over the function, pays a contractor for agricultural services that DEFRA would normally carry out itself.</w:t>
      </w:r>
    </w:p>
    <w:p>
      <w:pPr>
        <w:pStyle w:val="Compact"/>
        <w:numPr>
          <w:ilvl w:val="0"/>
          <w:numId w:val="1404"/>
        </w:numPr>
      </w:pPr>
      <w:r>
        <w:rPr>
          <w:b/>
          <w:bCs/>
        </w:rPr>
        <w:t xml:space="preserve">Not claimable:</w:t>
      </w:r>
      <w:r>
        <w:t xml:space="preserve"> </w:t>
      </w:r>
      <w:r>
        <w:t xml:space="preserve">The Department pays agricultural advisers as part of a capability-building programme for an overseas government’s farming ministry. HMRC frames the heading around services where</w:t>
      </w:r>
      <w:r>
        <w:t xml:space="preserve"> </w:t>
      </w:r>
      <w:r>
        <w:t xml:space="preserve">“</w:t>
      </w:r>
      <w:r>
        <w:t xml:space="preserve">DEFRA are being charged</w:t>
      </w:r>
      <w:r>
        <w:t xml:space="preserve">”</w:t>
      </w:r>
      <w:r>
        <w:t xml:space="preserve">, or a devolved administration in DEFRA’s place. The Department is neither, so it should not rely on this heading.</w:t>
      </w:r>
    </w:p>
    <w:p>
      <w:pPr>
        <w:pStyle w:val="FirstParagraph"/>
      </w:pPr>
      <w:r>
        <w:rPr>
          <w:b/>
          <w:bCs/>
        </w:rPr>
        <w:t xml:space="preserve">Source:</w:t>
      </w:r>
      <w:r>
        <w:t xml:space="preserve"> </w:t>
      </w:r>
      <w:r>
        <w:t xml:space="preserve">HMRC manual section VATGPB9830, page last updated 17 February 2021</w:t>
      </w:r>
      <w:r>
        <w:t xml:space="preserve"> </w:t>
      </w:r>
      <w:r>
        <w:t xml:space="preserve">(</w:t>
      </w:r>
      <w:hyperlink w:anchor="ref-hmrc_vatgpb">
        <w:r>
          <w:rPr>
            <w:rStyle w:val="Hyperlink"/>
          </w:rPr>
          <w:t xml:space="preserve">HMRC, 2026n, sec. VATGPB9830</w:t>
        </w:r>
      </w:hyperlink>
      <w:r>
        <w:t xml:space="preserve">)</w:t>
      </w:r>
      <w:r>
        <w:t xml:space="preserve">.</w:t>
      </w:r>
    </w:p>
    <w:bookmarkEnd w:id="262"/>
    <w:bookmarkStart w:id="263" w:name="X73ed2adf779e76d5b1f90649cd6d0ab6c451118"/>
    <w:p>
      <w:pPr>
        <w:pStyle w:val="Heading3"/>
      </w:pPr>
      <w:r>
        <w:t xml:space="preserve">Heading 6: Alteration, repair and maintenance of road schemes</w:t>
      </w:r>
    </w:p>
    <w:p>
      <w:pPr>
        <w:pStyle w:val="FirstParagraph"/>
      </w:pPr>
      <w:r>
        <w:rPr>
          <w:b/>
          <w:bCs/>
        </w:rPr>
        <w:t xml:space="preserve">What it covers (HMRC’s description):</w:t>
      </w:r>
      <w:r>
        <w:t xml:space="preserve"> </w:t>
      </w:r>
      <w:r>
        <w:t xml:space="preserve">The full heading reads:</w:t>
      </w:r>
      <w:r>
        <w:t xml:space="preserve"> </w:t>
      </w:r>
      <w:r>
        <w:t xml:space="preserve">“</w:t>
      </w:r>
      <w:r>
        <w:t xml:space="preserve">Alteration, repair and maintenance of road schemes, except a) any works carried out pursuant to an agreement made under section 278 of the Highways Act 1980, b) works involving construction on land not already used for road schemes, c) the installation, alteration, repair and maintenance of electronic road signs</w:t>
      </w:r>
      <w:r>
        <w:t xml:space="preserve">”</w:t>
      </w:r>
      <w:r>
        <w:t xml:space="preserve"> </w:t>
      </w:r>
      <w:r>
        <w:t xml:space="preserve">(</w:t>
      </w:r>
      <w:hyperlink w:anchor="ref-hmrc_vatgpb">
        <w:r>
          <w:rPr>
            <w:rStyle w:val="Hyperlink"/>
          </w:rPr>
          <w:t xml:space="preserve">HMRC, 2026n, sec. VATGPB9850</w:t>
        </w:r>
      </w:hyperlink>
      <w:r>
        <w:t xml:space="preserve">)</w:t>
      </w:r>
      <w:r>
        <w:t xml:space="preserve">.</w:t>
      </w:r>
    </w:p>
    <w:p>
      <w:pPr>
        <w:pStyle w:val="BodyText"/>
      </w:pPr>
      <w:r>
        <w:t xml:space="preserve">HMRC’s key point is that the heading</w:t>
      </w:r>
      <w:r>
        <w:t xml:space="preserve"> </w:t>
      </w:r>
      <w:r>
        <w:t xml:space="preserve">“</w:t>
      </w:r>
      <w:r>
        <w:t xml:space="preserve">only applies to existing road schemes, so there would be no recovery allowed on the construction of a new road</w:t>
      </w:r>
      <w:r>
        <w:t xml:space="preserve">”</w:t>
      </w:r>
      <w:r>
        <w:t xml:space="preserve">. Where a new stretch is added to an existing scheme, VAT can be recovered on changes to the existing road,</w:t>
      </w:r>
      <w:r>
        <w:t xml:space="preserve"> </w:t>
      </w:r>
      <w:r>
        <w:t xml:space="preserve">“</w:t>
      </w:r>
      <w:r>
        <w:t xml:space="preserve">for example to road markings, adjustments to the existing pavements and curbs</w:t>
      </w:r>
      <w:r>
        <w:t xml:space="preserve">”</w:t>
      </w:r>
      <w:r>
        <w:t xml:space="preserve"> </w:t>
      </w:r>
      <w:r>
        <w:t xml:space="preserve">(</w:t>
      </w:r>
      <w:hyperlink w:anchor="ref-hmrc_vatgpb">
        <w:r>
          <w:rPr>
            <w:rStyle w:val="Hyperlink"/>
          </w:rPr>
          <w:t xml:space="preserve">HMRC, 2026n, sec. VATGPB9850</w:t>
        </w:r>
      </w:hyperlink>
      <w:r>
        <w:t xml:space="preserve">)</w:t>
      </w:r>
      <w:r>
        <w:t xml:space="preserve">. Other points from the same HMRC page:</w:t>
      </w:r>
    </w:p>
    <w:p>
      <w:pPr>
        <w:pStyle w:val="Compact"/>
        <w:numPr>
          <w:ilvl w:val="0"/>
          <w:numId w:val="1405"/>
        </w:numPr>
      </w:pPr>
      <w:r>
        <w:rPr>
          <w:b/>
          <w:bCs/>
        </w:rPr>
        <w:t xml:space="preserve">Section 278 agreements:</w:t>
      </w:r>
      <w:r>
        <w:t xml:space="preserve"> </w:t>
      </w:r>
      <w:r>
        <w:t xml:space="preserve">a Highways Authority’s work under these agreements is non-business. The authority cannot claim a refund of the VAT under section 41(3) of the Value Added Tax Act 1994, so the contributions it receives include irrecoverable VAT. It cannot issue a VAT invoice to contributors, and contributors cannot recover the VAT element.</w:t>
      </w:r>
    </w:p>
    <w:p>
      <w:pPr>
        <w:pStyle w:val="Compact"/>
        <w:numPr>
          <w:ilvl w:val="0"/>
          <w:numId w:val="1405"/>
        </w:numPr>
      </w:pPr>
      <w:r>
        <w:rPr>
          <w:b/>
          <w:bCs/>
        </w:rPr>
        <w:t xml:space="preserve">Hybrid road schemes</w:t>
      </w:r>
      <w:r>
        <w:t xml:space="preserve"> </w:t>
      </w:r>
      <w:r>
        <w:t xml:space="preserve">(new construction combined with improvements to existing roads): the costs</w:t>
      </w:r>
      <w:r>
        <w:t xml:space="preserve"> </w:t>
      </w:r>
      <w:r>
        <w:t xml:space="preserve">“</w:t>
      </w:r>
      <w:r>
        <w:t xml:space="preserve">must be separately identified</w:t>
      </w:r>
      <w:r>
        <w:t xml:space="preserve">”</w:t>
      </w:r>
      <w:r>
        <w:t xml:space="preserve">. HMRC allows the costs to be apportioned</w:t>
      </w:r>
      <w:r>
        <w:t xml:space="preserve"> </w:t>
      </w:r>
      <w:r>
        <w:t xml:space="preserve">“</w:t>
      </w:r>
      <w:r>
        <w:t xml:space="preserve">based on the terms of the additional contract</w:t>
      </w:r>
      <w:r>
        <w:t xml:space="preserve">”</w:t>
      </w:r>
      <w:r>
        <w:t xml:space="preserve">.</w:t>
      </w:r>
    </w:p>
    <w:p>
      <w:pPr>
        <w:pStyle w:val="Compact"/>
        <w:numPr>
          <w:ilvl w:val="0"/>
          <w:numId w:val="1405"/>
        </w:numPr>
      </w:pPr>
      <w:r>
        <w:rPr>
          <w:b/>
          <w:bCs/>
        </w:rPr>
        <w:t xml:space="preserve">Smart motorways:</w:t>
      </w:r>
      <w:r>
        <w:t xml:space="preserve"> </w:t>
      </w:r>
      <w:r>
        <w:t xml:space="preserve">converting a motorway to a smart motorway, and then altering, repairing and maintaining it, are recoverable. This includes emergency exit-ways, gantries and signs on smart motorways, and IT infrastructure.</w:t>
      </w:r>
    </w:p>
    <w:p>
      <w:pPr>
        <w:pStyle w:val="Compact"/>
        <w:numPr>
          <w:ilvl w:val="0"/>
          <w:numId w:val="1405"/>
        </w:numPr>
      </w:pPr>
      <w:r>
        <w:rPr>
          <w:b/>
          <w:bCs/>
        </w:rPr>
        <w:t xml:space="preserve">Tunnels:</w:t>
      </w:r>
      <w:r>
        <w:t xml:space="preserve"> </w:t>
      </w:r>
      <w:r>
        <w:t xml:space="preserve">building new tunnels is not covered. Structural alterations or repairs to an existing road scheme caused by a tunnel are covered, and so are repairs to existing tunnels under a road scheme.</w:t>
      </w:r>
    </w:p>
    <w:p>
      <w:pPr>
        <w:pStyle w:val="Compact"/>
        <w:numPr>
          <w:ilvl w:val="0"/>
          <w:numId w:val="1405"/>
        </w:numPr>
      </w:pPr>
      <w:r>
        <w:rPr>
          <w:b/>
          <w:bCs/>
        </w:rPr>
        <w:t xml:space="preserve">Bridges:</w:t>
      </w:r>
      <w:r>
        <w:t xml:space="preserve"> </w:t>
      </w:r>
      <w:r>
        <w:t xml:space="preserve">new road bridges are not covered.</w:t>
      </w:r>
      <w:r>
        <w:t xml:space="preserve"> </w:t>
      </w:r>
      <w:r>
        <w:t xml:space="preserve">“</w:t>
      </w:r>
      <w:r>
        <w:t xml:space="preserve">Repairs to existing bridges are recoverable under heading 36.</w:t>
      </w:r>
      <w:r>
        <w:t xml:space="preserve">”</w:t>
      </w:r>
    </w:p>
    <w:p>
      <w:pPr>
        <w:pStyle w:val="Compact"/>
        <w:numPr>
          <w:ilvl w:val="0"/>
          <w:numId w:val="1405"/>
        </w:numPr>
      </w:pPr>
      <w:r>
        <w:rPr>
          <w:b/>
          <w:bCs/>
        </w:rPr>
        <w:t xml:space="preserve">Peripherals:</w:t>
      </w:r>
      <w:r>
        <w:t xml:space="preserve"> </w:t>
      </w:r>
      <w:r>
        <w:t xml:space="preserve">the heading covers</w:t>
      </w:r>
      <w:r>
        <w:t xml:space="preserve"> </w:t>
      </w:r>
      <w:r>
        <w:t xml:space="preserve">“</w:t>
      </w:r>
      <w:r>
        <w:t xml:space="preserve">paths, lighting, roundabouts, pedestrian crossings, refuges and noise barriers</w:t>
      </w:r>
      <w:r>
        <w:t xml:space="preserve">”</w:t>
      </w:r>
      <w:r>
        <w:t xml:space="preserve">, including new paths added to existing road schemes.</w:t>
      </w:r>
    </w:p>
    <w:p>
      <w:pPr>
        <w:pStyle w:val="FirstParagraph"/>
      </w:pPr>
      <w:r>
        <w:t xml:space="preserve">This heading is mainly relevant to highway authorities and road owners. It is unlikely to apply to the Department unless its estate includes roads.</w:t>
      </w:r>
    </w:p>
    <w:p>
      <w:pPr>
        <w:pStyle w:val="BodyText"/>
      </w:pPr>
      <w:r>
        <w:rPr>
          <w:b/>
          <w:bCs/>
        </w:rPr>
        <w:t xml:space="preserve">Includes:</w:t>
      </w:r>
    </w:p>
    <w:p>
      <w:pPr>
        <w:pStyle w:val="Compact"/>
        <w:numPr>
          <w:ilvl w:val="0"/>
          <w:numId w:val="1406"/>
        </w:numPr>
      </w:pPr>
      <w:r>
        <w:t xml:space="preserve">“</w:t>
      </w:r>
      <w:r>
        <w:t xml:space="preserve">Where a health body alters the layout of existing roads surrounding a hospital for example, in order to facilitate easier and/or safer access to the accident and emergency department. It would also extend to the repair and maintenance of such a road scheme</w:t>
      </w:r>
      <w:r>
        <w:t xml:space="preserve">”</w:t>
      </w:r>
    </w:p>
    <w:p>
      <w:pPr>
        <w:pStyle w:val="FirstParagraph"/>
      </w:pPr>
      <w:r>
        <w:rPr>
          <w:b/>
          <w:bCs/>
        </w:rPr>
        <w:t xml:space="preserve">Excludes:</w:t>
      </w:r>
    </w:p>
    <w:p>
      <w:pPr>
        <w:pStyle w:val="Compact"/>
        <w:numPr>
          <w:ilvl w:val="0"/>
          <w:numId w:val="1407"/>
        </w:numPr>
      </w:pPr>
      <w:r>
        <w:t xml:space="preserve">“</w:t>
      </w:r>
      <w:r>
        <w:t xml:space="preserve">Winter road clearing and gritting services</w:t>
      </w:r>
      <w:r>
        <w:t xml:space="preserve">”</w:t>
      </w:r>
    </w:p>
    <w:p>
      <w:pPr>
        <w:pStyle w:val="Compact"/>
        <w:numPr>
          <w:ilvl w:val="0"/>
          <w:numId w:val="1407"/>
        </w:numPr>
      </w:pPr>
      <w:r>
        <w:t xml:space="preserve">“</w:t>
      </w:r>
      <w:r>
        <w:t xml:space="preserve">Erecting and maintaining of traffic signs that do not fall within the designated area of the smart motorway</w:t>
      </w:r>
      <w:r>
        <w:t xml:space="preserve">”</w:t>
      </w:r>
    </w:p>
    <w:p>
      <w:pPr>
        <w:pStyle w:val="Compact"/>
        <w:numPr>
          <w:ilvl w:val="0"/>
          <w:numId w:val="1407"/>
        </w:numPr>
      </w:pPr>
      <w:r>
        <w:t xml:space="preserve">“</w:t>
      </w:r>
      <w:r>
        <w:t xml:space="preserve">The installation, alteration, repair and maintenance of electronic road signs</w:t>
      </w:r>
      <w:r>
        <w:t xml:space="preserve">”</w:t>
      </w:r>
    </w:p>
    <w:p>
      <w:pPr>
        <w:pStyle w:val="FirstParagraph"/>
      </w:pPr>
      <w:r>
        <w:rPr>
          <w:b/>
          <w:bCs/>
        </w:rPr>
        <w:t xml:space="preserve">Examples for the Department:</w:t>
      </w:r>
    </w:p>
    <w:p>
      <w:pPr>
        <w:pStyle w:val="Compact"/>
        <w:numPr>
          <w:ilvl w:val="0"/>
          <w:numId w:val="1408"/>
        </w:numPr>
      </w:pPr>
      <w:r>
        <w:rPr>
          <w:b/>
          <w:bCs/>
        </w:rPr>
        <w:t xml:space="preserve">Claimable (by analogy with HMRC’s hospital example):</w:t>
      </w:r>
      <w:r>
        <w:t xml:space="preserve"> </w:t>
      </w:r>
      <w:r>
        <w:t xml:space="preserve">The Department pays a contractor to alter the layout of the existing roads around its main UK site to make access safer, and later to maintain them. This is alteration and maintenance of an existing road scheme.</w:t>
      </w:r>
    </w:p>
    <w:p>
      <w:pPr>
        <w:pStyle w:val="Compact"/>
        <w:numPr>
          <w:ilvl w:val="0"/>
          <w:numId w:val="1408"/>
        </w:numPr>
      </w:pPr>
      <w:r>
        <w:rPr>
          <w:b/>
          <w:bCs/>
        </w:rPr>
        <w:t xml:space="preserve">Not claimable:</w:t>
      </w:r>
      <w:r>
        <w:t xml:space="preserve"> </w:t>
      </w:r>
      <w:r>
        <w:t xml:space="preserve">A contractor builds a new access road across a field to a new Department depot.</w:t>
      </w:r>
      <w:r>
        <w:t xml:space="preserve"> </w:t>
      </w:r>
      <w:r>
        <w:t xml:space="preserve">“</w:t>
      </w:r>
      <w:r>
        <w:t xml:space="preserve">Works involving construction on land not already used for road schemes</w:t>
      </w:r>
      <w:r>
        <w:t xml:space="preserve">”</w:t>
      </w:r>
      <w:r>
        <w:t xml:space="preserve"> </w:t>
      </w:r>
      <w:r>
        <w:t xml:space="preserve">are excluded.</w:t>
      </w:r>
    </w:p>
    <w:p>
      <w:pPr>
        <w:pStyle w:val="Compact"/>
        <w:numPr>
          <w:ilvl w:val="0"/>
          <w:numId w:val="1408"/>
        </w:numPr>
      </w:pPr>
      <w:r>
        <w:rPr>
          <w:b/>
          <w:bCs/>
        </w:rPr>
        <w:t xml:space="preserve">Not claimable:</w:t>
      </w:r>
      <w:r>
        <w:t xml:space="preserve"> </w:t>
      </w:r>
      <w:r>
        <w:t xml:space="preserve">An electronic sign is installed at the site entrance.</w:t>
      </w:r>
      <w:r>
        <w:t xml:space="preserve"> </w:t>
      </w:r>
      <w:r>
        <w:t xml:space="preserve">“</w:t>
      </w:r>
      <w:r>
        <w:t xml:space="preserve">The installation, alteration, repair and maintenance of electronic road signs</w:t>
      </w:r>
      <w:r>
        <w:t xml:space="preserve">”</w:t>
      </w:r>
      <w:r>
        <w:t xml:space="preserve"> </w:t>
      </w:r>
      <w:r>
        <w:t xml:space="preserve">is excluded.</w:t>
      </w:r>
    </w:p>
    <w:p>
      <w:pPr>
        <w:pStyle w:val="Compact"/>
        <w:numPr>
          <w:ilvl w:val="0"/>
          <w:numId w:val="1408"/>
        </w:numPr>
      </w:pPr>
      <w:r>
        <w:rPr>
          <w:b/>
          <w:bCs/>
        </w:rPr>
        <w:t xml:space="preserve">Not claimable:</w:t>
      </w:r>
      <w:r>
        <w:t xml:space="preserve"> </w:t>
      </w:r>
      <w:r>
        <w:t xml:space="preserve">A contractor grits the site roads in winter.</w:t>
      </w:r>
      <w:r>
        <w:t xml:space="preserve"> </w:t>
      </w:r>
      <w:r>
        <w:t xml:space="preserve">“</w:t>
      </w:r>
      <w:r>
        <w:t xml:space="preserve">Winter road clearing and gritting services</w:t>
      </w:r>
      <w:r>
        <w:t xml:space="preserve">”</w:t>
      </w:r>
      <w:r>
        <w:t xml:space="preserve"> </w:t>
      </w:r>
      <w:r>
        <w:t xml:space="preserve">are excluded.</w:t>
      </w:r>
    </w:p>
    <w:p>
      <w:pPr>
        <w:pStyle w:val="FirstParagraph"/>
      </w:pPr>
      <w:r>
        <w:rPr>
          <w:b/>
          <w:bCs/>
        </w:rPr>
        <w:t xml:space="preserve">Source:</w:t>
      </w:r>
      <w:r>
        <w:t xml:space="preserve"> </w:t>
      </w:r>
      <w:r>
        <w:t xml:space="preserve">HMRC manual section VATGPB9850, page last updated 20 May 2021</w:t>
      </w:r>
      <w:r>
        <w:t xml:space="preserve"> </w:t>
      </w:r>
      <w:r>
        <w:t xml:space="preserve">(</w:t>
      </w:r>
      <w:hyperlink w:anchor="ref-hmrc_vatgpb">
        <w:r>
          <w:rPr>
            <w:rStyle w:val="Hyperlink"/>
          </w:rPr>
          <w:t xml:space="preserve">HMRC, 2026n, sec. VATGPB9850</w:t>
        </w:r>
      </w:hyperlink>
      <w:r>
        <w:t xml:space="preserve">)</w:t>
      </w:r>
      <w:r>
        <w:t xml:space="preserve">.</w:t>
      </w:r>
    </w:p>
    <w:bookmarkEnd w:id="263"/>
    <w:bookmarkStart w:id="264" w:name="heading-7-broadcast-monitoring-services"/>
    <w:p>
      <w:pPr>
        <w:pStyle w:val="Heading3"/>
      </w:pPr>
      <w:r>
        <w:t xml:space="preserve">Heading 7: Broadcast monitoring services</w:t>
      </w:r>
    </w:p>
    <w:p>
      <w:pPr>
        <w:pStyle w:val="FirstParagraph"/>
      </w:pPr>
      <w:r>
        <w:rPr>
          <w:b/>
          <w:bCs/>
        </w:rPr>
        <w:t xml:space="preserve">What it covers (HMRC’s description):</w:t>
      </w:r>
      <w:r>
        <w:t xml:space="preserve"> </w:t>
      </w:r>
      <w:r>
        <w:t xml:space="preserve">“</w:t>
      </w:r>
      <w:r>
        <w:t xml:space="preserve">This Heading covers broadcast monitoring services.</w:t>
      </w:r>
      <w:r>
        <w:t xml:space="preserve">”</w:t>
      </w:r>
      <w:r>
        <w:t xml:space="preserve"> </w:t>
      </w:r>
      <w:r>
        <w:t xml:space="preserve">HMRC’s manual gives no further detail beyond the list below</w:t>
      </w:r>
      <w:r>
        <w:t xml:space="preserve"> </w:t>
      </w:r>
      <w:r>
        <w:t xml:space="preserve">(</w:t>
      </w:r>
      <w:hyperlink w:anchor="ref-hmrc_vatgpb">
        <w:r>
          <w:rPr>
            <w:rStyle w:val="Hyperlink"/>
          </w:rPr>
          <w:t xml:space="preserve">HMRC, 2026n, sec. VATGPB9870</w:t>
        </w:r>
      </w:hyperlink>
      <w:r>
        <w:t xml:space="preserve">)</w:t>
      </w:r>
      <w:r>
        <w:t xml:space="preserve">.</w:t>
      </w:r>
    </w:p>
    <w:p>
      <w:pPr>
        <w:pStyle w:val="BodyText"/>
      </w:pPr>
      <w:r>
        <w:rPr>
          <w:b/>
          <w:bCs/>
        </w:rPr>
        <w:t xml:space="preserve">Includes:</w:t>
      </w:r>
    </w:p>
    <w:p>
      <w:pPr>
        <w:pStyle w:val="Compact"/>
        <w:numPr>
          <w:ilvl w:val="0"/>
          <w:numId w:val="1409"/>
        </w:numPr>
      </w:pPr>
      <w:r>
        <w:t xml:space="preserve">“</w:t>
      </w:r>
      <w:r>
        <w:t xml:space="preserve">Recording news and TV programmes which are relevant to the work of a government department/health authority</w:t>
      </w:r>
      <w:r>
        <w:t xml:space="preserve">”</w:t>
      </w:r>
    </w:p>
    <w:p>
      <w:pPr>
        <w:pStyle w:val="Compact"/>
        <w:numPr>
          <w:ilvl w:val="0"/>
          <w:numId w:val="1409"/>
        </w:numPr>
      </w:pPr>
      <w:r>
        <w:t xml:space="preserve">“</w:t>
      </w:r>
      <w:r>
        <w:t xml:space="preserve">Recording radio programmes</w:t>
      </w:r>
      <w:r>
        <w:t xml:space="preserve">”</w:t>
      </w:r>
    </w:p>
    <w:p>
      <w:pPr>
        <w:pStyle w:val="Compact"/>
        <w:numPr>
          <w:ilvl w:val="0"/>
          <w:numId w:val="1409"/>
        </w:numPr>
      </w:pPr>
      <w:r>
        <w:t xml:space="preserve">“</w:t>
      </w:r>
      <w:r>
        <w:t xml:space="preserve">Providing a digest of a government department’s/health authority’s coverage in the broadcast media</w:t>
      </w:r>
      <w:r>
        <w:t xml:space="preserve">”</w:t>
      </w:r>
    </w:p>
    <w:p>
      <w:pPr>
        <w:pStyle w:val="Compact"/>
        <w:numPr>
          <w:ilvl w:val="0"/>
          <w:numId w:val="1409"/>
        </w:numPr>
      </w:pPr>
      <w:r>
        <w:t xml:space="preserve">“</w:t>
      </w:r>
      <w:r>
        <w:t xml:space="preserve">Social media monitoring, for example Facebook postings, Twitter feeds, etc</w:t>
      </w:r>
      <w:r>
        <w:t xml:space="preserve">”</w:t>
      </w:r>
    </w:p>
    <w:p>
      <w:pPr>
        <w:pStyle w:val="FirstParagraph"/>
      </w:pPr>
      <w:r>
        <w:rPr>
          <w:b/>
          <w:bCs/>
        </w:rPr>
        <w:t xml:space="preserve">Examples for the Department:</w:t>
      </w:r>
    </w:p>
    <w:p>
      <w:pPr>
        <w:pStyle w:val="Compact"/>
        <w:numPr>
          <w:ilvl w:val="0"/>
          <w:numId w:val="1410"/>
        </w:numPr>
      </w:pPr>
      <w:r>
        <w:rPr>
          <w:b/>
          <w:bCs/>
        </w:rPr>
        <w:t xml:space="preserve">Claimable:</w:t>
      </w:r>
      <w:r>
        <w:t xml:space="preserve"> </w:t>
      </w:r>
      <w:r>
        <w:t xml:space="preserve">A UK media-monitoring company records and summarises TV and radio coverage, in the UK and overseas, of the Department’s gift of equipment to an overseas government. It also tracks social media reaction. HMRC lists</w:t>
      </w:r>
      <w:r>
        <w:t xml:space="preserve"> </w:t>
      </w:r>
      <w:r>
        <w:t xml:space="preserve">“</w:t>
      </w:r>
      <w:r>
        <w:t xml:space="preserve">Providing a digest of a government department’s … coverage in the broadcast media</w:t>
      </w:r>
      <w:r>
        <w:t xml:space="preserve">”</w:t>
      </w:r>
      <w:r>
        <w:t xml:space="preserve"> </w:t>
      </w:r>
      <w:r>
        <w:t xml:space="preserve">and</w:t>
      </w:r>
      <w:r>
        <w:t xml:space="preserve"> </w:t>
      </w:r>
      <w:r>
        <w:t xml:space="preserve">“</w:t>
      </w:r>
      <w:r>
        <w:t xml:space="preserve">Social media monitoring</w:t>
      </w:r>
      <w:r>
        <w:t xml:space="preserve">”</w:t>
      </w:r>
      <w:r>
        <w:t xml:space="preserve">.</w:t>
      </w:r>
    </w:p>
    <w:p>
      <w:pPr>
        <w:pStyle w:val="Compact"/>
        <w:numPr>
          <w:ilvl w:val="0"/>
          <w:numId w:val="1410"/>
        </w:numPr>
      </w:pPr>
      <w:r>
        <w:rPr>
          <w:b/>
          <w:bCs/>
        </w:rPr>
        <w:t xml:space="preserve">Not claimable:</w:t>
      </w:r>
      <w:r>
        <w:t xml:space="preserve"> </w:t>
      </w:r>
      <w:r>
        <w:t xml:space="preserve">A newspaper press-cuttings service. Print cuttings are not broadcast monitoring. Look at Heading 51 (Press cutting services) instead</w:t>
      </w:r>
      <w:r>
        <w:t xml:space="preserve"> </w:t>
      </w:r>
      <w:r>
        <w:t xml:space="preserve">(</w:t>
      </w:r>
      <w:hyperlink w:anchor="ref-hmrc_vatgpb">
        <w:r>
          <w:rPr>
            <w:rStyle w:val="Hyperlink"/>
          </w:rPr>
          <w:t xml:space="preserve">HMRC, 2026n, sec. VATGPB10750</w:t>
        </w:r>
      </w:hyperlink>
      <w:r>
        <w:t xml:space="preserve">)</w:t>
      </w:r>
      <w:r>
        <w:t xml:space="preserve">.</w:t>
      </w:r>
    </w:p>
    <w:p>
      <w:pPr>
        <w:pStyle w:val="Compact"/>
        <w:numPr>
          <w:ilvl w:val="0"/>
          <w:numId w:val="1410"/>
        </w:numPr>
      </w:pPr>
      <w:r>
        <w:rPr>
          <w:b/>
          <w:bCs/>
        </w:rPr>
        <w:t xml:space="preserve">Not claimable:</w:t>
      </w:r>
      <w:r>
        <w:t xml:space="preserve"> </w:t>
      </w:r>
      <w:r>
        <w:t xml:space="preserve">Monitoring commissioned only to track how a campaign to sell the Department’s data licences abroad is landing with potential buyers. This supports a business activity, so the normal input tax rules apply,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VATGPB9870, page last updated 7 January 2016</w:t>
      </w:r>
      <w:r>
        <w:t xml:space="preserve"> </w:t>
      </w:r>
      <w:r>
        <w:t xml:space="preserve">(</w:t>
      </w:r>
      <w:hyperlink w:anchor="ref-hmrc_vatgpb">
        <w:r>
          <w:rPr>
            <w:rStyle w:val="Hyperlink"/>
          </w:rPr>
          <w:t xml:space="preserve">HMRC, 2026n, sec. VATGPB9870</w:t>
        </w:r>
      </w:hyperlink>
      <w:r>
        <w:t xml:space="preserve">)</w:t>
      </w:r>
      <w:r>
        <w:t xml:space="preserve">.</w:t>
      </w:r>
    </w:p>
    <w:bookmarkEnd w:id="264"/>
    <w:bookmarkStart w:id="265" w:name="heading-8-cartographic-services"/>
    <w:p>
      <w:pPr>
        <w:pStyle w:val="Heading3"/>
      </w:pPr>
      <w:r>
        <w:t xml:space="preserve">Heading 8: Cartographic services</w:t>
      </w:r>
    </w:p>
    <w:p>
      <w:pPr>
        <w:pStyle w:val="FirstParagraph"/>
      </w:pPr>
      <w:r>
        <w:rPr>
          <w:b/>
          <w:bCs/>
        </w:rPr>
        <w:t xml:space="preserve">What it covers (HMRC’s description):</w:t>
      </w:r>
      <w:r>
        <w:t xml:space="preserve"> </w:t>
      </w:r>
      <w:r>
        <w:t xml:space="preserve">“</w:t>
      </w:r>
      <w:r>
        <w:t xml:space="preserve">This Heading covers cartographic services.</w:t>
      </w:r>
      <w:r>
        <w:t xml:space="preserve">”</w:t>
      </w:r>
      <w:r>
        <w:t xml:space="preserve"> </w:t>
      </w:r>
      <w:r>
        <w:t xml:space="preserve">HMRC’s manual gives no further detail beyond the list below</w:t>
      </w:r>
      <w:r>
        <w:t xml:space="preserve"> </w:t>
      </w:r>
      <w:r>
        <w:t xml:space="preserve">(</w:t>
      </w:r>
      <w:hyperlink w:anchor="ref-hmrc_vatgpb">
        <w:r>
          <w:rPr>
            <w:rStyle w:val="Hyperlink"/>
          </w:rPr>
          <w:t xml:space="preserve">HMRC, 2026n, sec. VATGPB9890</w:t>
        </w:r>
      </w:hyperlink>
      <w:r>
        <w:t xml:space="preserve">)</w:t>
      </w:r>
      <w:r>
        <w:t xml:space="preserve">.</w:t>
      </w:r>
    </w:p>
    <w:p>
      <w:pPr>
        <w:pStyle w:val="BodyText"/>
      </w:pPr>
      <w:r>
        <w:rPr>
          <w:b/>
          <w:bCs/>
        </w:rPr>
        <w:t xml:space="preserve">Includes:</w:t>
      </w:r>
    </w:p>
    <w:p>
      <w:pPr>
        <w:pStyle w:val="Compact"/>
        <w:numPr>
          <w:ilvl w:val="0"/>
          <w:numId w:val="1411"/>
        </w:numPr>
      </w:pPr>
      <w:r>
        <w:t xml:space="preserve">“</w:t>
      </w:r>
      <w:r>
        <w:t xml:space="preserve">Mapping services</w:t>
      </w:r>
      <w:r>
        <w:t xml:space="preserve">”</w:t>
      </w:r>
    </w:p>
    <w:p>
      <w:pPr>
        <w:pStyle w:val="Compact"/>
        <w:numPr>
          <w:ilvl w:val="0"/>
          <w:numId w:val="1411"/>
        </w:numPr>
      </w:pPr>
      <w:r>
        <w:t xml:space="preserve">“</w:t>
      </w:r>
      <w:r>
        <w:t xml:space="preserve">Topographical surveys</w:t>
      </w:r>
      <w:r>
        <w:t xml:space="preserve">”</w:t>
      </w:r>
    </w:p>
    <w:p>
      <w:pPr>
        <w:pStyle w:val="Compact"/>
        <w:numPr>
          <w:ilvl w:val="0"/>
          <w:numId w:val="1411"/>
        </w:numPr>
      </w:pPr>
      <w:r>
        <w:t xml:space="preserve">“</w:t>
      </w:r>
      <w:r>
        <w:t xml:space="preserve">Preparation of bespoke maps</w:t>
      </w:r>
      <w:r>
        <w:t xml:space="preserve">”</w:t>
      </w:r>
    </w:p>
    <w:p>
      <w:pPr>
        <w:pStyle w:val="FirstParagraph"/>
      </w:pPr>
      <w:r>
        <w:rPr>
          <w:b/>
          <w:bCs/>
        </w:rPr>
        <w:t xml:space="preserve">Examples for the Department:</w:t>
      </w:r>
    </w:p>
    <w:p>
      <w:pPr>
        <w:pStyle w:val="Compact"/>
        <w:numPr>
          <w:ilvl w:val="0"/>
          <w:numId w:val="1412"/>
        </w:numPr>
      </w:pPr>
      <w:r>
        <w:rPr>
          <w:b/>
          <w:bCs/>
        </w:rPr>
        <w:t xml:space="preserve">Claimable:</w:t>
      </w:r>
      <w:r>
        <w:t xml:space="preserve"> </w:t>
      </w:r>
      <w:r>
        <w:t xml:space="preserve">A mapping firm produces bespoke maps of the sites in a joint international project with an overseas government. This is</w:t>
      </w:r>
      <w:r>
        <w:t xml:space="preserve"> </w:t>
      </w:r>
      <w:r>
        <w:t xml:space="preserve">“</w:t>
      </w:r>
      <w:r>
        <w:t xml:space="preserve">Preparation of bespoke maps</w:t>
      </w:r>
      <w:r>
        <w:t xml:space="preserve">”</w:t>
      </w:r>
      <w:r>
        <w:t xml:space="preserve">.</w:t>
      </w:r>
    </w:p>
    <w:p>
      <w:pPr>
        <w:pStyle w:val="Compact"/>
        <w:numPr>
          <w:ilvl w:val="0"/>
          <w:numId w:val="1412"/>
        </w:numPr>
      </w:pPr>
      <w:r>
        <w:rPr>
          <w:b/>
          <w:bCs/>
        </w:rPr>
        <w:t xml:space="preserve">Claimable:</w:t>
      </w:r>
      <w:r>
        <w:t xml:space="preserve"> </w:t>
      </w:r>
      <w:r>
        <w:t xml:space="preserve">A surveyor carries out a topographical survey of land at a UK site the Department plans to develop.</w:t>
      </w:r>
      <w:r>
        <w:t xml:space="preserve"> </w:t>
      </w:r>
      <w:r>
        <w:t xml:space="preserve">“</w:t>
      </w:r>
      <w:r>
        <w:t xml:space="preserve">Topographical surveys</w:t>
      </w:r>
      <w:r>
        <w:t xml:space="preserve">”</w:t>
      </w:r>
      <w:r>
        <w:t xml:space="preserve"> </w:t>
      </w:r>
      <w:r>
        <w:t xml:space="preserve">are listed.</w:t>
      </w:r>
    </w:p>
    <w:p>
      <w:pPr>
        <w:pStyle w:val="Compact"/>
        <w:numPr>
          <w:ilvl w:val="0"/>
          <w:numId w:val="1412"/>
        </w:numPr>
      </w:pPr>
      <w:r>
        <w:rPr>
          <w:b/>
          <w:bCs/>
        </w:rPr>
        <w:t xml:space="preserve">Not claimable:</w:t>
      </w:r>
      <w:r>
        <w:t xml:space="preserve"> </w:t>
      </w:r>
      <w:r>
        <w:t xml:space="preserve">Printed maps or atlases bought for staff travelling abroad. These are goods, not a cartographic service, and goods on their own are not covered by any heading except Heading 82</w:t>
      </w:r>
      <w:r>
        <w:t xml:space="preserve"> </w:t>
      </w:r>
      <w:r>
        <w:t xml:space="preserve">(</w:t>
      </w:r>
      <w:hyperlink w:anchor="ref-hmrc_vatgpb">
        <w:r>
          <w:rPr>
            <w:rStyle w:val="Hyperlink"/>
          </w:rPr>
          <w:t xml:space="preserve">HMRC, 2026n, sec. VATGPB11370</w:t>
        </w:r>
      </w:hyperlink>
      <w:r>
        <w:t xml:space="preserve">)</w:t>
      </w:r>
      <w:r>
        <w:t xml:space="preserve">. Printed maps are also generally</w:t>
      </w:r>
      <w:r>
        <w:t xml:space="preserve"> </w:t>
      </w:r>
      <w:r>
        <w:rPr>
          <w:b/>
          <w:bCs/>
        </w:rPr>
        <w:t xml:space="preserve">zero-rated</w:t>
      </w:r>
      <w:r>
        <w:t xml:space="preserve"> </w:t>
      </w:r>
      <w:r>
        <w:t xml:space="preserve">(VAT at 0%), so they carry no VAT to recover anyway (Value Added Tax Act 1994, Sch. 8, Group 3, item 5)</w:t>
      </w:r>
      <w:r>
        <w:t xml:space="preserve"> </w:t>
      </w:r>
      <w:r>
        <w:t xml:space="preserve">(</w:t>
      </w:r>
      <w:hyperlink w:anchor="ref-hmrc_vat_rates">
        <w:r>
          <w:rPr>
            <w:rStyle w:val="Hyperlink"/>
          </w:rPr>
          <w:t xml:space="preserve">HMRC, 2026r</w:t>
        </w:r>
      </w:hyperlink>
      <w:r>
        <w:t xml:space="preserve">)</w:t>
      </w:r>
      <w:r>
        <w:t xml:space="preserve">.</w:t>
      </w:r>
    </w:p>
    <w:p>
      <w:pPr>
        <w:pStyle w:val="Compact"/>
        <w:numPr>
          <w:ilvl w:val="0"/>
          <w:numId w:val="1412"/>
        </w:numPr>
      </w:pPr>
      <w:r>
        <w:rPr>
          <w:b/>
          <w:bCs/>
        </w:rPr>
        <w:t xml:space="preserve">Not claimable:</w:t>
      </w:r>
      <w:r>
        <w:t xml:space="preserve"> </w:t>
      </w:r>
      <w:r>
        <w:t xml:space="preserve">Bespoke maps commissioned so the Department can sell them under licence to overseas customers. This is a business use, so the normal input tax rules apply,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VATGPB9890, page last updated 7 January 2016</w:t>
      </w:r>
      <w:r>
        <w:t xml:space="preserve"> </w:t>
      </w:r>
      <w:r>
        <w:t xml:space="preserve">(</w:t>
      </w:r>
      <w:hyperlink w:anchor="ref-hmrc_vatgpb">
        <w:r>
          <w:rPr>
            <w:rStyle w:val="Hyperlink"/>
          </w:rPr>
          <w:t xml:space="preserve">HMRC, 2026n, sec. VATGPB9890</w:t>
        </w:r>
      </w:hyperlink>
      <w:r>
        <w:t xml:space="preserve">)</w:t>
      </w:r>
      <w:r>
        <w:t xml:space="preserve">.</w:t>
      </w:r>
    </w:p>
    <w:bookmarkEnd w:id="265"/>
    <w:bookmarkStart w:id="266" w:name="heading-9-cash-in-transit-services"/>
    <w:p>
      <w:pPr>
        <w:pStyle w:val="Heading3"/>
      </w:pPr>
      <w:r>
        <w:t xml:space="preserve">Heading 9: Cash in transit services</w:t>
      </w:r>
    </w:p>
    <w:p>
      <w:pPr>
        <w:pStyle w:val="FirstParagraph"/>
      </w:pPr>
      <w:r>
        <w:rPr>
          <w:b/>
          <w:bCs/>
        </w:rPr>
        <w:t xml:space="preserve">What it covers (HMRC’s description):</w:t>
      </w:r>
      <w:r>
        <w:t xml:space="preserve"> </w:t>
      </w:r>
      <w:r>
        <w:t xml:space="preserve">“</w:t>
      </w:r>
      <w:r>
        <w:t xml:space="preserve">This Heading allows recovery on the secure transport of cash.</w:t>
      </w:r>
      <w:r>
        <w:t xml:space="preserve">”</w:t>
      </w:r>
      <w:r>
        <w:t xml:space="preserve"> </w:t>
      </w:r>
      <w:r>
        <w:t xml:space="preserve">HMRC’s manual gives no further detail</w:t>
      </w:r>
      <w:r>
        <w:t xml:space="preserve"> </w:t>
      </w:r>
      <w:r>
        <w:t xml:space="preserve">(</w:t>
      </w:r>
      <w:hyperlink w:anchor="ref-hmrc_vatgpb">
        <w:r>
          <w:rPr>
            <w:rStyle w:val="Hyperlink"/>
          </w:rPr>
          <w:t xml:space="preserve">HMRC, 2026n, sec. VATGPB9910</w:t>
        </w:r>
      </w:hyperlink>
      <w:r>
        <w:t xml:space="preserve">)</w:t>
      </w:r>
      <w:r>
        <w:t xml:space="preserve">.</w:t>
      </w:r>
    </w:p>
    <w:p>
      <w:pPr>
        <w:pStyle w:val="BodyText"/>
      </w:pPr>
      <w:r>
        <w:rPr>
          <w:b/>
          <w:bCs/>
        </w:rPr>
        <w:t xml:space="preserve">Examples for the Department:</w:t>
      </w:r>
    </w:p>
    <w:p>
      <w:pPr>
        <w:pStyle w:val="Compact"/>
        <w:numPr>
          <w:ilvl w:val="0"/>
          <w:numId w:val="1413"/>
        </w:numPr>
      </w:pPr>
      <w:r>
        <w:rPr>
          <w:b/>
          <w:bCs/>
        </w:rPr>
        <w:t xml:space="preserve">Claimable:</w:t>
      </w:r>
      <w:r>
        <w:t xml:space="preserve"> </w:t>
      </w:r>
      <w:r>
        <w:t xml:space="preserve">A security firm delivers a cash float to the Department’s office. The float includes foreign currency for staff going on official overseas travel. This is</w:t>
      </w:r>
      <w:r>
        <w:t xml:space="preserve"> </w:t>
      </w:r>
      <w:r>
        <w:t xml:space="preserve">“</w:t>
      </w:r>
      <w:r>
        <w:t xml:space="preserve">secure transport of cash</w:t>
      </w:r>
      <w:r>
        <w:t xml:space="preserve">”</w:t>
      </w:r>
      <w:r>
        <w:t xml:space="preserve">.</w:t>
      </w:r>
    </w:p>
    <w:p>
      <w:pPr>
        <w:pStyle w:val="Compact"/>
        <w:numPr>
          <w:ilvl w:val="0"/>
          <w:numId w:val="1413"/>
        </w:numPr>
      </w:pPr>
      <w:r>
        <w:rPr>
          <w:b/>
          <w:bCs/>
        </w:rPr>
        <w:t xml:space="preserve">Not claimable:</w:t>
      </w:r>
      <w:r>
        <w:t xml:space="preserve"> </w:t>
      </w:r>
      <w:r>
        <w:t xml:space="preserve">A bureau’s commission for exchanging pounds into foreign currency. Currency exchange is a financial service that is</w:t>
      </w:r>
      <w:r>
        <w:t xml:space="preserve"> </w:t>
      </w:r>
      <w:r>
        <w:rPr>
          <w:b/>
          <w:bCs/>
        </w:rPr>
        <w:t xml:space="preserve">exempt</w:t>
      </w:r>
      <w:r>
        <w:t xml:space="preserve"> </w:t>
      </w:r>
      <w:r>
        <w:t xml:space="preserve">from VAT (Value Added Tax Act 1994, Sch. 9, Group 5, item 1), meaning no VAT is charged, so there is nothing to reclaim</w:t>
      </w:r>
      <w:r>
        <w:t xml:space="preserve"> </w:t>
      </w:r>
      <w:r>
        <w:t xml:space="preserve">(</w:t>
      </w:r>
      <w:hyperlink w:anchor="ref-hmrc_vatfin">
        <w:r>
          <w:rPr>
            <w:rStyle w:val="Hyperlink"/>
          </w:rPr>
          <w:t xml:space="preserve">HMRC, 2025j, sec. VATFIN2740</w:t>
        </w:r>
      </w:hyperlink>
      <w:r>
        <w:t xml:space="preserve">;</w:t>
      </w:r>
      <w:r>
        <w:t xml:space="preserve"> </w:t>
      </w:r>
      <w:hyperlink w:anchor="ref-hmrc_vat_rates">
        <w:r>
          <w:rPr>
            <w:rStyle w:val="Hyperlink"/>
          </w:rPr>
          <w:t xml:space="preserve">2026r</w:t>
        </w:r>
      </w:hyperlink>
      <w:r>
        <w:t xml:space="preserve">)</w:t>
      </w:r>
      <w:r>
        <w:t xml:space="preserve">.</w:t>
      </w:r>
    </w:p>
    <w:p>
      <w:pPr>
        <w:pStyle w:val="Compact"/>
        <w:numPr>
          <w:ilvl w:val="0"/>
          <w:numId w:val="1413"/>
        </w:numPr>
      </w:pPr>
      <w:r>
        <w:rPr>
          <w:b/>
          <w:bCs/>
        </w:rPr>
        <w:t xml:space="preserve">Not claimable:</w:t>
      </w:r>
      <w:r>
        <w:t xml:space="preserve"> </w:t>
      </w:r>
      <w:r>
        <w:t xml:space="preserve">A security firm moves sensitive equipment under guard from a UK supplier to the Department’s UK store. The equipment is due to be gifted to an overseas government. This is not cash, so it does not fall under this heading. HMRC lists</w:t>
      </w:r>
      <w:r>
        <w:t xml:space="preserve"> </w:t>
      </w:r>
      <w:r>
        <w:t xml:space="preserve">“</w:t>
      </w:r>
      <w:r>
        <w:t xml:space="preserve">The secure transport of equipment</w:t>
      </w:r>
      <w:r>
        <w:t xml:space="preserve">”</w:t>
      </w:r>
      <w:r>
        <w:t xml:space="preserve"> </w:t>
      </w:r>
      <w:r>
        <w:t xml:space="preserve">under Heading 60 (security services), so look there instead</w:t>
      </w:r>
      <w:r>
        <w:t xml:space="preserve"> </w:t>
      </w:r>
      <w:r>
        <w:t xml:space="preserve">(</w:t>
      </w:r>
      <w:hyperlink w:anchor="ref-hmrc_vatgpb">
        <w:r>
          <w:rPr>
            <w:rStyle w:val="Hyperlink"/>
          </w:rPr>
          <w:t xml:space="preserve">HMRC, 2026n, sec. VATGPB10930</w:t>
        </w:r>
      </w:hyperlink>
      <w:r>
        <w:t xml:space="preserve">)</w:t>
      </w:r>
      <w:r>
        <w:t xml:space="preserve">.</w:t>
      </w:r>
    </w:p>
    <w:p>
      <w:pPr>
        <w:pStyle w:val="FirstParagraph"/>
      </w:pPr>
      <w:r>
        <w:rPr>
          <w:b/>
          <w:bCs/>
        </w:rPr>
        <w:t xml:space="preserve">Source:</w:t>
      </w:r>
      <w:r>
        <w:t xml:space="preserve"> </w:t>
      </w:r>
      <w:r>
        <w:t xml:space="preserve">HMRC manual section VATGPB9910, page last updated 7 January 2016</w:t>
      </w:r>
      <w:r>
        <w:t xml:space="preserve"> </w:t>
      </w:r>
      <w:r>
        <w:t xml:space="preserve">(</w:t>
      </w:r>
      <w:hyperlink w:anchor="ref-hmrc_vatgpb">
        <w:r>
          <w:rPr>
            <w:rStyle w:val="Hyperlink"/>
          </w:rPr>
          <w:t xml:space="preserve">HMRC, 2026n, sec. VATGPB9910</w:t>
        </w:r>
      </w:hyperlink>
      <w:r>
        <w:t xml:space="preserve">)</w:t>
      </w:r>
      <w:r>
        <w:t xml:space="preserve">.</w:t>
      </w:r>
    </w:p>
    <w:bookmarkEnd w:id="266"/>
    <w:bookmarkStart w:id="267" w:name="heading-10-catering"/>
    <w:p>
      <w:pPr>
        <w:pStyle w:val="Heading3"/>
      </w:pPr>
      <w:r>
        <w:t xml:space="preserve">Heading 10: Catering</w:t>
      </w:r>
    </w:p>
    <w:p>
      <w:pPr>
        <w:pStyle w:val="FirstParagraph"/>
      </w:pPr>
      <w:r>
        <w:rPr>
          <w:b/>
          <w:bCs/>
        </w:rPr>
        <w:t xml:space="preserve">What it covers (HMRC’s description):</w:t>
      </w:r>
      <w:r>
        <w:t xml:space="preserve"> </w:t>
      </w:r>
      <w:r>
        <w:t xml:space="preserve">“</w:t>
      </w:r>
      <w:r>
        <w:t xml:space="preserve">This Heading covers either the use of a private sector operator to run a government department’s or health authority’s catering function, or the use of a catering contractor to run individual events</w:t>
      </w:r>
      <w:r>
        <w:t xml:space="preserve">”</w:t>
      </w:r>
      <w:r>
        <w:t xml:space="preserve"> </w:t>
      </w:r>
      <w:r>
        <w:t xml:space="preserve">(</w:t>
      </w:r>
      <w:hyperlink w:anchor="ref-hmrc_vatgpb">
        <w:r>
          <w:rPr>
            <w:rStyle w:val="Hyperlink"/>
          </w:rPr>
          <w:t xml:space="preserve">HMRC, 2026n, sec. VATGPB9930</w:t>
        </w:r>
      </w:hyperlink>
      <w:r>
        <w:t xml:space="preserve">)</w:t>
      </w:r>
      <w:r>
        <w:t xml:space="preserve">.</w:t>
      </w:r>
    </w:p>
    <w:p>
      <w:pPr>
        <w:pStyle w:val="BodyText"/>
      </w:pPr>
      <w:r>
        <w:rPr>
          <w:b/>
          <w:bCs/>
        </w:rPr>
        <w:t xml:space="preserve">Includes:</w:t>
      </w:r>
    </w:p>
    <w:p>
      <w:pPr>
        <w:pStyle w:val="Compact"/>
        <w:numPr>
          <w:ilvl w:val="0"/>
          <w:numId w:val="1414"/>
        </w:numPr>
      </w:pPr>
      <w:r>
        <w:t xml:space="preserve">“</w:t>
      </w:r>
      <w:r>
        <w:t xml:space="preserve">Food prepared and facilities supplied by a contract catering service</w:t>
      </w:r>
      <w:r>
        <w:t xml:space="preserve">”</w:t>
      </w:r>
    </w:p>
    <w:p>
      <w:pPr>
        <w:pStyle w:val="Compact"/>
        <w:numPr>
          <w:ilvl w:val="0"/>
          <w:numId w:val="1414"/>
        </w:numPr>
      </w:pPr>
      <w:r>
        <w:t xml:space="preserve">“</w:t>
      </w:r>
      <w:r>
        <w:t xml:space="preserve">Hire of agency staff relating to that catering service</w:t>
      </w:r>
      <w:r>
        <w:t xml:space="preserve">”</w:t>
      </w:r>
    </w:p>
    <w:p>
      <w:pPr>
        <w:pStyle w:val="Compact"/>
        <w:numPr>
          <w:ilvl w:val="0"/>
          <w:numId w:val="1414"/>
        </w:numPr>
      </w:pPr>
      <w:r>
        <w:t xml:space="preserve">“</w:t>
      </w:r>
      <w:r>
        <w:t xml:space="preserve">Catering services for occasional functions</w:t>
      </w:r>
      <w:r>
        <w:t xml:space="preserve">”</w:t>
      </w:r>
    </w:p>
    <w:p>
      <w:pPr>
        <w:pStyle w:val="Compact"/>
        <w:numPr>
          <w:ilvl w:val="0"/>
          <w:numId w:val="1414"/>
        </w:numPr>
      </w:pPr>
      <w:r>
        <w:t xml:space="preserve">“</w:t>
      </w:r>
      <w:r>
        <w:t xml:space="preserve">Services associated with catering for occasional functions which form part of the supply of catering e.g. staff to serve food and drink, serving alcoholic beverages, hire of additional equipment (mobile kitchens, etc) to supplement the on-site facilities</w:t>
      </w:r>
      <w:r>
        <w:t xml:space="preserve">”</w:t>
      </w:r>
    </w:p>
    <w:p>
      <w:pPr>
        <w:pStyle w:val="Compact"/>
        <w:numPr>
          <w:ilvl w:val="0"/>
          <w:numId w:val="1414"/>
        </w:numPr>
      </w:pPr>
      <w:r>
        <w:t xml:space="preserve">“</w:t>
      </w:r>
      <w:r>
        <w:t xml:space="preserve">Vending machines when supplied as part of a catering contract</w:t>
      </w:r>
      <w:r>
        <w:t xml:space="preserve">”</w:t>
      </w:r>
    </w:p>
    <w:p>
      <w:pPr>
        <w:pStyle w:val="Compact"/>
        <w:numPr>
          <w:ilvl w:val="0"/>
          <w:numId w:val="1414"/>
        </w:numPr>
      </w:pPr>
      <w:r>
        <w:t xml:space="preserve">“</w:t>
      </w:r>
      <w:r>
        <w:t xml:space="preserve">Catering services for official functions e.g. receptions, dinners and banquets</w:t>
      </w:r>
      <w:r>
        <w:t xml:space="preserve">”</w:t>
      </w:r>
    </w:p>
    <w:p>
      <w:pPr>
        <w:pStyle w:val="Compact"/>
        <w:numPr>
          <w:ilvl w:val="0"/>
          <w:numId w:val="1414"/>
        </w:numPr>
      </w:pPr>
      <w:r>
        <w:t xml:space="preserve">“</w:t>
      </w:r>
      <w:r>
        <w:t xml:space="preserve">Supplies of catering for NHS patient care</w:t>
      </w:r>
      <w:r>
        <w:t xml:space="preserve">”</w:t>
      </w:r>
    </w:p>
    <w:p>
      <w:pPr>
        <w:pStyle w:val="FirstParagraph"/>
      </w:pPr>
      <w:r>
        <w:rPr>
          <w:b/>
          <w:bCs/>
        </w:rPr>
        <w:t xml:space="preserve">Excludes:</w:t>
      </w:r>
    </w:p>
    <w:p>
      <w:pPr>
        <w:pStyle w:val="Compact"/>
        <w:numPr>
          <w:ilvl w:val="0"/>
          <w:numId w:val="1415"/>
        </w:numPr>
      </w:pPr>
      <w:r>
        <w:t xml:space="preserve">“</w:t>
      </w:r>
      <w:r>
        <w:t xml:space="preserve">Hire of staff to fill short-term vacancies</w:t>
      </w:r>
      <w:r>
        <w:t xml:space="preserve">”</w:t>
      </w:r>
    </w:p>
    <w:p>
      <w:pPr>
        <w:pStyle w:val="Compact"/>
        <w:numPr>
          <w:ilvl w:val="0"/>
          <w:numId w:val="1415"/>
        </w:numPr>
      </w:pPr>
      <w:r>
        <w:t xml:space="preserve">“</w:t>
      </w:r>
      <w:r>
        <w:t xml:space="preserve">Vending machines when supplied on their own</w:t>
      </w:r>
      <w:r>
        <w:t xml:space="preserve">”</w:t>
      </w:r>
    </w:p>
    <w:p>
      <w:pPr>
        <w:pStyle w:val="FirstParagraph"/>
      </w:pPr>
      <w:r>
        <w:rPr>
          <w:b/>
          <w:bCs/>
        </w:rPr>
        <w:t xml:space="preserve">Examples for the Department:</w:t>
      </w:r>
    </w:p>
    <w:p>
      <w:pPr>
        <w:pStyle w:val="Compact"/>
        <w:numPr>
          <w:ilvl w:val="0"/>
          <w:numId w:val="1416"/>
        </w:numPr>
      </w:pPr>
      <w:r>
        <w:rPr>
          <w:b/>
          <w:bCs/>
        </w:rPr>
        <w:t xml:space="preserve">Claimable:</w:t>
      </w:r>
      <w:r>
        <w:t xml:space="preserve"> </w:t>
      </w:r>
      <w:r>
        <w:t xml:space="preserve">A contract caterer provides a dinner, with serving staff and wine, at a London reception the Department hosts for a visiting overseas government delegation. HMRC lists</w:t>
      </w:r>
      <w:r>
        <w:t xml:space="preserve"> </w:t>
      </w:r>
      <w:r>
        <w:t xml:space="preserve">“</w:t>
      </w:r>
      <w:r>
        <w:t xml:space="preserve">Catering services for official functions e.g. receptions, dinners and banquets</w:t>
      </w:r>
      <w:r>
        <w:t xml:space="preserve">”</w:t>
      </w:r>
      <w:r>
        <w:t xml:space="preserve">. It also treats serving staff and</w:t>
      </w:r>
      <w:r>
        <w:t xml:space="preserve"> </w:t>
      </w:r>
      <w:r>
        <w:t xml:space="preserve">“</w:t>
      </w:r>
      <w:r>
        <w:t xml:space="preserve">serving alcoholic beverages</w:t>
      </w:r>
      <w:r>
        <w:t xml:space="preserve">”</w:t>
      </w:r>
      <w:r>
        <w:t xml:space="preserve"> </w:t>
      </w:r>
      <w:r>
        <w:t xml:space="preserve">as part of the catering supply.</w:t>
      </w:r>
    </w:p>
    <w:p>
      <w:pPr>
        <w:pStyle w:val="Compact"/>
        <w:numPr>
          <w:ilvl w:val="0"/>
          <w:numId w:val="1416"/>
        </w:numPr>
      </w:pPr>
      <w:r>
        <w:rPr>
          <w:b/>
          <w:bCs/>
        </w:rPr>
        <w:t xml:space="preserve">Not claimable:</w:t>
      </w:r>
      <w:r>
        <w:t xml:space="preserve"> </w:t>
      </w:r>
      <w:r>
        <w:t xml:space="preserve">Hotel meals abroad while staff attend an overseas conference. Catering is taxed where it is physically carried out</w:t>
      </w:r>
      <w:r>
        <w:t xml:space="preserve"> </w:t>
      </w:r>
      <w:r>
        <w:t xml:space="preserve">(</w:t>
      </w:r>
      <w:hyperlink w:anchor="ref-hmrc_n741a">
        <w:r>
          <w:rPr>
            <w:rStyle w:val="Hyperlink"/>
          </w:rPr>
          <w:t xml:space="preserve">HMRC, 2022d, para. 9.6</w:t>
        </w:r>
      </w:hyperlink>
      <w:r>
        <w:t xml:space="preserve">)</w:t>
      </w:r>
      <w:r>
        <w:t xml:space="preserve">, so any VAT is foreign VAT and cannot be refunded under COS (Value Added Tax Act 1994, s. 41(3)).</w:t>
      </w:r>
    </w:p>
    <w:p>
      <w:pPr>
        <w:pStyle w:val="Compact"/>
        <w:numPr>
          <w:ilvl w:val="0"/>
          <w:numId w:val="1416"/>
        </w:numPr>
      </w:pPr>
      <w:r>
        <w:rPr>
          <w:b/>
          <w:bCs/>
        </w:rPr>
        <w:t xml:space="preserve">Not claimable:</w:t>
      </w:r>
      <w:r>
        <w:t xml:space="preserve"> </w:t>
      </w:r>
      <w:r>
        <w:t xml:space="preserve">An agency chef hired to cover a vacancy in the Department’s in-house kitchen.</w:t>
      </w:r>
      <w:r>
        <w:t xml:space="preserve"> </w:t>
      </w:r>
      <w:r>
        <w:t xml:space="preserve">“</w:t>
      </w:r>
      <w:r>
        <w:t xml:space="preserve">Hire of staff to fill short-term vacancies</w:t>
      </w:r>
      <w:r>
        <w:t xml:space="preserve">”</w:t>
      </w:r>
      <w:r>
        <w:t xml:space="preserve"> </w:t>
      </w:r>
      <w:r>
        <w:t xml:space="preserve">is excluded.</w:t>
      </w:r>
    </w:p>
    <w:p>
      <w:pPr>
        <w:pStyle w:val="Compact"/>
        <w:numPr>
          <w:ilvl w:val="0"/>
          <w:numId w:val="1416"/>
        </w:numPr>
      </w:pPr>
      <w:r>
        <w:rPr>
          <w:b/>
          <w:bCs/>
        </w:rPr>
        <w:t xml:space="preserve">Not claimable:</w:t>
      </w:r>
      <w:r>
        <w:t xml:space="preserve"> </w:t>
      </w:r>
      <w:r>
        <w:t xml:space="preserve">A vending machine rented as a standalone contract.</w:t>
      </w:r>
      <w:r>
        <w:t xml:space="preserve"> </w:t>
      </w:r>
      <w:r>
        <w:t xml:space="preserve">“</w:t>
      </w:r>
      <w:r>
        <w:t xml:space="preserve">Vending machines when supplied on their own</w:t>
      </w:r>
      <w:r>
        <w:t xml:space="preserve">”</w:t>
      </w:r>
      <w:r>
        <w:t xml:space="preserve"> </w:t>
      </w:r>
      <w:r>
        <w:t xml:space="preserve">are excluded.</w:t>
      </w:r>
    </w:p>
    <w:p>
      <w:pPr>
        <w:pStyle w:val="FirstParagraph"/>
      </w:pPr>
      <w:r>
        <w:rPr>
          <w:b/>
          <w:bCs/>
        </w:rPr>
        <w:t xml:space="preserve">Source:</w:t>
      </w:r>
      <w:r>
        <w:t xml:space="preserve"> </w:t>
      </w:r>
      <w:r>
        <w:t xml:space="preserve">HMRC manual section VATGPB9930, page last updated 17 February 2021</w:t>
      </w:r>
      <w:r>
        <w:t xml:space="preserve"> </w:t>
      </w:r>
      <w:r>
        <w:t xml:space="preserve">(</w:t>
      </w:r>
      <w:hyperlink w:anchor="ref-hmrc_vatgpb">
        <w:r>
          <w:rPr>
            <w:rStyle w:val="Hyperlink"/>
          </w:rPr>
          <w:t xml:space="preserve">HMRC, 2026n, sec. VATGPB9930</w:t>
        </w:r>
      </w:hyperlink>
      <w:r>
        <w:t xml:space="preserve">)</w:t>
      </w:r>
      <w:r>
        <w:t xml:space="preserve">.</w:t>
      </w:r>
    </w:p>
    <w:bookmarkEnd w:id="267"/>
    <w:bookmarkStart w:id="268" w:name="heading-11-ceremonial-services"/>
    <w:p>
      <w:pPr>
        <w:pStyle w:val="Heading3"/>
      </w:pPr>
      <w:r>
        <w:t xml:space="preserve">Heading 11: Ceremonial services</w:t>
      </w:r>
    </w:p>
    <w:p>
      <w:pPr>
        <w:pStyle w:val="FirstParagraph"/>
      </w:pPr>
      <w:r>
        <w:rPr>
          <w:b/>
          <w:bCs/>
        </w:rPr>
        <w:t xml:space="preserve">What it covers (HMRC’s description):</w:t>
      </w:r>
      <w:r>
        <w:t xml:space="preserve"> </w:t>
      </w:r>
      <w:r>
        <w:t xml:space="preserve">“</w:t>
      </w:r>
      <w:r>
        <w:t xml:space="preserve">This Heading refers to services supplied by a private firm for the provision of a ceremonial service.</w:t>
      </w:r>
      <w:r>
        <w:t xml:space="preserve">”</w:t>
      </w:r>
      <w:r>
        <w:t xml:space="preserve"> </w:t>
      </w:r>
      <w:r>
        <w:t xml:space="preserve">HMRC says</w:t>
      </w:r>
      <w:r>
        <w:t xml:space="preserve"> </w:t>
      </w:r>
      <w:r>
        <w:t xml:space="preserve">“</w:t>
      </w:r>
      <w:r>
        <w:t xml:space="preserve">Ceremonial service takes its every day meaning and would include for example, opening of a new public building or hospital wing</w:t>
      </w:r>
      <w:r>
        <w:t xml:space="preserve">”</w:t>
      </w:r>
      <w:r>
        <w:t xml:space="preserve"> </w:t>
      </w:r>
      <w:r>
        <w:t xml:space="preserve">(</w:t>
      </w:r>
      <w:hyperlink w:anchor="ref-hmrc_vatgpb">
        <w:r>
          <w:rPr>
            <w:rStyle w:val="Hyperlink"/>
          </w:rPr>
          <w:t xml:space="preserve">HMRC, 2026n, sec. VATGPB9950</w:t>
        </w:r>
      </w:hyperlink>
      <w:r>
        <w:t xml:space="preserve">)</w:t>
      </w:r>
      <w:r>
        <w:t xml:space="preserve">.</w:t>
      </w:r>
    </w:p>
    <w:p>
      <w:pPr>
        <w:pStyle w:val="BodyText"/>
      </w:pPr>
      <w:r>
        <w:rPr>
          <w:b/>
          <w:bCs/>
        </w:rPr>
        <w:t xml:space="preserve">Includes:</w:t>
      </w:r>
    </w:p>
    <w:p>
      <w:pPr>
        <w:pStyle w:val="Compact"/>
        <w:numPr>
          <w:ilvl w:val="0"/>
          <w:numId w:val="1417"/>
        </w:numPr>
      </w:pPr>
      <w:r>
        <w:t xml:space="preserve">“</w:t>
      </w:r>
      <w:r>
        <w:t xml:space="preserve">Erecting seating and stands for dignitaries and the general public</w:t>
      </w:r>
      <w:r>
        <w:t xml:space="preserve">”</w:t>
      </w:r>
    </w:p>
    <w:p>
      <w:pPr>
        <w:pStyle w:val="Compact"/>
        <w:numPr>
          <w:ilvl w:val="0"/>
          <w:numId w:val="1417"/>
        </w:numPr>
      </w:pPr>
      <w:r>
        <w:t xml:space="preserve">“</w:t>
      </w:r>
      <w:r>
        <w:t xml:space="preserve">Putting up flags and bunting</w:t>
      </w:r>
      <w:r>
        <w:t xml:space="preserve">”</w:t>
      </w:r>
    </w:p>
    <w:p>
      <w:pPr>
        <w:pStyle w:val="Compact"/>
        <w:numPr>
          <w:ilvl w:val="0"/>
          <w:numId w:val="1417"/>
        </w:numPr>
      </w:pPr>
      <w:r>
        <w:t xml:space="preserve">“</w:t>
      </w:r>
      <w:r>
        <w:t xml:space="preserve">Hire of portable toilet facilities</w:t>
      </w:r>
      <w:r>
        <w:t xml:space="preserve">”</w:t>
      </w:r>
    </w:p>
    <w:p>
      <w:pPr>
        <w:pStyle w:val="Compact"/>
        <w:numPr>
          <w:ilvl w:val="0"/>
          <w:numId w:val="1417"/>
        </w:numPr>
      </w:pPr>
      <w:r>
        <w:t xml:space="preserve">“</w:t>
      </w:r>
      <w:r>
        <w:t xml:space="preserve">Putting up and dismantling crowd control barriers</w:t>
      </w:r>
      <w:r>
        <w:t xml:space="preserve">”</w:t>
      </w:r>
    </w:p>
    <w:p>
      <w:pPr>
        <w:pStyle w:val="Compact"/>
        <w:numPr>
          <w:ilvl w:val="0"/>
          <w:numId w:val="1417"/>
        </w:numPr>
      </w:pPr>
      <w:r>
        <w:t xml:space="preserve">“</w:t>
      </w:r>
      <w:r>
        <w:t xml:space="preserve">Hire of PA systems</w:t>
      </w:r>
      <w:r>
        <w:t xml:space="preserve">”</w:t>
      </w:r>
    </w:p>
    <w:p>
      <w:pPr>
        <w:pStyle w:val="Compact"/>
        <w:numPr>
          <w:ilvl w:val="0"/>
          <w:numId w:val="1417"/>
        </w:numPr>
      </w:pPr>
      <w:r>
        <w:t xml:space="preserve">“</w:t>
      </w:r>
      <w:r>
        <w:t xml:space="preserve">Laying the</w:t>
      </w:r>
      <w:r>
        <w:t xml:space="preserve"> </w:t>
      </w:r>
      <w:r>
        <w:t xml:space="preserve">‘</w:t>
      </w:r>
      <w:r>
        <w:t xml:space="preserve">red carpet</w:t>
      </w:r>
      <w:r>
        <w:t xml:space="preserve">’</w:t>
      </w:r>
      <w:r>
        <w:t xml:space="preserve">”</w:t>
      </w:r>
    </w:p>
    <w:p>
      <w:pPr>
        <w:pStyle w:val="FirstParagraph"/>
      </w:pPr>
      <w:r>
        <w:rPr>
          <w:b/>
          <w:bCs/>
        </w:rPr>
        <w:t xml:space="preserve">Excludes:</w:t>
      </w:r>
      <w:r>
        <w:t xml:space="preserve"> </w:t>
      </w:r>
      <w:r>
        <w:t xml:space="preserve">“</w:t>
      </w:r>
      <w:r>
        <w:t xml:space="preserve">Recovery on goods</w:t>
      </w:r>
      <w:r>
        <w:t xml:space="preserve">”</w:t>
      </w:r>
      <w:r>
        <w:t xml:space="preserve">, for example the purchase of:</w:t>
      </w:r>
    </w:p>
    <w:p>
      <w:pPr>
        <w:pStyle w:val="Compact"/>
        <w:numPr>
          <w:ilvl w:val="0"/>
          <w:numId w:val="1418"/>
        </w:numPr>
      </w:pPr>
      <w:r>
        <w:t xml:space="preserve">“</w:t>
      </w:r>
      <w:r>
        <w:t xml:space="preserve">Flags</w:t>
      </w:r>
      <w:r>
        <w:t xml:space="preserve">”</w:t>
      </w:r>
    </w:p>
    <w:p>
      <w:pPr>
        <w:pStyle w:val="Compact"/>
        <w:numPr>
          <w:ilvl w:val="0"/>
          <w:numId w:val="1418"/>
        </w:numPr>
      </w:pPr>
      <w:r>
        <w:t xml:space="preserve">“</w:t>
      </w:r>
      <w:r>
        <w:t xml:space="preserve">Flowers</w:t>
      </w:r>
      <w:r>
        <w:t xml:space="preserve">”</w:t>
      </w:r>
    </w:p>
    <w:p>
      <w:pPr>
        <w:pStyle w:val="Compact"/>
        <w:numPr>
          <w:ilvl w:val="0"/>
          <w:numId w:val="1418"/>
        </w:numPr>
      </w:pPr>
      <w:r>
        <w:t xml:space="preserve">“</w:t>
      </w:r>
      <w:r>
        <w:t xml:space="preserve">Red carpet</w:t>
      </w:r>
      <w:r>
        <w:t xml:space="preserve">”</w:t>
      </w:r>
    </w:p>
    <w:p>
      <w:pPr>
        <w:pStyle w:val="Compact"/>
        <w:numPr>
          <w:ilvl w:val="0"/>
          <w:numId w:val="1418"/>
        </w:numPr>
      </w:pPr>
      <w:r>
        <w:t xml:space="preserve">“</w:t>
      </w:r>
      <w:r>
        <w:t xml:space="preserve">Food or drink for hospitality purposes</w:t>
      </w:r>
      <w:r>
        <w:t xml:space="preserve">”</w:t>
      </w:r>
    </w:p>
    <w:p>
      <w:pPr>
        <w:pStyle w:val="Compact"/>
        <w:numPr>
          <w:ilvl w:val="0"/>
          <w:numId w:val="1418"/>
        </w:numPr>
      </w:pPr>
      <w:r>
        <w:t xml:space="preserve">“</w:t>
      </w:r>
      <w:r>
        <w:t xml:space="preserve">Fireworks that are to be used in a display</w:t>
      </w:r>
      <w:r>
        <w:t xml:space="preserve">”</w:t>
      </w:r>
    </w:p>
    <w:p>
      <w:pPr>
        <w:pStyle w:val="FirstParagraph"/>
      </w:pPr>
      <w:r>
        <w:rPr>
          <w:b/>
          <w:bCs/>
        </w:rPr>
        <w:t xml:space="preserve">Examples for the Department:</w:t>
      </w:r>
    </w:p>
    <w:p>
      <w:pPr>
        <w:pStyle w:val="Compact"/>
        <w:numPr>
          <w:ilvl w:val="0"/>
          <w:numId w:val="1419"/>
        </w:numPr>
      </w:pPr>
      <w:r>
        <w:rPr>
          <w:b/>
          <w:bCs/>
        </w:rPr>
        <w:t xml:space="preserve">Claimable:</w:t>
      </w:r>
      <w:r>
        <w:t xml:space="preserve"> </w:t>
      </w:r>
      <w:r>
        <w:t xml:space="preserve">An events firm sets up a ceremony in the UK where the Department formally hands over gifted equipment to an overseas government. The firm erects seating, puts up flags and bunting, installs crowd barriers and a PA system, and lays the red carpet. All of these are on HMRC’s</w:t>
      </w:r>
      <w:r>
        <w:t xml:space="preserve"> </w:t>
      </w:r>
      <w:r>
        <w:t xml:space="preserve">“</w:t>
      </w:r>
      <w:r>
        <w:t xml:space="preserve">Includes</w:t>
      </w:r>
      <w:r>
        <w:t xml:space="preserve">”</w:t>
      </w:r>
      <w:r>
        <w:t xml:space="preserve"> </w:t>
      </w:r>
      <w:r>
        <w:t xml:space="preserve">list.</w:t>
      </w:r>
    </w:p>
    <w:p>
      <w:pPr>
        <w:pStyle w:val="Compact"/>
        <w:numPr>
          <w:ilvl w:val="0"/>
          <w:numId w:val="1419"/>
        </w:numPr>
      </w:pPr>
      <w:r>
        <w:rPr>
          <w:b/>
          <w:bCs/>
        </w:rPr>
        <w:t xml:space="preserve">Not claimable:</w:t>
      </w:r>
      <w:r>
        <w:t xml:space="preserve"> </w:t>
      </w:r>
      <w:r>
        <w:t xml:space="preserve">The Department buys the flags, flowers and red carpet for the ceremony itself. These are goods, and</w:t>
      </w:r>
      <w:r>
        <w:t xml:space="preserve"> </w:t>
      </w:r>
      <w:r>
        <w:t xml:space="preserve">“</w:t>
      </w:r>
      <w:r>
        <w:t xml:space="preserve">Recovery on goods</w:t>
      </w:r>
      <w:r>
        <w:t xml:space="preserve">”</w:t>
      </w:r>
      <w:r>
        <w:t xml:space="preserve"> </w:t>
      </w:r>
      <w:r>
        <w:t xml:space="preserve">is excluded.</w:t>
      </w:r>
    </w:p>
    <w:p>
      <w:pPr>
        <w:pStyle w:val="Compact"/>
        <w:numPr>
          <w:ilvl w:val="0"/>
          <w:numId w:val="1419"/>
        </w:numPr>
      </w:pPr>
      <w:r>
        <w:rPr>
          <w:b/>
          <w:bCs/>
        </w:rPr>
        <w:t xml:space="preserve">Not claimable:</w:t>
      </w:r>
      <w:r>
        <w:t xml:space="preserve"> </w:t>
      </w:r>
      <w:r>
        <w:t xml:space="preserve">The Department buys food and drink for guests at the ceremony.</w:t>
      </w:r>
      <w:r>
        <w:t xml:space="preserve"> </w:t>
      </w:r>
      <w:r>
        <w:t xml:space="preserve">“</w:t>
      </w:r>
      <w:r>
        <w:t xml:space="preserve">Food or drink for hospitality purposes</w:t>
      </w:r>
      <w:r>
        <w:t xml:space="preserve">”</w:t>
      </w:r>
      <w:r>
        <w:t xml:space="preserve"> </w:t>
      </w:r>
      <w:r>
        <w:t xml:space="preserve">is excluded here. A contract caterer’s catering service for an official function should be considered under Heading 10 instead</w:t>
      </w:r>
      <w:r>
        <w:t xml:space="preserve"> </w:t>
      </w:r>
      <w:r>
        <w:t xml:space="preserve">(</w:t>
      </w:r>
      <w:hyperlink w:anchor="ref-hmrc_vatgpb">
        <w:r>
          <w:rPr>
            <w:rStyle w:val="Hyperlink"/>
          </w:rPr>
          <w:t xml:space="preserve">HMRC, 2026n, sec. VATGPB9930</w:t>
        </w:r>
      </w:hyperlink>
      <w:r>
        <w:t xml:space="preserve">)</w:t>
      </w:r>
      <w:r>
        <w:t xml:space="preserve">.</w:t>
      </w:r>
    </w:p>
    <w:p>
      <w:pPr>
        <w:pStyle w:val="FirstParagraph"/>
      </w:pPr>
      <w:r>
        <w:rPr>
          <w:b/>
          <w:bCs/>
        </w:rPr>
        <w:t xml:space="preserve">Source:</w:t>
      </w:r>
      <w:r>
        <w:t xml:space="preserve"> </w:t>
      </w:r>
      <w:r>
        <w:t xml:space="preserve">HMRC manual section VATGPB9950, page last updated 7 January 2016</w:t>
      </w:r>
      <w:r>
        <w:t xml:space="preserve"> </w:t>
      </w:r>
      <w:r>
        <w:t xml:space="preserve">(</w:t>
      </w:r>
      <w:hyperlink w:anchor="ref-hmrc_vatgpb">
        <w:r>
          <w:rPr>
            <w:rStyle w:val="Hyperlink"/>
          </w:rPr>
          <w:t xml:space="preserve">HMRC, 2026n, sec. VATGPB9950</w:t>
        </w:r>
      </w:hyperlink>
      <w:r>
        <w:t xml:space="preserve">)</w:t>
      </w:r>
      <w:r>
        <w:t xml:space="preserve">.</w:t>
      </w:r>
    </w:p>
    <w:bookmarkEnd w:id="268"/>
    <w:bookmarkStart w:id="269" w:name="heading-12-childcare-services"/>
    <w:p>
      <w:pPr>
        <w:pStyle w:val="Heading3"/>
      </w:pPr>
      <w:r>
        <w:t xml:space="preserve">Heading 12: Childcare services</w:t>
      </w:r>
    </w:p>
    <w:p>
      <w:pPr>
        <w:pStyle w:val="FirstParagraph"/>
      </w:pPr>
      <w:r>
        <w:rPr>
          <w:b/>
          <w:bCs/>
        </w:rPr>
        <w:t xml:space="preserve">What it covers (HMRC’s description):</w:t>
      </w:r>
      <w:r>
        <w:t xml:space="preserve"> </w:t>
      </w:r>
      <w:r>
        <w:t xml:space="preserve">“</w:t>
      </w:r>
      <w:r>
        <w:t xml:space="preserve">This Heading covers childcare services.</w:t>
      </w:r>
      <w:r>
        <w:t xml:space="preserve">”</w:t>
      </w:r>
      <w:r>
        <w:t xml:space="preserve"> </w:t>
      </w:r>
      <w:r>
        <w:t xml:space="preserve">HMRC adds:</w:t>
      </w:r>
      <w:r>
        <w:t xml:space="preserve"> </w:t>
      </w:r>
      <w:r>
        <w:t xml:space="preserve">“</w:t>
      </w:r>
      <w:r>
        <w:t xml:space="preserve">The provision of crèche facilities is normally exempt from VAT, therefore before making a claim under this Heading you should check the invoice to see whether or not VAT has been charged</w:t>
      </w:r>
      <w:r>
        <w:t xml:space="preserve">”</w:t>
      </w:r>
      <w:r>
        <w:t xml:space="preserve"> </w:t>
      </w:r>
      <w:r>
        <w:t xml:space="preserve">(</w:t>
      </w:r>
      <w:hyperlink w:anchor="ref-hmrc_vatgpb">
        <w:r>
          <w:rPr>
            <w:rStyle w:val="Hyperlink"/>
          </w:rPr>
          <w:t xml:space="preserve">HMRC, 2026n, sec. VATGPB9970</w:t>
        </w:r>
      </w:hyperlink>
      <w:r>
        <w:t xml:space="preserve">)</w:t>
      </w:r>
      <w:r>
        <w:t xml:space="preserve">.</w:t>
      </w:r>
    </w:p>
    <w:p>
      <w:pPr>
        <w:pStyle w:val="BodyText"/>
      </w:pPr>
      <w:r>
        <w:t xml:space="preserve">This heading has no particular link to the Department’s overseas activities.</w:t>
      </w:r>
    </w:p>
    <w:p>
      <w:pPr>
        <w:pStyle w:val="BodyText"/>
      </w:pPr>
      <w:r>
        <w:rPr>
          <w:b/>
          <w:bCs/>
        </w:rPr>
        <w:t xml:space="preserve">Includes:</w:t>
      </w:r>
    </w:p>
    <w:p>
      <w:pPr>
        <w:pStyle w:val="Compact"/>
        <w:numPr>
          <w:ilvl w:val="0"/>
          <w:numId w:val="1420"/>
        </w:numPr>
      </w:pPr>
      <w:r>
        <w:t xml:space="preserve">“</w:t>
      </w:r>
      <w:r>
        <w:t xml:space="preserve">Recovery of VAT incurred on the provision of crèche facilities or holiday play schemes operated by government departments or health authorities for the benefit of their own employees. This includes VAT charged by a private body with which government departments or health authorities contract with to provide these services</w:t>
      </w:r>
      <w:r>
        <w:t xml:space="preserve">”</w:t>
      </w:r>
    </w:p>
    <w:p>
      <w:pPr>
        <w:pStyle w:val="FirstParagraph"/>
      </w:pPr>
      <w:r>
        <w:rPr>
          <w:b/>
          <w:bCs/>
        </w:rPr>
        <w:t xml:space="preserve">Excludes:</w:t>
      </w:r>
    </w:p>
    <w:p>
      <w:pPr>
        <w:pStyle w:val="Compact"/>
        <w:numPr>
          <w:ilvl w:val="0"/>
          <w:numId w:val="1421"/>
        </w:numPr>
      </w:pPr>
      <w:r>
        <w:t xml:space="preserve">“</w:t>
      </w:r>
      <w:r>
        <w:t xml:space="preserve">Crèche facilities provided by a nursery/play group registered under the Children’s Act 1989 - as these supplies are exempt from VAT</w:t>
      </w:r>
      <w:r>
        <w:t xml:space="preserve">”</w:t>
      </w:r>
    </w:p>
    <w:p>
      <w:pPr>
        <w:pStyle w:val="Compact"/>
        <w:numPr>
          <w:ilvl w:val="0"/>
          <w:numId w:val="1421"/>
        </w:numPr>
      </w:pPr>
      <w:r>
        <w:t xml:space="preserve">“</w:t>
      </w:r>
      <w:r>
        <w:t xml:space="preserve">Management of child care vouchers</w:t>
      </w:r>
      <w:r>
        <w:t xml:space="preserve">”</w:t>
      </w:r>
    </w:p>
    <w:p>
      <w:pPr>
        <w:pStyle w:val="FirstParagraph"/>
      </w:pPr>
      <w:r>
        <w:rPr>
          <w:b/>
          <w:bCs/>
        </w:rPr>
        <w:t xml:space="preserve">Examples for the Department:</w:t>
      </w:r>
    </w:p>
    <w:p>
      <w:pPr>
        <w:pStyle w:val="Compact"/>
        <w:numPr>
          <w:ilvl w:val="0"/>
          <w:numId w:val="1422"/>
        </w:numPr>
      </w:pPr>
      <w:r>
        <w:rPr>
          <w:b/>
          <w:bCs/>
        </w:rPr>
        <w:t xml:space="preserve">Claimable:</w:t>
      </w:r>
      <w:r>
        <w:t xml:space="preserve"> </w:t>
      </w:r>
      <w:r>
        <w:t xml:space="preserve">A private company runs a summer holiday play scheme for staff’s children under contract with the Department, and charges VAT. The Department does not charge staff for the places. HMRC includes holiday play schemes</w:t>
      </w:r>
      <w:r>
        <w:t xml:space="preserve"> </w:t>
      </w:r>
      <w:r>
        <w:t xml:space="preserve">“</w:t>
      </w:r>
      <w:r>
        <w:t xml:space="preserve">for the benefit of their own employees</w:t>
      </w:r>
      <w:r>
        <w:t xml:space="preserve">”</w:t>
      </w:r>
      <w:r>
        <w:t xml:space="preserve">, including</w:t>
      </w:r>
      <w:r>
        <w:t xml:space="preserve"> </w:t>
      </w:r>
      <w:r>
        <w:t xml:space="preserve">“</w:t>
      </w:r>
      <w:r>
        <w:t xml:space="preserve">VAT charged by a private body</w:t>
      </w:r>
      <w:r>
        <w:t xml:space="preserve">”</w:t>
      </w:r>
      <w:r>
        <w:t xml:space="preserve">.</w:t>
      </w:r>
    </w:p>
    <w:p>
      <w:pPr>
        <w:pStyle w:val="Compact"/>
        <w:numPr>
          <w:ilvl w:val="0"/>
          <w:numId w:val="1422"/>
        </w:numPr>
      </w:pPr>
      <w:r>
        <w:rPr>
          <w:b/>
          <w:bCs/>
        </w:rPr>
        <w:t xml:space="preserve">Not claimable:</w:t>
      </w:r>
      <w:r>
        <w:t xml:space="preserve"> </w:t>
      </w:r>
      <w:r>
        <w:t xml:space="preserve">A crèche run by a registered nursery. This is exempt, so no VAT is charged and there is nothing to claim. Always check the invoice.</w:t>
      </w:r>
    </w:p>
    <w:p>
      <w:pPr>
        <w:pStyle w:val="Compact"/>
        <w:numPr>
          <w:ilvl w:val="0"/>
          <w:numId w:val="1422"/>
        </w:numPr>
      </w:pPr>
      <w:r>
        <w:rPr>
          <w:b/>
          <w:bCs/>
        </w:rPr>
        <w:t xml:space="preserve">Not claimable:</w:t>
      </w:r>
      <w:r>
        <w:t xml:space="preserve"> </w:t>
      </w:r>
      <w:r>
        <w:t xml:space="preserve">A provider’s fee for managing childcare vouchers.</w:t>
      </w:r>
      <w:r>
        <w:t xml:space="preserve"> </w:t>
      </w:r>
      <w:r>
        <w:t xml:space="preserve">“</w:t>
      </w:r>
      <w:r>
        <w:t xml:space="preserve">Management of child care vouchers</w:t>
      </w:r>
      <w:r>
        <w:t xml:space="preserve">”</w:t>
      </w:r>
      <w:r>
        <w:t xml:space="preserve"> </w:t>
      </w:r>
      <w:r>
        <w:t xml:space="preserve">is excluded.</w:t>
      </w:r>
    </w:p>
    <w:p>
      <w:pPr>
        <w:pStyle w:val="FirstParagraph"/>
      </w:pPr>
      <w:r>
        <w:rPr>
          <w:b/>
          <w:bCs/>
        </w:rPr>
        <w:t xml:space="preserve">Source:</w:t>
      </w:r>
      <w:r>
        <w:t xml:space="preserve"> </w:t>
      </w:r>
      <w:r>
        <w:t xml:space="preserve">HMRC manual section VATGPB9970, page last updated 7 January 2016</w:t>
      </w:r>
      <w:r>
        <w:t xml:space="preserve"> </w:t>
      </w:r>
      <w:r>
        <w:t xml:space="preserve">(</w:t>
      </w:r>
      <w:hyperlink w:anchor="ref-hmrc_vatgpb">
        <w:r>
          <w:rPr>
            <w:rStyle w:val="Hyperlink"/>
          </w:rPr>
          <w:t xml:space="preserve">HMRC, 2026n, sec. VATGPB9970</w:t>
        </w:r>
      </w:hyperlink>
      <w:r>
        <w:t xml:space="preserve">)</w:t>
      </w:r>
      <w:r>
        <w:t xml:space="preserve">.</w:t>
      </w:r>
    </w:p>
    <w:bookmarkEnd w:id="269"/>
    <w:bookmarkStart w:id="270" w:name="X5e0607e3cac8f8b3f7103ced30ecb13c46deb92"/>
    <w:p>
      <w:pPr>
        <w:pStyle w:val="Heading3"/>
      </w:pPr>
      <w:r>
        <w:t xml:space="preserve">Heading 13: Collection, delivery and distribution services</w:t>
      </w:r>
    </w:p>
    <w:p>
      <w:pPr>
        <w:pStyle w:val="FirstParagraph"/>
      </w:pPr>
      <w:r>
        <w:rPr>
          <w:b/>
          <w:bCs/>
        </w:rPr>
        <w:t xml:space="preserve">What it covers (HMRC’s description):</w:t>
      </w:r>
      <w:r>
        <w:t xml:space="preserve"> </w:t>
      </w:r>
      <w:r>
        <w:t xml:space="preserve">“</w:t>
      </w:r>
      <w:r>
        <w:t xml:space="preserve">This Heading covers collection, delivery and distribution services in relation to postal and courier services</w:t>
      </w:r>
      <w:r>
        <w:t xml:space="preserve">”</w:t>
      </w:r>
      <w:r>
        <w:t xml:space="preserve"> </w:t>
      </w:r>
      <w:r>
        <w:t xml:space="preserve">(</w:t>
      </w:r>
      <w:hyperlink w:anchor="ref-hmrc_vatgpb">
        <w:r>
          <w:rPr>
            <w:rStyle w:val="Hyperlink"/>
          </w:rPr>
          <w:t xml:space="preserve">HMRC, 2026n, sec. VATGPB9990</w:t>
        </w:r>
      </w:hyperlink>
      <w:r>
        <w:t xml:space="preserve">)</w:t>
      </w:r>
      <w:r>
        <w:t xml:space="preserve">.</w:t>
      </w:r>
    </w:p>
    <w:p>
      <w:pPr>
        <w:pStyle w:val="BodyText"/>
      </w:pPr>
      <w:r>
        <w:rPr>
          <w:b/>
          <w:bCs/>
        </w:rPr>
        <w:t xml:space="preserve">Includes:</w:t>
      </w:r>
    </w:p>
    <w:p>
      <w:pPr>
        <w:pStyle w:val="Compact"/>
        <w:numPr>
          <w:ilvl w:val="0"/>
          <w:numId w:val="1423"/>
        </w:numPr>
      </w:pPr>
      <w:r>
        <w:t xml:space="preserve">“</w:t>
      </w:r>
      <w:r>
        <w:t xml:space="preserve">Services provided by couriers, Rail Freight, Federal Express, UPS etc. The VAT incurred would be refundable under the Contracted-Out provisions, regardless of the nature of the item or items being collected, delivered, stored or distributed</w:t>
      </w:r>
      <w:r>
        <w:t xml:space="preserve">”</w:t>
      </w:r>
    </w:p>
    <w:p>
      <w:pPr>
        <w:pStyle w:val="Compact"/>
        <w:numPr>
          <w:ilvl w:val="0"/>
          <w:numId w:val="1423"/>
        </w:numPr>
      </w:pPr>
      <w:r>
        <w:t xml:space="preserve">“</w:t>
      </w:r>
      <w:r>
        <w:t xml:space="preserve">Royal Mail services where they are subject to VAT</w:t>
      </w:r>
      <w:r>
        <w:t xml:space="preserve">”</w:t>
      </w:r>
    </w:p>
    <w:p>
      <w:pPr>
        <w:pStyle w:val="Compact"/>
        <w:numPr>
          <w:ilvl w:val="0"/>
          <w:numId w:val="1423"/>
        </w:numPr>
      </w:pPr>
      <w:r>
        <w:t xml:space="preserve">“</w:t>
      </w:r>
      <w:r>
        <w:t xml:space="preserve">Courier services used for the delivery of specimens, materials, papers, etc</w:t>
      </w:r>
      <w:r>
        <w:t xml:space="preserve">”</w:t>
      </w:r>
    </w:p>
    <w:p>
      <w:pPr>
        <w:pStyle w:val="FirstParagraph"/>
      </w:pPr>
      <w:r>
        <w:rPr>
          <w:b/>
          <w:bCs/>
        </w:rPr>
        <w:t xml:space="preserve">Excludes:</w:t>
      </w:r>
    </w:p>
    <w:p>
      <w:pPr>
        <w:pStyle w:val="Compact"/>
        <w:numPr>
          <w:ilvl w:val="0"/>
          <w:numId w:val="1424"/>
        </w:numPr>
      </w:pPr>
      <w:r>
        <w:t xml:space="preserve">“</w:t>
      </w:r>
      <w:r>
        <w:t xml:space="preserve">The VAT on delivery charges incurred when you purchase goods cannot be reclaimed under the Contracted Out Services as this supply is part of a single supply of delivered goods</w:t>
      </w:r>
      <w:r>
        <w:t xml:space="preserve">”</w:t>
      </w:r>
    </w:p>
    <w:p>
      <w:pPr>
        <w:pStyle w:val="FirstParagraph"/>
      </w:pPr>
      <w:r>
        <w:rPr>
          <w:b/>
          <w:bCs/>
        </w:rPr>
        <w:t xml:space="preserve">Examples for the Department:</w:t>
      </w:r>
    </w:p>
    <w:p>
      <w:pPr>
        <w:pStyle w:val="Compact"/>
        <w:numPr>
          <w:ilvl w:val="0"/>
          <w:numId w:val="1425"/>
        </w:numPr>
      </w:pPr>
      <w:r>
        <w:rPr>
          <w:b/>
          <w:bCs/>
        </w:rPr>
        <w:t xml:space="preserve">Claimable:</w:t>
      </w:r>
      <w:r>
        <w:t xml:space="preserve"> </w:t>
      </w:r>
      <w:r>
        <w:t xml:space="preserve">A UK courier carries staff passports and visa applications between the Department and London embassies or visa centres before staff are posted abroad. HMRC covers courier services</w:t>
      </w:r>
      <w:r>
        <w:t xml:space="preserve"> </w:t>
      </w:r>
      <w:r>
        <w:t xml:space="preserve">“</w:t>
      </w:r>
      <w:r>
        <w:t xml:space="preserve">regardless of the nature of the item</w:t>
      </w:r>
      <w:r>
        <w:t xml:space="preserve">”</w:t>
      </w:r>
      <w:r>
        <w:t xml:space="preserve">.</w:t>
      </w:r>
    </w:p>
    <w:p>
      <w:pPr>
        <w:pStyle w:val="Compact"/>
        <w:numPr>
          <w:ilvl w:val="0"/>
          <w:numId w:val="1425"/>
        </w:numPr>
      </w:pPr>
      <w:r>
        <w:rPr>
          <w:b/>
          <w:bCs/>
        </w:rPr>
        <w:t xml:space="preserve">Claimable:</w:t>
      </w:r>
      <w:r>
        <w:t xml:space="preserve"> </w:t>
      </w:r>
      <w:r>
        <w:t xml:space="preserve">A courier delivers printed training packs from the Department’s HQ to its regional offices. This is</w:t>
      </w:r>
      <w:r>
        <w:t xml:space="preserve"> </w:t>
      </w:r>
      <w:r>
        <w:t xml:space="preserve">“</w:t>
      </w:r>
      <w:r>
        <w:t xml:space="preserve">Courier services used for the delivery of … materials, papers</w:t>
      </w:r>
      <w:r>
        <w:t xml:space="preserve">”</w:t>
      </w:r>
      <w:r>
        <w:t xml:space="preserve">.</w:t>
      </w:r>
    </w:p>
    <w:p>
      <w:pPr>
        <w:pStyle w:val="Compact"/>
        <w:numPr>
          <w:ilvl w:val="0"/>
          <w:numId w:val="1425"/>
        </w:numPr>
      </w:pPr>
      <w:r>
        <w:rPr>
          <w:b/>
          <w:bCs/>
        </w:rPr>
        <w:t xml:space="preserve">Not claimable:</w:t>
      </w:r>
      <w:r>
        <w:t xml:space="preserve"> </w:t>
      </w:r>
      <w:r>
        <w:t xml:space="preserve">An international courier ships gifted equipment direct to an overseas government. Transporting goods from the UK to a place outside the UK is generally zero-rated (Value Added Tax Act 1994, Sch. 8, Group 8, item 5), so there is usually no UK VAT to reclaim</w:t>
      </w:r>
      <w:r>
        <w:t xml:space="preserve"> </w:t>
      </w:r>
      <w:r>
        <w:t xml:space="preserve">(</w:t>
      </w:r>
      <w:hyperlink w:anchor="ref-hmrc_vtrans">
        <w:r>
          <w:rPr>
            <w:rStyle w:val="Hyperlink"/>
          </w:rPr>
          <w:t xml:space="preserve">HMRC, 2023d, sec. VTRANS060200</w:t>
        </w:r>
      </w:hyperlink>
      <w:r>
        <w:t xml:space="preserve">)</w:t>
      </w:r>
      <w:r>
        <w:t xml:space="preserve">.</w:t>
      </w:r>
    </w:p>
    <w:p>
      <w:pPr>
        <w:pStyle w:val="Compact"/>
        <w:numPr>
          <w:ilvl w:val="0"/>
          <w:numId w:val="1425"/>
        </w:numPr>
      </w:pPr>
      <w:r>
        <w:rPr>
          <w:b/>
          <w:bCs/>
        </w:rPr>
        <w:t xml:space="preserve">Not claimable:</w:t>
      </w:r>
      <w:r>
        <w:t xml:space="preserve"> </w:t>
      </w:r>
      <w:r>
        <w:t xml:space="preserve">The delivery charge on laptops bought for staff going on overseas postings. The delivery is part of a</w:t>
      </w:r>
      <w:r>
        <w:t xml:space="preserve"> </w:t>
      </w:r>
      <w:r>
        <w:rPr>
          <w:b/>
          <w:bCs/>
        </w:rPr>
        <w:t xml:space="preserve">single supply</w:t>
      </w:r>
      <w:r>
        <w:t xml:space="preserve"> </w:t>
      </w:r>
      <w:r>
        <w:t xml:space="preserve">of delivered goods. That means it forms one supply with the laptops and cannot be split off</w:t>
      </w:r>
      <w:r>
        <w:t xml:space="preserve"> </w:t>
      </w:r>
      <w:r>
        <w:t xml:space="preserve">(</w:t>
      </w:r>
      <w:hyperlink w:anchor="ref-hmrc_n700">
        <w:r>
          <w:rPr>
            <w:rStyle w:val="Hyperlink"/>
          </w:rPr>
          <w:t xml:space="preserve">HMRC, 2026o, para. 8.3</w:t>
        </w:r>
      </w:hyperlink>
      <w:r>
        <w:t xml:space="preserve">)</w:t>
      </w:r>
      <w:r>
        <w:t xml:space="preserve">. HMRC excludes it expressly.</w:t>
      </w:r>
    </w:p>
    <w:p>
      <w:pPr>
        <w:pStyle w:val="FirstParagraph"/>
      </w:pPr>
      <w:r>
        <w:rPr>
          <w:b/>
          <w:bCs/>
        </w:rPr>
        <w:t xml:space="preserve">Source:</w:t>
      </w:r>
      <w:r>
        <w:t xml:space="preserve"> </w:t>
      </w:r>
      <w:r>
        <w:t xml:space="preserve">HMRC manual section VATGPB9990, page last updated 19 October 2016</w:t>
      </w:r>
      <w:r>
        <w:t xml:space="preserve"> </w:t>
      </w:r>
      <w:r>
        <w:t xml:space="preserve">(</w:t>
      </w:r>
      <w:hyperlink w:anchor="ref-hmrc_vatgpb">
        <w:r>
          <w:rPr>
            <w:rStyle w:val="Hyperlink"/>
          </w:rPr>
          <w:t xml:space="preserve">HMRC, 2026n, sec. VATGPB9990</w:t>
        </w:r>
      </w:hyperlink>
      <w:r>
        <w:t xml:space="preserve">)</w:t>
      </w:r>
      <w:r>
        <w:t xml:space="preserve">.</w:t>
      </w:r>
    </w:p>
    <w:bookmarkEnd w:id="270"/>
    <w:bookmarkStart w:id="271" w:name="X559c808acfdfd9392c41878ca3ac069165eb24b"/>
    <w:p>
      <w:pPr>
        <w:pStyle w:val="Heading3"/>
      </w:pPr>
      <w:r>
        <w:t xml:space="preserve">Heading 14: Computer services supplied to the specification of the recipient</w:t>
      </w:r>
    </w:p>
    <w:p>
      <w:pPr>
        <w:pStyle w:val="FirstParagraph"/>
      </w:pPr>
      <w:r>
        <w:rPr>
          <w:b/>
          <w:bCs/>
        </w:rPr>
        <w:t xml:space="preserve">What it covers (HMRC’s description):</w:t>
      </w:r>
      <w:r>
        <w:t xml:space="preserve"> </w:t>
      </w:r>
      <w:r>
        <w:t xml:space="preserve">The full heading reads:</w:t>
      </w:r>
      <w:r>
        <w:t xml:space="preserve"> </w:t>
      </w:r>
      <w:r>
        <w:t xml:space="preserve">“</w:t>
      </w:r>
      <w:r>
        <w:t xml:space="preserve">Computer services supplied to the specification of the recipient, including: the provision by one or more suppliers of a computer infrastructure either using the recipients’ own hardware or hardware provided by the supplier as part of the infrastructure; and development, delivery and support of bespoke software. Excluding: supply and support of off the shelf software; hire of hardware alone; line rental alone; telephony including hosted internet protocol telephony (HIPT) and voice over internet protocol (VoIP) services; and hire of computer consultants to add expertise to in-house teams</w:t>
      </w:r>
      <w:r>
        <w:t xml:space="preserve">”</w:t>
      </w:r>
      <w:r>
        <w:t xml:space="preserve"> </w:t>
      </w:r>
      <w:r>
        <w:t xml:space="preserve">(</w:t>
      </w:r>
      <w:hyperlink w:anchor="ref-hmrc_vatgpb">
        <w:r>
          <w:rPr>
            <w:rStyle w:val="Hyperlink"/>
          </w:rPr>
          <w:t xml:space="preserve">HMRC, 2026n, sec. VATGPB10010</w:t>
        </w:r>
      </w:hyperlink>
      <w:r>
        <w:t xml:space="preserve">)</w:t>
      </w:r>
      <w:r>
        <w:t xml:space="preserve">. The Gazette text of the Direction says</w:t>
      </w:r>
      <w:r>
        <w:t xml:space="preserve"> </w:t>
      </w:r>
      <w:r>
        <w:t xml:space="preserve">“</w:t>
      </w:r>
      <w:r>
        <w:t xml:space="preserve">in-house IT teams</w:t>
      </w:r>
      <w:r>
        <w:t xml:space="preserve">”</w:t>
      </w:r>
      <w:r>
        <w:t xml:space="preserve"> </w:t>
      </w:r>
      <w:r>
        <w:t xml:space="preserve">(</w:t>
      </w:r>
      <w:hyperlink w:anchor="ref-gazette_2020">
        <w:r>
          <w:rPr>
            <w:rStyle w:val="Hyperlink"/>
          </w:rPr>
          <w:t xml:space="preserve">HM Treasury, 2020b</w:t>
        </w:r>
      </w:hyperlink>
      <w:r>
        <w:t xml:space="preserve">, List 2, heading 14)</w:t>
      </w:r>
      <w:r>
        <w:t xml:space="preserve">. HMRC says the September 2020 change in wording was</w:t>
      </w:r>
      <w:r>
        <w:t xml:space="preserve"> </w:t>
      </w:r>
      <w:r>
        <w:t xml:space="preserve">“</w:t>
      </w:r>
      <w:r>
        <w:t xml:space="preserve">for clarification purposes</w:t>
      </w:r>
      <w:r>
        <w:t xml:space="preserve">”</w:t>
      </w:r>
      <w:r>
        <w:t xml:space="preserve"> </w:t>
      </w:r>
      <w:r>
        <w:t xml:space="preserve">and that</w:t>
      </w:r>
      <w:r>
        <w:t xml:space="preserve"> </w:t>
      </w:r>
      <w:r>
        <w:t xml:space="preserve">“</w:t>
      </w:r>
      <w:r>
        <w:t xml:space="preserve">The intended general scope of the heading has not changed</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BodyText"/>
      </w:pPr>
      <w:r>
        <w:rPr>
          <w:i/>
          <w:iCs/>
        </w:rPr>
        <w:t xml:space="preserve">Purpose and scope.</w:t>
      </w:r>
      <w:r>
        <w:t xml:space="preserve"> </w:t>
      </w:r>
      <w:r>
        <w:t xml:space="preserve">The heading applies to services supplied</w:t>
      </w:r>
      <w:r>
        <w:t xml:space="preserve"> </w:t>
      </w:r>
      <w:r>
        <w:t xml:space="preserve">“</w:t>
      </w:r>
      <w:r>
        <w:t xml:space="preserve">in its procurement of an IT system to its own specifications or to specifications dictated by the government</w:t>
      </w:r>
      <w:r>
        <w:t xml:space="preserve">”</w:t>
      </w:r>
      <w:r>
        <w:t xml:space="preserve">. It began with the outsourcing of entire IT systems. For that reason it</w:t>
      </w:r>
      <w:r>
        <w:t xml:space="preserve"> </w:t>
      </w:r>
      <w:r>
        <w:t xml:space="preserve">“</w:t>
      </w:r>
      <w:r>
        <w:t xml:space="preserve">does not cover in isolation the procurement of off-the-shelf software or web design</w:t>
      </w:r>
      <w:r>
        <w:t xml:space="preserve">”</w:t>
      </w:r>
      <w:r>
        <w:t xml:space="preserve">. Modern methods are covered too. It does not matter whether there is one supplier or several, who owns the hardware, or whether servers are remote. What matters is that the department</w:t>
      </w:r>
      <w:r>
        <w:t xml:space="preserve"> </w:t>
      </w:r>
      <w:r>
        <w:t xml:space="preserve">“</w:t>
      </w:r>
      <w:r>
        <w:t xml:space="preserve">requires an IT system designed to its specifications … and this is mainly provided through outsourcing</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BodyText"/>
      </w:pPr>
      <w:r>
        <w:rPr>
          <w:i/>
          <w:iCs/>
        </w:rPr>
        <w:t xml:space="preserve">“</w:t>
      </w:r>
      <w:r>
        <w:rPr>
          <w:i/>
          <w:iCs/>
        </w:rPr>
        <w:t xml:space="preserve">To the specification of the recipient</w:t>
      </w:r>
      <w:r>
        <w:rPr>
          <w:i/>
          <w:iCs/>
        </w:rPr>
        <w:t xml:space="preserve">”</w:t>
      </w:r>
      <w:r>
        <w:rPr>
          <w:i/>
          <w:iCs/>
        </w:rPr>
        <w:t xml:space="preserve">.</w:t>
      </w:r>
      <w:r>
        <w:t xml:space="preserve"> </w:t>
      </w:r>
      <w:r>
        <w:t xml:space="preserve">The system</w:t>
      </w:r>
      <w:r>
        <w:t xml:space="preserve"> </w:t>
      </w:r>
      <w:r>
        <w:t xml:space="preserve">“</w:t>
      </w:r>
      <w:r>
        <w:t xml:space="preserve">should not be simply designed and built in order to meet certain perceived needs. There must be substantial involvement by the government department … beyond merely entering into a contract.</w:t>
      </w:r>
      <w:r>
        <w:t xml:space="preserve">”</w:t>
      </w:r>
      <w:r>
        <w:t xml:space="preserve"> </w:t>
      </w:r>
      <w:r>
        <w:t xml:space="preserve">A system can still qualify where:</w:t>
      </w:r>
    </w:p>
    <w:p>
      <w:pPr>
        <w:pStyle w:val="Compact"/>
        <w:numPr>
          <w:ilvl w:val="0"/>
          <w:numId w:val="1426"/>
        </w:numPr>
      </w:pPr>
      <w:r>
        <w:t xml:space="preserve">it</w:t>
      </w:r>
      <w:r>
        <w:t xml:space="preserve"> </w:t>
      </w:r>
      <w:r>
        <w:t xml:space="preserve">“</w:t>
      </w:r>
      <w:r>
        <w:t xml:space="preserve">could be used elsewhere if substantially adapted</w:t>
      </w:r>
      <w:r>
        <w:t xml:space="preserve">”</w:t>
      </w:r>
      <w:r>
        <w:t xml:space="preserve">, or</w:t>
      </w:r>
    </w:p>
    <w:p>
      <w:pPr>
        <w:pStyle w:val="Compact"/>
        <w:numPr>
          <w:ilvl w:val="0"/>
          <w:numId w:val="1426"/>
        </w:numPr>
      </w:pPr>
      <w:r>
        <w:t xml:space="preserve">a supplier identifies the department’s needs and</w:t>
      </w:r>
      <w:r>
        <w:t xml:space="preserve"> </w:t>
      </w:r>
      <w:r>
        <w:t xml:space="preserve">“</w:t>
      </w:r>
      <w:r>
        <w:t xml:space="preserve">engages with that body to provide a bespoke product</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FirstParagraph"/>
      </w:pPr>
      <w:r>
        <w:rPr>
          <w:i/>
          <w:iCs/>
        </w:rPr>
        <w:t xml:space="preserve">Practical advice (VATGPB10020).</w:t>
      </w:r>
      <w:r>
        <w:t xml:space="preserve"> </w:t>
      </w:r>
      <w:r>
        <w:t xml:space="preserve">HMRC’s view is that the wording</w:t>
      </w:r>
      <w:r>
        <w:t xml:space="preserve"> </w:t>
      </w:r>
      <w:r>
        <w:t xml:space="preserve">“</w:t>
      </w:r>
      <w:r>
        <w:t xml:space="preserve">adds an additional requirement beyond the procuring party simply setting out their requirements</w:t>
      </w:r>
      <w:r>
        <w:t xml:space="preserve">”</w:t>
      </w:r>
      <w:r>
        <w:t xml:space="preserve">. It refers to situations where the recipient</w:t>
      </w:r>
      <w:r>
        <w:t xml:space="preserve"> </w:t>
      </w:r>
      <w:r>
        <w:t xml:space="preserve">“</w:t>
      </w:r>
      <w:r>
        <w:t xml:space="preserve">has engaged with the provider in a substantial way to develop a new computer system, or to substantially modify one that already exists</w:t>
      </w:r>
      <w:r>
        <w:t xml:space="preserve">”</w:t>
      </w:r>
      <w:r>
        <w:t xml:space="preserve">. The procuring body</w:t>
      </w:r>
      <w:r>
        <w:t xml:space="preserve"> </w:t>
      </w:r>
      <w:r>
        <w:t xml:space="preserve">“</w:t>
      </w:r>
      <w:r>
        <w:t xml:space="preserve">must be able to demonstrate</w:t>
      </w:r>
      <w:r>
        <w:t xml:space="preserve">”</w:t>
      </w:r>
      <w:r>
        <w:t xml:space="preserve"> </w:t>
      </w:r>
      <w:r>
        <w:t xml:space="preserve">this. HMRC suggests possible evidence. It says the list is</w:t>
      </w:r>
      <w:r>
        <w:t xml:space="preserve"> </w:t>
      </w:r>
      <w:r>
        <w:t xml:space="preserve">“</w:t>
      </w:r>
      <w:r>
        <w:t xml:space="preserve">not intended to be exhaustive</w:t>
      </w:r>
      <w:r>
        <w:t xml:space="preserve">”</w:t>
      </w:r>
      <w:r>
        <w:t xml:space="preserve"> </w:t>
      </w:r>
      <w:r>
        <w:t xml:space="preserve">and is not a checklist</w:t>
      </w:r>
      <w:r>
        <w:t xml:space="preserve"> </w:t>
      </w:r>
      <w:r>
        <w:t xml:space="preserve">(</w:t>
      </w:r>
      <w:hyperlink w:anchor="ref-hmrc_vatgpb">
        <w:r>
          <w:rPr>
            <w:rStyle w:val="Hyperlink"/>
          </w:rPr>
          <w:t xml:space="preserve">HMRC, 2026n, sec. VATGPB10020</w:t>
        </w:r>
      </w:hyperlink>
      <w:r>
        <w:t xml:space="preserve">)</w:t>
      </w:r>
      <w:r>
        <w:t xml:space="preserve">:</w:t>
      </w:r>
    </w:p>
    <w:p>
      <w:pPr>
        <w:pStyle w:val="Compact"/>
        <w:numPr>
          <w:ilvl w:val="0"/>
          <w:numId w:val="1427"/>
        </w:numPr>
      </w:pPr>
      <w:r>
        <w:t xml:space="preserve">records of correspondence or meetings on the recipient’s needs and the development work</w:t>
      </w:r>
    </w:p>
    <w:p>
      <w:pPr>
        <w:pStyle w:val="Compact"/>
        <w:numPr>
          <w:ilvl w:val="0"/>
          <w:numId w:val="1427"/>
        </w:numPr>
      </w:pPr>
      <w:r>
        <w:t xml:space="preserve">documentation showing how the supplier developed the system after that engagement</w:t>
      </w:r>
    </w:p>
    <w:p>
      <w:pPr>
        <w:pStyle w:val="Compact"/>
        <w:numPr>
          <w:ilvl w:val="0"/>
          <w:numId w:val="1427"/>
        </w:numPr>
      </w:pPr>
      <w:r>
        <w:t xml:space="preserve">plans to work with the supplier</w:t>
      </w:r>
    </w:p>
    <w:p>
      <w:pPr>
        <w:pStyle w:val="Compact"/>
        <w:numPr>
          <w:ilvl w:val="0"/>
          <w:numId w:val="1427"/>
        </w:numPr>
      </w:pPr>
      <w:r>
        <w:t xml:space="preserve">a project plan</w:t>
      </w:r>
    </w:p>
    <w:p>
      <w:pPr>
        <w:pStyle w:val="Compact"/>
        <w:numPr>
          <w:ilvl w:val="0"/>
          <w:numId w:val="1427"/>
        </w:numPr>
      </w:pPr>
      <w:r>
        <w:t xml:space="preserve">meeting minutes</w:t>
      </w:r>
    </w:p>
    <w:p>
      <w:pPr>
        <w:pStyle w:val="Compact"/>
        <w:numPr>
          <w:ilvl w:val="0"/>
          <w:numId w:val="1427"/>
        </w:numPr>
      </w:pPr>
      <w:r>
        <w:t xml:space="preserve">progress reports, earlier iterations of the product, and copyright licences</w:t>
      </w:r>
    </w:p>
    <w:p>
      <w:pPr>
        <w:pStyle w:val="FirstParagraph"/>
      </w:pPr>
      <w:r>
        <w:t xml:space="preserve">HMRC cites two NHS software products, ScriptSwitch and OptimiseRX. Both qualified only because they became viable through collaborative development with NHS bodies.</w:t>
      </w:r>
      <w:r>
        <w:t xml:space="preserve"> </w:t>
      </w:r>
      <w:r>
        <w:t xml:space="preserve">“</w:t>
      </w:r>
      <w:r>
        <w:t xml:space="preserve">Every case will need to be considered on its own merits</w:t>
      </w:r>
      <w:r>
        <w:t xml:space="preserve">”</w:t>
      </w:r>
      <w:r>
        <w:t xml:space="preserve"> </w:t>
      </w:r>
      <w:r>
        <w:t xml:space="preserve">(</w:t>
      </w:r>
      <w:hyperlink w:anchor="ref-hmrc_vatgpb">
        <w:r>
          <w:rPr>
            <w:rStyle w:val="Hyperlink"/>
          </w:rPr>
          <w:t xml:space="preserve">HMRC, 2026n, sec. VATGPB10020</w:t>
        </w:r>
      </w:hyperlink>
      <w:r>
        <w:t xml:space="preserve">)</w:t>
      </w:r>
      <w:r>
        <w:t xml:space="preserve">.</w:t>
      </w:r>
    </w:p>
    <w:p>
      <w:pPr>
        <w:pStyle w:val="BodyText"/>
      </w:pPr>
      <w:r>
        <w:rPr>
          <w:i/>
          <w:iCs/>
        </w:rPr>
        <w:t xml:space="preserve">Components, single charges and goods.</w:t>
      </w:r>
    </w:p>
    <w:p>
      <w:pPr>
        <w:pStyle w:val="Compact"/>
        <w:numPr>
          <w:ilvl w:val="0"/>
          <w:numId w:val="1428"/>
        </w:numPr>
      </w:pPr>
      <w:r>
        <w:t xml:space="preserve">If the overall supply is a qualifying IT system, the heading applies</w:t>
      </w:r>
      <w:r>
        <w:t xml:space="preserve"> </w:t>
      </w:r>
      <w:r>
        <w:t xml:space="preserve">“</w:t>
      </w:r>
      <w:r>
        <w:t xml:space="preserve">even though some components of the package would, if supplied in isolation, be excluded</w:t>
      </w:r>
      <w:r>
        <w:t xml:space="preserve">”</w:t>
      </w:r>
      <w:r>
        <w:t xml:space="preserve">. This includes several contracts and in-house project management.</w:t>
      </w:r>
      <w:r>
        <w:t xml:space="preserve"> </w:t>
      </w:r>
      <w:r>
        <w:t xml:space="preserve">“</w:t>
      </w:r>
      <w:r>
        <w:t xml:space="preserve">The only exception is telephony, which is always excluded</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0"/>
          <w:numId w:val="1428"/>
        </w:numPr>
      </w:pPr>
      <w:r>
        <w:t xml:space="preserve">VAT on qualifying services bundled with non-qualifying services or goods</w:t>
      </w:r>
      <w:r>
        <w:t xml:space="preserve"> </w:t>
      </w:r>
      <w:r>
        <w:t xml:space="preserve">“</w:t>
      </w:r>
      <w:r>
        <w:t xml:space="preserve">for a single all-inclusive charge, is not eligible for refund unless the qualifying services are supplied under a separately ordered, negotiated and contracted agreement</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0"/>
          <w:numId w:val="1428"/>
        </w:numPr>
      </w:pPr>
      <w:r>
        <w:t xml:space="preserve">The exception is an IT system that includes telephony. HM Treasury requires the VAT to be apportioned, and the telephony part cannot be recovered</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0"/>
          <w:numId w:val="1428"/>
        </w:numPr>
      </w:pPr>
      <w:r>
        <w:t xml:space="preserve">Goods qualify only where they are</w:t>
      </w:r>
      <w:r>
        <w:t xml:space="preserve"> </w:t>
      </w:r>
      <w:r>
        <w:t xml:space="preserve">“</w:t>
      </w:r>
      <w:r>
        <w:t xml:space="preserve">an integral part of a supply of qualifying services, are included in the contract … and are ancillary</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FirstParagraph"/>
      </w:pPr>
      <w:r>
        <w:rPr>
          <w:i/>
          <w:iCs/>
        </w:rPr>
        <w:t xml:space="preserve">Bespoke versus off-the-shelf.</w:t>
      </w:r>
    </w:p>
    <w:p>
      <w:pPr>
        <w:pStyle w:val="Compact"/>
        <w:numPr>
          <w:ilvl w:val="0"/>
          <w:numId w:val="1429"/>
        </w:numPr>
      </w:pPr>
      <w:r>
        <w:t xml:space="preserve">Bespoke software covers creating a new package, including research and development, design and consultancy. It</w:t>
      </w:r>
      <w:r>
        <w:t xml:space="preserve"> </w:t>
      </w:r>
      <w:r>
        <w:t xml:space="preserve">“</w:t>
      </w:r>
      <w:r>
        <w:t xml:space="preserve">may also include aftercare services such as updates and helpdesk facilities</w:t>
      </w:r>
      <w:r>
        <w:t xml:space="preserve">”</w:t>
      </w:r>
      <w:r>
        <w:t xml:space="preserve">. It also covers</w:t>
      </w:r>
      <w:r>
        <w:t xml:space="preserve"> </w:t>
      </w:r>
      <w:r>
        <w:t xml:space="preserve">“</w:t>
      </w:r>
      <w:r>
        <w:t xml:space="preserve">substantial modification</w:t>
      </w:r>
      <w:r>
        <w:t xml:space="preserve">”</w:t>
      </w:r>
      <w:r>
        <w:t xml:space="preserve"> </w:t>
      </w:r>
      <w:r>
        <w:t xml:space="preserve">of an existing package. That means changes that create</w:t>
      </w:r>
      <w:r>
        <w:t xml:space="preserve"> </w:t>
      </w:r>
      <w:r>
        <w:t xml:space="preserve">“</w:t>
      </w:r>
      <w:r>
        <w:t xml:space="preserve">a product that is unrecognisable from the original</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0"/>
          <w:numId w:val="1429"/>
        </w:numPr>
      </w:pPr>
      <w:r>
        <w:t xml:space="preserve">“</w:t>
      </w:r>
      <w:r>
        <w:t xml:space="preserve">‘</w:t>
      </w:r>
      <w:r>
        <w:t xml:space="preserve">Customisation</w:t>
      </w:r>
      <w:r>
        <w:t xml:space="preserve">’</w:t>
      </w:r>
      <w:r>
        <w:t xml:space="preserve"> </w:t>
      </w:r>
      <w:r>
        <w:t xml:space="preserve">or</w:t>
      </w:r>
      <w:r>
        <w:t xml:space="preserve"> </w:t>
      </w:r>
      <w:r>
        <w:t xml:space="preserve">‘</w:t>
      </w:r>
      <w:r>
        <w:t xml:space="preserve">personalisation</w:t>
      </w:r>
      <w:r>
        <w:t xml:space="preserve">’</w:t>
      </w:r>
      <w:r>
        <w:t xml:space="preserve"> </w:t>
      </w:r>
      <w:r>
        <w:t xml:space="preserve">of pre-existing packages are unlikely to be substantial modifications</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0"/>
          <w:numId w:val="1429"/>
        </w:numPr>
      </w:pPr>
      <w:r>
        <w:t xml:space="preserve">Off-the-shelf software means stock software</w:t>
      </w:r>
      <w:r>
        <w:t xml:space="preserve"> </w:t>
      </w:r>
      <w:r>
        <w:t xml:space="preserve">“</w:t>
      </w:r>
      <w:r>
        <w:t xml:space="preserve">such as</w:t>
      </w:r>
      <w:r>
        <w:t xml:space="preserve"> </w:t>
      </w:r>
      <w:r>
        <w:t xml:space="preserve">‘</w:t>
      </w:r>
      <w:r>
        <w:t xml:space="preserve">Microsoft Office</w:t>
      </w:r>
      <w:r>
        <w:t xml:space="preserve">’</w:t>
      </w:r>
      <w:r>
        <w:t xml:space="preserve"> </w:t>
      </w:r>
      <w:r>
        <w:t xml:space="preserve">packages, Sage accounting software, etc</w:t>
      </w:r>
      <w:r>
        <w:t xml:space="preserve">”</w:t>
      </w:r>
      <w:r>
        <w:t xml:space="preserve">. It is not eligible under this heading</w:t>
      </w:r>
      <w:r>
        <w:t xml:space="preserve"> </w:t>
      </w:r>
      <w:r>
        <w:t xml:space="preserve">“</w:t>
      </w:r>
      <w:r>
        <w:t xml:space="preserve">unless supplied as a minor part of an entire IT system</w:t>
      </w:r>
      <w:r>
        <w:t xml:space="preserve">”</w:t>
      </w:r>
      <w:r>
        <w:t xml:space="preserve"> </w:t>
      </w:r>
      <w:r>
        <w:t xml:space="preserve">(</w:t>
      </w:r>
      <w:hyperlink w:anchor="ref-hmrc_vatgpb">
        <w:r>
          <w:rPr>
            <w:rStyle w:val="Hyperlink"/>
          </w:rPr>
          <w:t xml:space="preserve">HMRC, 2026n, sec. VATGPB10010</w:t>
        </w:r>
      </w:hyperlink>
      <w:r>
        <w:t xml:space="preserve">)</w:t>
      </w:r>
      <w:r>
        <w:t xml:space="preserve">.</w:t>
      </w:r>
    </w:p>
    <w:p>
      <w:pPr>
        <w:pStyle w:val="FirstParagraph"/>
      </w:pPr>
      <w:r>
        <w:rPr>
          <w:i/>
          <w:iCs/>
        </w:rPr>
        <w:t xml:space="preserve">Staff.</w:t>
      </w:r>
      <w:r>
        <w:t xml:space="preserve"> </w:t>
      </w:r>
      <w:r>
        <w:t xml:space="preserve">“</w:t>
      </w:r>
      <w:r>
        <w:t xml:space="preserve">Recovery is only possible where the staff are not under the control of the government department</w:t>
      </w:r>
      <w:r>
        <w:t xml:space="preserve">”</w:t>
      </w:r>
      <w:r>
        <w:t xml:space="preserve">. Staff supplied by an IT supplier and under the day-to-day control of a supplier can form part of the qualifying IT service. Staff under the department’s day-to-day control are</w:t>
      </w:r>
      <w:r>
        <w:t xml:space="preserve"> </w:t>
      </w:r>
      <w:r>
        <w:t xml:space="preserve">“</w:t>
      </w:r>
      <w:r>
        <w:t xml:space="preserve">a supply of staff and VAT is irrecoverable</w:t>
      </w:r>
      <w:r>
        <w:t xml:space="preserve">”</w:t>
      </w:r>
      <w:r>
        <w:t xml:space="preserve">. This applies whether they come from the infrastructure supplier or a separate one</w:t>
      </w:r>
      <w:r>
        <w:t xml:space="preserve"> </w:t>
      </w:r>
      <w:r>
        <w:t xml:space="preserve">(</w:t>
      </w:r>
      <w:hyperlink w:anchor="ref-hmrc_vatgpb">
        <w:r>
          <w:rPr>
            <w:rStyle w:val="Hyperlink"/>
          </w:rPr>
          <w:t xml:space="preserve">HMRC, 2026n, sec. VATGPB10010</w:t>
        </w:r>
      </w:hyperlink>
      <w:r>
        <w:t xml:space="preserve">)</w:t>
      </w:r>
      <w:r>
        <w:t xml:space="preserve">.</w:t>
      </w:r>
    </w:p>
    <w:p>
      <w:pPr>
        <w:pStyle w:val="BodyText"/>
      </w:pPr>
      <w:r>
        <w:rPr>
          <w:i/>
          <w:iCs/>
        </w:rPr>
        <w:t xml:space="preserve">Licences (VATGPB10020).</w:t>
      </w:r>
    </w:p>
    <w:p>
      <w:pPr>
        <w:pStyle w:val="Compact"/>
        <w:numPr>
          <w:ilvl w:val="0"/>
          <w:numId w:val="1430"/>
        </w:numPr>
      </w:pPr>
      <w:r>
        <w:t xml:space="preserve">Off-the-shelf licences qualify only if</w:t>
      </w:r>
      <w:r>
        <w:t xml:space="preserve"> </w:t>
      </w:r>
      <w:r>
        <w:t xml:space="preserve">“</w:t>
      </w:r>
      <w:r>
        <w:t xml:space="preserve">integral</w:t>
      </w:r>
      <w:r>
        <w:t xml:space="preserve">”</w:t>
      </w:r>
      <w:r>
        <w:t xml:space="preserve"> </w:t>
      </w:r>
      <w:r>
        <w:t xml:space="preserve">to a qualifying IT system, meaning</w:t>
      </w:r>
      <w:r>
        <w:t xml:space="preserve"> </w:t>
      </w:r>
      <w:r>
        <w:t xml:space="preserve">“</w:t>
      </w:r>
      <w:r>
        <w:t xml:space="preserve">essential for the IT system to continue to function, i.e. without them, it would fail to operate</w:t>
      </w:r>
      <w:r>
        <w:t xml:space="preserve">”</w:t>
      </w:r>
      <w:r>
        <w:t xml:space="preserve">. An example is a security software licence and the updates needed to keep the system operating</w:t>
      </w:r>
      <w:r>
        <w:t xml:space="preserve"> </w:t>
      </w:r>
      <w:r>
        <w:t xml:space="preserve">(</w:t>
      </w:r>
      <w:hyperlink w:anchor="ref-hmrc_vatgpb">
        <w:r>
          <w:rPr>
            <w:rStyle w:val="Hyperlink"/>
          </w:rPr>
          <w:t xml:space="preserve">HMRC, 2026n, sec. VATGPB10020</w:t>
        </w:r>
      </w:hyperlink>
      <w:r>
        <w:t xml:space="preserve">)</w:t>
      </w:r>
      <w:r>
        <w:t xml:space="preserve">.</w:t>
      </w:r>
    </w:p>
    <w:p>
      <w:pPr>
        <w:pStyle w:val="Compact"/>
        <w:numPr>
          <w:ilvl w:val="0"/>
          <w:numId w:val="1430"/>
        </w:numPr>
      </w:pPr>
      <w:r>
        <w:rPr>
          <w:b/>
          <w:bCs/>
        </w:rPr>
        <w:t xml:space="preserve">Microsoft 365:</w:t>
      </w:r>
      <w:r>
        <w:t xml:space="preserve"> </w:t>
      </w:r>
      <w:r>
        <w:t xml:space="preserve">HMRC considers it</w:t>
      </w:r>
      <w:r>
        <w:t xml:space="preserve"> </w:t>
      </w:r>
      <w:r>
        <w:t xml:space="preserve">“</w:t>
      </w:r>
      <w:r>
        <w:t xml:space="preserve">‘</w:t>
      </w:r>
      <w:r>
        <w:t xml:space="preserve">off the shelf</w:t>
      </w:r>
      <w:r>
        <w:t xml:space="preserve">’</w:t>
      </w:r>
      <w:r>
        <w:t xml:space="preserve"> </w:t>
      </w:r>
      <w:r>
        <w:t xml:space="preserve">software</w:t>
      </w:r>
      <w:r>
        <w:t xml:space="preserve">”</w:t>
      </w:r>
      <w:r>
        <w:t xml:space="preserve"> </w:t>
      </w:r>
      <w:r>
        <w:t xml:space="preserve">and says its licences</w:t>
      </w:r>
      <w:r>
        <w:t xml:space="preserve"> </w:t>
      </w:r>
      <w:r>
        <w:t xml:space="preserve">“</w:t>
      </w:r>
      <w:r>
        <w:t xml:space="preserve">are therefore non-recoverable for the purpose of COS VAT</w:t>
      </w:r>
      <w:r>
        <w:t xml:space="preserve">”</w:t>
      </w:r>
      <w:r>
        <w:t xml:space="preserve">. The only exception is where they are supplied as part of a qualifying IT system and are needed for it to function, together with renewals of those licences. HMRC expects this to apply</w:t>
      </w:r>
      <w:r>
        <w:t xml:space="preserve"> </w:t>
      </w:r>
      <w:r>
        <w:t xml:space="preserve">“</w:t>
      </w:r>
      <w:r>
        <w:t xml:space="preserve">only … in very limited circumstances</w:t>
      </w:r>
      <w:r>
        <w:t xml:space="preserve">”</w:t>
      </w:r>
      <w:r>
        <w:t xml:space="preserve"> </w:t>
      </w:r>
      <w:r>
        <w:t xml:space="preserve">(</w:t>
      </w:r>
      <w:hyperlink w:anchor="ref-hmrc_vatgpb">
        <w:r>
          <w:rPr>
            <w:rStyle w:val="Hyperlink"/>
          </w:rPr>
          <w:t xml:space="preserve">HMRC, 2026n, sec. VATGPB10020</w:t>
        </w:r>
      </w:hyperlink>
      <w:r>
        <w:t xml:space="preserve">)</w:t>
      </w:r>
      <w:r>
        <w:t xml:space="preserve">.</w:t>
      </w:r>
    </w:p>
    <w:p>
      <w:pPr>
        <w:pStyle w:val="Compact"/>
        <w:numPr>
          <w:ilvl w:val="0"/>
          <w:numId w:val="1430"/>
        </w:numPr>
      </w:pPr>
      <w:r>
        <w:rPr>
          <w:b/>
          <w:bCs/>
        </w:rPr>
        <w:t xml:space="preserve">Renewals:</w:t>
      </w:r>
      <w:r>
        <w:t xml:space="preserve"> </w:t>
      </w:r>
      <w:r>
        <w:t xml:space="preserve">renewals of previously recoverable licences are recoverable. If a renewal extends functionality, amounting to an upgrade, the</w:t>
      </w:r>
      <w:r>
        <w:t xml:space="preserve"> </w:t>
      </w:r>
      <w:r>
        <w:t xml:space="preserve">“</w:t>
      </w:r>
      <w:r>
        <w:t xml:space="preserve">to the specification</w:t>
      </w:r>
      <w:r>
        <w:t xml:space="preserve">”</w:t>
      </w:r>
      <w:r>
        <w:t xml:space="preserve"> </w:t>
      </w:r>
      <w:r>
        <w:t xml:space="preserve">test must be applied again</w:t>
      </w:r>
      <w:r>
        <w:t xml:space="preserve"> </w:t>
      </w:r>
      <w:r>
        <w:t xml:space="preserve">(</w:t>
      </w:r>
      <w:hyperlink w:anchor="ref-hmrc_vatgpb">
        <w:r>
          <w:rPr>
            <w:rStyle w:val="Hyperlink"/>
          </w:rPr>
          <w:t xml:space="preserve">HMRC, 2026n, sec. VATGPB10020</w:t>
        </w:r>
      </w:hyperlink>
      <w:r>
        <w:t xml:space="preserve">)</w:t>
      </w:r>
      <w:r>
        <w:t xml:space="preserve">.</w:t>
      </w:r>
    </w:p>
    <w:p>
      <w:pPr>
        <w:pStyle w:val="Compact"/>
        <w:numPr>
          <w:ilvl w:val="0"/>
          <w:numId w:val="1430"/>
        </w:numPr>
      </w:pPr>
      <w:r>
        <w:rPr>
          <w:b/>
          <w:bCs/>
        </w:rPr>
        <w:t xml:space="preserve">User extensions:</w:t>
      </w:r>
      <w:r>
        <w:t xml:space="preserve"> </w:t>
      </w:r>
      <w:r>
        <w:t xml:space="preserve">extending a previously recoverable licence to more users</w:t>
      </w:r>
      <w:r>
        <w:t xml:space="preserve"> </w:t>
      </w:r>
      <w:r>
        <w:t xml:space="preserve">“</w:t>
      </w:r>
      <w:r>
        <w:t xml:space="preserve">is still VAT recoverable</w:t>
      </w:r>
      <w:r>
        <w:t xml:space="preserve">”</w:t>
      </w:r>
      <w:r>
        <w:t xml:space="preserve"> </w:t>
      </w:r>
      <w:r>
        <w:t xml:space="preserve">(</w:t>
      </w:r>
      <w:hyperlink w:anchor="ref-hmrc_vatgpb">
        <w:r>
          <w:rPr>
            <w:rStyle w:val="Hyperlink"/>
          </w:rPr>
          <w:t xml:space="preserve">HMRC, 2026n, sec. VATGPB10020</w:t>
        </w:r>
      </w:hyperlink>
      <w:r>
        <w:t xml:space="preserve">)</w:t>
      </w:r>
      <w:r>
        <w:t xml:space="preserve">.</w:t>
      </w:r>
    </w:p>
    <w:p>
      <w:pPr>
        <w:pStyle w:val="FirstParagraph"/>
      </w:pPr>
      <w:r>
        <w:rPr>
          <w:b/>
          <w:bCs/>
        </w:rPr>
        <w:t xml:space="preserve">Includes:</w:t>
      </w:r>
    </w:p>
    <w:p>
      <w:pPr>
        <w:pStyle w:val="Compact"/>
        <w:numPr>
          <w:ilvl w:val="0"/>
          <w:numId w:val="1431"/>
        </w:numPr>
      </w:pPr>
      <w:r>
        <w:t xml:space="preserve">“</w:t>
      </w:r>
      <w:r>
        <w:t xml:space="preserve">The provision by one or more suppliers of an IT system either using the recipients’ own hardware or hardware provided by a supplier of qualifying services that form a part of the infrastructure.</w:t>
      </w:r>
      <w:r>
        <w:t xml:space="preserve">”</w:t>
      </w:r>
      <w:r>
        <w:t xml:space="preserve"> </w:t>
      </w:r>
      <w:r>
        <w:t xml:space="preserve">The management function can now be retained in-house.</w:t>
      </w:r>
    </w:p>
    <w:p>
      <w:pPr>
        <w:pStyle w:val="Compact"/>
        <w:numPr>
          <w:ilvl w:val="0"/>
          <w:numId w:val="1431"/>
        </w:numPr>
      </w:pPr>
      <w:r>
        <w:t xml:space="preserve">“</w:t>
      </w:r>
      <w:r>
        <w:t xml:space="preserve">Software support which forms part of an IT system package</w:t>
      </w:r>
      <w:r>
        <w:t xml:space="preserve">”</w:t>
      </w:r>
    </w:p>
    <w:p>
      <w:pPr>
        <w:pStyle w:val="Compact"/>
        <w:numPr>
          <w:ilvl w:val="0"/>
          <w:numId w:val="1431"/>
        </w:numPr>
      </w:pPr>
      <w:r>
        <w:t xml:space="preserve">“</w:t>
      </w:r>
      <w:r>
        <w:t xml:space="preserve">The development, implementation and support of bespoke software</w:t>
      </w:r>
      <w:r>
        <w:t xml:space="preserve">”</w:t>
      </w:r>
    </w:p>
    <w:p>
      <w:pPr>
        <w:pStyle w:val="Compact"/>
        <w:numPr>
          <w:ilvl w:val="0"/>
          <w:numId w:val="1431"/>
        </w:numPr>
      </w:pPr>
      <w:r>
        <w:t xml:space="preserve">“</w:t>
      </w:r>
      <w:r>
        <w:t xml:space="preserve">Hosting Computing Services, Archiving Communication Services, Data Communications Services, Desktop Communications Services, for example Picture Archiving Services (PACS), Ethernet cable/Data lines and Cloud computing when supplied as part of an IT system</w:t>
      </w:r>
      <w:r>
        <w:t xml:space="preserve">”</w:t>
      </w:r>
    </w:p>
    <w:p>
      <w:pPr>
        <w:pStyle w:val="Compact"/>
        <w:numPr>
          <w:ilvl w:val="0"/>
          <w:numId w:val="1431"/>
        </w:numPr>
      </w:pPr>
      <w:r>
        <w:t xml:space="preserve">“</w:t>
      </w:r>
      <w:r>
        <w:t xml:space="preserve">Computer consultants and other professionals where they are under the control and management of an outsourced provider and form a part of the overall procurement of an IT system designed to the department’s or trust’s specifications</w:t>
      </w:r>
      <w:r>
        <w:t xml:space="preserve">”</w:t>
      </w:r>
    </w:p>
    <w:p>
      <w:pPr>
        <w:pStyle w:val="Compact"/>
        <w:numPr>
          <w:ilvl w:val="0"/>
          <w:numId w:val="1431"/>
        </w:numPr>
      </w:pPr>
      <w:r>
        <w:t xml:space="preserve">“</w:t>
      </w:r>
      <w:r>
        <w:t xml:space="preserve">License fees (including those delivered electronically, or delivered in a package containing a voucher or code to be redeemed electronically)</w:t>
      </w:r>
      <w:r>
        <w:t xml:space="preserve">”</w:t>
      </w:r>
      <w:r>
        <w:t xml:space="preserve"> </w:t>
      </w:r>
      <w:r>
        <w:t xml:space="preserve">that are either:</w:t>
      </w:r>
    </w:p>
    <w:p>
      <w:pPr>
        <w:pStyle w:val="Compact"/>
        <w:numPr>
          <w:ilvl w:val="1"/>
          <w:numId w:val="1432"/>
        </w:numPr>
      </w:pPr>
      <w:r>
        <w:t xml:space="preserve">“</w:t>
      </w:r>
      <w:r>
        <w:t xml:space="preserve">supplied as an integral part of an IT system, whether for bespoke or off-the-shelf software</w:t>
      </w:r>
      <w:r>
        <w:t xml:space="preserve">”</w:t>
      </w:r>
      <w:r>
        <w:t xml:space="preserve">, or</w:t>
      </w:r>
    </w:p>
    <w:p>
      <w:pPr>
        <w:pStyle w:val="Compact"/>
        <w:numPr>
          <w:ilvl w:val="1"/>
          <w:numId w:val="1432"/>
        </w:numPr>
      </w:pPr>
      <w:r>
        <w:t xml:space="preserve">“</w:t>
      </w:r>
      <w:r>
        <w:t xml:space="preserve">for bespoke software</w:t>
      </w:r>
      <w:r>
        <w:t xml:space="preserve">”</w:t>
      </w:r>
    </w:p>
    <w:p>
      <w:pPr>
        <w:pStyle w:val="FirstParagraph"/>
      </w:pPr>
      <w:r>
        <w:rPr>
          <w:b/>
          <w:bCs/>
        </w:rPr>
        <w:t xml:space="preserve">Excludes:</w:t>
      </w:r>
    </w:p>
    <w:p>
      <w:pPr>
        <w:pStyle w:val="Compact"/>
        <w:numPr>
          <w:ilvl w:val="0"/>
          <w:numId w:val="1433"/>
        </w:numPr>
      </w:pPr>
      <w:r>
        <w:t xml:space="preserve">“</w:t>
      </w:r>
      <w:r>
        <w:t xml:space="preserve">The supply, license and/or support of off-the-shelf software</w:t>
      </w:r>
      <w:r>
        <w:t xml:space="preserve">”</w:t>
      </w:r>
    </w:p>
    <w:p>
      <w:pPr>
        <w:pStyle w:val="Compact"/>
        <w:numPr>
          <w:ilvl w:val="0"/>
          <w:numId w:val="1433"/>
        </w:numPr>
      </w:pPr>
      <w:r>
        <w:t xml:space="preserve">“</w:t>
      </w:r>
      <w:r>
        <w:t xml:space="preserve">The hire, installation or purchase of hardware alone</w:t>
      </w:r>
      <w:r>
        <w:t xml:space="preserve">”</w:t>
      </w:r>
    </w:p>
    <w:p>
      <w:pPr>
        <w:pStyle w:val="Compact"/>
        <w:numPr>
          <w:ilvl w:val="0"/>
          <w:numId w:val="1433"/>
        </w:numPr>
      </w:pPr>
      <w:r>
        <w:t xml:space="preserve">“</w:t>
      </w:r>
      <w:r>
        <w:t xml:space="preserve">Line rental as a separate supply</w:t>
      </w:r>
      <w:r>
        <w:t xml:space="preserve">”</w:t>
      </w:r>
    </w:p>
    <w:p>
      <w:pPr>
        <w:pStyle w:val="Compact"/>
        <w:numPr>
          <w:ilvl w:val="0"/>
          <w:numId w:val="1433"/>
        </w:numPr>
      </w:pPr>
      <w:r>
        <w:t xml:space="preserve">“</w:t>
      </w:r>
      <w:r>
        <w:t xml:space="preserve">Telephony, which includes Voice Over Internet Protocol (VOIP) and videoconferencing</w:t>
      </w:r>
      <w:r>
        <w:t xml:space="preserve">”</w:t>
      </w:r>
    </w:p>
    <w:p>
      <w:pPr>
        <w:pStyle w:val="Compact"/>
        <w:numPr>
          <w:ilvl w:val="0"/>
          <w:numId w:val="1433"/>
        </w:numPr>
      </w:pPr>
      <w:r>
        <w:t xml:space="preserve">“</w:t>
      </w:r>
      <w:r>
        <w:t xml:space="preserve">Blackberry mobile phones, which are a telephony service</w:t>
      </w:r>
      <w:r>
        <w:t xml:space="preserve">”</w:t>
      </w:r>
    </w:p>
    <w:p>
      <w:pPr>
        <w:pStyle w:val="Compact"/>
        <w:numPr>
          <w:ilvl w:val="0"/>
          <w:numId w:val="1433"/>
        </w:numPr>
      </w:pPr>
      <w:r>
        <w:t xml:space="preserve">“</w:t>
      </w:r>
      <w:r>
        <w:t xml:space="preserve">Hire of computer consultants to add expertise to in-house IT teams and controlled or managed by those teams. This is a supply of staff rather than of IT services.</w:t>
      </w:r>
      <w:r>
        <w:t xml:space="preserve">”</w:t>
      </w:r>
    </w:p>
    <w:p>
      <w:pPr>
        <w:pStyle w:val="Compact"/>
        <w:numPr>
          <w:ilvl w:val="0"/>
          <w:numId w:val="1433"/>
        </w:numPr>
      </w:pPr>
      <w:r>
        <w:t xml:space="preserve">“</w:t>
      </w:r>
      <w:r>
        <w:t xml:space="preserve">Web design where purchased as a stand-alone supply – this may be eligible for recovery under heading 49</w:t>
      </w:r>
      <w:r>
        <w:t xml:space="preserve">”</w:t>
      </w:r>
    </w:p>
    <w:p>
      <w:pPr>
        <w:pStyle w:val="FirstParagraph"/>
      </w:pPr>
      <w:r>
        <w:rPr>
          <w:b/>
          <w:bCs/>
        </w:rPr>
        <w:t xml:space="preserve">Examples for the Department:</w:t>
      </w:r>
    </w:p>
    <w:p>
      <w:pPr>
        <w:pStyle w:val="Compact"/>
        <w:numPr>
          <w:ilvl w:val="0"/>
          <w:numId w:val="1434"/>
        </w:numPr>
      </w:pPr>
      <w:r>
        <w:rPr>
          <w:b/>
          <w:bCs/>
        </w:rPr>
        <w:t xml:space="preserve">Claimable:</w:t>
      </w:r>
      <w:r>
        <w:t xml:space="preserve"> </w:t>
      </w:r>
      <w:r>
        <w:t xml:space="preserve">Two UK suppliers build a new learning-management system for the Department to book, track and record staff training, including courses from overseas providers. Department staff run design workshops, test early versions and change the specification as development goes on. The Department keeps the minutes, emails, project plan and progress reports. Hosting and an essential security licence are included in the procurement of the system. This shows</w:t>
      </w:r>
      <w:r>
        <w:t xml:space="preserve"> </w:t>
      </w:r>
      <w:r>
        <w:t xml:space="preserve">“</w:t>
      </w:r>
      <w:r>
        <w:t xml:space="preserve">substantial involvement</w:t>
      </w:r>
      <w:r>
        <w:t xml:space="preserve">”</w:t>
      </w:r>
      <w:r>
        <w:t xml:space="preserve">, so the system is bespoke. The security licence is</w:t>
      </w:r>
      <w:r>
        <w:t xml:space="preserve"> </w:t>
      </w:r>
      <w:r>
        <w:t xml:space="preserve">“</w:t>
      </w:r>
      <w:r>
        <w:t xml:space="preserve">integral</w:t>
      </w:r>
      <w:r>
        <w:t xml:space="preserve">”</w:t>
      </w:r>
      <w:r>
        <w:t xml:space="preserve">, so it and its later direct renewals are covered.</w:t>
      </w:r>
    </w:p>
    <w:p>
      <w:pPr>
        <w:pStyle w:val="Compact"/>
        <w:numPr>
          <w:ilvl w:val="0"/>
          <w:numId w:val="1434"/>
        </w:numPr>
      </w:pPr>
      <w:r>
        <w:rPr>
          <w:b/>
          <w:bCs/>
        </w:rPr>
        <w:t xml:space="preserve">Not claimable:</w:t>
      </w:r>
      <w:r>
        <w:t xml:space="preserve"> </w:t>
      </w:r>
      <w:r>
        <w:t xml:space="preserve">A subscription to an off-the-shelf e-learning platform that the supplier sets up with the Department’s logo and staff list. This is</w:t>
      </w:r>
      <w:r>
        <w:t xml:space="preserve"> </w:t>
      </w:r>
      <w:r>
        <w:t xml:space="preserve">“</w:t>
      </w:r>
      <w:r>
        <w:t xml:space="preserve">customisation</w:t>
      </w:r>
      <w:r>
        <w:t xml:space="preserve">”</w:t>
      </w:r>
      <w:r>
        <w:t xml:space="preserve"> </w:t>
      </w:r>
      <w:r>
        <w:t xml:space="preserve">or</w:t>
      </w:r>
      <w:r>
        <w:t xml:space="preserve"> </w:t>
      </w:r>
      <w:r>
        <w:t xml:space="preserve">“</w:t>
      </w:r>
      <w:r>
        <w:t xml:space="preserve">personalisation</w:t>
      </w:r>
      <w:r>
        <w:t xml:space="preserve">”</w:t>
      </w:r>
      <w:r>
        <w:t xml:space="preserve">, not substantial modification, so it is excluded off-the-shelf software. Whether any of the cost is really training is a separate question under Heading 65 (Training, tuition or education). That heading covers e-learning only where it requires</w:t>
      </w:r>
      <w:r>
        <w:t xml:space="preserve"> </w:t>
      </w:r>
      <w:r>
        <w:t xml:space="preserve">“</w:t>
      </w:r>
      <w:r>
        <w:t xml:space="preserve">a significant amount of interaction</w:t>
      </w:r>
      <w:r>
        <w:t xml:space="preserve">”</w:t>
      </w:r>
      <w:r>
        <w:t xml:space="preserve"> </w:t>
      </w:r>
      <w:r>
        <w:t xml:space="preserve">from the learner</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434"/>
        </w:numPr>
      </w:pPr>
      <w:r>
        <w:rPr>
          <w:b/>
          <w:bCs/>
        </w:rPr>
        <w:t xml:space="preserve">Not claimable:</w:t>
      </w:r>
      <w:r>
        <w:t xml:space="preserve"> </w:t>
      </w:r>
      <w:r>
        <w:t xml:space="preserve">Microsoft 365 licences for all staff, bought on their own. HMRC treats Microsoft 365 as off-the-shelf, and its licences are</w:t>
      </w:r>
      <w:r>
        <w:t xml:space="preserve"> </w:t>
      </w:r>
      <w:r>
        <w:t xml:space="preserve">“</w:t>
      </w:r>
      <w:r>
        <w:t xml:space="preserve">non-recoverable for the purpose of COS VAT</w:t>
      </w:r>
      <w:r>
        <w:t xml:space="preserve">”</w:t>
      </w:r>
      <w:r>
        <w:t xml:space="preserve">.</w:t>
      </w:r>
    </w:p>
    <w:p>
      <w:pPr>
        <w:pStyle w:val="Compact"/>
        <w:numPr>
          <w:ilvl w:val="0"/>
          <w:numId w:val="1434"/>
        </w:numPr>
      </w:pPr>
      <w:r>
        <w:rPr>
          <w:b/>
          <w:bCs/>
        </w:rPr>
        <w:t xml:space="preserve">Not claimable:</w:t>
      </w:r>
      <w:r>
        <w:t xml:space="preserve"> </w:t>
      </w:r>
      <w:r>
        <w:t xml:space="preserve">A videoconferencing service for meetings with overseas governments and staff posted abroad. Telephony</w:t>
      </w:r>
      <w:r>
        <w:t xml:space="preserve"> </w:t>
      </w:r>
      <w:r>
        <w:t xml:space="preserve">“</w:t>
      </w:r>
      <w:r>
        <w:t xml:space="preserve">includes … videoconferencing</w:t>
      </w:r>
      <w:r>
        <w:t xml:space="preserve">”</w:t>
      </w:r>
      <w:r>
        <w:t xml:space="preserve"> </w:t>
      </w:r>
      <w:r>
        <w:t xml:space="preserve">and is always excluded. Even inside a qualifying system, the telephony VAT must be apportioned out.</w:t>
      </w:r>
    </w:p>
    <w:p>
      <w:pPr>
        <w:pStyle w:val="FirstParagraph"/>
      </w:pPr>
      <w:r>
        <w:rPr>
          <w:b/>
          <w:bCs/>
        </w:rPr>
        <w:t xml:space="preserve">Source:</w:t>
      </w:r>
      <w:r>
        <w:t xml:space="preserve"> </w:t>
      </w:r>
      <w:r>
        <w:t xml:space="preserve">HMRC manual section VATGPB10010, page last updated 11 November 2025</w:t>
      </w:r>
      <w:r>
        <w:t xml:space="preserve"> </w:t>
      </w:r>
      <w:r>
        <w:t xml:space="preserve">(</w:t>
      </w:r>
      <w:hyperlink w:anchor="ref-hmrc_vatgpb">
        <w:r>
          <w:rPr>
            <w:rStyle w:val="Hyperlink"/>
          </w:rPr>
          <w:t xml:space="preserve">HMRC, 2026n, sec. VATGPB10010</w:t>
        </w:r>
      </w:hyperlink>
      <w:r>
        <w:t xml:space="preserve">)</w:t>
      </w:r>
      <w:r>
        <w:t xml:space="preserve">; and section VATGPB10020, page last updated 26 November 2025</w:t>
      </w:r>
      <w:r>
        <w:t xml:space="preserve"> </w:t>
      </w:r>
      <w:r>
        <w:t xml:space="preserve">(</w:t>
      </w:r>
      <w:hyperlink w:anchor="ref-hmrc_vatgpb">
        <w:r>
          <w:rPr>
            <w:rStyle w:val="Hyperlink"/>
          </w:rPr>
          <w:t xml:space="preserve">HMRC, 2026n, sec. VATGPB10020</w:t>
        </w:r>
      </w:hyperlink>
      <w:r>
        <w:t xml:space="preserve">)</w:t>
      </w:r>
      <w:r>
        <w:t xml:space="preserve">.</w:t>
      </w:r>
    </w:p>
    <w:bookmarkEnd w:id="271"/>
    <w:bookmarkStart w:id="272" w:name="X248fbb919b4d3a31f954deba94c6df77de5e904"/>
    <w:p>
      <w:pPr>
        <w:pStyle w:val="Heading3"/>
      </w:pPr>
      <w:r>
        <w:t xml:space="preserve">Heading 15: Conference and exhibition services</w:t>
      </w:r>
    </w:p>
    <w:p>
      <w:pPr>
        <w:pStyle w:val="FirstParagraph"/>
      </w:pPr>
      <w:r>
        <w:rPr>
          <w:b/>
          <w:bCs/>
        </w:rPr>
        <w:t xml:space="preserve">What it covers (HMRC’s description):</w:t>
      </w:r>
      <w:r>
        <w:t xml:space="preserve"> </w:t>
      </w:r>
      <w:r>
        <w:t xml:space="preserve">“</w:t>
      </w:r>
      <w:r>
        <w:t xml:space="preserve">This Heading covers conference and exhibition services.</w:t>
      </w:r>
      <w:r>
        <w:t xml:space="preserve">”</w:t>
      </w:r>
      <w:r>
        <w:t xml:space="preserve"> </w:t>
      </w:r>
      <w:r>
        <w:t xml:space="preserve">HMRC stresses that</w:t>
      </w:r>
      <w:r>
        <w:t xml:space="preserve"> </w:t>
      </w:r>
      <w:r>
        <w:t xml:space="preserve">“</w:t>
      </w:r>
      <w:r>
        <w:t xml:space="preserve">The keyword is</w:t>
      </w:r>
      <w:r>
        <w:t xml:space="preserve"> </w:t>
      </w:r>
      <w:r>
        <w:t xml:space="preserve">‘</w:t>
      </w:r>
      <w:r>
        <w:t xml:space="preserve">services</w:t>
      </w:r>
      <w:r>
        <w:t xml:space="preserve">’</w:t>
      </w:r>
      <w:r>
        <w:t xml:space="preserve">”</w:t>
      </w:r>
      <w:r>
        <w:t xml:space="preserve">. To qualify, the department</w:t>
      </w:r>
      <w:r>
        <w:t xml:space="preserve"> </w:t>
      </w:r>
      <w:r>
        <w:t xml:space="preserve">“</w:t>
      </w:r>
      <w:r>
        <w:t xml:space="preserve">must be receiving more than a supply of accommodation and catering, and the services must be in connection with their non-business activities</w:t>
      </w:r>
      <w:r>
        <w:t xml:space="preserve">”</w:t>
      </w:r>
      <w:r>
        <w:t xml:space="preserve"> </w:t>
      </w:r>
      <w:r>
        <w:t xml:space="preserve">(</w:t>
      </w:r>
      <w:hyperlink w:anchor="ref-hmrc_vatgpb">
        <w:r>
          <w:rPr>
            <w:rStyle w:val="Hyperlink"/>
          </w:rPr>
          <w:t xml:space="preserve">HMRC, 2026n, sec. VATGPB10030</w:t>
        </w:r>
      </w:hyperlink>
      <w:r>
        <w:t xml:space="preserve">)</w:t>
      </w:r>
      <w:r>
        <w:t xml:space="preserve">.</w:t>
      </w:r>
    </w:p>
    <w:p>
      <w:pPr>
        <w:pStyle w:val="BodyText"/>
      </w:pPr>
      <w:r>
        <w:rPr>
          <w:b/>
          <w:bCs/>
        </w:rPr>
        <w:t xml:space="preserve">Includes:</w:t>
      </w:r>
    </w:p>
    <w:p>
      <w:pPr>
        <w:pStyle w:val="Compact"/>
        <w:numPr>
          <w:ilvl w:val="0"/>
          <w:numId w:val="1435"/>
        </w:numPr>
      </w:pPr>
      <w:r>
        <w:t xml:space="preserve">“</w:t>
      </w:r>
      <w:r>
        <w:t xml:space="preserve">A composite service which could include supplies of staff, hire of venue, equipment, hotel accommodation, catering etc.</w:t>
      </w:r>
      <w:r>
        <w:t xml:space="preserve">”</w:t>
      </w:r>
    </w:p>
    <w:p>
      <w:pPr>
        <w:pStyle w:val="Compact"/>
        <w:numPr>
          <w:ilvl w:val="0"/>
          <w:numId w:val="1435"/>
        </w:numPr>
      </w:pPr>
      <w:r>
        <w:t xml:space="preserve">“</w:t>
      </w:r>
      <w:r>
        <w:t xml:space="preserve">Hire of exhibition space and associated services</w:t>
      </w:r>
      <w:r>
        <w:t xml:space="preserve">”</w:t>
      </w:r>
    </w:p>
    <w:p>
      <w:pPr>
        <w:pStyle w:val="Compact"/>
        <w:numPr>
          <w:ilvl w:val="0"/>
          <w:numId w:val="1435"/>
        </w:numPr>
      </w:pPr>
      <w:r>
        <w:t xml:space="preserve">“</w:t>
      </w:r>
      <w:r>
        <w:t xml:space="preserve">Hire of conference stands and associated services</w:t>
      </w:r>
      <w:r>
        <w:t xml:space="preserve">”</w:t>
      </w:r>
    </w:p>
    <w:p>
      <w:pPr>
        <w:pStyle w:val="FirstParagraph"/>
      </w:pPr>
      <w:r>
        <w:rPr>
          <w:b/>
          <w:bCs/>
        </w:rPr>
        <w:t xml:space="preserve">Excludes:</w:t>
      </w:r>
    </w:p>
    <w:p>
      <w:pPr>
        <w:pStyle w:val="Compact"/>
        <w:numPr>
          <w:ilvl w:val="0"/>
          <w:numId w:val="1436"/>
        </w:numPr>
      </w:pPr>
      <w:r>
        <w:t xml:space="preserve">“</w:t>
      </w:r>
      <w:r>
        <w:t xml:space="preserve">The hire of venues alone</w:t>
      </w:r>
      <w:r>
        <w:t xml:space="preserve">”</w:t>
      </w:r>
    </w:p>
    <w:p>
      <w:pPr>
        <w:pStyle w:val="Compact"/>
        <w:numPr>
          <w:ilvl w:val="0"/>
          <w:numId w:val="1436"/>
        </w:numPr>
      </w:pPr>
      <w:r>
        <w:t xml:space="preserve">“</w:t>
      </w:r>
      <w:r>
        <w:t xml:space="preserve">The hire of hotel accommodation on its own</w:t>
      </w:r>
      <w:r>
        <w:t xml:space="preserve">”</w:t>
      </w:r>
    </w:p>
    <w:p>
      <w:pPr>
        <w:pStyle w:val="FirstParagraph"/>
      </w:pPr>
      <w:r>
        <w:rPr>
          <w:b/>
          <w:bCs/>
        </w:rPr>
        <w:t xml:space="preserve">Examples for the Department:</w:t>
      </w:r>
    </w:p>
    <w:p>
      <w:pPr>
        <w:pStyle w:val="Compact"/>
        <w:numPr>
          <w:ilvl w:val="0"/>
          <w:numId w:val="1437"/>
        </w:numPr>
      </w:pPr>
      <w:r>
        <w:rPr>
          <w:b/>
          <w:bCs/>
        </w:rPr>
        <w:t xml:space="preserve">Claimable:</w:t>
      </w:r>
      <w:r>
        <w:t xml:space="preserve"> </w:t>
      </w:r>
      <w:r>
        <w:t xml:space="preserve">A UK events company provides a package for a three-day workshop in London for officials from an overseas government, as part of a capability-building programme. The package covers venue, staff, audio-visual equipment and catering during the workshop. No overnight rooms are included. The Department funds it and does not charge the overseas government. This is</w:t>
      </w:r>
      <w:r>
        <w:t xml:space="preserve"> </w:t>
      </w:r>
      <w:r>
        <w:t xml:space="preserve">“</w:t>
      </w:r>
      <w:r>
        <w:t xml:space="preserve">A composite service</w:t>
      </w:r>
      <w:r>
        <w:t xml:space="preserve">”</w:t>
      </w:r>
      <w:r>
        <w:t xml:space="preserve"> </w:t>
      </w:r>
      <w:r>
        <w:t xml:space="preserve">bought for non-business purposes.</w:t>
      </w:r>
    </w:p>
    <w:p>
      <w:pPr>
        <w:pStyle w:val="Compact"/>
        <w:numPr>
          <w:ilvl w:val="0"/>
          <w:numId w:val="1437"/>
        </w:numPr>
      </w:pPr>
      <w:r>
        <w:rPr>
          <w:b/>
          <w:bCs/>
        </w:rPr>
        <w:t xml:space="preserve">Check first:</w:t>
      </w:r>
      <w:r>
        <w:t xml:space="preserve"> </w:t>
      </w:r>
      <w:r>
        <w:t xml:space="preserve">Watch out for accommodation. HMRC lists hotel accommodation as a possible part of the composite service, but a refund still needs UK VAT shown on a valid VAT invoice (see Part 5, Evidence: the VAT invoice). If the organiser buys in hotel rooms or transport and resells them to the Department as part of the package, it must account for the whole package under the Tour Operators’ Margin Scheme (TOMS)</w:t>
      </w:r>
      <w:r>
        <w:t xml:space="preserve"> </w:t>
      </w:r>
      <w:r>
        <w:t xml:space="preserve">(</w:t>
      </w:r>
      <w:hyperlink w:anchor="ref-hmrc_n7095">
        <w:r>
          <w:rPr>
            <w:rStyle w:val="Hyperlink"/>
          </w:rPr>
          <w:t xml:space="preserve">HMRC, 2024e</w:t>
        </w:r>
      </w:hyperlink>
      <w:r>
        <w:t xml:space="preserve">, paras. 2.2, 2.13 and 7.13)</w:t>
      </w:r>
      <w:r>
        <w:t xml:space="preserve">. It cannot then issue a VAT invoice</w:t>
      </w:r>
      <w:r>
        <w:t xml:space="preserve"> </w:t>
      </w:r>
      <w:r>
        <w:t xml:space="preserve">(</w:t>
      </w:r>
      <w:hyperlink w:anchor="ref-hmrc_n7095">
        <w:r>
          <w:rPr>
            <w:rStyle w:val="Hyperlink"/>
          </w:rPr>
          <w:t xml:space="preserve">HMRC, 2024e, para. 4.19</w:t>
        </w:r>
      </w:hyperlink>
      <w:r>
        <w:t xml:space="preserve">)</w:t>
      </w:r>
      <w:r>
        <w:t xml:space="preserve">, so there is nothing to claim. In practice, rooms can only be part of a claim where the Department buys the package from a venue that supplies its own rooms (an</w:t>
      </w:r>
      <w:r>
        <w:t xml:space="preserve"> </w:t>
      </w:r>
      <w:r>
        <w:t xml:space="preserve">“</w:t>
      </w:r>
      <w:r>
        <w:t xml:space="preserve">in-house</w:t>
      </w:r>
      <w:r>
        <w:t xml:space="preserve">”</w:t>
      </w:r>
      <w:r>
        <w:t xml:space="preserve"> </w:t>
      </w:r>
      <w:r>
        <w:t xml:space="preserve">supply)</w:t>
      </w:r>
      <w:r>
        <w:t xml:space="preserve"> </w:t>
      </w:r>
      <w:r>
        <w:t xml:space="preserve">(</w:t>
      </w:r>
      <w:hyperlink w:anchor="ref-hmrc_n7095">
        <w:r>
          <w:rPr>
            <w:rStyle w:val="Hyperlink"/>
          </w:rPr>
          <w:t xml:space="preserve">HMRC, 2024e</w:t>
        </w:r>
      </w:hyperlink>
      <w:r>
        <w:t xml:space="preserve">, paras. 2.12, 7.6)</w:t>
      </w:r>
      <w:r>
        <w:t xml:space="preserve">. Otherwise, book the rooms separately and treat the hotel VAT as a cost, as the next example shows.</w:t>
      </w:r>
    </w:p>
    <w:p>
      <w:pPr>
        <w:pStyle w:val="Compact"/>
        <w:numPr>
          <w:ilvl w:val="0"/>
          <w:numId w:val="1437"/>
        </w:numPr>
      </w:pPr>
      <w:r>
        <w:rPr>
          <w:b/>
          <w:bCs/>
        </w:rPr>
        <w:t xml:space="preserve">Not claimable:</w:t>
      </w:r>
      <w:r>
        <w:t xml:space="preserve"> </w:t>
      </w:r>
      <w:r>
        <w:t xml:space="preserve">Hotel rooms booked on their own for staff attending a UK conference.</w:t>
      </w:r>
      <w:r>
        <w:t xml:space="preserve"> </w:t>
      </w:r>
      <w:r>
        <w:t xml:space="preserve">“</w:t>
      </w:r>
      <w:r>
        <w:t xml:space="preserve">The hire of hotel accommodation on its own</w:t>
      </w:r>
      <w:r>
        <w:t xml:space="preserve">”</w:t>
      </w:r>
      <w:r>
        <w:t xml:space="preserve"> </w:t>
      </w:r>
      <w:r>
        <w:t xml:space="preserve">is excluded.</w:t>
      </w:r>
    </w:p>
    <w:p>
      <w:pPr>
        <w:pStyle w:val="Compact"/>
        <w:numPr>
          <w:ilvl w:val="0"/>
          <w:numId w:val="1437"/>
        </w:numPr>
      </w:pPr>
      <w:r>
        <w:rPr>
          <w:b/>
          <w:bCs/>
        </w:rPr>
        <w:t xml:space="preserve">Not claimable:</w:t>
      </w:r>
      <w:r>
        <w:t xml:space="preserve"> </w:t>
      </w:r>
      <w:r>
        <w:t xml:space="preserve">The delegate fee for a staff member attending a conference abroad, charged with the host country’s VAT. Admission to a conference is taxed where the event takes place</w:t>
      </w:r>
      <w:r>
        <w:t xml:space="preserve"> </w:t>
      </w:r>
      <w:r>
        <w:t xml:space="preserve">(</w:t>
      </w:r>
      <w:hyperlink w:anchor="ref-hmrc_n741a">
        <w:r>
          <w:rPr>
            <w:rStyle w:val="Hyperlink"/>
          </w:rPr>
          <w:t xml:space="preserve">HMRC, 2022d</w:t>
        </w:r>
      </w:hyperlink>
      <w:r>
        <w:t xml:space="preserve">, paras. 9.2, 9.3)</w:t>
      </w:r>
      <w:r>
        <w:t xml:space="preserve">, so this is foreign VAT and cannot be claimed under COS (Value Added Tax Act 1994, s. 41(3)).</w:t>
      </w:r>
    </w:p>
    <w:p>
      <w:pPr>
        <w:pStyle w:val="Compact"/>
        <w:numPr>
          <w:ilvl w:val="0"/>
          <w:numId w:val="1437"/>
        </w:numPr>
      </w:pPr>
      <w:r>
        <w:rPr>
          <w:b/>
          <w:bCs/>
        </w:rPr>
        <w:t xml:space="preserve">Not claimable:</w:t>
      </w:r>
      <w:r>
        <w:t xml:space="preserve"> </w:t>
      </w:r>
      <w:r>
        <w:t xml:space="preserve">An exhibition stand at a trade fair where the Department is trying to sell surplus equipment and data licences to overseas buyers. The purpose is selling, which is business, so COS cannot be used. Any UK VAT goes through the normal input tax rules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VATGPB10030, page last updated 7 January 2016</w:t>
      </w:r>
      <w:r>
        <w:t xml:space="preserve"> </w:t>
      </w:r>
      <w:r>
        <w:t xml:space="preserve">(</w:t>
      </w:r>
      <w:hyperlink w:anchor="ref-hmrc_vatgpb">
        <w:r>
          <w:rPr>
            <w:rStyle w:val="Hyperlink"/>
          </w:rPr>
          <w:t xml:space="preserve">HMRC, 2026n, sec. VATGPB10030</w:t>
        </w:r>
      </w:hyperlink>
      <w:r>
        <w:t xml:space="preserve">)</w:t>
      </w:r>
      <w:r>
        <w:t xml:space="preserve">.</w:t>
      </w:r>
    </w:p>
    <w:bookmarkEnd w:id="272"/>
    <w:bookmarkStart w:id="273" w:name="heading-16-debt-collection"/>
    <w:p>
      <w:pPr>
        <w:pStyle w:val="Heading3"/>
      </w:pPr>
      <w:r>
        <w:t xml:space="preserve">Heading 16: Debt collection</w:t>
      </w:r>
    </w:p>
    <w:p>
      <w:pPr>
        <w:pStyle w:val="FirstParagraph"/>
      </w:pPr>
      <w:r>
        <w:rPr>
          <w:b/>
          <w:bCs/>
        </w:rPr>
        <w:t xml:space="preserve">What it covers (HMRC’s description):</w:t>
      </w:r>
      <w:r>
        <w:t xml:space="preserve"> </w:t>
      </w:r>
      <w:r>
        <w:t xml:space="preserve">“</w:t>
      </w:r>
      <w:r>
        <w:t xml:space="preserve">This Heading covers debt collection services supplied to a government department or health authority.</w:t>
      </w:r>
      <w:r>
        <w:t xml:space="preserve">”</w:t>
      </w:r>
      <w:r>
        <w:t xml:space="preserve"> </w:t>
      </w:r>
      <w:r>
        <w:t xml:space="preserve">HMRC’s manual gives no further detail beyond the list below</w:t>
      </w:r>
      <w:r>
        <w:t xml:space="preserve"> </w:t>
      </w:r>
      <w:r>
        <w:t xml:space="preserve">(</w:t>
      </w:r>
      <w:hyperlink w:anchor="ref-hmrc_vatgpb">
        <w:r>
          <w:rPr>
            <w:rStyle w:val="Hyperlink"/>
          </w:rPr>
          <w:t xml:space="preserve">HMRC, 2026n, sec. VATGPB10050</w:t>
        </w:r>
      </w:hyperlink>
      <w:r>
        <w:t xml:space="preserve">)</w:t>
      </w:r>
      <w:r>
        <w:t xml:space="preserve">.</w:t>
      </w:r>
    </w:p>
    <w:p>
      <w:pPr>
        <w:pStyle w:val="BodyText"/>
      </w:pPr>
      <w:r>
        <w:rPr>
          <w:b/>
          <w:bCs/>
        </w:rPr>
        <w:t xml:space="preserve">Includes:</w:t>
      </w:r>
    </w:p>
    <w:p>
      <w:pPr>
        <w:pStyle w:val="Compact"/>
        <w:numPr>
          <w:ilvl w:val="0"/>
          <w:numId w:val="1438"/>
        </w:numPr>
      </w:pPr>
      <w:r>
        <w:t xml:space="preserve">“</w:t>
      </w:r>
      <w:r>
        <w:t xml:space="preserve">The provision of services by a professional debt collection agency</w:t>
      </w:r>
      <w:r>
        <w:t xml:space="preserve">”</w:t>
      </w:r>
    </w:p>
    <w:p>
      <w:pPr>
        <w:pStyle w:val="Compact"/>
        <w:numPr>
          <w:ilvl w:val="0"/>
          <w:numId w:val="1438"/>
        </w:numPr>
      </w:pPr>
      <w:r>
        <w:t xml:space="preserve">“</w:t>
      </w:r>
      <w:r>
        <w:t xml:space="preserve">Bailiff services</w:t>
      </w:r>
      <w:r>
        <w:t xml:space="preserve">”</w:t>
      </w:r>
    </w:p>
    <w:p>
      <w:pPr>
        <w:pStyle w:val="FirstParagraph"/>
      </w:pPr>
      <w:r>
        <w:rPr>
          <w:b/>
          <w:bCs/>
        </w:rPr>
        <w:t xml:space="preserve">Examples for the Department:</w:t>
      </w:r>
    </w:p>
    <w:p>
      <w:pPr>
        <w:pStyle w:val="Compact"/>
        <w:numPr>
          <w:ilvl w:val="0"/>
          <w:numId w:val="1439"/>
        </w:numPr>
      </w:pPr>
      <w:r>
        <w:rPr>
          <w:b/>
          <w:bCs/>
        </w:rPr>
        <w:t xml:space="preserve">Claimable:</w:t>
      </w:r>
      <w:r>
        <w:t xml:space="preserve"> </w:t>
      </w:r>
      <w:r>
        <w:t xml:space="preserve">A debt collection agency recovers overpaid salary and unrecovered relocation advances from former staff who left an overseas posting early. This is a non-business debt, and the service is</w:t>
      </w:r>
      <w:r>
        <w:t xml:space="preserve"> </w:t>
      </w:r>
      <w:r>
        <w:t xml:space="preserve">“</w:t>
      </w:r>
      <w:r>
        <w:t xml:space="preserve">services by a professional debt collection agency</w:t>
      </w:r>
      <w:r>
        <w:t xml:space="preserve">”</w:t>
      </w:r>
      <w:r>
        <w:t xml:space="preserve">.</w:t>
      </w:r>
    </w:p>
    <w:p>
      <w:pPr>
        <w:pStyle w:val="Compact"/>
        <w:numPr>
          <w:ilvl w:val="0"/>
          <w:numId w:val="1439"/>
        </w:numPr>
      </w:pPr>
      <w:r>
        <w:rPr>
          <w:b/>
          <w:bCs/>
        </w:rPr>
        <w:t xml:space="preserve">Claimable:</w:t>
      </w:r>
      <w:r>
        <w:t xml:space="preserve"> </w:t>
      </w:r>
      <w:r>
        <w:t xml:space="preserve">Bailiffs enforce recovery of a debt owed to the Department from its non-business activities.</w:t>
      </w:r>
      <w:r>
        <w:t xml:space="preserve"> </w:t>
      </w:r>
      <w:r>
        <w:t xml:space="preserve">“</w:t>
      </w:r>
      <w:r>
        <w:t xml:space="preserve">Bailiff services</w:t>
      </w:r>
      <w:r>
        <w:t xml:space="preserve">”</w:t>
      </w:r>
      <w:r>
        <w:t xml:space="preserve"> </w:t>
      </w:r>
      <w:r>
        <w:t xml:space="preserve">are listed.</w:t>
      </w:r>
    </w:p>
    <w:p>
      <w:pPr>
        <w:pStyle w:val="Compact"/>
        <w:numPr>
          <w:ilvl w:val="0"/>
          <w:numId w:val="1439"/>
        </w:numPr>
      </w:pPr>
      <w:r>
        <w:rPr>
          <w:b/>
          <w:bCs/>
        </w:rPr>
        <w:t xml:space="preserve">Not claimable:</w:t>
      </w:r>
      <w:r>
        <w:t xml:space="preserve"> </w:t>
      </w:r>
      <w:r>
        <w:t xml:space="preserve">An agency chases overseas customers who have not paid for surplus equipment or data licences. The debts come from business sales, so the collection cost relates to a business activity and goes through the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VATGPB10050, page last updated 15 December 2016</w:t>
      </w:r>
      <w:r>
        <w:t xml:space="preserve"> </w:t>
      </w:r>
      <w:r>
        <w:t xml:space="preserve">(</w:t>
      </w:r>
      <w:hyperlink w:anchor="ref-hmrc_vatgpb">
        <w:r>
          <w:rPr>
            <w:rStyle w:val="Hyperlink"/>
          </w:rPr>
          <w:t xml:space="preserve">HMRC, 2026n, sec. VATGPB10050</w:t>
        </w:r>
      </w:hyperlink>
      <w:r>
        <w:t xml:space="preserve">)</w:t>
      </w:r>
      <w:r>
        <w:t xml:space="preserve">.</w:t>
      </w:r>
    </w:p>
    <w:bookmarkEnd w:id="273"/>
    <w:bookmarkStart w:id="274" w:name="Xfc1446659aa033301aec6329268aa8c887013d8"/>
    <w:p>
      <w:pPr>
        <w:pStyle w:val="Heading3"/>
      </w:pPr>
      <w:r>
        <w:t xml:space="preserve">Heading 17: Departmental staff records and payroll systems including administration and payment of pensions</w:t>
      </w:r>
    </w:p>
    <w:p>
      <w:pPr>
        <w:pStyle w:val="FirstParagraph"/>
      </w:pPr>
      <w:r>
        <w:rPr>
          <w:b/>
          <w:bCs/>
        </w:rPr>
        <w:t xml:space="preserve">What it covers (HMRC’s description):</w:t>
      </w:r>
      <w:r>
        <w:t xml:space="preserve"> </w:t>
      </w:r>
      <w:r>
        <w:t xml:space="preserve">“</w:t>
      </w:r>
      <w:r>
        <w:t xml:space="preserve">This Heading allows recovery on the provision of services for departmental staff records and payroll systems, including administration and payment of pensions</w:t>
      </w:r>
      <w:r>
        <w:t xml:space="preserve">”</w:t>
      </w:r>
      <w:r>
        <w:t xml:space="preserve"> </w:t>
      </w:r>
      <w:r>
        <w:t xml:space="preserve">(</w:t>
      </w:r>
      <w:hyperlink w:anchor="ref-hmrc_vatgpb">
        <w:r>
          <w:rPr>
            <w:rStyle w:val="Hyperlink"/>
          </w:rPr>
          <w:t xml:space="preserve">HMRC, 2026n, sec. VATGPB10070</w:t>
        </w:r>
      </w:hyperlink>
      <w:r>
        <w:t xml:space="preserve">)</w:t>
      </w:r>
      <w:r>
        <w:t xml:space="preserve">.</w:t>
      </w:r>
    </w:p>
    <w:p>
      <w:pPr>
        <w:pStyle w:val="BodyText"/>
      </w:pPr>
      <w:r>
        <w:rPr>
          <w:b/>
          <w:bCs/>
        </w:rPr>
        <w:t xml:space="preserve">Includes:</w:t>
      </w:r>
    </w:p>
    <w:p>
      <w:pPr>
        <w:pStyle w:val="Compact"/>
        <w:numPr>
          <w:ilvl w:val="0"/>
          <w:numId w:val="1440"/>
        </w:numPr>
      </w:pPr>
      <w:r>
        <w:t xml:space="preserve">“</w:t>
      </w:r>
      <w:r>
        <w:t xml:space="preserve">Where you employ the services of outside contractors to deal with departmental personnel services, staff records and payroll systems</w:t>
      </w:r>
      <w:r>
        <w:t xml:space="preserve">”</w:t>
      </w:r>
    </w:p>
    <w:p>
      <w:pPr>
        <w:pStyle w:val="Compact"/>
        <w:numPr>
          <w:ilvl w:val="0"/>
          <w:numId w:val="1440"/>
        </w:numPr>
      </w:pPr>
      <w:r>
        <w:t xml:space="preserve">“</w:t>
      </w:r>
      <w:r>
        <w:t xml:space="preserve">Expert Actuary Services in respect of pensions</w:t>
      </w:r>
      <w:r>
        <w:t xml:space="preserve">”</w:t>
      </w:r>
    </w:p>
    <w:p>
      <w:pPr>
        <w:pStyle w:val="Compact"/>
        <w:numPr>
          <w:ilvl w:val="0"/>
          <w:numId w:val="1440"/>
        </w:numPr>
      </w:pPr>
      <w:r>
        <w:t xml:space="preserve">“</w:t>
      </w:r>
      <w:r>
        <w:t xml:space="preserve">Supplies by Civil Service Pensions and similar bodies</w:t>
      </w:r>
      <w:r>
        <w:t xml:space="preserve">”</w:t>
      </w:r>
    </w:p>
    <w:p>
      <w:pPr>
        <w:pStyle w:val="Compact"/>
        <w:numPr>
          <w:ilvl w:val="0"/>
          <w:numId w:val="1440"/>
        </w:numPr>
      </w:pPr>
      <w:r>
        <w:t xml:space="preserve">“</w:t>
      </w:r>
      <w:r>
        <w:t xml:space="preserve">Services supplied by the Government Actuarial Departments</w:t>
      </w:r>
      <w:r>
        <w:t xml:space="preserve">”</w:t>
      </w:r>
    </w:p>
    <w:p>
      <w:pPr>
        <w:pStyle w:val="FirstParagraph"/>
      </w:pPr>
      <w:r>
        <w:rPr>
          <w:b/>
          <w:bCs/>
        </w:rPr>
        <w:t xml:space="preserve">Excludes:</w:t>
      </w:r>
    </w:p>
    <w:p>
      <w:pPr>
        <w:pStyle w:val="Compact"/>
        <w:numPr>
          <w:ilvl w:val="0"/>
          <w:numId w:val="1441"/>
        </w:numPr>
      </w:pPr>
      <w:r>
        <w:t xml:space="preserve">“</w:t>
      </w:r>
      <w:r>
        <w:t xml:space="preserve">Management of child care vouchers</w:t>
      </w:r>
      <w:r>
        <w:t xml:space="preserve">”</w:t>
      </w:r>
    </w:p>
    <w:p>
      <w:pPr>
        <w:pStyle w:val="FirstParagraph"/>
      </w:pPr>
      <w:r>
        <w:rPr>
          <w:b/>
          <w:bCs/>
        </w:rPr>
        <w:t xml:space="preserve">Examples for the Department:</w:t>
      </w:r>
    </w:p>
    <w:p>
      <w:pPr>
        <w:pStyle w:val="Compact"/>
        <w:numPr>
          <w:ilvl w:val="0"/>
          <w:numId w:val="1442"/>
        </w:numPr>
      </w:pPr>
      <w:r>
        <w:rPr>
          <w:b/>
          <w:bCs/>
        </w:rPr>
        <w:t xml:space="preserve">Claimable:</w:t>
      </w:r>
      <w:r>
        <w:t xml:space="preserve"> </w:t>
      </w:r>
      <w:r>
        <w:t xml:space="preserve">An outsourced provider runs payroll for all Department staff, including overseas allowances for staff on postings, and keeps HR records. These are</w:t>
      </w:r>
      <w:r>
        <w:t xml:space="preserve"> </w:t>
      </w:r>
      <w:r>
        <w:t xml:space="preserve">“</w:t>
      </w:r>
      <w:r>
        <w:t xml:space="preserve">outside contractors to deal with departmental personnel services, staff records and payroll systems</w:t>
      </w:r>
      <w:r>
        <w:t xml:space="preserve">”</w:t>
      </w:r>
      <w:r>
        <w:t xml:space="preserve">.</w:t>
      </w:r>
    </w:p>
    <w:p>
      <w:pPr>
        <w:pStyle w:val="Compact"/>
        <w:numPr>
          <w:ilvl w:val="0"/>
          <w:numId w:val="1442"/>
        </w:numPr>
      </w:pPr>
      <w:r>
        <w:rPr>
          <w:b/>
          <w:bCs/>
        </w:rPr>
        <w:t xml:space="preserve">Claimable:</w:t>
      </w:r>
      <w:r>
        <w:t xml:space="preserve"> </w:t>
      </w:r>
      <w:r>
        <w:t xml:space="preserve">An actuary advises on the Department’s pension arrangements. This is</w:t>
      </w:r>
      <w:r>
        <w:t xml:space="preserve"> </w:t>
      </w:r>
      <w:r>
        <w:t xml:space="preserve">“</w:t>
      </w:r>
      <w:r>
        <w:t xml:space="preserve">Expert Actuary Services in respect of pensions</w:t>
      </w:r>
      <w:r>
        <w:t xml:space="preserve">”</w:t>
      </w:r>
      <w:r>
        <w:t xml:space="preserve">.</w:t>
      </w:r>
    </w:p>
    <w:p>
      <w:pPr>
        <w:pStyle w:val="Compact"/>
        <w:numPr>
          <w:ilvl w:val="0"/>
          <w:numId w:val="1442"/>
        </w:numPr>
      </w:pPr>
      <w:r>
        <w:rPr>
          <w:b/>
          <w:bCs/>
        </w:rPr>
        <w:t xml:space="preserve">Not claimable:</w:t>
      </w:r>
      <w:r>
        <w:t xml:space="preserve"> </w:t>
      </w:r>
      <w:r>
        <w:t xml:space="preserve">The payroll provider charges an extra fee for running the staff childcare voucher scheme.</w:t>
      </w:r>
      <w:r>
        <w:t xml:space="preserve"> </w:t>
      </w:r>
      <w:r>
        <w:t xml:space="preserve">“</w:t>
      </w:r>
      <w:r>
        <w:t xml:space="preserve">Management of child care vouchers</w:t>
      </w:r>
      <w:r>
        <w:t xml:space="preserve">”</w:t>
      </w:r>
      <w:r>
        <w:t xml:space="preserve"> </w:t>
      </w:r>
      <w:r>
        <w:t xml:space="preserve">is excluded.</w:t>
      </w:r>
    </w:p>
    <w:p>
      <w:pPr>
        <w:pStyle w:val="FirstParagraph"/>
      </w:pPr>
      <w:r>
        <w:rPr>
          <w:b/>
          <w:bCs/>
        </w:rPr>
        <w:t xml:space="preserve">Source:</w:t>
      </w:r>
      <w:r>
        <w:t xml:space="preserve"> </w:t>
      </w:r>
      <w:r>
        <w:t xml:space="preserve">HMRC manual section VATGPB10070, page last updated 7 January 2016</w:t>
      </w:r>
      <w:r>
        <w:t xml:space="preserve"> </w:t>
      </w:r>
      <w:r>
        <w:t xml:space="preserve">(</w:t>
      </w:r>
      <w:hyperlink w:anchor="ref-hmrc_vatgpb">
        <w:r>
          <w:rPr>
            <w:rStyle w:val="Hyperlink"/>
          </w:rPr>
          <w:t xml:space="preserve">HMRC, 2026n, sec. VATGPB10070</w:t>
        </w:r>
      </w:hyperlink>
      <w:r>
        <w:t xml:space="preserve">)</w:t>
      </w:r>
      <w:r>
        <w:t xml:space="preserve">.</w:t>
      </w:r>
    </w:p>
    <w:bookmarkEnd w:id="274"/>
    <w:bookmarkStart w:id="275" w:name="Xd4c9c6d3eb51e20616379b2394a74b0c9528326"/>
    <w:p>
      <w:pPr>
        <w:pStyle w:val="Heading3"/>
      </w:pPr>
      <w:r>
        <w:t xml:space="preserve">Heading 18: Employment advisory services as directed by the Race Relations Act 1976</w:t>
      </w:r>
    </w:p>
    <w:p>
      <w:pPr>
        <w:pStyle w:val="FirstParagraph"/>
      </w:pPr>
      <w:r>
        <w:rPr>
          <w:b/>
          <w:bCs/>
        </w:rPr>
        <w:t xml:space="preserve">What it covers (HMRC’s description):</w:t>
      </w:r>
      <w:r>
        <w:t xml:space="preserve"> </w:t>
      </w:r>
      <w:r>
        <w:t xml:space="preserve">“</w:t>
      </w:r>
      <w:r>
        <w:t xml:space="preserve">The Race Relations Act 1976 has been repealed, therefore under this Heading you can recover employment advisory services as directed by the Equality Act 2010.</w:t>
      </w:r>
      <w:r>
        <w:t xml:space="preserve">”</w:t>
      </w:r>
      <w:r>
        <w:t xml:space="preserve"> </w:t>
      </w:r>
      <w:r>
        <w:t xml:space="preserve">HMRC’s manual gives no further detail. It does not define which advisory services qualify beyond the single item below</w:t>
      </w:r>
      <w:r>
        <w:t xml:space="preserve"> </w:t>
      </w:r>
      <w:r>
        <w:t xml:space="preserve">(</w:t>
      </w:r>
      <w:hyperlink w:anchor="ref-hmrc_vatgpb">
        <w:r>
          <w:rPr>
            <w:rStyle w:val="Hyperlink"/>
          </w:rPr>
          <w:t xml:space="preserve">HMRC, 2026n, sec. VATGPB10090</w:t>
        </w:r>
      </w:hyperlink>
      <w:r>
        <w:t xml:space="preserve">)</w:t>
      </w:r>
      <w:r>
        <w:t xml:space="preserve">.</w:t>
      </w:r>
    </w:p>
    <w:p>
      <w:pPr>
        <w:pStyle w:val="BodyText"/>
      </w:pPr>
      <w:r>
        <w:rPr>
          <w:b/>
          <w:bCs/>
        </w:rPr>
        <w:t xml:space="preserve">Includes:</w:t>
      </w:r>
    </w:p>
    <w:p>
      <w:pPr>
        <w:pStyle w:val="Compact"/>
        <w:numPr>
          <w:ilvl w:val="0"/>
          <w:numId w:val="1443"/>
        </w:numPr>
      </w:pPr>
      <w:r>
        <w:t xml:space="preserve">“</w:t>
      </w:r>
      <w:r>
        <w:t xml:space="preserve">Supplies by Civil Service Policy</w:t>
      </w:r>
      <w:r>
        <w:t xml:space="preserve">”</w:t>
      </w:r>
    </w:p>
    <w:p>
      <w:pPr>
        <w:pStyle w:val="FirstParagraph"/>
      </w:pPr>
      <w:r>
        <w:rPr>
          <w:b/>
          <w:bCs/>
        </w:rPr>
        <w:t xml:space="preserve">Examples for the Department:</w:t>
      </w:r>
    </w:p>
    <w:p>
      <w:pPr>
        <w:pStyle w:val="Compact"/>
        <w:numPr>
          <w:ilvl w:val="0"/>
          <w:numId w:val="1444"/>
        </w:numPr>
      </w:pPr>
      <w:r>
        <w:rPr>
          <w:b/>
          <w:bCs/>
        </w:rPr>
        <w:t xml:space="preserve">Claimable:</w:t>
      </w:r>
      <w:r>
        <w:t xml:space="preserve"> </w:t>
      </w:r>
      <w:r>
        <w:t xml:space="preserve">Employment advisory services supplied to the Department by Civil Service Policy, the supplier HMRC names. This is the only item HMRC lists.</w:t>
      </w:r>
    </w:p>
    <w:p>
      <w:pPr>
        <w:pStyle w:val="Compact"/>
        <w:numPr>
          <w:ilvl w:val="0"/>
          <w:numId w:val="1444"/>
        </w:numPr>
      </w:pPr>
      <w:r>
        <w:rPr>
          <w:b/>
          <w:bCs/>
        </w:rPr>
        <w:t xml:space="preserve">Not claimable:</w:t>
      </w:r>
      <w:r>
        <w:t xml:space="preserve"> </w:t>
      </w:r>
      <w:r>
        <w:t xml:space="preserve">An equality and diversity training course for staff, including staff preparing for overseas postings. This is training, not employment advisory services. Look at Heading 65 (Training, tuition or education) instead</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444"/>
        </w:numPr>
      </w:pPr>
      <w:r>
        <w:rPr>
          <w:b/>
          <w:bCs/>
        </w:rPr>
        <w:t xml:space="preserve">Not claimable:</w:t>
      </w:r>
      <w:r>
        <w:t xml:space="preserve"> </w:t>
      </w:r>
      <w:r>
        <w:t xml:space="preserve">General HR consultancy with no link to the Equality Act 2010. The heading is limited to employment advisory services</w:t>
      </w:r>
      <w:r>
        <w:t xml:space="preserve"> </w:t>
      </w:r>
      <w:r>
        <w:t xml:space="preserve">“</w:t>
      </w:r>
      <w:r>
        <w:t xml:space="preserve">as directed by the Equality Act 2010</w:t>
      </w:r>
      <w:r>
        <w:t xml:space="preserve">”</w:t>
      </w:r>
      <w:r>
        <w:t xml:space="preserve">, and HMRC gives no detail that would support a wider reading. Do not claim under this heading without confirmation. If the consultancy is purely advice on policy formulation, with no implementation, Heading 52 (Professional advice) may be worth checking instead</w:t>
      </w:r>
      <w:r>
        <w:t xml:space="preserve"> </w:t>
      </w:r>
      <w:r>
        <w:t xml:space="preserve">(</w:t>
      </w:r>
      <w:hyperlink w:anchor="ref-hmrc_vatgpb">
        <w:r>
          <w:rPr>
            <w:rStyle w:val="Hyperlink"/>
          </w:rPr>
          <w:t xml:space="preserve">HMRC, 2026n, sec. VATGPB10770</w:t>
        </w:r>
      </w:hyperlink>
      <w:r>
        <w:t xml:space="preserve">)</w:t>
      </w:r>
      <w:r>
        <w:t xml:space="preserve">.</w:t>
      </w:r>
    </w:p>
    <w:p>
      <w:pPr>
        <w:pStyle w:val="FirstParagraph"/>
      </w:pPr>
      <w:r>
        <w:rPr>
          <w:b/>
          <w:bCs/>
        </w:rPr>
        <w:t xml:space="preserve">Source:</w:t>
      </w:r>
      <w:r>
        <w:t xml:space="preserve"> </w:t>
      </w:r>
      <w:r>
        <w:t xml:space="preserve">HMRC manual section VATGPB10090, page last updated 7 January 2016</w:t>
      </w:r>
      <w:r>
        <w:t xml:space="preserve"> </w:t>
      </w:r>
      <w:r>
        <w:t xml:space="preserve">(</w:t>
      </w:r>
      <w:hyperlink w:anchor="ref-hmrc_vatgpb">
        <w:r>
          <w:rPr>
            <w:rStyle w:val="Hyperlink"/>
          </w:rPr>
          <w:t xml:space="preserve">HMRC, 2026n, sec. VATGPB10090</w:t>
        </w:r>
      </w:hyperlink>
      <w:r>
        <w:t xml:space="preserve">)</w:t>
      </w:r>
      <w:r>
        <w:t xml:space="preserve">.</w:t>
      </w:r>
    </w:p>
    <w:bookmarkEnd w:id="275"/>
    <w:bookmarkStart w:id="276" w:name="Xbbfa28f167057c825d1ffcbafa9c58c1a894ef2"/>
    <w:p>
      <w:pPr>
        <w:pStyle w:val="Heading3"/>
      </w:pPr>
      <w:r>
        <w:t xml:space="preserve">Heading 19: Engineering, excluding computer engineering, and related process services</w:t>
      </w:r>
    </w:p>
    <w:p>
      <w:pPr>
        <w:pStyle w:val="FirstParagraph"/>
      </w:pPr>
      <w:r>
        <w:rPr>
          <w:b/>
          <w:bCs/>
        </w:rPr>
        <w:t xml:space="preserve">What it covers (HMRC’s description):</w:t>
      </w:r>
      <w:r>
        <w:t xml:space="preserve"> </w:t>
      </w:r>
      <w:r>
        <w:t xml:space="preserve">“</w:t>
      </w:r>
      <w:r>
        <w:t xml:space="preserve">This Heading has a deliberately narrow application in that it excludes computer engineering.</w:t>
      </w:r>
      <w:r>
        <w:t xml:space="preserve">”</w:t>
      </w:r>
      <w:r>
        <w:t xml:space="preserve"> </w:t>
      </w:r>
      <w:r>
        <w:t xml:space="preserve">HMRC’s manual gives no further detail. In particular, it does not explain what</w:t>
      </w:r>
      <w:r>
        <w:t xml:space="preserve"> </w:t>
      </w:r>
      <w:r>
        <w:t xml:space="preserve">“</w:t>
      </w:r>
      <w:r>
        <w:t xml:space="preserve">related process services</w:t>
      </w:r>
      <w:r>
        <w:t xml:space="preserve">”</w:t>
      </w:r>
      <w:r>
        <w:t xml:space="preserve"> </w:t>
      </w:r>
      <w:r>
        <w:t xml:space="preserve">means</w:t>
      </w:r>
      <w:r>
        <w:t xml:space="preserve"> </w:t>
      </w:r>
      <w:r>
        <w:t xml:space="preserve">(</w:t>
      </w:r>
      <w:hyperlink w:anchor="ref-hmrc_vatgpb">
        <w:r>
          <w:rPr>
            <w:rStyle w:val="Hyperlink"/>
          </w:rPr>
          <w:t xml:space="preserve">HMRC, 2026n, sec. VATGPB10110</w:t>
        </w:r>
      </w:hyperlink>
      <w:r>
        <w:t xml:space="preserve">)</w:t>
      </w:r>
      <w:r>
        <w:t xml:space="preserve">.</w:t>
      </w:r>
    </w:p>
    <w:p>
      <w:pPr>
        <w:pStyle w:val="BodyText"/>
      </w:pPr>
      <w:r>
        <w:rPr>
          <w:b/>
          <w:bCs/>
        </w:rPr>
        <w:t xml:space="preserve">Includes:</w:t>
      </w:r>
    </w:p>
    <w:p>
      <w:pPr>
        <w:pStyle w:val="Compact"/>
        <w:numPr>
          <w:ilvl w:val="0"/>
          <w:numId w:val="1445"/>
        </w:numPr>
      </w:pPr>
      <w:r>
        <w:t xml:space="preserve">“</w:t>
      </w:r>
      <w:r>
        <w:t xml:space="preserve">Recovery on manufacturing and the related commissioning processes</w:t>
      </w:r>
      <w:r>
        <w:t xml:space="preserve">”</w:t>
      </w:r>
    </w:p>
    <w:p>
      <w:pPr>
        <w:pStyle w:val="FirstParagraph"/>
      </w:pPr>
      <w:r>
        <w:rPr>
          <w:b/>
          <w:bCs/>
        </w:rPr>
        <w:t xml:space="preserve">Excludes:</w:t>
      </w:r>
    </w:p>
    <w:p>
      <w:pPr>
        <w:pStyle w:val="Compact"/>
        <w:numPr>
          <w:ilvl w:val="0"/>
          <w:numId w:val="1446"/>
        </w:numPr>
      </w:pPr>
      <w:r>
        <w:t xml:space="preserve">“</w:t>
      </w:r>
      <w:r>
        <w:t xml:space="preserve">Installation of plant</w:t>
      </w:r>
      <w:r>
        <w:t xml:space="preserve">”</w:t>
      </w:r>
    </w:p>
    <w:p>
      <w:pPr>
        <w:pStyle w:val="Compact"/>
        <w:numPr>
          <w:ilvl w:val="0"/>
          <w:numId w:val="1446"/>
        </w:numPr>
      </w:pPr>
      <w:r>
        <w:t xml:space="preserve">“</w:t>
      </w:r>
      <w:r>
        <w:t xml:space="preserve">Manufacture of drugs</w:t>
      </w:r>
      <w:r>
        <w:t xml:space="preserve">”</w:t>
      </w:r>
    </w:p>
    <w:p>
      <w:pPr>
        <w:pStyle w:val="FirstParagraph"/>
      </w:pPr>
      <w:r>
        <w:rPr>
          <w:b/>
          <w:bCs/>
        </w:rPr>
        <w:t xml:space="preserve">Examples for the Department:</w:t>
      </w:r>
    </w:p>
    <w:p>
      <w:pPr>
        <w:pStyle w:val="Compact"/>
        <w:numPr>
          <w:ilvl w:val="0"/>
          <w:numId w:val="1447"/>
        </w:numPr>
      </w:pPr>
      <w:r>
        <w:rPr>
          <w:b/>
          <w:bCs/>
        </w:rPr>
        <w:t xml:space="preserve">Claimable (only where it is a service):</w:t>
      </w:r>
      <w:r>
        <w:t xml:space="preserve"> </w:t>
      </w:r>
      <w:r>
        <w:t xml:space="preserve">The Department supplies its own components and pays an engineering firm to manufacture or assemble specialist test equipment from them, and to commission it at the Department’s UK site. The equipment is for a joint international project with an overseas government. HMRC includes</w:t>
      </w:r>
      <w:r>
        <w:t xml:space="preserve"> </w:t>
      </w:r>
      <w:r>
        <w:t xml:space="preserve">“</w:t>
      </w:r>
      <w:r>
        <w:t xml:space="preserve">manufacturing and the related commissioning processes</w:t>
      </w:r>
      <w:r>
        <w:t xml:space="preserve">”</w:t>
      </w:r>
      <w:r>
        <w:t xml:space="preserve">. If the firm uses its own materials and supplies finished equipment, that is a supply of goods</w:t>
      </w:r>
      <w:r>
        <w:t xml:space="preserve"> </w:t>
      </w:r>
      <w:r>
        <w:t xml:space="preserve">(</w:t>
      </w:r>
      <w:hyperlink w:anchor="ref-hmrc_n700">
        <w:r>
          <w:rPr>
            <w:rStyle w:val="Hyperlink"/>
          </w:rPr>
          <w:t xml:space="preserve">HMRC, 2026o</w:t>
        </w:r>
      </w:hyperlink>
      <w:r>
        <w:t xml:space="preserve">, paras. 4.4, 4.5)</w:t>
      </w:r>
      <w:r>
        <w:t xml:space="preserve">. Heading 82 (HS2 Ltd) is the only heading that covers standalone supplies of goods, and HMRC says</w:t>
      </w:r>
      <w:r>
        <w:t xml:space="preserve"> </w:t>
      </w:r>
      <w:r>
        <w:t xml:space="preserve">“</w:t>
      </w:r>
      <w:r>
        <w:t xml:space="preserve">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 Only a separately contracted and separately priced commissioning service might then qualify, because the predominant nature of a single supply decides whether it is eligible</w:t>
      </w:r>
      <w:r>
        <w:t xml:space="preserve"> </w:t>
      </w:r>
      <w:r>
        <w:t xml:space="preserve">(</w:t>
      </w:r>
      <w:hyperlink w:anchor="ref-hmrc_vatgpb">
        <w:r>
          <w:rPr>
            <w:rStyle w:val="Hyperlink"/>
          </w:rPr>
          <w:t xml:space="preserve">HMRC, 2026n, sec. VATGPB9720</w:t>
        </w:r>
      </w:hyperlink>
      <w:r>
        <w:t xml:space="preserve">)</w:t>
      </w:r>
      <w:r>
        <w:t xml:space="preserve">. The same applies where the Department pays only for commissioning of equipment it already owns.</w:t>
      </w:r>
    </w:p>
    <w:p>
      <w:pPr>
        <w:pStyle w:val="Compact"/>
        <w:numPr>
          <w:ilvl w:val="0"/>
          <w:numId w:val="1447"/>
        </w:numPr>
      </w:pPr>
      <w:r>
        <w:rPr>
          <w:b/>
          <w:bCs/>
        </w:rPr>
        <w:t xml:space="preserve">Not claimable:</w:t>
      </w:r>
      <w:r>
        <w:t xml:space="preserve"> </w:t>
      </w:r>
      <w:r>
        <w:t xml:space="preserve">Ready-made equipment, such as generators, bought from a catalogue to gift to an overseas government. This is a purchase of goods, not an engineering service. If the seller exports the goods direct to the overseas recipient, the sale may be zero-rated, so there may be no UK VAT anyway</w:t>
      </w:r>
      <w:r>
        <w:t xml:space="preserve"> </w:t>
      </w:r>
      <w:r>
        <w:t xml:space="preserve">(</w:t>
      </w:r>
      <w:hyperlink w:anchor="ref-hmrc_n703">
        <w:r>
          <w:rPr>
            <w:rStyle w:val="Hyperlink"/>
          </w:rPr>
          <w:t xml:space="preserve">HMRC, 2026p, para. 4.12</w:t>
        </w:r>
      </w:hyperlink>
      <w:r>
        <w:t xml:space="preserve">)</w:t>
      </w:r>
      <w:r>
        <w:t xml:space="preserve">.</w:t>
      </w:r>
    </w:p>
    <w:p>
      <w:pPr>
        <w:pStyle w:val="Compact"/>
        <w:numPr>
          <w:ilvl w:val="0"/>
          <w:numId w:val="1447"/>
        </w:numPr>
      </w:pPr>
      <w:r>
        <w:rPr>
          <w:b/>
          <w:bCs/>
        </w:rPr>
        <w:t xml:space="preserve">Not claimable:</w:t>
      </w:r>
      <w:r>
        <w:t xml:space="preserve"> </w:t>
      </w:r>
      <w:r>
        <w:t xml:space="preserve">A contractor installs a new air-handling plant at the Department’s HQ.</w:t>
      </w:r>
      <w:r>
        <w:t xml:space="preserve"> </w:t>
      </w:r>
      <w:r>
        <w:t xml:space="preserve">“</w:t>
      </w:r>
      <w:r>
        <w:t xml:space="preserve">Installation of plant</w:t>
      </w:r>
      <w:r>
        <w:t xml:space="preserve">”</w:t>
      </w:r>
      <w:r>
        <w:t xml:space="preserve"> </w:t>
      </w:r>
      <w:r>
        <w:t xml:space="preserve">is excluded.</w:t>
      </w:r>
    </w:p>
    <w:p>
      <w:pPr>
        <w:pStyle w:val="Compact"/>
        <w:numPr>
          <w:ilvl w:val="0"/>
          <w:numId w:val="1447"/>
        </w:numPr>
      </w:pPr>
      <w:r>
        <w:rPr>
          <w:b/>
          <w:bCs/>
        </w:rPr>
        <w:t xml:space="preserve">Not claimable:</w:t>
      </w:r>
      <w:r>
        <w:t xml:space="preserve"> </w:t>
      </w:r>
      <w:r>
        <w:t xml:space="preserve">Engineering work on the Department’s computer systems. Computer engineering is excluded from this heading, so look at IT work under Heading 14 instead</w:t>
      </w:r>
      <w:r>
        <w:t xml:space="preserve"> </w:t>
      </w:r>
      <w:r>
        <w:t xml:space="preserve">(</w:t>
      </w:r>
      <w:hyperlink w:anchor="ref-hmrc_vatgpb">
        <w:r>
          <w:rPr>
            <w:rStyle w:val="Hyperlink"/>
          </w:rPr>
          <w:t xml:space="preserve">HMRC, 2026n, sec. VATGPB10010</w:t>
        </w:r>
      </w:hyperlink>
      <w:r>
        <w:t xml:space="preserve">)</w:t>
      </w:r>
      <w:r>
        <w:t xml:space="preserve">.</w:t>
      </w:r>
    </w:p>
    <w:p>
      <w:pPr>
        <w:pStyle w:val="FirstParagraph"/>
      </w:pPr>
      <w:r>
        <w:rPr>
          <w:b/>
          <w:bCs/>
        </w:rPr>
        <w:t xml:space="preserve">Source:</w:t>
      </w:r>
      <w:r>
        <w:t xml:space="preserve"> </w:t>
      </w:r>
      <w:r>
        <w:t xml:space="preserve">HMRC manual section VATGPB10110, page last updated 17 February 2021</w:t>
      </w:r>
      <w:r>
        <w:t xml:space="preserve"> </w:t>
      </w:r>
      <w:r>
        <w:t xml:space="preserve">(</w:t>
      </w:r>
      <w:hyperlink w:anchor="ref-hmrc_vatgpb">
        <w:r>
          <w:rPr>
            <w:rStyle w:val="Hyperlink"/>
          </w:rPr>
          <w:t xml:space="preserve">HMRC, 2026n, sec. VATGPB10110</w:t>
        </w:r>
      </w:hyperlink>
      <w:r>
        <w:t xml:space="preserve">)</w:t>
      </w:r>
      <w:r>
        <w:t xml:space="preserve">.</w:t>
      </w:r>
    </w:p>
    <w:bookmarkEnd w:id="276"/>
    <w:bookmarkStart w:id="277" w:name="X29bc8ef572fa0e2ae82446b85d466da26ae7e74"/>
    <w:p>
      <w:pPr>
        <w:pStyle w:val="Heading3"/>
      </w:pPr>
      <w:r>
        <w:t xml:space="preserve">Heading 20: Environmental protection services of the kind normally carried out for the Department of the Environment, Food and Rural Affairs</w:t>
      </w:r>
    </w:p>
    <w:p>
      <w:pPr>
        <w:pStyle w:val="FirstParagraph"/>
      </w:pPr>
      <w:r>
        <w:rPr>
          <w:b/>
          <w:bCs/>
        </w:rPr>
        <w:t xml:space="preserve">What it covers (HMRC’s description):</w:t>
      </w:r>
      <w:r>
        <w:t xml:space="preserve"> </w:t>
      </w:r>
      <w:r>
        <w:t xml:space="preserve">“</w:t>
      </w:r>
      <w:r>
        <w:t xml:space="preserve">This Heading allows recovery on environmental protection services of the kind normally carried out for the Department for Environment, Food and Rural Affairs (DEFRA).</w:t>
      </w:r>
      <w:r>
        <w:t xml:space="preserve">”</w:t>
      </w:r>
      <w:r>
        <w:t xml:space="preserve"> </w:t>
      </w:r>
      <w:r>
        <w:t xml:space="preserve">HMRC’s manual gives no further detail. It does not define</w:t>
      </w:r>
      <w:r>
        <w:t xml:space="preserve"> </w:t>
      </w:r>
      <w:r>
        <w:t xml:space="preserve">“</w:t>
      </w:r>
      <w:r>
        <w:t xml:space="preserve">environmental protection services</w:t>
      </w:r>
      <w:r>
        <w:t xml:space="preserve">”</w:t>
      </w:r>
      <w:r>
        <w:t xml:space="preserve"> </w:t>
      </w:r>
      <w:r>
        <w:t xml:space="preserve">or give includes or excludes</w:t>
      </w:r>
      <w:r>
        <w:t xml:space="preserve"> </w:t>
      </w:r>
      <w:r>
        <w:t xml:space="preserve">(</w:t>
      </w:r>
      <w:hyperlink w:anchor="ref-hmrc_vatgpb">
        <w:r>
          <w:rPr>
            <w:rStyle w:val="Hyperlink"/>
          </w:rPr>
          <w:t xml:space="preserve">HMRC, 2026n, sec. VATGPB10130</w:t>
        </w:r>
      </w:hyperlink>
      <w:r>
        <w:t xml:space="preserve">)</w:t>
      </w:r>
      <w:r>
        <w:t xml:space="preserve">. HMRC’s Heading 52 guidance does list Heading 20 among the headings that cover research (</w:t>
      </w:r>
      <w:r>
        <w:t xml:space="preserve">“</w:t>
      </w:r>
      <w:r>
        <w:t xml:space="preserve">Research - this is covered by Headings 20, 58, 59, 66 or 74</w:t>
      </w:r>
      <w:r>
        <w:t xml:space="preserve">”</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BodyText"/>
      </w:pPr>
      <w:r>
        <w:t xml:space="preserve">Under paragraph 4 of the Direction this heading is restricted to DEFRA (and devolved administrations exercising DEFRA’s functions), so it does not apply to the Department</w:t>
      </w:r>
      <w:r>
        <w:t xml:space="preserve"> </w:t>
      </w:r>
      <w:r>
        <w:t xml:space="preserve">(</w:t>
      </w:r>
      <w:hyperlink w:anchor="ref-gazette_2020">
        <w:r>
          <w:rPr>
            <w:rStyle w:val="Hyperlink"/>
          </w:rPr>
          <w:t xml:space="preserve">HM Treasury, 2020b, para. 4</w:t>
        </w:r>
      </w:hyperlink>
      <w:r>
        <w:t xml:space="preserve">)</w:t>
      </w:r>
      <w:r>
        <w:t xml:space="preserve">.</w:t>
      </w:r>
    </w:p>
    <w:p>
      <w:pPr>
        <w:pStyle w:val="BodyText"/>
      </w:pPr>
      <w:r>
        <w:rPr>
          <w:b/>
          <w:bCs/>
        </w:rPr>
        <w:t xml:space="preserve">Examples for the Department:</w:t>
      </w:r>
    </w:p>
    <w:p>
      <w:pPr>
        <w:pStyle w:val="Compact"/>
        <w:numPr>
          <w:ilvl w:val="0"/>
          <w:numId w:val="1448"/>
        </w:numPr>
      </w:pPr>
      <w:r>
        <w:rPr>
          <w:b/>
          <w:bCs/>
        </w:rPr>
        <w:t xml:space="preserve">Claimable (generic):</w:t>
      </w:r>
      <w:r>
        <w:t xml:space="preserve"> </w:t>
      </w:r>
      <w:r>
        <w:t xml:space="preserve">A department contracts out an environmental protection service of the kind normally carried out for DEFRA.</w:t>
      </w:r>
    </w:p>
    <w:p>
      <w:pPr>
        <w:pStyle w:val="Compact"/>
        <w:numPr>
          <w:ilvl w:val="0"/>
          <w:numId w:val="1448"/>
        </w:numPr>
      </w:pPr>
      <w:r>
        <w:rPr>
          <w:b/>
          <w:bCs/>
        </w:rPr>
        <w:t xml:space="preserve">Not claimable:</w:t>
      </w:r>
      <w:r>
        <w:t xml:space="preserve"> </w:t>
      </w:r>
      <w:r>
        <w:t xml:space="preserve">The Department commissions an environmental assessment of a capability-building project it runs overseas. HMRC gives no detail that would support treating this as</w:t>
      </w:r>
      <w:r>
        <w:t xml:space="preserve"> </w:t>
      </w:r>
      <w:r>
        <w:t xml:space="preserve">“</w:t>
      </w:r>
      <w:r>
        <w:t xml:space="preserve">of the kind normally carried out for</w:t>
      </w:r>
      <w:r>
        <w:t xml:space="preserve">”</w:t>
      </w:r>
      <w:r>
        <w:t xml:space="preserve"> </w:t>
      </w:r>
      <w:r>
        <w:t xml:space="preserve">DEFRA. The Department cannot claim under this heading.</w:t>
      </w:r>
    </w:p>
    <w:p>
      <w:pPr>
        <w:pStyle w:val="FirstParagraph"/>
      </w:pPr>
      <w:r>
        <w:rPr>
          <w:b/>
          <w:bCs/>
        </w:rPr>
        <w:t xml:space="preserve">Source:</w:t>
      </w:r>
      <w:r>
        <w:t xml:space="preserve"> </w:t>
      </w:r>
      <w:r>
        <w:t xml:space="preserve">HMRC manual section VATGPB10130, page last updated 7 January 2016</w:t>
      </w:r>
      <w:r>
        <w:t xml:space="preserve"> </w:t>
      </w:r>
      <w:r>
        <w:t xml:space="preserve">(</w:t>
      </w:r>
      <w:hyperlink w:anchor="ref-hmrc_vatgpb">
        <w:r>
          <w:rPr>
            <w:rStyle w:val="Hyperlink"/>
          </w:rPr>
          <w:t xml:space="preserve">HMRC, 2026n, sec. VATGPB10130</w:t>
        </w:r>
      </w:hyperlink>
      <w:r>
        <w:t xml:space="preserve">)</w:t>
      </w:r>
      <w:r>
        <w:t xml:space="preserve">.</w:t>
      </w:r>
    </w:p>
    <w:bookmarkEnd w:id="277"/>
    <w:bookmarkStart w:id="278" w:name="heading-21-estate-management-services"/>
    <w:p>
      <w:pPr>
        <w:pStyle w:val="Heading3"/>
      </w:pPr>
      <w:r>
        <w:t xml:space="preserve">Heading 21: Estate management services</w:t>
      </w:r>
    </w:p>
    <w:p>
      <w:pPr>
        <w:pStyle w:val="FirstParagraph"/>
      </w:pPr>
      <w:r>
        <w:rPr>
          <w:b/>
          <w:bCs/>
        </w:rPr>
        <w:t xml:space="preserve">What it covers (HMRC’s description):</w:t>
      </w:r>
      <w:r>
        <w:t xml:space="preserve"> </w:t>
      </w:r>
      <w:r>
        <w:t xml:space="preserve">HMRC says this heading</w:t>
      </w:r>
      <w:r>
        <w:t xml:space="preserve"> </w:t>
      </w:r>
      <w:r>
        <w:t xml:space="preserve">“</w:t>
      </w:r>
      <w:r>
        <w:t xml:space="preserve">covers property where a government department or health authority holds either the leasehold or the freehold or Scottish equivalent</w:t>
      </w:r>
      <w:r>
        <w:t xml:space="preserve">”</w:t>
      </w:r>
      <w:r>
        <w:t xml:space="preserve">. It applies</w:t>
      </w:r>
      <w:r>
        <w:t xml:space="preserve"> </w:t>
      </w:r>
      <w:r>
        <w:t xml:space="preserve">“</w:t>
      </w:r>
      <w:r>
        <w:t xml:space="preserve">where a contractor manages and operates land and/or buildings for you (the building does not necessarily have to be occupied), for example where an estate agent is responsible for arranging the payment of rents and other charges</w:t>
      </w:r>
      <w:r>
        <w:t xml:space="preserve">”</w:t>
      </w:r>
      <w:r>
        <w:t xml:space="preserve">. The supplier’s services</w:t>
      </w:r>
      <w:r>
        <w:t xml:space="preserve"> </w:t>
      </w:r>
      <w:r>
        <w:t xml:space="preserve">“</w:t>
      </w:r>
      <w:r>
        <w:t xml:space="preserve">would probably include: dealing with any repairs and maintenance, arranging cleaning, reception, security, post etc.</w:t>
      </w:r>
      <w:r>
        <w:t xml:space="preserve">”</w:t>
      </w:r>
      <w:r>
        <w:t xml:space="preserve"> </w:t>
      </w:r>
      <w:r>
        <w:t xml:space="preserve">The estate management company</w:t>
      </w:r>
      <w:r>
        <w:t xml:space="preserve"> </w:t>
      </w:r>
      <w:r>
        <w:t xml:space="preserve">“</w:t>
      </w:r>
      <w:r>
        <w:t xml:space="preserve">will usually charge a monthly fee</w:t>
      </w:r>
      <w:r>
        <w:t xml:space="preserve">”</w:t>
      </w:r>
      <w:r>
        <w:t xml:space="preserve">. HMRC also points to a joint TCoE, HMRC and HMT document,</w:t>
      </w:r>
      <w:r>
        <w:t xml:space="preserve"> </w:t>
      </w:r>
      <w:r>
        <w:t xml:space="preserve">“</w:t>
      </w:r>
      <w:r>
        <w:t xml:space="preserve">Agreed Principles and examples - COS 21 Estate Management Services</w:t>
      </w:r>
      <w:r>
        <w:t xml:space="preserve">”</w:t>
      </w:r>
      <w:r>
        <w:t xml:space="preserve">. It is published on the Tax Centre of Excellence site, where registration is required</w:t>
      </w:r>
      <w:r>
        <w:t xml:space="preserve"> </w:t>
      </w:r>
      <w:r>
        <w:t xml:space="preserve">(</w:t>
      </w:r>
      <w:hyperlink w:anchor="ref-hmrc_vatgpb">
        <w:r>
          <w:rPr>
            <w:rStyle w:val="Hyperlink"/>
          </w:rPr>
          <w:t xml:space="preserve">HMRC, 2026n, sec. VATGPB10150</w:t>
        </w:r>
      </w:hyperlink>
      <w:r>
        <w:t xml:space="preserve">)</w:t>
      </w:r>
      <w:r>
        <w:t xml:space="preserve">.</w:t>
      </w:r>
    </w:p>
    <w:p>
      <w:pPr>
        <w:pStyle w:val="BodyText"/>
      </w:pPr>
      <w:r>
        <w:rPr>
          <w:b/>
          <w:bCs/>
        </w:rPr>
        <w:t xml:space="preserve">Excludes:</w:t>
      </w:r>
    </w:p>
    <w:p>
      <w:pPr>
        <w:pStyle w:val="Compact"/>
        <w:numPr>
          <w:ilvl w:val="0"/>
          <w:numId w:val="1449"/>
        </w:numPr>
      </w:pPr>
      <w:r>
        <w:t xml:space="preserve">“</w:t>
      </w:r>
      <w:r>
        <w:t xml:space="preserve">Separate recharge of utilities as these are supplies of goods</w:t>
      </w:r>
      <w:r>
        <w:t xml:space="preserve">”</w:t>
      </w:r>
    </w:p>
    <w:p>
      <w:pPr>
        <w:pStyle w:val="FirstParagraph"/>
      </w:pPr>
      <w:r>
        <w:rPr>
          <w:b/>
          <w:bCs/>
        </w:rPr>
        <w:t xml:space="preserve">Examples for the Department:</w:t>
      </w:r>
    </w:p>
    <w:p>
      <w:pPr>
        <w:pStyle w:val="Compact"/>
        <w:numPr>
          <w:ilvl w:val="0"/>
          <w:numId w:val="1450"/>
        </w:numPr>
      </w:pPr>
      <w:r>
        <w:rPr>
          <w:b/>
          <w:bCs/>
        </w:rPr>
        <w:t xml:space="preserve">Claimable:</w:t>
      </w:r>
      <w:r>
        <w:t xml:space="preserve"> </w:t>
      </w:r>
      <w:r>
        <w:t xml:space="preserve">A managing agent looks after the Department’s leasehold UK office for a monthly fee. It arranges rent payments, repairs and maintenance, cleaning, reception, security and post. The Department holds the lease, and these are the services HMRC describes.</w:t>
      </w:r>
    </w:p>
    <w:p>
      <w:pPr>
        <w:pStyle w:val="Compact"/>
        <w:numPr>
          <w:ilvl w:val="0"/>
          <w:numId w:val="1450"/>
        </w:numPr>
      </w:pPr>
      <w:r>
        <w:rPr>
          <w:b/>
          <w:bCs/>
        </w:rPr>
        <w:t xml:space="preserve">Claimable:</w:t>
      </w:r>
      <w:r>
        <w:t xml:space="preserve"> </w:t>
      </w:r>
      <w:r>
        <w:t xml:space="preserve">A managing agent looks after a vacant building the Department owns. HMRC says</w:t>
      </w:r>
      <w:r>
        <w:t xml:space="preserve"> </w:t>
      </w:r>
      <w:r>
        <w:t xml:space="preserve">“</w:t>
      </w:r>
      <w:r>
        <w:t xml:space="preserve">the building does not necessarily have to be occupied</w:t>
      </w:r>
      <w:r>
        <w:t xml:space="preserve">”</w:t>
      </w:r>
      <w:r>
        <w:t xml:space="preserve">.</w:t>
      </w:r>
    </w:p>
    <w:p>
      <w:pPr>
        <w:pStyle w:val="Compact"/>
        <w:numPr>
          <w:ilvl w:val="0"/>
          <w:numId w:val="1450"/>
        </w:numPr>
      </w:pPr>
      <w:r>
        <w:rPr>
          <w:b/>
          <w:bCs/>
        </w:rPr>
        <w:t xml:space="preserve">Not claimable:</w:t>
      </w:r>
      <w:r>
        <w:t xml:space="preserve"> </w:t>
      </w:r>
      <w:r>
        <w:t xml:space="preserve">Electricity and gas recharged separately on the managing agent’s invoice. HMRC excludes</w:t>
      </w:r>
      <w:r>
        <w:t xml:space="preserve"> </w:t>
      </w:r>
      <w:r>
        <w:t xml:space="preserve">“</w:t>
      </w:r>
      <w:r>
        <w:t xml:space="preserve">Separate recharge of utilities as these are supplies of goods</w:t>
      </w:r>
      <w:r>
        <w:t xml:space="preserve">”</w:t>
      </w:r>
      <w:r>
        <w:t xml:space="preserve">.</w:t>
      </w:r>
    </w:p>
    <w:p>
      <w:pPr>
        <w:pStyle w:val="Compact"/>
        <w:numPr>
          <w:ilvl w:val="0"/>
          <w:numId w:val="1450"/>
        </w:numPr>
      </w:pPr>
      <w:r>
        <w:rPr>
          <w:b/>
          <w:bCs/>
        </w:rPr>
        <w:t xml:space="preserve">Not claimable:</w:t>
      </w:r>
      <w:r>
        <w:t xml:space="preserve"> </w:t>
      </w:r>
      <w:r>
        <w:t xml:space="preserve">A letting agent abroad manages a flat used by a member of staff on an overseas posting. Services connected with land are taxed, if at all, in the country where the property is</w:t>
      </w:r>
      <w:r>
        <w:t xml:space="preserve"> </w:t>
      </w:r>
      <w:r>
        <w:t xml:space="preserve">(</w:t>
      </w:r>
      <w:hyperlink w:anchor="ref-hmrc_n741a">
        <w:r>
          <w:rPr>
            <w:rStyle w:val="Hyperlink"/>
          </w:rPr>
          <w:t xml:space="preserve">HMRC, 2022d</w:t>
        </w:r>
      </w:hyperlink>
      <w:r>
        <w:t xml:space="preserve">, paras. 7.1, 7.4)</w:t>
      </w:r>
      <w:r>
        <w:t xml:space="preserve">, so any VAT is foreign VAT and cannot be claimed under COS (Value Added Tax Act 1994, s. 41(3)). Separately, if the staff member rents the flat in their own name, the Department does not hold the leasehold, which the heading requires.</w:t>
      </w:r>
    </w:p>
    <w:p>
      <w:pPr>
        <w:pStyle w:val="FirstParagraph"/>
      </w:pPr>
      <w:r>
        <w:rPr>
          <w:b/>
          <w:bCs/>
        </w:rPr>
        <w:t xml:space="preserve">Source:</w:t>
      </w:r>
      <w:r>
        <w:t xml:space="preserve"> </w:t>
      </w:r>
      <w:r>
        <w:t xml:space="preserve">HMRC manual section VATGPB10150, page last updated 22 December 2022</w:t>
      </w:r>
      <w:r>
        <w:t xml:space="preserve"> </w:t>
      </w:r>
      <w:r>
        <w:t xml:space="preserve">(</w:t>
      </w:r>
      <w:hyperlink w:anchor="ref-hmrc_vatgpb">
        <w:r>
          <w:rPr>
            <w:rStyle w:val="Hyperlink"/>
          </w:rPr>
          <w:t xml:space="preserve">HMRC, 2026n, sec. VATGPB10150</w:t>
        </w:r>
      </w:hyperlink>
      <w:r>
        <w:t xml:space="preserve">)</w:t>
      </w:r>
      <w:r>
        <w:t xml:space="preserve">.</w:t>
      </w:r>
    </w:p>
    <w:bookmarkEnd w:id="278"/>
    <w:bookmarkStart w:id="279" w:name="heading-22-export-intelligence-services"/>
    <w:p>
      <w:pPr>
        <w:pStyle w:val="Heading3"/>
      </w:pPr>
      <w:r>
        <w:t xml:space="preserve">Heading 22: Export intelligence services</w:t>
      </w:r>
    </w:p>
    <w:p>
      <w:pPr>
        <w:pStyle w:val="FirstParagraph"/>
      </w:pPr>
      <w:r>
        <w:rPr>
          <w:b/>
          <w:bCs/>
        </w:rPr>
        <w:t xml:space="preserve">What it covers (HMRC’s description):</w:t>
      </w:r>
      <w:r>
        <w:t xml:space="preserve"> </w:t>
      </w:r>
      <w:r>
        <w:t xml:space="preserve">HMRC says only that</w:t>
      </w:r>
      <w:r>
        <w:t xml:space="preserve"> </w:t>
      </w:r>
      <w:r>
        <w:t xml:space="preserve">“</w:t>
      </w:r>
      <w:r>
        <w:t xml:space="preserve">This Heading allows recovery on export intelligence services.</w:t>
      </w:r>
      <w:r>
        <w:t xml:space="preserve">”</w:t>
      </w:r>
      <w:r>
        <w:t xml:space="preserve"> </w:t>
      </w:r>
      <w:r>
        <w:t xml:space="preserve">HMRC’s manual gives no further detail. It does not define</w:t>
      </w:r>
      <w:r>
        <w:t xml:space="preserve"> </w:t>
      </w:r>
      <w:r>
        <w:t xml:space="preserve">“</w:t>
      </w:r>
      <w:r>
        <w:t xml:space="preserve">export intelligence</w:t>
      </w:r>
      <w:r>
        <w:t xml:space="preserve">”</w:t>
      </w:r>
      <w:r>
        <w:t xml:space="preserve">, and it gives no includes, excludes or examples</w:t>
      </w:r>
      <w:r>
        <w:t xml:space="preserve"> </w:t>
      </w:r>
      <w:r>
        <w:t xml:space="preserve">(</w:t>
      </w:r>
      <w:hyperlink w:anchor="ref-hmrc_vatgpb">
        <w:r>
          <w:rPr>
            <w:rStyle w:val="Hyperlink"/>
          </w:rPr>
          <w:t xml:space="preserve">HMRC, 2026n, sec. VATGPB10170</w:t>
        </w:r>
      </w:hyperlink>
      <w:r>
        <w:t xml:space="preserve">)</w:t>
      </w:r>
      <w:r>
        <w:t xml:space="preserve">. Use the ordinary meaning of the words, and keep evidence of what was bought and why.</w:t>
      </w:r>
    </w:p>
    <w:p>
      <w:pPr>
        <w:pStyle w:val="BodyText"/>
      </w:pPr>
      <w:r>
        <w:rPr>
          <w:b/>
          <w:bCs/>
        </w:rPr>
        <w:t xml:space="preserve">Examples for the Department:</w:t>
      </w:r>
    </w:p>
    <w:p>
      <w:pPr>
        <w:pStyle w:val="Compact"/>
        <w:numPr>
          <w:ilvl w:val="0"/>
          <w:numId w:val="1451"/>
        </w:numPr>
      </w:pPr>
      <w:r>
        <w:rPr>
          <w:b/>
          <w:bCs/>
        </w:rPr>
        <w:t xml:space="preserve">Possibly claimable (check with HMRC first):</w:t>
      </w:r>
      <w:r>
        <w:t xml:space="preserve"> </w:t>
      </w:r>
      <w:r>
        <w:t xml:space="preserve">The Department pays a UK research firm, which charges UK VAT, for reports on overseas export markets and trade barriers. It uses them only in its non-business work, for example briefing ministers and planning its free capability-building programme with an overseas government’s trade ministry. This fits the ordinary meaning of</w:t>
      </w:r>
      <w:r>
        <w:t xml:space="preserve"> </w:t>
      </w:r>
      <w:r>
        <w:t xml:space="preserve">“</w:t>
      </w:r>
      <w:r>
        <w:t xml:space="preserve">export intelligence services</w:t>
      </w:r>
      <w:r>
        <w:t xml:space="preserve">”</w:t>
      </w:r>
      <w:r>
        <w:t xml:space="preserve"> </w:t>
      </w:r>
      <w:r>
        <w:t xml:space="preserve">and is used for non-business purposes. However:</w:t>
      </w:r>
    </w:p>
    <w:p>
      <w:pPr>
        <w:pStyle w:val="Compact"/>
        <w:numPr>
          <w:ilvl w:val="1"/>
          <w:numId w:val="1452"/>
        </w:numPr>
      </w:pPr>
      <w:r>
        <w:t xml:space="preserve">Because HMRC gives no guidance on this heading beyond its title, confirm with HMRC before claiming.</w:t>
      </w:r>
    </w:p>
    <w:p>
      <w:pPr>
        <w:pStyle w:val="Compact"/>
        <w:numPr>
          <w:ilvl w:val="1"/>
          <w:numId w:val="1452"/>
        </w:numPr>
      </w:pPr>
      <w:r>
        <w:t xml:space="preserve">If the firm carries out original research (new surveys or interviews plus analysis), Heading 74 may fit better</w:t>
      </w:r>
      <w:r>
        <w:t xml:space="preserve"> </w:t>
      </w:r>
      <w:r>
        <w:t xml:space="preserve">(</w:t>
      </w:r>
      <w:hyperlink w:anchor="ref-hmrc_vatgpb">
        <w:r>
          <w:rPr>
            <w:rStyle w:val="Hyperlink"/>
          </w:rPr>
          <w:t xml:space="preserve">HMRC, 2026n, sec. VATGPB11210</w:t>
        </w:r>
      </w:hyperlink>
      <w:r>
        <w:t xml:space="preserve">)</w:t>
      </w:r>
      <w:r>
        <w:t xml:space="preserve">.</w:t>
      </w:r>
    </w:p>
    <w:p>
      <w:pPr>
        <w:pStyle w:val="Compact"/>
        <w:numPr>
          <w:ilvl w:val="1"/>
          <w:numId w:val="1452"/>
        </w:numPr>
      </w:pPr>
      <w:r>
        <w:t xml:space="preserve">If the Department simply buys an existing published report, it may be a zero-rated publication, with no VAT to claim</w:t>
      </w:r>
      <w:r>
        <w:t xml:space="preserve"> </w:t>
      </w:r>
      <w:r>
        <w:t xml:space="preserve">(</w:t>
      </w:r>
      <w:hyperlink w:anchor="ref-hmrc_n70110">
        <w:r>
          <w:rPr>
            <w:rStyle w:val="Hyperlink"/>
          </w:rPr>
          <w:t xml:space="preserve">HMRC, 2020f</w:t>
        </w:r>
      </w:hyperlink>
      <w:r>
        <w:t xml:space="preserve">, paras. 3.1, 7.2)</w:t>
      </w:r>
      <w:r>
        <w:t xml:space="preserve">.</w:t>
      </w:r>
    </w:p>
    <w:p>
      <w:pPr>
        <w:pStyle w:val="Compact"/>
        <w:numPr>
          <w:ilvl w:val="0"/>
          <w:numId w:val="1451"/>
        </w:numPr>
      </w:pPr>
      <w:r>
        <w:rPr>
          <w:b/>
          <w:bCs/>
        </w:rPr>
        <w:t xml:space="preserve">Not claimable:</w:t>
      </w:r>
      <w:r>
        <w:t xml:space="preserve"> </w:t>
      </w:r>
      <w:r>
        <w:t xml:space="preserve">The Department buys the same kind of market intelligence to help it sell surplus equipment and data licences to overseas customers. Those sales are business activities, so the VAT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451"/>
        </w:numPr>
      </w:pPr>
      <w:r>
        <w:rPr>
          <w:b/>
          <w:bCs/>
        </w:rPr>
        <w:t xml:space="preserve">Not claimable:</w:t>
      </w:r>
      <w:r>
        <w:t xml:space="preserve"> </w:t>
      </w:r>
      <w:r>
        <w:t xml:space="preserve">The Department subscribes to an overseas provider’s export-market database, and the provider charges its own country’s VAT. Foreign VAT is not UK VAT and can never be refunded through COS (Value Added Tax Act 1994, ss. 1(1) and 41(3)). Separately, as a business customer the Department must account for UK VAT under the reverse charge (Value Added Tax Act 1994, s. 8)</w:t>
      </w:r>
      <w:r>
        <w:t xml:space="preserve"> </w:t>
      </w:r>
      <w:r>
        <w:t xml:space="preserve">(</w:t>
      </w:r>
      <w:hyperlink w:anchor="ref-hmrc_n741a">
        <w:r>
          <w:rPr>
            <w:rStyle w:val="Hyperlink"/>
          </w:rPr>
          <w:t xml:space="preserve">HMRC, 2022d</w:t>
        </w:r>
      </w:hyperlink>
      <w:r>
        <w:t xml:space="preserve">, paras. 2.4, 5.1)</w:t>
      </w:r>
      <w:r>
        <w:t xml:space="preserve">; that VAT is refundable under this heading if the service qualifies and is used for non-business purposes</w:t>
      </w:r>
      <w:r>
        <w:t xml:space="preserve"> </w:t>
      </w:r>
      <w:r>
        <w:t xml:space="preserve">(</w:t>
      </w:r>
      <w:hyperlink w:anchor="ref-hmrc_gdpef">
        <w:r>
          <w:rPr>
            <w:rStyle w:val="Hyperlink"/>
          </w:rPr>
          <w:t xml:space="preserve">HMRC, 2023c</w:t>
        </w:r>
      </w:hyperlink>
      <w:r>
        <w:t xml:space="preserve">)</w:t>
      </w:r>
      <w:r>
        <w:t xml:space="preserve">. Only the foreign VAT is a cost.</w:t>
      </w:r>
    </w:p>
    <w:p>
      <w:pPr>
        <w:pStyle w:val="FirstParagraph"/>
      </w:pPr>
      <w:r>
        <w:rPr>
          <w:b/>
          <w:bCs/>
        </w:rPr>
        <w:t xml:space="preserve">Source:</w:t>
      </w:r>
      <w:r>
        <w:t xml:space="preserve"> </w:t>
      </w:r>
      <w:r>
        <w:t xml:space="preserve">HMRC manual section VATGPB10170, page last updated 7 January 2016</w:t>
      </w:r>
      <w:r>
        <w:t xml:space="preserve"> </w:t>
      </w:r>
      <w:r>
        <w:t xml:space="preserve">(</w:t>
      </w:r>
      <w:hyperlink w:anchor="ref-hmrc_vatgpb">
        <w:r>
          <w:rPr>
            <w:rStyle w:val="Hyperlink"/>
          </w:rPr>
          <w:t xml:space="preserve">HMRC, 2026n, sec. VATGPB10170</w:t>
        </w:r>
      </w:hyperlink>
      <w:r>
        <w:t xml:space="preserve">)</w:t>
      </w:r>
      <w:r>
        <w:t xml:space="preserve">.</w:t>
      </w:r>
    </w:p>
    <w:bookmarkEnd w:id="279"/>
    <w:bookmarkStart w:id="280" w:name="Xa8c0f67e69dea3e01617ed5cd06608ff44cca85"/>
    <w:p>
      <w:pPr>
        <w:pStyle w:val="Heading3"/>
      </w:pPr>
      <w:r>
        <w:t xml:space="preserve">Heading 23: Filming, audio-visual and production services</w:t>
      </w:r>
    </w:p>
    <w:p>
      <w:pPr>
        <w:pStyle w:val="FirstParagraph"/>
      </w:pPr>
      <w:r>
        <w:rPr>
          <w:b/>
          <w:bCs/>
        </w:rPr>
        <w:t xml:space="preserve">What it covers (HMRC’s description):</w:t>
      </w:r>
      <w:r>
        <w:t xml:space="preserve"> </w:t>
      </w:r>
      <w:r>
        <w:t xml:space="preserve">“</w:t>
      </w:r>
      <w:r>
        <w:t xml:space="preserve">This Heading covers filming, audio-visual and production services.</w:t>
      </w:r>
      <w:r>
        <w:t xml:space="preserve">”</w:t>
      </w:r>
      <w:r>
        <w:t xml:space="preserve"> </w:t>
      </w:r>
      <w:r>
        <w:t xml:space="preserve">Apart from the list below, HMRC’s manual gives no further detail</w:t>
      </w:r>
      <w:r>
        <w:t xml:space="preserve"> </w:t>
      </w:r>
      <w:r>
        <w:t xml:space="preserve">(</w:t>
      </w:r>
      <w:hyperlink w:anchor="ref-hmrc_vatgpb">
        <w:r>
          <w:rPr>
            <w:rStyle w:val="Hyperlink"/>
          </w:rPr>
          <w:t xml:space="preserve">HMRC, 2026n, sec. VATGPB10190</w:t>
        </w:r>
      </w:hyperlink>
      <w:r>
        <w:t xml:space="preserve">)</w:t>
      </w:r>
      <w:r>
        <w:t xml:space="preserve">.</w:t>
      </w:r>
    </w:p>
    <w:p>
      <w:pPr>
        <w:pStyle w:val="BodyText"/>
      </w:pPr>
      <w:r>
        <w:rPr>
          <w:b/>
          <w:bCs/>
        </w:rPr>
        <w:t xml:space="preserve">Includes:</w:t>
      </w:r>
    </w:p>
    <w:p>
      <w:pPr>
        <w:pStyle w:val="Compact"/>
        <w:numPr>
          <w:ilvl w:val="0"/>
          <w:numId w:val="1453"/>
        </w:numPr>
      </w:pPr>
      <w:r>
        <w:t xml:space="preserve">“</w:t>
      </w:r>
      <w:r>
        <w:t xml:space="preserve">Commissioning a company to make in-house training films for example promotional videos, public awareness campaigns, etc</w:t>
      </w:r>
      <w:r>
        <w:t xml:space="preserve">”</w:t>
      </w:r>
    </w:p>
    <w:p>
      <w:pPr>
        <w:pStyle w:val="Compact"/>
        <w:numPr>
          <w:ilvl w:val="0"/>
          <w:numId w:val="1453"/>
        </w:numPr>
      </w:pPr>
      <w:r>
        <w:t xml:space="preserve">“</w:t>
      </w:r>
      <w:r>
        <w:t xml:space="preserve">Filming briefings, meetings or conferences</w:t>
      </w:r>
      <w:r>
        <w:t xml:space="preserve">”</w:t>
      </w:r>
    </w:p>
    <w:p>
      <w:pPr>
        <w:pStyle w:val="FirstParagraph"/>
      </w:pPr>
      <w:r>
        <w:rPr>
          <w:b/>
          <w:bCs/>
        </w:rPr>
        <w:t xml:space="preserve">Examples for the Department:</w:t>
      </w:r>
    </w:p>
    <w:p>
      <w:pPr>
        <w:pStyle w:val="Compact"/>
        <w:numPr>
          <w:ilvl w:val="0"/>
          <w:numId w:val="1454"/>
        </w:numPr>
      </w:pPr>
      <w:r>
        <w:rPr>
          <w:b/>
          <w:bCs/>
        </w:rPr>
        <w:t xml:space="preserve">Claimable:</w:t>
      </w:r>
      <w:r>
        <w:t xml:space="preserve"> </w:t>
      </w:r>
      <w:r>
        <w:t xml:space="preserve">A UK production company makes an e-learning video for staff, such as a security and cultural briefing for staff about to be posted abroad. HMRC lists</w:t>
      </w:r>
      <w:r>
        <w:t xml:space="preserve"> </w:t>
      </w:r>
      <w:r>
        <w:t xml:space="preserve">“</w:t>
      </w:r>
      <w:r>
        <w:t xml:space="preserve">in-house training films</w:t>
      </w:r>
      <w:r>
        <w:t xml:space="preserve">”</w:t>
      </w:r>
      <w:r>
        <w:t xml:space="preserve">.</w:t>
      </w:r>
    </w:p>
    <w:p>
      <w:pPr>
        <w:pStyle w:val="Compact"/>
        <w:numPr>
          <w:ilvl w:val="0"/>
          <w:numId w:val="1454"/>
        </w:numPr>
      </w:pPr>
      <w:r>
        <w:rPr>
          <w:b/>
          <w:bCs/>
        </w:rPr>
        <w:t xml:space="preserve">Claimable:</w:t>
      </w:r>
      <w:r>
        <w:t xml:space="preserve"> </w:t>
      </w:r>
      <w:r>
        <w:t xml:space="preserve">A UK contractor films and edits the Department’s conference in London with a visiting overseas government delegation. HMRC lists</w:t>
      </w:r>
      <w:r>
        <w:t xml:space="preserve"> </w:t>
      </w:r>
      <w:r>
        <w:t xml:space="preserve">“</w:t>
      </w:r>
      <w:r>
        <w:t xml:space="preserve">Filming briefings, meetings or conferences</w:t>
      </w:r>
      <w:r>
        <w:t xml:space="preserve">”</w:t>
      </w:r>
      <w:r>
        <w:t xml:space="preserve">.</w:t>
      </w:r>
    </w:p>
    <w:p>
      <w:pPr>
        <w:pStyle w:val="Compact"/>
        <w:numPr>
          <w:ilvl w:val="0"/>
          <w:numId w:val="1454"/>
        </w:numPr>
      </w:pPr>
      <w:r>
        <w:rPr>
          <w:b/>
          <w:bCs/>
        </w:rPr>
        <w:t xml:space="preserve">Not claimable:</w:t>
      </w:r>
      <w:r>
        <w:t xml:space="preserve"> </w:t>
      </w:r>
      <w:r>
        <w:t xml:space="preserve">The Department buys a promotional video to market its data licences and publications to overseas buyers. HMRC lists promotional videos, but this one supports business sales, so it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454"/>
        </w:numPr>
      </w:pPr>
      <w:r>
        <w:rPr>
          <w:b/>
          <w:bCs/>
        </w:rPr>
        <w:t xml:space="preserve">Not claimable:</w:t>
      </w:r>
      <w:r>
        <w:t xml:space="preserve"> </w:t>
      </w:r>
      <w:r>
        <w:t xml:space="preserve">The Department buys cameras and editing software outright to make its own films. That is a purchase of goods (and software), not a filming or production service</w:t>
      </w:r>
      <w:r>
        <w:t xml:space="preserve"> </w:t>
      </w:r>
      <w:r>
        <w:t xml:space="preserve">(</w:t>
      </w:r>
      <w:hyperlink w:anchor="ref-hmrc_vatgpb">
        <w:r>
          <w:rPr>
            <w:rStyle w:val="Hyperlink"/>
          </w:rPr>
          <w:t xml:space="preserve">HMRC, 2026n, sec. VATGPB11370</w:t>
        </w:r>
      </w:hyperlink>
      <w:r>
        <w:t xml:space="preserve">)</w:t>
      </w:r>
      <w:r>
        <w:t xml:space="preserve">.</w:t>
      </w:r>
    </w:p>
    <w:p>
      <w:pPr>
        <w:pStyle w:val="FirstParagraph"/>
      </w:pPr>
      <w:r>
        <w:rPr>
          <w:b/>
          <w:bCs/>
        </w:rPr>
        <w:t xml:space="preserve">Source:</w:t>
      </w:r>
      <w:r>
        <w:t xml:space="preserve"> </w:t>
      </w:r>
      <w:r>
        <w:t xml:space="preserve">HMRC manual section VATGPB10190, page last updated 7 January 2016</w:t>
      </w:r>
      <w:r>
        <w:t xml:space="preserve"> </w:t>
      </w:r>
      <w:r>
        <w:t xml:space="preserve">(</w:t>
      </w:r>
      <w:hyperlink w:anchor="ref-hmrc_vatgpb">
        <w:r>
          <w:rPr>
            <w:rStyle w:val="Hyperlink"/>
          </w:rPr>
          <w:t xml:space="preserve">HMRC, 2026n, sec. VATGPB10190</w:t>
        </w:r>
      </w:hyperlink>
      <w:r>
        <w:t xml:space="preserve">)</w:t>
      </w:r>
      <w:r>
        <w:t xml:space="preserve">.</w:t>
      </w:r>
    </w:p>
    <w:bookmarkEnd w:id="280"/>
    <w:bookmarkStart w:id="281" w:name="heading-24-health-promotion-activities"/>
    <w:p>
      <w:pPr>
        <w:pStyle w:val="Heading3"/>
      </w:pPr>
      <w:r>
        <w:t xml:space="preserve">Heading 24: Health promotion activities</w:t>
      </w:r>
    </w:p>
    <w:p>
      <w:pPr>
        <w:pStyle w:val="FirstParagraph"/>
      </w:pPr>
      <w:r>
        <w:rPr>
          <w:b/>
          <w:bCs/>
        </w:rPr>
        <w:t xml:space="preserve">What it covers (HMRC’s description):</w:t>
      </w:r>
      <w:r>
        <w:t xml:space="preserve"> </w:t>
      </w:r>
      <w:r>
        <w:t xml:space="preserve">“</w:t>
      </w:r>
      <w:r>
        <w:t xml:space="preserve">This Heading covers health promotion activities.</w:t>
      </w:r>
      <w:r>
        <w:t xml:space="preserve">”</w:t>
      </w:r>
      <w:r>
        <w:t xml:space="preserve"> </w:t>
      </w:r>
      <w:r>
        <w:t xml:space="preserve">Apart from the single example below, HMRC’s manual gives no further detail</w:t>
      </w:r>
      <w:r>
        <w:t xml:space="preserve"> </w:t>
      </w:r>
      <w:r>
        <w:t xml:space="preserve">(</w:t>
      </w:r>
      <w:hyperlink w:anchor="ref-hmrc_vatgpb">
        <w:r>
          <w:rPr>
            <w:rStyle w:val="Hyperlink"/>
          </w:rPr>
          <w:t xml:space="preserve">HMRC, 2026n, sec. VATGPB10210</w:t>
        </w:r>
      </w:hyperlink>
      <w:r>
        <w:t xml:space="preserve">)</w:t>
      </w:r>
      <w:r>
        <w:t xml:space="preserve">.</w:t>
      </w:r>
    </w:p>
    <w:p>
      <w:pPr>
        <w:pStyle w:val="BodyText"/>
      </w:pPr>
      <w:r>
        <w:rPr>
          <w:b/>
          <w:bCs/>
        </w:rPr>
        <w:t xml:space="preserve">Includes:</w:t>
      </w:r>
    </w:p>
    <w:p>
      <w:pPr>
        <w:pStyle w:val="Compact"/>
        <w:numPr>
          <w:ilvl w:val="0"/>
          <w:numId w:val="1455"/>
        </w:numPr>
      </w:pPr>
      <w:r>
        <w:t xml:space="preserve">“</w:t>
      </w:r>
      <w:r>
        <w:t xml:space="preserve">Campaigns for stress awareness, giving up smoking, etc</w:t>
      </w:r>
      <w:r>
        <w:t xml:space="preserve">”</w:t>
      </w:r>
    </w:p>
    <w:p>
      <w:pPr>
        <w:pStyle w:val="FirstParagraph"/>
      </w:pPr>
      <w:r>
        <w:rPr>
          <w:b/>
          <w:bCs/>
        </w:rPr>
        <w:t xml:space="preserve">Examples for the Department:</w:t>
      </w:r>
    </w:p>
    <w:p>
      <w:pPr>
        <w:pStyle w:val="Compact"/>
        <w:numPr>
          <w:ilvl w:val="0"/>
          <w:numId w:val="1456"/>
        </w:numPr>
      </w:pPr>
      <w:r>
        <w:rPr>
          <w:b/>
          <w:bCs/>
        </w:rPr>
        <w:t xml:space="preserve">Claimable:</w:t>
      </w:r>
      <w:r>
        <w:t xml:space="preserve"> </w:t>
      </w:r>
      <w:r>
        <w:t xml:space="preserve">The Department contracts a UK wellbeing provider, which charges UK VAT, to run a stress-awareness campaign for staff, including staff on demanding overseas postings. HMRC lists</w:t>
      </w:r>
      <w:r>
        <w:t xml:space="preserve"> </w:t>
      </w:r>
      <w:r>
        <w:t xml:space="preserve">“</w:t>
      </w:r>
      <w:r>
        <w:t xml:space="preserve">Campaigns for stress awareness</w:t>
      </w:r>
      <w:r>
        <w:t xml:space="preserve">”</w:t>
      </w:r>
      <w:r>
        <w:t xml:space="preserve">.</w:t>
      </w:r>
    </w:p>
    <w:p>
      <w:pPr>
        <w:pStyle w:val="Compact"/>
        <w:numPr>
          <w:ilvl w:val="0"/>
          <w:numId w:val="1456"/>
        </w:numPr>
      </w:pPr>
      <w:r>
        <w:rPr>
          <w:b/>
          <w:bCs/>
        </w:rPr>
        <w:t xml:space="preserve">Not claimable:</w:t>
      </w:r>
      <w:r>
        <w:t xml:space="preserve"> </w:t>
      </w:r>
      <w:r>
        <w:t xml:space="preserve">The Department pays a clinic for travel vaccinations for staff being sent abroad. This is not a health promotion campaign. In addition, medical care by registered health professionals is usually</w:t>
      </w:r>
      <w:r>
        <w:t xml:space="preserve"> </w:t>
      </w:r>
      <w:r>
        <w:rPr>
          <w:b/>
          <w:bCs/>
        </w:rPr>
        <w:t xml:space="preserve">exempt</w:t>
      </w:r>
      <w:r>
        <w:t xml:space="preserve"> </w:t>
      </w:r>
      <w:r>
        <w:t xml:space="preserve">from VAT</w:t>
      </w:r>
      <w:r>
        <w:t xml:space="preserve"> </w:t>
      </w:r>
      <w:r>
        <w:t xml:space="preserve">(</w:t>
      </w:r>
      <w:hyperlink w:anchor="ref-hmrc_n70157">
        <w:r>
          <w:rPr>
            <w:rStyle w:val="Hyperlink"/>
          </w:rPr>
          <w:t xml:space="preserve">HMRC, 2026g</w:t>
        </w:r>
      </w:hyperlink>
      <w:r>
        <w:t xml:space="preserve">, paras. 2.3, 4.11)</w:t>
      </w:r>
      <w:r>
        <w:t xml:space="preserve">. Exempt means no VAT is charged at all, so there is nothing to recover</w:t>
      </w:r>
      <w:r>
        <w:t xml:space="preserve"> </w:t>
      </w:r>
      <w:r>
        <w:t xml:space="preserve">(</w:t>
      </w:r>
      <w:hyperlink w:anchor="ref-hmrc_exemption">
        <w:r>
          <w:rPr>
            <w:rStyle w:val="Hyperlink"/>
          </w:rPr>
          <w:t xml:space="preserve">HMRC, 2022a</w:t>
        </w:r>
      </w:hyperlink>
      <w:r>
        <w:t xml:space="preserve">)</w:t>
      </w:r>
      <w:r>
        <w:t xml:space="preserve">. Check the invoice.</w:t>
      </w:r>
    </w:p>
    <w:p>
      <w:pPr>
        <w:pStyle w:val="Compact"/>
        <w:numPr>
          <w:ilvl w:val="0"/>
          <w:numId w:val="1456"/>
        </w:numPr>
      </w:pPr>
      <w:r>
        <w:rPr>
          <w:b/>
          <w:bCs/>
        </w:rPr>
        <w:t xml:space="preserve">Not claimable:</w:t>
      </w:r>
      <w:r>
        <w:t xml:space="preserve"> </w:t>
      </w:r>
      <w:r>
        <w:t xml:space="preserve">The Department buys fitness trackers to give to staff during the campaign. These are goods, not a health promotion service</w:t>
      </w:r>
      <w:r>
        <w:t xml:space="preserve"> </w:t>
      </w:r>
      <w:r>
        <w:t xml:space="preserve">(</w:t>
      </w:r>
      <w:hyperlink w:anchor="ref-hmrc_vatgpb">
        <w:r>
          <w:rPr>
            <w:rStyle w:val="Hyperlink"/>
          </w:rPr>
          <w:t xml:space="preserve">HMRC, 2026n, sec. VATGPB11370</w:t>
        </w:r>
      </w:hyperlink>
      <w:r>
        <w:t xml:space="preserve">)</w:t>
      </w:r>
      <w:r>
        <w:t xml:space="preserve">.</w:t>
      </w:r>
    </w:p>
    <w:p>
      <w:pPr>
        <w:pStyle w:val="FirstParagraph"/>
      </w:pPr>
      <w:r>
        <w:rPr>
          <w:b/>
          <w:bCs/>
        </w:rPr>
        <w:t xml:space="preserve">Source:</w:t>
      </w:r>
      <w:r>
        <w:t xml:space="preserve"> </w:t>
      </w:r>
      <w:r>
        <w:t xml:space="preserve">HMRC manual section VATGPB10210, page last updated 7 January 2016</w:t>
      </w:r>
      <w:r>
        <w:t xml:space="preserve"> </w:t>
      </w:r>
      <w:r>
        <w:t xml:space="preserve">(</w:t>
      </w:r>
      <w:hyperlink w:anchor="ref-hmrc_vatgpb">
        <w:r>
          <w:rPr>
            <w:rStyle w:val="Hyperlink"/>
          </w:rPr>
          <w:t xml:space="preserve">HMRC, 2026n, sec. VATGPB10210</w:t>
        </w:r>
      </w:hyperlink>
      <w:r>
        <w:t xml:space="preserve">)</w:t>
      </w:r>
      <w:r>
        <w:t xml:space="preserve">.</w:t>
      </w:r>
    </w:p>
    <w:bookmarkEnd w:id="281"/>
    <w:bookmarkStart w:id="282" w:name="Xfb7313bf3f5421bc6b73908d86df71713ef0a25"/>
    <w:p>
      <w:pPr>
        <w:pStyle w:val="Heading3"/>
      </w:pPr>
      <w:r>
        <w:t xml:space="preserve">Heading 25: Hire of reprographic equipment including repair and maintenance</w:t>
      </w:r>
    </w:p>
    <w:p>
      <w:pPr>
        <w:pStyle w:val="FirstParagraph"/>
      </w:pPr>
      <w:r>
        <w:rPr>
          <w:b/>
          <w:bCs/>
        </w:rPr>
        <w:t xml:space="preserve">What it covers (HMRC’s description):</w:t>
      </w:r>
      <w:r>
        <w:t xml:space="preserve"> </w:t>
      </w:r>
      <w:r>
        <w:t xml:space="preserve">HMRC gives the full heading:</w:t>
      </w:r>
      <w:r>
        <w:t xml:space="preserve"> </w:t>
      </w:r>
      <w:r>
        <w:t xml:space="preserve">“</w:t>
      </w:r>
      <w:r>
        <w:t xml:space="preserve">Hire, which includes an obligation on the part of the hirer to repair and maintain, of equipment which provides a reprographic service either exclusively or as part of a multifunctional service</w:t>
      </w:r>
      <w:r>
        <w:t xml:space="preserve">”</w:t>
      </w:r>
      <w:r>
        <w:t xml:space="preserve"> </w:t>
      </w:r>
      <w:r>
        <w:t xml:space="preserve">(</w:t>
      </w:r>
      <w:hyperlink w:anchor="ref-hmrc_vatgpb">
        <w:r>
          <w:rPr>
            <w:rStyle w:val="Hyperlink"/>
          </w:rPr>
          <w:t xml:space="preserve">HMRC, 2026n, sec. VATGPB10230</w:t>
        </w:r>
      </w:hyperlink>
      <w:r>
        <w:t xml:space="preserve">)</w:t>
      </w:r>
      <w:r>
        <w:t xml:space="preserve">.</w:t>
      </w:r>
    </w:p>
    <w:p>
      <w:pPr>
        <w:pStyle w:val="BodyText"/>
      </w:pPr>
      <w:r>
        <w:t xml:space="preserve">The Direction’s wording is ambiguous, because</w:t>
      </w:r>
      <w:r>
        <w:t xml:space="preserve"> </w:t>
      </w:r>
      <w:r>
        <w:t xml:space="preserve">“</w:t>
      </w:r>
      <w:r>
        <w:t xml:space="preserve">the hirer</w:t>
      </w:r>
      <w:r>
        <w:t xml:space="preserve">”</w:t>
      </w:r>
      <w:r>
        <w:t xml:space="preserve"> </w:t>
      </w:r>
      <w:r>
        <w:t xml:space="preserve">would normally mean the customer. HMRC does not define the word. Instead, HMRC reads the heading as allowing recovery on the hire, rental or lease of reprographic equipment</w:t>
      </w:r>
      <w:r>
        <w:t xml:space="preserve"> </w:t>
      </w:r>
      <w:r>
        <w:t xml:space="preserve">“</w:t>
      </w:r>
      <w:r>
        <w:t xml:space="preserve">but only where the agreement or contract provides for repairs and maintenance and where the provider retains ownership and responsibility for the equipment</w:t>
      </w:r>
      <w:r>
        <w:t xml:space="preserve">”</w:t>
      </w:r>
      <w:r>
        <w:t xml:space="preserve"> </w:t>
      </w:r>
      <w:r>
        <w:t xml:space="preserve">(</w:t>
      </w:r>
      <w:hyperlink w:anchor="ref-hmrc_vatgpb">
        <w:r>
          <w:rPr>
            <w:rStyle w:val="Hyperlink"/>
          </w:rPr>
          <w:t xml:space="preserve">HMRC, 2026n, sec. VATGPB10230</w:t>
        </w:r>
      </w:hyperlink>
      <w:r>
        <w:t xml:space="preserve">)</w:t>
      </w:r>
      <w:r>
        <w:t xml:space="preserve">. Apply that test.</w:t>
      </w:r>
    </w:p>
    <w:p>
      <w:pPr>
        <w:pStyle w:val="BodyText"/>
      </w:pPr>
      <w:r>
        <w:t xml:space="preserve">“</w:t>
      </w:r>
      <w:r>
        <w:t xml:space="preserve">Reprographic</w:t>
      </w:r>
      <w:r>
        <w:t xml:space="preserve">”</w:t>
      </w:r>
      <w:r>
        <w:t xml:space="preserve"> </w:t>
      </w:r>
      <w:r>
        <w:t xml:space="preserve">takes its everyday meaning:</w:t>
      </w:r>
      <w:r>
        <w:t xml:space="preserve"> </w:t>
      </w:r>
      <w:r>
        <w:t xml:space="preserve">“</w:t>
      </w:r>
      <w:r>
        <w:t xml:space="preserve">the process of reproducing, reprinting, or copying graphic material especially by mechanical, photographic, or electronic means</w:t>
      </w:r>
      <w:r>
        <w:t xml:space="preserve">”</w:t>
      </w:r>
      <w:r>
        <w:t xml:space="preserve"> </w:t>
      </w:r>
      <w:r>
        <w:t xml:space="preserve">(</w:t>
      </w:r>
      <w:hyperlink w:anchor="ref-hmrc_vatgpb">
        <w:r>
          <w:rPr>
            <w:rStyle w:val="Hyperlink"/>
          </w:rPr>
          <w:t xml:space="preserve">HMRC, 2026n, sec. VATGPB10230</w:t>
        </w:r>
      </w:hyperlink>
      <w:r>
        <w:t xml:space="preserve">)</w:t>
      </w:r>
      <w:r>
        <w:t xml:space="preserve">.</w:t>
      </w:r>
    </w:p>
    <w:p>
      <w:pPr>
        <w:pStyle w:val="BodyText"/>
      </w:pPr>
      <w:r>
        <w:t xml:space="preserve">A</w:t>
      </w:r>
      <w:r>
        <w:t xml:space="preserve"> </w:t>
      </w:r>
      <w:r>
        <w:t xml:space="preserve">“</w:t>
      </w:r>
      <w:r>
        <w:t xml:space="preserve">click charge</w:t>
      </w:r>
      <w:r>
        <w:t xml:space="preserve">”</w:t>
      </w:r>
      <w:r>
        <w:t xml:space="preserve"> </w:t>
      </w:r>
      <w:r>
        <w:t xml:space="preserve">is a price worked out per copy or page printed.</w:t>
      </w:r>
    </w:p>
    <w:p>
      <w:pPr>
        <w:pStyle w:val="BodyText"/>
      </w:pPr>
      <w:r>
        <w:rPr>
          <w:b/>
          <w:bCs/>
        </w:rPr>
        <w:t xml:space="preserve">Includes:</w:t>
      </w:r>
    </w:p>
    <w:p>
      <w:pPr>
        <w:pStyle w:val="Compact"/>
        <w:numPr>
          <w:ilvl w:val="0"/>
          <w:numId w:val="1457"/>
        </w:numPr>
      </w:pPr>
      <w:r>
        <w:t xml:space="preserve">Hire, rental or lease of reprographic equipment where the charge is calculated on a</w:t>
      </w:r>
      <w:r>
        <w:t xml:space="preserve"> </w:t>
      </w:r>
      <w:r>
        <w:t xml:space="preserve">“</w:t>
      </w:r>
      <w:r>
        <w:t xml:space="preserve">copy</w:t>
      </w:r>
      <w:r>
        <w:t xml:space="preserve">”</w:t>
      </w:r>
      <w:r>
        <w:t xml:space="preserve"> </w:t>
      </w:r>
      <w:r>
        <w:t xml:space="preserve">or</w:t>
      </w:r>
      <w:r>
        <w:t xml:space="preserve"> </w:t>
      </w:r>
      <w:r>
        <w:t xml:space="preserve">“</w:t>
      </w:r>
      <w:r>
        <w:t xml:space="preserve">click</w:t>
      </w:r>
      <w:r>
        <w:t xml:space="preserve">”</w:t>
      </w:r>
      <w:r>
        <w:t xml:space="preserve"> </w:t>
      </w:r>
      <w:r>
        <w:t xml:space="preserve">charge basis and the provider keeps ownership of the equipment. This also includes</w:t>
      </w:r>
      <w:r>
        <w:t xml:space="preserve"> </w:t>
      </w:r>
      <w:r>
        <w:t xml:space="preserve">“</w:t>
      </w:r>
      <w:r>
        <w:t xml:space="preserve">consumables provided as part of the</w:t>
      </w:r>
      <w:r>
        <w:t xml:space="preserve"> </w:t>
      </w:r>
      <w:r>
        <w:t xml:space="preserve">‘</w:t>
      </w:r>
      <w:r>
        <w:t xml:space="preserve">click</w:t>
      </w:r>
      <w:r>
        <w:t xml:space="preserve">’</w:t>
      </w:r>
      <w:r>
        <w:t xml:space="preserve"> </w:t>
      </w:r>
      <w:r>
        <w:t xml:space="preserve">or</w:t>
      </w:r>
      <w:r>
        <w:t xml:space="preserve"> </w:t>
      </w:r>
      <w:r>
        <w:t xml:space="preserve">‘</w:t>
      </w:r>
      <w:r>
        <w:t xml:space="preserve">copy</w:t>
      </w:r>
      <w:r>
        <w:t xml:space="preserve">’</w:t>
      </w:r>
      <w:r>
        <w:t xml:space="preserve"> </w:t>
      </w:r>
      <w:r>
        <w:t xml:space="preserve">charge</w:t>
      </w:r>
      <w:r>
        <w:t xml:space="preserve">”</w:t>
      </w:r>
      <w:r>
        <w:t xml:space="preserve">.</w:t>
      </w:r>
    </w:p>
    <w:p>
      <w:pPr>
        <w:pStyle w:val="Compact"/>
        <w:numPr>
          <w:ilvl w:val="0"/>
          <w:numId w:val="1457"/>
        </w:numPr>
      </w:pPr>
      <w:r>
        <w:t xml:space="preserve">“</w:t>
      </w:r>
      <w:r>
        <w:t xml:space="preserve">Multifunctional Devices (MFDs) which serve as printers, photocopiers and faxes</w:t>
      </w:r>
      <w:r>
        <w:t xml:space="preserve">”</w:t>
      </w:r>
    </w:p>
    <w:p>
      <w:pPr>
        <w:pStyle w:val="FirstParagraph"/>
      </w:pPr>
      <w:r>
        <w:rPr>
          <w:b/>
          <w:bCs/>
        </w:rPr>
        <w:t xml:space="preserve">Excludes:</w:t>
      </w:r>
    </w:p>
    <w:p>
      <w:pPr>
        <w:pStyle w:val="Compact"/>
        <w:numPr>
          <w:ilvl w:val="0"/>
          <w:numId w:val="1458"/>
        </w:numPr>
      </w:pPr>
      <w:r>
        <w:t xml:space="preserve">Hire, rental or lease of reprographic equipment</w:t>
      </w:r>
      <w:r>
        <w:t xml:space="preserve"> </w:t>
      </w:r>
      <w:r>
        <w:t xml:space="preserve">“</w:t>
      </w:r>
      <w:r>
        <w:t xml:space="preserve">where the agreement or contract does not include repair and maintenance</w:t>
      </w:r>
      <w:r>
        <w:t xml:space="preserve">”</w:t>
      </w:r>
    </w:p>
    <w:p>
      <w:pPr>
        <w:pStyle w:val="Compact"/>
        <w:numPr>
          <w:ilvl w:val="0"/>
          <w:numId w:val="1458"/>
        </w:numPr>
      </w:pPr>
      <w:r>
        <w:t xml:space="preserve">“</w:t>
      </w:r>
      <w:r>
        <w:t xml:space="preserve">Hire of Fax machines, as these are not primarily reprographic equipment</w:t>
      </w:r>
      <w:r>
        <w:t xml:space="preserve">”</w:t>
      </w:r>
    </w:p>
    <w:p>
      <w:pPr>
        <w:pStyle w:val="Compact"/>
        <w:numPr>
          <w:ilvl w:val="0"/>
          <w:numId w:val="1458"/>
        </w:numPr>
      </w:pPr>
      <w:r>
        <w:t xml:space="preserve">“</w:t>
      </w:r>
      <w:r>
        <w:t xml:space="preserve">Consumable supplied separately, for example, toner, fixing agents and copier</w:t>
      </w:r>
      <w:r>
        <w:t xml:space="preserve">”</w:t>
      </w:r>
      <w:r>
        <w:t xml:space="preserve"> </w:t>
      </w:r>
      <w:r>
        <w:t xml:space="preserve">(HMRC’s wording)</w:t>
      </w:r>
    </w:p>
    <w:p>
      <w:pPr>
        <w:pStyle w:val="FirstParagraph"/>
      </w:pPr>
      <w:r>
        <w:rPr>
          <w:b/>
          <w:bCs/>
        </w:rPr>
        <w:t xml:space="preserve">Examples for the Department:</w:t>
      </w:r>
    </w:p>
    <w:p>
      <w:pPr>
        <w:pStyle w:val="Compact"/>
        <w:numPr>
          <w:ilvl w:val="0"/>
          <w:numId w:val="1459"/>
        </w:numPr>
      </w:pPr>
      <w:r>
        <w:rPr>
          <w:b/>
          <w:bCs/>
        </w:rPr>
        <w:t xml:space="preserve">Claimable:</w:t>
      </w:r>
      <w:r>
        <w:t xml:space="preserve"> </w:t>
      </w:r>
      <w:r>
        <w:t xml:space="preserve">The Department leases MFDs for its UK offices and training centre on a click-charge contract. The supplier keeps ownership and does all repairs and maintenance, and toner is included in the click price. This matches HMRC’s included contract type, and the toner is part of that supply. If the Department also has business activities, a shared overhead like this may need splitting between business and non-business use under its agreed method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459"/>
        </w:numPr>
      </w:pPr>
      <w:r>
        <w:rPr>
          <w:b/>
          <w:bCs/>
        </w:rPr>
        <w:t xml:space="preserve">Not claimable:</w:t>
      </w:r>
      <w:r>
        <w:t xml:space="preserve"> </w:t>
      </w:r>
      <w:r>
        <w:t xml:space="preserve">The Department buys toner and paper from a stationery supplier on a separate order. Consumables supplied separately are excluded.</w:t>
      </w:r>
    </w:p>
    <w:p>
      <w:pPr>
        <w:pStyle w:val="Compact"/>
        <w:numPr>
          <w:ilvl w:val="0"/>
          <w:numId w:val="1459"/>
        </w:numPr>
      </w:pPr>
      <w:r>
        <w:rPr>
          <w:b/>
          <w:bCs/>
        </w:rPr>
        <w:t xml:space="preserve">Not claimable:</w:t>
      </w:r>
      <w:r>
        <w:t xml:space="preserve"> </w:t>
      </w:r>
      <w:r>
        <w:t xml:space="preserve">The Department rents copiers on a contract with no maintenance clause, because it calls out its own engineer when needed. HMRC excludes hire without repair and maintenance.</w:t>
      </w:r>
    </w:p>
    <w:p>
      <w:pPr>
        <w:pStyle w:val="Compact"/>
        <w:numPr>
          <w:ilvl w:val="0"/>
          <w:numId w:val="1459"/>
        </w:numPr>
      </w:pPr>
      <w:r>
        <w:rPr>
          <w:b/>
          <w:bCs/>
        </w:rPr>
        <w:t xml:space="preserve">Not claimable:</w:t>
      </w:r>
      <w:r>
        <w:t xml:space="preserve"> </w:t>
      </w:r>
      <w:r>
        <w:t xml:space="preserve">The Department leases a copier for an overseas post from a local supplier who charges that country’s VAT. Foreign VAT is not UK VAT (Value Added Tax Act 1994, ss. 1(1) and 41(3)).</w:t>
      </w:r>
    </w:p>
    <w:p>
      <w:pPr>
        <w:pStyle w:val="FirstParagraph"/>
      </w:pPr>
      <w:r>
        <w:rPr>
          <w:b/>
          <w:bCs/>
        </w:rPr>
        <w:t xml:space="preserve">Source:</w:t>
      </w:r>
      <w:r>
        <w:t xml:space="preserve"> </w:t>
      </w:r>
      <w:r>
        <w:t xml:space="preserve">HMRC manual section VATGPB10230, page last updated 12 March 2021</w:t>
      </w:r>
      <w:r>
        <w:t xml:space="preserve"> </w:t>
      </w:r>
      <w:r>
        <w:t xml:space="preserve">(</w:t>
      </w:r>
      <w:hyperlink w:anchor="ref-hmrc_vatgpb">
        <w:r>
          <w:rPr>
            <w:rStyle w:val="Hyperlink"/>
          </w:rPr>
          <w:t xml:space="preserve">HMRC, 2026n, sec. VATGPB10230</w:t>
        </w:r>
      </w:hyperlink>
      <w:r>
        <w:t xml:space="preserve">)</w:t>
      </w:r>
      <w:r>
        <w:t xml:space="preserve">.</w:t>
      </w:r>
    </w:p>
    <w:bookmarkEnd w:id="282"/>
    <w:bookmarkStart w:id="283" w:name="Xfa603d40ff7d63b82871492d07535c3992b8a9d"/>
    <w:p>
      <w:pPr>
        <w:pStyle w:val="Heading3"/>
      </w:pPr>
      <w:r>
        <w:t xml:space="preserve">Heading 26: Hire of vehicles, including repair and maintenance</w:t>
      </w:r>
    </w:p>
    <w:p>
      <w:pPr>
        <w:pStyle w:val="FirstParagraph"/>
      </w:pPr>
      <w:r>
        <w:rPr>
          <w:b/>
          <w:bCs/>
        </w:rPr>
        <w:t xml:space="preserve">What it covers (HMRC’s description):</w:t>
      </w:r>
      <w:r>
        <w:t xml:space="preserve"> </w:t>
      </w:r>
      <w:r>
        <w:t xml:space="preserve">HMRC gives the full heading:</w:t>
      </w:r>
      <w:r>
        <w:t xml:space="preserve"> </w:t>
      </w:r>
      <w:r>
        <w:t xml:space="preserve">“</w:t>
      </w:r>
      <w:r>
        <w:t xml:space="preserve">Hire, which includes an obligation on the part of the hirer to repair and maintain, of vehicles where hire is for a period in excess of 30 consecutive days.</w:t>
      </w:r>
      <w:r>
        <w:t xml:space="preserve">”</w:t>
      </w:r>
      <w:r>
        <w:t xml:space="preserve"> </w:t>
      </w:r>
      <w:r>
        <w:t xml:space="preserve">The Direction’s wording is ambiguous, because</w:t>
      </w:r>
      <w:r>
        <w:t xml:space="preserve"> </w:t>
      </w:r>
      <w:r>
        <w:t xml:space="preserve">“</w:t>
      </w:r>
      <w:r>
        <w:t xml:space="preserve">the hirer</w:t>
      </w:r>
      <w:r>
        <w:t xml:space="preserve">”</w:t>
      </w:r>
      <w:r>
        <w:t xml:space="preserve"> </w:t>
      </w:r>
      <w:r>
        <w:t xml:space="preserve">would normally mean the customer. HMRC does not define the word. Instead, HMRC reads the heading as requiring repair and maintenance by the supplier to be specified in the contract (see</w:t>
      </w:r>
      <w:r>
        <w:t xml:space="preserve"> </w:t>
      </w:r>
      <w:r>
        <w:t xml:space="preserve">“</w:t>
      </w:r>
      <w:r>
        <w:t xml:space="preserve">What the contract must say</w:t>
      </w:r>
      <w:r>
        <w:t xml:space="preserve">”</w:t>
      </w:r>
      <w:r>
        <w:t xml:space="preserve"> </w:t>
      </w:r>
      <w:r>
        <w:t xml:space="preserve">below)</w:t>
      </w:r>
      <w:r>
        <w:t xml:space="preserve"> </w:t>
      </w:r>
      <w:r>
        <w:t xml:space="preserve">(</w:t>
      </w:r>
      <w:hyperlink w:anchor="ref-hmrc_vatgpb">
        <w:r>
          <w:rPr>
            <w:rStyle w:val="Hyperlink"/>
          </w:rPr>
          <w:t xml:space="preserve">HMRC, 2026n, sec. VATGPB10250</w:t>
        </w:r>
      </w:hyperlink>
      <w:r>
        <w:t xml:space="preserve">)</w:t>
      </w:r>
      <w:r>
        <w:t xml:space="preserve">. Apply that test.</w:t>
      </w:r>
    </w:p>
    <w:p>
      <w:pPr>
        <w:pStyle w:val="Compact"/>
        <w:numPr>
          <w:ilvl w:val="0"/>
          <w:numId w:val="1460"/>
        </w:numPr>
      </w:pPr>
      <w:r>
        <w:rPr>
          <w:b/>
          <w:bCs/>
        </w:rPr>
        <w:t xml:space="preserve">When the wording changed:</w:t>
      </w:r>
      <w:r>
        <w:t xml:space="preserve"> </w:t>
      </w:r>
      <w:r>
        <w:t xml:space="preserve">a new Treasury Direction published on 30 October 2020 changed the heading. Eligible bodies</w:t>
      </w:r>
      <w:r>
        <w:t xml:space="preserve"> </w:t>
      </w:r>
      <w:r>
        <w:t xml:space="preserve">“</w:t>
      </w:r>
      <w:r>
        <w:t xml:space="preserve">may apply the new heading from 1 September 2020, if they wish</w:t>
      </w:r>
      <w:r>
        <w:t xml:space="preserve">”</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VATGPB10250</w:t>
        </w:r>
      </w:hyperlink>
      <w:r>
        <w:t xml:space="preserve">)</w:t>
      </w:r>
      <w:r>
        <w:t xml:space="preserve">.</w:t>
      </w:r>
    </w:p>
    <w:p>
      <w:pPr>
        <w:pStyle w:val="Compact"/>
        <w:numPr>
          <w:ilvl w:val="0"/>
          <w:numId w:val="1460"/>
        </w:numPr>
      </w:pPr>
      <w:r>
        <w:rPr>
          <w:b/>
          <w:bCs/>
        </w:rPr>
        <w:t xml:space="preserve">What the contract must say:</w:t>
      </w:r>
      <w:r>
        <w:t xml:space="preserve"> </w:t>
      </w:r>
      <w:r>
        <w:t xml:space="preserve">recovery is allowed where a department enters into a contract for vehicles and</w:t>
      </w:r>
      <w:r>
        <w:t xml:space="preserve"> </w:t>
      </w:r>
      <w:r>
        <w:t xml:space="preserve">“</w:t>
      </w:r>
      <w:r>
        <w:t xml:space="preserve">the repair and maintenance of these vehicles by the supplier is specified in the contract</w:t>
      </w:r>
      <w:r>
        <w:t xml:space="preserve">”</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0"/>
          <w:numId w:val="1460"/>
        </w:numPr>
      </w:pPr>
      <w:r>
        <w:rPr>
          <w:b/>
          <w:bCs/>
        </w:rPr>
        <w:t xml:space="preserve">Short hires:</w:t>
      </w:r>
      <w:r>
        <w:t xml:space="preserve"> </w:t>
      </w:r>
      <w:r>
        <w:t xml:space="preserve">the heading is for long-term contracts. HMRC explains that contracts under 30 days rarely include maintenance</w:t>
      </w:r>
      <w:r>
        <w:t xml:space="preserve"> </w:t>
      </w:r>
      <w:r>
        <w:t xml:space="preserve">“</w:t>
      </w:r>
      <w:r>
        <w:t xml:space="preserve">because a car would simply be replaced if there was a problem</w:t>
      </w:r>
      <w:r>
        <w:t xml:space="preserve">”</w:t>
      </w:r>
      <w:r>
        <w:t xml:space="preserve">, so</w:t>
      </w:r>
      <w:r>
        <w:t xml:space="preserve"> </w:t>
      </w:r>
      <w:r>
        <w:t xml:space="preserve">“</w:t>
      </w:r>
      <w:r>
        <w:t xml:space="preserve">leases of 30 days or less are excluded</w:t>
      </w:r>
      <w:r>
        <w:t xml:space="preserve">”</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0"/>
          <w:numId w:val="1460"/>
        </w:numPr>
      </w:pPr>
      <w:r>
        <w:rPr>
          <w:b/>
          <w:bCs/>
        </w:rPr>
        <w:t xml:space="preserve">Mixed contracts:</w:t>
      </w:r>
      <w:r>
        <w:t xml:space="preserve"> </w:t>
      </w:r>
      <w:r>
        <w:t xml:space="preserve">where one contract includes hire both with and without repair and maintenance, you can recover only the VAT on the hire that includes repair and maintenance. HMRC says</w:t>
      </w:r>
      <w:r>
        <w:t xml:space="preserve"> </w:t>
      </w:r>
      <w:r>
        <w:t xml:space="preserve">“</w:t>
      </w:r>
      <w:r>
        <w:t xml:space="preserve">you must carve out the recoverable and non-recoverable elements</w:t>
      </w:r>
      <w:r>
        <w:t xml:space="preserve">”</w:t>
      </w:r>
      <w:r>
        <w:t xml:space="preserve">. It describes this as</w:t>
      </w:r>
      <w:r>
        <w:t xml:space="preserve"> </w:t>
      </w:r>
      <w:r>
        <w:t xml:space="preserve">“</w:t>
      </w:r>
      <w:r>
        <w:t xml:space="preserve">an exception to the general rule</w:t>
      </w:r>
      <w:r>
        <w:t xml:space="preserve">”</w:t>
      </w:r>
      <w:r>
        <w:t xml:space="preserve">, under which a single supply would normally be treated as a whole</w:t>
      </w:r>
      <w:r>
        <w:t xml:space="preserve"> </w:t>
      </w:r>
      <w:r>
        <w:t xml:space="preserve">(</w:t>
      </w:r>
      <w:hyperlink w:anchor="ref-hmrc_vatgpb">
        <w:r>
          <w:rPr>
            <w:rStyle w:val="Hyperlink"/>
          </w:rPr>
          <w:t xml:space="preserve">HMRC, 2026n, sec. VATGPB10250</w:t>
        </w:r>
      </w:hyperlink>
      <w:r>
        <w:t xml:space="preserve">;</w:t>
      </w:r>
      <w:r>
        <w:t xml:space="preserve"> </w:t>
      </w:r>
      <w:hyperlink w:anchor="ref-hmrc_vatgpb">
        <w:r>
          <w:rPr>
            <w:rStyle w:val="Hyperlink"/>
          </w:rPr>
          <w:t xml:space="preserve">2026n, sec. VATGPB9720</w:t>
        </w:r>
      </w:hyperlink>
      <w:r>
        <w:t xml:space="preserve">)</w:t>
      </w:r>
      <w:r>
        <w:t xml:space="preserve">.</w:t>
      </w:r>
    </w:p>
    <w:p>
      <w:pPr>
        <w:pStyle w:val="FirstParagraph"/>
      </w:pPr>
      <w:r>
        <w:rPr>
          <w:b/>
          <w:bCs/>
        </w:rPr>
        <w:t xml:space="preserve">Includes:</w:t>
      </w:r>
    </w:p>
    <w:p>
      <w:pPr>
        <w:pStyle w:val="Compact"/>
        <w:numPr>
          <w:ilvl w:val="0"/>
          <w:numId w:val="1461"/>
        </w:numPr>
      </w:pPr>
      <w:r>
        <w:t xml:space="preserve">“</w:t>
      </w:r>
      <w:r>
        <w:t xml:space="preserve">Contracts for the hire of pool cars, company cars or other vehicles where the contract includes repair and maintenance by the supplier</w:t>
      </w:r>
      <w:r>
        <w:t xml:space="preserve">”</w:t>
      </w:r>
    </w:p>
    <w:p>
      <w:pPr>
        <w:pStyle w:val="FirstParagraph"/>
      </w:pPr>
      <w:r>
        <w:rPr>
          <w:b/>
          <w:bCs/>
        </w:rPr>
        <w:t xml:space="preserve">Excludes:</w:t>
      </w:r>
    </w:p>
    <w:p>
      <w:pPr>
        <w:pStyle w:val="Compact"/>
        <w:numPr>
          <w:ilvl w:val="0"/>
          <w:numId w:val="1462"/>
        </w:numPr>
      </w:pPr>
      <w:r>
        <w:t xml:space="preserve">“</w:t>
      </w:r>
      <w:r>
        <w:t xml:space="preserve">Hire of vehicles alone where the contract does not include repair and maintenance</w:t>
      </w:r>
      <w:r>
        <w:t xml:space="preserve">”</w:t>
      </w:r>
      <w:r>
        <w:t xml:space="preserve">. HMRC adds that VAT on a separate supply of repair and maintenance</w:t>
      </w:r>
      <w:r>
        <w:t xml:space="preserve"> </w:t>
      </w:r>
      <w:r>
        <w:t xml:space="preserve">“</w:t>
      </w:r>
      <w:r>
        <w:t xml:space="preserve">will be recoverable under heading 37</w:t>
      </w:r>
      <w:r>
        <w:t xml:space="preserve">”</w:t>
      </w:r>
      <w:r>
        <w:t xml:space="preserve">.</w:t>
      </w:r>
    </w:p>
    <w:p>
      <w:pPr>
        <w:pStyle w:val="Compact"/>
        <w:numPr>
          <w:ilvl w:val="0"/>
          <w:numId w:val="1462"/>
        </w:numPr>
      </w:pPr>
      <w:r>
        <w:t xml:space="preserve">Hires of 30 consecutive days or less.</w:t>
      </w:r>
    </w:p>
    <w:p>
      <w:pPr>
        <w:pStyle w:val="FirstParagraph"/>
      </w:pPr>
      <w:r>
        <w:rPr>
          <w:b/>
          <w:bCs/>
        </w:rPr>
        <w:t xml:space="preserve">Examples for the Department:</w:t>
      </w:r>
    </w:p>
    <w:p>
      <w:pPr>
        <w:pStyle w:val="Compact"/>
        <w:numPr>
          <w:ilvl w:val="0"/>
          <w:numId w:val="1463"/>
        </w:numPr>
      </w:pPr>
      <w:r>
        <w:rPr>
          <w:b/>
          <w:bCs/>
        </w:rPr>
        <w:t xml:space="preserve">Claimable:</w:t>
      </w:r>
      <w:r>
        <w:t xml:space="preserve"> </w:t>
      </w:r>
      <w:r>
        <w:t xml:space="preserve">The Department has a 3-year pool-car contract with a UK leasing company that covers servicing and repairs. Staff use the cars to travel to training venues and airports. The hire is over 30 days and repair and maintenance by the supplier is in the contract.</w:t>
      </w:r>
    </w:p>
    <w:p>
      <w:pPr>
        <w:pStyle w:val="Compact"/>
        <w:numPr>
          <w:ilvl w:val="0"/>
          <w:numId w:val="1463"/>
        </w:numPr>
      </w:pPr>
      <w:r>
        <w:rPr>
          <w:b/>
          <w:bCs/>
        </w:rPr>
        <w:t xml:space="preserve">Not claimable:</w:t>
      </w:r>
      <w:r>
        <w:t xml:space="preserve"> </w:t>
      </w:r>
      <w:r>
        <w:t xml:space="preserve">The Department hires a car for one week so staff can drive to a UK conference. This is 30 days or less, so it is excluded.</w:t>
      </w:r>
    </w:p>
    <w:p>
      <w:pPr>
        <w:pStyle w:val="Compact"/>
        <w:numPr>
          <w:ilvl w:val="0"/>
          <w:numId w:val="1463"/>
        </w:numPr>
      </w:pPr>
      <w:r>
        <w:rPr>
          <w:b/>
          <w:bCs/>
        </w:rPr>
        <w:t xml:space="preserve">Not claimable:</w:t>
      </w:r>
      <w:r>
        <w:t xml:space="preserve"> </w:t>
      </w:r>
      <w:r>
        <w:t xml:space="preserve">The Department leases vans for 12 months with no maintenance. The lease VAT is not claimable under this heading. VAT on a separate maintenance contract may be claimable under Heading 37</w:t>
      </w:r>
      <w:r>
        <w:t xml:space="preserve"> </w:t>
      </w:r>
      <w:r>
        <w:t xml:space="preserve">(</w:t>
      </w:r>
      <w:hyperlink w:anchor="ref-hmrc_vatgpb">
        <w:r>
          <w:rPr>
            <w:rStyle w:val="Hyperlink"/>
          </w:rPr>
          <w:t xml:space="preserve">HMRC, 2026n, sec. VATGPB10470</w:t>
        </w:r>
      </w:hyperlink>
      <w:r>
        <w:t xml:space="preserve">)</w:t>
      </w:r>
      <w:r>
        <w:t xml:space="preserve">.</w:t>
      </w:r>
    </w:p>
    <w:p>
      <w:pPr>
        <w:pStyle w:val="Compact"/>
        <w:numPr>
          <w:ilvl w:val="0"/>
          <w:numId w:val="1463"/>
        </w:numPr>
      </w:pPr>
      <w:r>
        <w:rPr>
          <w:b/>
          <w:bCs/>
        </w:rPr>
        <w:t xml:space="preserve">Not claimable:</w:t>
      </w:r>
      <w:r>
        <w:t xml:space="preserve"> </w:t>
      </w:r>
      <w:r>
        <w:t xml:space="preserve">The Department leases a car long-term in the overseas country for a member of staff on posting, and the local supplier charges local VAT. Foreign VAT is not UK VAT (Value Added Tax Act 1994, ss. 1(1) and 41(3)).</w:t>
      </w:r>
    </w:p>
    <w:p>
      <w:pPr>
        <w:pStyle w:val="FirstParagraph"/>
      </w:pPr>
      <w:r>
        <w:rPr>
          <w:b/>
          <w:bCs/>
        </w:rPr>
        <w:t xml:space="preserve">Source:</w:t>
      </w:r>
      <w:r>
        <w:t xml:space="preserve"> </w:t>
      </w:r>
      <w:r>
        <w:t xml:space="preserve">HMRC manual section VATGPB10250, page last updated 17 February 2021</w:t>
      </w:r>
      <w:r>
        <w:t xml:space="preserve"> </w:t>
      </w:r>
      <w:r>
        <w:t xml:space="preserve">(</w:t>
      </w:r>
      <w:hyperlink w:anchor="ref-hmrc_vatgpb">
        <w:r>
          <w:rPr>
            <w:rStyle w:val="Hyperlink"/>
          </w:rPr>
          <w:t xml:space="preserve">HMRC, 2026n, sec. VATGPB10250</w:t>
        </w:r>
      </w:hyperlink>
      <w:r>
        <w:t xml:space="preserve">)</w:t>
      </w:r>
      <w:r>
        <w:t xml:space="preserve">.</w:t>
      </w:r>
    </w:p>
    <w:bookmarkEnd w:id="283"/>
    <w:bookmarkStart w:id="284" w:name="heading-27-insolvency-services"/>
    <w:p>
      <w:pPr>
        <w:pStyle w:val="Heading3"/>
      </w:pPr>
      <w:r>
        <w:t xml:space="preserve">Heading 27: Insolvency services</w:t>
      </w:r>
    </w:p>
    <w:p>
      <w:pPr>
        <w:pStyle w:val="FirstParagraph"/>
      </w:pPr>
      <w:r>
        <w:rPr>
          <w:b/>
          <w:bCs/>
        </w:rPr>
        <w:t xml:space="preserve">What it covers (HMRC’s description):</w:t>
      </w:r>
      <w:r>
        <w:t xml:space="preserve"> </w:t>
      </w:r>
      <w:r>
        <w:t xml:space="preserve">HMRC says insolvency practitioners’ costs</w:t>
      </w:r>
      <w:r>
        <w:t xml:space="preserve"> </w:t>
      </w:r>
      <w:r>
        <w:t xml:space="preserve">“</w:t>
      </w:r>
      <w:r>
        <w:t xml:space="preserve">may be recovered under this Heading only if it can be demonstrated that that they are working under contract to a government department or health authority and that their services are being provided to the government department or health authority</w:t>
      </w:r>
      <w:r>
        <w:t xml:space="preserve">”</w:t>
      </w:r>
      <w:r>
        <w:t xml:space="preserve"> </w:t>
      </w:r>
      <w:r>
        <w:t xml:space="preserve">(</w:t>
      </w:r>
      <w:hyperlink w:anchor="ref-hmrc_vatgpb">
        <w:r>
          <w:rPr>
            <w:rStyle w:val="Hyperlink"/>
          </w:rPr>
          <w:t xml:space="preserve">HMRC, 2026n, sec. VATGPB10270</w:t>
        </w:r>
      </w:hyperlink>
      <w:r>
        <w:t xml:space="preserve">)</w:t>
      </w:r>
      <w:r>
        <w:t xml:space="preserve">.</w:t>
      </w:r>
    </w:p>
    <w:p>
      <w:pPr>
        <w:pStyle w:val="BodyText"/>
      </w:pPr>
      <w:r>
        <w:t xml:space="preserve">HMRC also warns:</w:t>
      </w:r>
      <w:r>
        <w:t xml:space="preserve"> </w:t>
      </w:r>
      <w:r>
        <w:t xml:space="preserve">“</w:t>
      </w:r>
      <w:r>
        <w:t xml:space="preserve">In many cases insolvency practitioners are seen as providing their services to the business under their supervision and any VAT charge is proper to that entity rather than a government department or health authority</w:t>
      </w:r>
      <w:r>
        <w:t xml:space="preserve">”</w:t>
      </w:r>
      <w:r>
        <w:t xml:space="preserve"> </w:t>
      </w:r>
      <w:r>
        <w:t xml:space="preserve">(</w:t>
      </w:r>
      <w:hyperlink w:anchor="ref-hmrc_vatgpb">
        <w:r>
          <w:rPr>
            <w:rStyle w:val="Hyperlink"/>
          </w:rPr>
          <w:t xml:space="preserve">HMRC, 2026n, sec. VATGPB10270</w:t>
        </w:r>
      </w:hyperlink>
      <w:r>
        <w:t xml:space="preserve">)</w:t>
      </w:r>
      <w:r>
        <w:t xml:space="preserve">.</w:t>
      </w:r>
    </w:p>
    <w:p>
      <w:pPr>
        <w:pStyle w:val="BodyText"/>
      </w:pPr>
      <w:r>
        <w:t xml:space="preserve">Beyond this, HMRC’s manual gives no further detail.</w:t>
      </w:r>
    </w:p>
    <w:p>
      <w:pPr>
        <w:pStyle w:val="BodyText"/>
      </w:pPr>
      <w:r>
        <w:rPr>
          <w:b/>
          <w:bCs/>
        </w:rPr>
        <w:t xml:space="preserve">Examples for the Department:</w:t>
      </w:r>
    </w:p>
    <w:p>
      <w:pPr>
        <w:pStyle w:val="Compact"/>
        <w:numPr>
          <w:ilvl w:val="0"/>
          <w:numId w:val="1464"/>
        </w:numPr>
      </w:pPr>
      <w:r>
        <w:rPr>
          <w:b/>
          <w:bCs/>
        </w:rPr>
        <w:t xml:space="preserve">Claimable:</w:t>
      </w:r>
      <w:r>
        <w:t xml:space="preserve"> </w:t>
      </w:r>
      <w:r>
        <w:t xml:space="preserve">The Department contracts an insolvency practitioner directly to act for the Department and invoices it. An example is advising the Department where a contractor delivering a non-business overseas aid programme has become insolvent. This can only be claimed if both of HMRC’s tests are shown: the practitioner works under contract to the Department, and the services go to the Department.</w:t>
      </w:r>
    </w:p>
    <w:p>
      <w:pPr>
        <w:pStyle w:val="Compact"/>
        <w:numPr>
          <w:ilvl w:val="0"/>
          <w:numId w:val="1464"/>
        </w:numPr>
      </w:pPr>
      <w:r>
        <w:rPr>
          <w:b/>
          <w:bCs/>
        </w:rPr>
        <w:t xml:space="preserve">Not claimable:</w:t>
      </w:r>
      <w:r>
        <w:t xml:space="preserve"> </w:t>
      </w:r>
      <w:r>
        <w:t xml:space="preserve">An administrator is appointed over a failed supplier that owes the Department money, and the administrator’s fees come out of the insolvent company’s estate. The services are to the business under the practitioner’s control, so the VAT belongs to that entity, not the Department.</w:t>
      </w:r>
    </w:p>
    <w:p>
      <w:pPr>
        <w:pStyle w:val="Compact"/>
        <w:numPr>
          <w:ilvl w:val="0"/>
          <w:numId w:val="1464"/>
        </w:numPr>
      </w:pPr>
      <w:r>
        <w:rPr>
          <w:b/>
          <w:bCs/>
        </w:rPr>
        <w:t xml:space="preserve">Not claimable:</w:t>
      </w:r>
      <w:r>
        <w:t xml:space="preserve"> </w:t>
      </w:r>
      <w:r>
        <w:t xml:space="preserve">The Department gets insolvency advice about an unpaid debt from an overseas customer who bought its surplus equipment. The debt comes from a business sale, so any recovery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VATGPB10270, page last updated 7 January 2016</w:t>
      </w:r>
      <w:r>
        <w:t xml:space="preserve"> </w:t>
      </w:r>
      <w:r>
        <w:t xml:space="preserve">(</w:t>
      </w:r>
      <w:hyperlink w:anchor="ref-hmrc_vatgpb">
        <w:r>
          <w:rPr>
            <w:rStyle w:val="Hyperlink"/>
          </w:rPr>
          <w:t xml:space="preserve">HMRC, 2026n, sec. VATGPB10270</w:t>
        </w:r>
      </w:hyperlink>
      <w:r>
        <w:t xml:space="preserve">)</w:t>
      </w:r>
      <w:r>
        <w:t xml:space="preserve">.</w:t>
      </w:r>
    </w:p>
    <w:bookmarkEnd w:id="284"/>
    <w:bookmarkStart w:id="285" w:name="X520d753fa7583d21c9bd78c6f492162f9b70c7f"/>
    <w:p>
      <w:pPr>
        <w:pStyle w:val="Heading3"/>
      </w:pPr>
      <w:r>
        <w:t xml:space="preserve">Heading 28: Interpretation and translation services</w:t>
      </w:r>
    </w:p>
    <w:p>
      <w:pPr>
        <w:pStyle w:val="FirstParagraph"/>
      </w:pPr>
      <w:r>
        <w:rPr>
          <w:b/>
          <w:bCs/>
        </w:rPr>
        <w:t xml:space="preserve">What it covers (HMRC’s description):</w:t>
      </w:r>
      <w:r>
        <w:t xml:space="preserve"> </w:t>
      </w:r>
      <w:r>
        <w:t xml:space="preserve">“</w:t>
      </w:r>
      <w:r>
        <w:t xml:space="preserve">This Heading covers interpretation and translation services.</w:t>
      </w:r>
      <w:r>
        <w:t xml:space="preserve">”</w:t>
      </w:r>
      <w:r>
        <w:t xml:space="preserve"> </w:t>
      </w:r>
      <w:r>
        <w:t xml:space="preserve">Apart from the list below, HMRC’s manual gives no further detail</w:t>
      </w:r>
      <w:r>
        <w:t xml:space="preserve"> </w:t>
      </w:r>
      <w:r>
        <w:t xml:space="preserve">(</w:t>
      </w:r>
      <w:hyperlink w:anchor="ref-hmrc_vatgpb">
        <w:r>
          <w:rPr>
            <w:rStyle w:val="Hyperlink"/>
          </w:rPr>
          <w:t xml:space="preserve">HMRC, 2026n, sec. VATGPB10290</w:t>
        </w:r>
      </w:hyperlink>
      <w:r>
        <w:t xml:space="preserve">)</w:t>
      </w:r>
      <w:r>
        <w:t xml:space="preserve">.</w:t>
      </w:r>
    </w:p>
    <w:p>
      <w:pPr>
        <w:pStyle w:val="BodyText"/>
      </w:pPr>
      <w:r>
        <w:rPr>
          <w:b/>
          <w:bCs/>
        </w:rPr>
        <w:t xml:space="preserve">Includes:</w:t>
      </w:r>
    </w:p>
    <w:p>
      <w:pPr>
        <w:pStyle w:val="Compact"/>
        <w:numPr>
          <w:ilvl w:val="0"/>
          <w:numId w:val="1465"/>
        </w:numPr>
      </w:pPr>
      <w:r>
        <w:t xml:space="preserve">“</w:t>
      </w:r>
      <w:r>
        <w:t xml:space="preserve">Simultaneous translation services, for example in person, at events/meetings/interviews, via telecommunication media, etc</w:t>
      </w:r>
      <w:r>
        <w:t xml:space="preserve">”</w:t>
      </w:r>
    </w:p>
    <w:p>
      <w:pPr>
        <w:pStyle w:val="Compact"/>
        <w:numPr>
          <w:ilvl w:val="0"/>
          <w:numId w:val="1465"/>
        </w:numPr>
      </w:pPr>
      <w:r>
        <w:t xml:space="preserve">“</w:t>
      </w:r>
      <w:r>
        <w:t xml:space="preserve">Translation of documents</w:t>
      </w:r>
      <w:r>
        <w:t xml:space="preserve">”</w:t>
      </w:r>
    </w:p>
    <w:p>
      <w:pPr>
        <w:pStyle w:val="Compact"/>
        <w:numPr>
          <w:ilvl w:val="0"/>
          <w:numId w:val="1465"/>
        </w:numPr>
      </w:pPr>
      <w:r>
        <w:t xml:space="preserve">“</w:t>
      </w:r>
      <w:r>
        <w:t xml:space="preserve">Where an interpreter is needed during the course of treatment of an NHS patient</w:t>
      </w:r>
      <w:r>
        <w:t xml:space="preserve">”</w:t>
      </w:r>
    </w:p>
    <w:p>
      <w:pPr>
        <w:pStyle w:val="Compact"/>
        <w:numPr>
          <w:ilvl w:val="0"/>
          <w:numId w:val="1465"/>
        </w:numPr>
      </w:pPr>
      <w:r>
        <w:t xml:space="preserve">“</w:t>
      </w:r>
      <w:r>
        <w:t xml:space="preserve">Sign language</w:t>
      </w:r>
      <w:r>
        <w:t xml:space="preserve">”</w:t>
      </w:r>
    </w:p>
    <w:p>
      <w:pPr>
        <w:pStyle w:val="FirstParagraph"/>
      </w:pPr>
      <w:r>
        <w:rPr>
          <w:b/>
          <w:bCs/>
        </w:rPr>
        <w:t xml:space="preserve">Examples for the Department:</w:t>
      </w:r>
    </w:p>
    <w:p>
      <w:pPr>
        <w:pStyle w:val="Compact"/>
        <w:numPr>
          <w:ilvl w:val="0"/>
          <w:numId w:val="1466"/>
        </w:numPr>
      </w:pPr>
      <w:r>
        <w:rPr>
          <w:b/>
          <w:bCs/>
        </w:rPr>
        <w:t xml:space="preserve">Claimable:</w:t>
      </w:r>
      <w:r>
        <w:t xml:space="preserve"> </w:t>
      </w:r>
      <w:r>
        <w:t xml:space="preserve">A UK interpreting agency, which charges UK VAT, provides simultaneous interpreters for a meeting in London with an overseas government delegation. HMRC lists simultaneous translation</w:t>
      </w:r>
      <w:r>
        <w:t xml:space="preserve"> </w:t>
      </w:r>
      <w:r>
        <w:t xml:space="preserve">“</w:t>
      </w:r>
      <w:r>
        <w:t xml:space="preserve">at events/meetings/interviews</w:t>
      </w:r>
      <w:r>
        <w:t xml:space="preserve">”</w:t>
      </w:r>
      <w:r>
        <w:t xml:space="preserve">.</w:t>
      </w:r>
    </w:p>
    <w:p>
      <w:pPr>
        <w:pStyle w:val="Compact"/>
        <w:numPr>
          <w:ilvl w:val="0"/>
          <w:numId w:val="1466"/>
        </w:numPr>
      </w:pPr>
      <w:r>
        <w:rPr>
          <w:b/>
          <w:bCs/>
        </w:rPr>
        <w:t xml:space="preserve">Claimable:</w:t>
      </w:r>
      <w:r>
        <w:t xml:space="preserve"> </w:t>
      </w:r>
      <w:r>
        <w:t xml:space="preserve">A UK translation company translates operating manuals and training materials for equipment the Department is giving free to an overseas government under a capability-building programme. This is</w:t>
      </w:r>
      <w:r>
        <w:t xml:space="preserve"> </w:t>
      </w:r>
      <w:r>
        <w:t xml:space="preserve">“</w:t>
      </w:r>
      <w:r>
        <w:t xml:space="preserve">Translation of documents</w:t>
      </w:r>
      <w:r>
        <w:t xml:space="preserve">”</w:t>
      </w:r>
      <w:r>
        <w:t xml:space="preserve"> </w:t>
      </w:r>
      <w:r>
        <w:t xml:space="preserve">for a non-business purpose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466"/>
        </w:numPr>
      </w:pPr>
      <w:r>
        <w:rPr>
          <w:b/>
          <w:bCs/>
        </w:rPr>
        <w:t xml:space="preserve">Claimable:</w:t>
      </w:r>
      <w:r>
        <w:t xml:space="preserve"> </w:t>
      </w:r>
      <w:r>
        <w:t xml:space="preserve">For a meeting abroad, the Department engages and pays a local interpreter with no UK establishment, who invoices the Department. The Department counts as a business customer under the place-of-supply rules, even for non-business work</w:t>
      </w:r>
      <w:r>
        <w:t xml:space="preserve"> </w:t>
      </w:r>
      <w:r>
        <w:t xml:space="preserve">(</w:t>
      </w:r>
      <w:hyperlink w:anchor="ref-hmrc_n741a">
        <w:r>
          <w:rPr>
            <w:rStyle w:val="Hyperlink"/>
          </w:rPr>
          <w:t xml:space="preserve">HMRC, 2022d, para. 2.4</w:t>
        </w:r>
      </w:hyperlink>
      <w:r>
        <w:t xml:space="preserve">;</w:t>
      </w:r>
      <w:r>
        <w:t xml:space="preserve"> </w:t>
      </w:r>
      <w:hyperlink w:anchor="ref-hmrc_vatposs">
        <w:r>
          <w:rPr>
            <w:rStyle w:val="Hyperlink"/>
          </w:rPr>
          <w:t xml:space="preserve">2022j, sec. VATPOSS01350</w:t>
        </w:r>
      </w:hyperlink>
      <w:r>
        <w:t xml:space="preserve">)</w:t>
      </w:r>
      <w:r>
        <w:t xml:space="preserve">, so under UK rules the place of supply is the UK</w:t>
      </w:r>
      <w:r>
        <w:t xml:space="preserve"> </w:t>
      </w:r>
      <w:r>
        <w:t xml:space="preserve">(</w:t>
      </w:r>
      <w:hyperlink w:anchor="ref-hmrc_n741a">
        <w:r>
          <w:rPr>
            <w:rStyle w:val="Hyperlink"/>
          </w:rPr>
          <w:t xml:space="preserve">HMRC, 2022d, para. 6.3</w:t>
        </w:r>
      </w:hyperlink>
      <w:r>
        <w:t xml:space="preserve">)</w:t>
      </w:r>
      <w:r>
        <w:t xml:space="preserve">. The Department must account for UK VAT under the reverse charge (Value Added Tax Act 1994, s. 8), and that VAT is refundable under Heading 28 for non-business use</w:t>
      </w:r>
      <w:r>
        <w:t xml:space="preserve"> </w:t>
      </w:r>
      <w:r>
        <w:t xml:space="preserve">(</w:t>
      </w:r>
      <w:hyperlink w:anchor="ref-hmrc_gdpef">
        <w:r>
          <w:rPr>
            <w:rStyle w:val="Hyperlink"/>
          </w:rPr>
          <w:t xml:space="preserve">HMRC, 2023c</w:t>
        </w:r>
      </w:hyperlink>
      <w:r>
        <w:t xml:space="preserve">)</w:t>
      </w:r>
      <w:r>
        <w:t xml:space="preserve">, so the net cost is nil (see the Nairobi worked example in Part 6, Sending staff abroad). If the interpreter also charges their own country’s VAT, that foreign VAT is a cost. Foreign VAT is not UK VAT and cannot be claimed through COS (Value Added Tax Act 1994, ss. 1(1) and 41(3)).</w:t>
      </w:r>
    </w:p>
    <w:p>
      <w:pPr>
        <w:pStyle w:val="Compact"/>
        <w:numPr>
          <w:ilvl w:val="0"/>
          <w:numId w:val="1466"/>
        </w:numPr>
      </w:pPr>
      <w:r>
        <w:rPr>
          <w:b/>
          <w:bCs/>
        </w:rPr>
        <w:t xml:space="preserve">Not claimable:</w:t>
      </w:r>
      <w:r>
        <w:t xml:space="preserve"> </w:t>
      </w:r>
      <w:r>
        <w:t xml:space="preserve">An officer engages a local interpreter personally and claims the cost on expenses. There is no supply to the Department, so nothing can be claimed (Value Added Tax Act 1994, s. 41(3)).</w:t>
      </w:r>
    </w:p>
    <w:p>
      <w:pPr>
        <w:pStyle w:val="Compact"/>
        <w:numPr>
          <w:ilvl w:val="0"/>
          <w:numId w:val="1466"/>
        </w:numPr>
      </w:pPr>
      <w:r>
        <w:rPr>
          <w:b/>
          <w:bCs/>
        </w:rPr>
        <w:t xml:space="preserve">Not claimable:</w:t>
      </w:r>
      <w:r>
        <w:t xml:space="preserve"> </w:t>
      </w:r>
      <w:r>
        <w:t xml:space="preserve">The Department has sales brochures translated to sell its publications and data licences to overseas customers. That is a business activity, so the VAT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VATGPB10290, page last updated 7 January 2016</w:t>
      </w:r>
      <w:r>
        <w:t xml:space="preserve"> </w:t>
      </w:r>
      <w:r>
        <w:t xml:space="preserve">(</w:t>
      </w:r>
      <w:hyperlink w:anchor="ref-hmrc_vatgpb">
        <w:r>
          <w:rPr>
            <w:rStyle w:val="Hyperlink"/>
          </w:rPr>
          <w:t xml:space="preserve">HMRC, 2026n, sec. VATGPB10290</w:t>
        </w:r>
      </w:hyperlink>
      <w:r>
        <w:t xml:space="preserve">)</w:t>
      </w:r>
      <w:r>
        <w:t xml:space="preserve">.</w:t>
      </w:r>
    </w:p>
    <w:bookmarkEnd w:id="285"/>
    <w:bookmarkStart w:id="286" w:name="X5766b4a9515c904be12fa1260da81097639baaa"/>
    <w:p>
      <w:pPr>
        <w:pStyle w:val="Heading3"/>
      </w:pPr>
      <w:r>
        <w:t xml:space="preserve">Heading 29: Issue of documents to, and control of, bingo halls and off-course bookmakers</w:t>
      </w:r>
    </w:p>
    <w:p>
      <w:pPr>
        <w:pStyle w:val="FirstParagraph"/>
      </w:pPr>
      <w:r>
        <w:rPr>
          <w:b/>
          <w:bCs/>
        </w:rPr>
        <w:t xml:space="preserve">What it covers (HMRC’s description):</w:t>
      </w:r>
      <w:r>
        <w:t xml:space="preserve"> </w:t>
      </w:r>
      <w:r>
        <w:t xml:space="preserve">“</w:t>
      </w:r>
      <w:r>
        <w:t xml:space="preserve">This Heading covers the issue of documents to, and control of, bingo halls and off-course bookmakers.</w:t>
      </w:r>
      <w:r>
        <w:t xml:space="preserve">”</w:t>
      </w:r>
      <w:r>
        <w:t xml:space="preserve"> </w:t>
      </w:r>
      <w:r>
        <w:t xml:space="preserve">HMRC’s manual gives no further detail</w:t>
      </w:r>
      <w:r>
        <w:t xml:space="preserve"> </w:t>
      </w:r>
      <w:r>
        <w:t xml:space="preserve">(</w:t>
      </w:r>
      <w:hyperlink w:anchor="ref-hmrc_vatgpb">
        <w:r>
          <w:rPr>
            <w:rStyle w:val="Hyperlink"/>
          </w:rPr>
          <w:t xml:space="preserve">HMRC, 2026n, sec. VATGPB10310</w:t>
        </w:r>
      </w:hyperlink>
      <w:r>
        <w:t xml:space="preserve">)</w:t>
      </w:r>
      <w:r>
        <w:t xml:space="preserve">.</w:t>
      </w:r>
    </w:p>
    <w:p>
      <w:pPr>
        <w:pStyle w:val="BodyText"/>
      </w:pPr>
      <w:r>
        <w:t xml:space="preserve">HMRC’s COS introduction makes a general point that fits here:</w:t>
      </w:r>
      <w:r>
        <w:t xml:space="preserve"> </w:t>
      </w:r>
      <w:r>
        <w:t xml:space="preserve">“</w:t>
      </w:r>
      <w:r>
        <w:t xml:space="preserve">Some Headings are seldom used, or are bespoke to a particular department, and we do not provide explanations for these</w:t>
      </w:r>
      <w:r>
        <w:t xml:space="preserve">”</w:t>
      </w:r>
      <w:r>
        <w:t xml:space="preserve"> </w:t>
      </w:r>
      <w:r>
        <w:t xml:space="preserve">(</w:t>
      </w:r>
      <w:hyperlink w:anchor="ref-hmrc_vatgpb">
        <w:r>
          <w:rPr>
            <w:rStyle w:val="Hyperlink"/>
          </w:rPr>
          <w:t xml:space="preserve">HMRC, 2026n, sec. VATGPB9720</w:t>
        </w:r>
      </w:hyperlink>
      <w:r>
        <w:t xml:space="preserve">)</w:t>
      </w:r>
      <w:r>
        <w:t xml:space="preserve">.</w:t>
      </w:r>
    </w:p>
    <w:p>
      <w:pPr>
        <w:pStyle w:val="BodyText"/>
      </w:pPr>
      <w:r>
        <w:rPr>
          <w:b/>
          <w:bCs/>
        </w:rPr>
        <w:t xml:space="preserve">Who it is aimed at:</w:t>
      </w:r>
      <w:r>
        <w:t xml:space="preserve"> </w:t>
      </w:r>
      <w:r>
        <w:t xml:space="preserve">a body whose official job is to issue documents to, and control, bingo halls and off-course bookmakers. It is very unlikely to apply to the Department.</w:t>
      </w:r>
    </w:p>
    <w:p>
      <w:pPr>
        <w:pStyle w:val="BodyText"/>
      </w:pPr>
      <w:r>
        <w:rPr>
          <w:b/>
          <w:bCs/>
        </w:rPr>
        <w:t xml:space="preserve">Examples for the Department:</w:t>
      </w:r>
    </w:p>
    <w:p>
      <w:pPr>
        <w:pStyle w:val="Compact"/>
        <w:numPr>
          <w:ilvl w:val="0"/>
          <w:numId w:val="1467"/>
        </w:numPr>
      </w:pPr>
      <w:r>
        <w:rPr>
          <w:b/>
          <w:bCs/>
        </w:rPr>
        <w:t xml:space="preserve">Claimable (generic, for illustration only):</w:t>
      </w:r>
      <w:r>
        <w:t xml:space="preserve"> </w:t>
      </w:r>
      <w:r>
        <w:t xml:space="preserve">A body responsible for controlling bingo halls and off-course bookmakers contracts a private company to issue the official documents to those premises on its behalf.</w:t>
      </w:r>
    </w:p>
    <w:p>
      <w:pPr>
        <w:pStyle w:val="Compact"/>
        <w:numPr>
          <w:ilvl w:val="0"/>
          <w:numId w:val="1467"/>
        </w:numPr>
      </w:pPr>
      <w:r>
        <w:rPr>
          <w:b/>
          <w:bCs/>
        </w:rPr>
        <w:t xml:space="preserve">Not claimable:</w:t>
      </w:r>
      <w:r>
        <w:t xml:space="preserve"> </w:t>
      </w:r>
      <w:r>
        <w:t xml:space="preserve">The Department hires a bingo hall for a staff social event, or pays any similar charge. This has nothing to do with issuing documents to, or controlling, these premises.</w:t>
      </w:r>
    </w:p>
    <w:p>
      <w:pPr>
        <w:pStyle w:val="FirstParagraph"/>
      </w:pPr>
      <w:r>
        <w:rPr>
          <w:b/>
          <w:bCs/>
        </w:rPr>
        <w:t xml:space="preserve">Source:</w:t>
      </w:r>
      <w:r>
        <w:t xml:space="preserve"> </w:t>
      </w:r>
      <w:r>
        <w:t xml:space="preserve">HMRC manual section VATGPB10310, page last updated 7 January 2016</w:t>
      </w:r>
      <w:r>
        <w:t xml:space="preserve"> </w:t>
      </w:r>
      <w:r>
        <w:t xml:space="preserve">(</w:t>
      </w:r>
      <w:hyperlink w:anchor="ref-hmrc_vatgpb">
        <w:r>
          <w:rPr>
            <w:rStyle w:val="Hyperlink"/>
          </w:rPr>
          <w:t xml:space="preserve">HMRC, 2026n, sec. VATGPB10310</w:t>
        </w:r>
      </w:hyperlink>
      <w:r>
        <w:t xml:space="preserve">)</w:t>
      </w:r>
      <w:r>
        <w:t xml:space="preserve">; and section VATGPB9720, page last updated 25 May 2021</w:t>
      </w:r>
      <w:r>
        <w:t xml:space="preserve"> </w:t>
      </w:r>
      <w:r>
        <w:t xml:space="preserve">(</w:t>
      </w:r>
      <w:hyperlink w:anchor="ref-hmrc_vatgpb">
        <w:r>
          <w:rPr>
            <w:rStyle w:val="Hyperlink"/>
          </w:rPr>
          <w:t xml:space="preserve">HMRC, 2026n, sec. VATGPB9720</w:t>
        </w:r>
      </w:hyperlink>
      <w:r>
        <w:t xml:space="preserve">)</w:t>
      </w:r>
      <w:r>
        <w:t xml:space="preserve">.</w:t>
      </w:r>
    </w:p>
    <w:bookmarkEnd w:id="286"/>
    <w:bookmarkStart w:id="287" w:name="Xb9fa358aa4e1d770cdefcbd527c83d35d23233f"/>
    <w:p>
      <w:pPr>
        <w:pStyle w:val="Heading3"/>
      </w:pPr>
      <w:r>
        <w:t xml:space="preserve">Heading 30: Issue of documents under the Wireless and Telegraphy Acts</w:t>
      </w:r>
    </w:p>
    <w:p>
      <w:pPr>
        <w:pStyle w:val="FirstParagraph"/>
      </w:pPr>
      <w:r>
        <w:rPr>
          <w:i/>
          <w:iCs/>
        </w:rPr>
        <w:t xml:space="preserve">HMRC’s page title says</w:t>
      </w:r>
      <w:r>
        <w:rPr>
          <w:i/>
          <w:iCs/>
        </w:rPr>
        <w:t xml:space="preserve"> </w:t>
      </w:r>
      <w:r>
        <w:rPr>
          <w:i/>
          <w:iCs/>
        </w:rPr>
        <w:t xml:space="preserve">“</w:t>
      </w:r>
      <w:r>
        <w:rPr>
          <w:i/>
          <w:iCs/>
        </w:rPr>
        <w:t xml:space="preserve">Wireless and Telegraphy Acts</w:t>
      </w:r>
      <w:r>
        <w:rPr>
          <w:i/>
          <w:iCs/>
        </w:rPr>
        <w:t xml:space="preserve">”</w:t>
      </w:r>
      <w:r>
        <w:rPr>
          <w:i/>
          <w:iCs/>
        </w:rPr>
        <w:t xml:space="preserve">; the Direction itself says</w:t>
      </w:r>
      <w:r>
        <w:rPr>
          <w:i/>
          <w:iCs/>
        </w:rPr>
        <w:t xml:space="preserve"> </w:t>
      </w:r>
      <w:r>
        <w:rPr>
          <w:i/>
          <w:iCs/>
        </w:rPr>
        <w:t xml:space="preserve">“</w:t>
      </w:r>
      <w:r>
        <w:rPr>
          <w:i/>
          <w:iCs/>
        </w:rPr>
        <w:t xml:space="preserve">Wireless Telegraphy Acts</w:t>
      </w:r>
      <w:r>
        <w:rPr>
          <w:i/>
          <w:iCs/>
        </w:rPr>
        <w:t xml:space="preserve">”</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VATGPB10330</w:t>
        </w:r>
      </w:hyperlink>
      <w:r>
        <w:t xml:space="preserve">)</w:t>
      </w:r>
      <w:r>
        <w:t xml:space="preserve">.</w:t>
      </w:r>
    </w:p>
    <w:p>
      <w:pPr>
        <w:pStyle w:val="BodyText"/>
      </w:pPr>
      <w:r>
        <w:rPr>
          <w:b/>
          <w:bCs/>
        </w:rPr>
        <w:t xml:space="preserve">What it covers (HMRC’s description):</w:t>
      </w:r>
      <w:r>
        <w:t xml:space="preserve"> </w:t>
      </w:r>
      <w:r>
        <w:t xml:space="preserve">“</w:t>
      </w:r>
      <w:r>
        <w:t xml:space="preserve">This Heading covers the issue of documents under the Wireless and Telegraphy Acts.</w:t>
      </w:r>
      <w:r>
        <w:t xml:space="preserve">”</w:t>
      </w:r>
      <w:r>
        <w:t xml:space="preserve"> </w:t>
      </w:r>
      <w:r>
        <w:t xml:space="preserve">HMRC’s manual gives no further detail</w:t>
      </w:r>
      <w:r>
        <w:t xml:space="preserve"> </w:t>
      </w:r>
      <w:r>
        <w:t xml:space="preserve">(</w:t>
      </w:r>
      <w:hyperlink w:anchor="ref-hmrc_vatgpb">
        <w:r>
          <w:rPr>
            <w:rStyle w:val="Hyperlink"/>
          </w:rPr>
          <w:t xml:space="preserve">HMRC, 2026n, sec. VATGPB10330</w:t>
        </w:r>
      </w:hyperlink>
      <w:r>
        <w:t xml:space="preserve">)</w:t>
      </w:r>
      <w:r>
        <w:t xml:space="preserve">.</w:t>
      </w:r>
    </w:p>
    <w:p>
      <w:pPr>
        <w:pStyle w:val="BodyText"/>
      </w:pPr>
      <w:r>
        <w:rPr>
          <w:b/>
          <w:bCs/>
        </w:rPr>
        <w:t xml:space="preserve">Who it is aimed at:</w:t>
      </w:r>
      <w:r>
        <w:t xml:space="preserve"> </w:t>
      </w:r>
      <w:r>
        <w:t xml:space="preserve">a body responsible for issuing documents, such as licences, under the Wireless Telegraphy Acts (HMRC’s title says</w:t>
      </w:r>
      <w:r>
        <w:t xml:space="preserve"> </w:t>
      </w:r>
      <w:r>
        <w:t xml:space="preserve">“</w:t>
      </w:r>
      <w:r>
        <w:t xml:space="preserve">Wireless and Telegraphy</w:t>
      </w:r>
      <w:r>
        <w:t xml:space="preserve">”</w:t>
      </w:r>
      <w:r>
        <w:t xml:space="preserve">). This legislation governs the use of radio equipment and frequencies (Wireless Telegraphy Act 2006, Parts 2 and 3). It is very unlikely to apply to the Department.</w:t>
      </w:r>
    </w:p>
    <w:p>
      <w:pPr>
        <w:pStyle w:val="BodyText"/>
      </w:pPr>
      <w:r>
        <w:rPr>
          <w:b/>
          <w:bCs/>
        </w:rPr>
        <w:t xml:space="preserve">Examples for the Department:</w:t>
      </w:r>
    </w:p>
    <w:p>
      <w:pPr>
        <w:pStyle w:val="Compact"/>
        <w:numPr>
          <w:ilvl w:val="0"/>
          <w:numId w:val="1468"/>
        </w:numPr>
      </w:pPr>
      <w:r>
        <w:rPr>
          <w:b/>
          <w:bCs/>
        </w:rPr>
        <w:t xml:space="preserve">Claimable (generic, for illustration only):</w:t>
      </w:r>
      <w:r>
        <w:t xml:space="preserve"> </w:t>
      </w:r>
      <w:r>
        <w:t xml:space="preserve">A body that issues documents under the Wireless Telegraphy Acts contracts a private company to process and issue those documents on its behalf.</w:t>
      </w:r>
    </w:p>
    <w:p>
      <w:pPr>
        <w:pStyle w:val="Compact"/>
        <w:numPr>
          <w:ilvl w:val="0"/>
          <w:numId w:val="1468"/>
        </w:numPr>
      </w:pPr>
      <w:r>
        <w:rPr>
          <w:b/>
          <w:bCs/>
        </w:rPr>
        <w:t xml:space="preserve">Not claimable:</w:t>
      </w:r>
      <w:r>
        <w:t xml:space="preserve"> </w:t>
      </w:r>
      <w:r>
        <w:t xml:space="preserve">The Department pays for a licence to use two-way radios for its security team. That is buying a licence for its own use, not contracting out the issuing of documents.</w:t>
      </w:r>
    </w:p>
    <w:p>
      <w:pPr>
        <w:pStyle w:val="FirstParagraph"/>
      </w:pPr>
      <w:r>
        <w:rPr>
          <w:b/>
          <w:bCs/>
        </w:rPr>
        <w:t xml:space="preserve">Source:</w:t>
      </w:r>
      <w:r>
        <w:t xml:space="preserve"> </w:t>
      </w:r>
      <w:r>
        <w:t xml:space="preserve">HMRC manual section VATGPB10330, page last updated 17 February 2021</w:t>
      </w:r>
      <w:r>
        <w:t xml:space="preserve"> </w:t>
      </w:r>
      <w:r>
        <w:t xml:space="preserve">(</w:t>
      </w:r>
      <w:hyperlink w:anchor="ref-hmrc_vatgpb">
        <w:r>
          <w:rPr>
            <w:rStyle w:val="Hyperlink"/>
          </w:rPr>
          <w:t xml:space="preserve">HMRC, 2026n, sec. VATGPB10330</w:t>
        </w:r>
      </w:hyperlink>
      <w:r>
        <w:t xml:space="preserve">)</w:t>
      </w:r>
      <w:r>
        <w:t xml:space="preserve">.</w:t>
      </w:r>
    </w:p>
    <w:bookmarkEnd w:id="287"/>
    <w:bookmarkStart w:id="288" w:name="heading-31-laboratory-services"/>
    <w:p>
      <w:pPr>
        <w:pStyle w:val="Heading3"/>
      </w:pPr>
      <w:r>
        <w:t xml:space="preserve">Heading 31: Laboratory services</w:t>
      </w:r>
    </w:p>
    <w:p>
      <w:pPr>
        <w:pStyle w:val="FirstParagraph"/>
      </w:pPr>
      <w:r>
        <w:rPr>
          <w:b/>
          <w:bCs/>
        </w:rPr>
        <w:t xml:space="preserve">What it covers (HMRC’s description):</w:t>
      </w:r>
      <w:r>
        <w:t xml:space="preserve"> </w:t>
      </w:r>
      <w:r>
        <w:t xml:space="preserve">This heading allows recovery where a department</w:t>
      </w:r>
      <w:r>
        <w:t xml:space="preserve"> </w:t>
      </w:r>
      <w:r>
        <w:t xml:space="preserve">“</w:t>
      </w:r>
      <w:r>
        <w:t xml:space="preserve">has contracted out its laboratory services</w:t>
      </w:r>
      <w:r>
        <w:t xml:space="preserve">”</w:t>
      </w:r>
      <w:r>
        <w:t xml:space="preserve">. HMRC defines these as</w:t>
      </w:r>
      <w:r>
        <w:t xml:space="preserve"> </w:t>
      </w:r>
      <w:r>
        <w:t xml:space="preserve">“</w:t>
      </w:r>
      <w:r>
        <w:t xml:space="preserve">services of conducting scientific experiments, tests and investigations whether in a laboratory building or via a technological process</w:t>
      </w:r>
      <w:r>
        <w:t xml:space="preserve">”</w:t>
      </w:r>
      <w:r>
        <w:t xml:space="preserve"> </w:t>
      </w:r>
      <w:r>
        <w:t xml:space="preserve">(</w:t>
      </w:r>
      <w:hyperlink w:anchor="ref-hmrc_vatgpb">
        <w:r>
          <w:rPr>
            <w:rStyle w:val="Hyperlink"/>
          </w:rPr>
          <w:t xml:space="preserve">HMRC, 2026n, sec. VATGPB10350</w:t>
        </w:r>
      </w:hyperlink>
      <w:r>
        <w:t xml:space="preserve">)</w:t>
      </w:r>
      <w:r>
        <w:t xml:space="preserve">.</w:t>
      </w:r>
    </w:p>
    <w:p>
      <w:pPr>
        <w:pStyle w:val="BodyText"/>
      </w:pPr>
      <w:r>
        <w:t xml:space="preserve">HMRC also notes that laboratory pathology services</w:t>
      </w:r>
      <w:r>
        <w:t xml:space="preserve"> </w:t>
      </w:r>
      <w:r>
        <w:t xml:space="preserve">“</w:t>
      </w:r>
      <w:r>
        <w:t xml:space="preserve">that directly relate to the provision of healthcare for individual patients</w:t>
      </w:r>
      <w:r>
        <w:t xml:space="preserve">”</w:t>
      </w:r>
      <w:r>
        <w:t xml:space="preserve"> </w:t>
      </w:r>
      <w:r>
        <w:t xml:space="preserve">are exempt from VAT,</w:t>
      </w:r>
      <w:r>
        <w:t xml:space="preserve"> </w:t>
      </w:r>
      <w:r>
        <w:t xml:space="preserve">“</w:t>
      </w:r>
      <w:r>
        <w:t xml:space="preserve">and thus there is no VAT to recover</w:t>
      </w:r>
      <w:r>
        <w:t xml:space="preserve">”</w:t>
      </w:r>
      <w:r>
        <w:t xml:space="preserve"> </w:t>
      </w:r>
      <w:r>
        <w:t xml:space="preserve">(</w:t>
      </w:r>
      <w:hyperlink w:anchor="ref-hmrc_vatgpb">
        <w:r>
          <w:rPr>
            <w:rStyle w:val="Hyperlink"/>
          </w:rPr>
          <w:t xml:space="preserve">HMRC, 2026n, sec. VATGPB10350</w:t>
        </w:r>
      </w:hyperlink>
      <w:r>
        <w:t xml:space="preserve">)</w:t>
      </w:r>
      <w:r>
        <w:t xml:space="preserve">.</w:t>
      </w:r>
    </w:p>
    <w:p>
      <w:pPr>
        <w:pStyle w:val="BodyText"/>
      </w:pPr>
      <w:r>
        <w:rPr>
          <w:b/>
          <w:bCs/>
        </w:rPr>
        <w:t xml:space="preserve">Includes:</w:t>
      </w:r>
    </w:p>
    <w:p>
      <w:pPr>
        <w:pStyle w:val="Compact"/>
        <w:numPr>
          <w:ilvl w:val="0"/>
          <w:numId w:val="1469"/>
        </w:numPr>
      </w:pPr>
      <w:r>
        <w:t xml:space="preserve">“</w:t>
      </w:r>
      <w:r>
        <w:t xml:space="preserve">Drug testing</w:t>
      </w:r>
      <w:r>
        <w:t xml:space="preserve">”</w:t>
      </w:r>
    </w:p>
    <w:p>
      <w:pPr>
        <w:pStyle w:val="Compact"/>
        <w:numPr>
          <w:ilvl w:val="0"/>
          <w:numId w:val="1469"/>
        </w:numPr>
      </w:pPr>
      <w:r>
        <w:t xml:space="preserve">“</w:t>
      </w:r>
      <w:r>
        <w:t xml:space="preserve">Forensic testing</w:t>
      </w:r>
      <w:r>
        <w:t xml:space="preserve">”</w:t>
      </w:r>
    </w:p>
    <w:p>
      <w:pPr>
        <w:pStyle w:val="Compact"/>
        <w:numPr>
          <w:ilvl w:val="0"/>
          <w:numId w:val="1469"/>
        </w:numPr>
      </w:pPr>
      <w:r>
        <w:t xml:space="preserve">“</w:t>
      </w:r>
      <w:r>
        <w:t xml:space="preserve">Managed laboratory services</w:t>
      </w:r>
      <w:r>
        <w:t xml:space="preserve">”</w:t>
      </w:r>
    </w:p>
    <w:p>
      <w:pPr>
        <w:pStyle w:val="FirstParagraph"/>
      </w:pPr>
      <w:r>
        <w:rPr>
          <w:b/>
          <w:bCs/>
        </w:rPr>
        <w:t xml:space="preserve">Excludes:</w:t>
      </w:r>
    </w:p>
    <w:p>
      <w:pPr>
        <w:pStyle w:val="Compact"/>
        <w:numPr>
          <w:ilvl w:val="0"/>
          <w:numId w:val="1470"/>
        </w:numPr>
      </w:pPr>
      <w:r>
        <w:t xml:space="preserve">“</w:t>
      </w:r>
      <w:r>
        <w:t xml:space="preserve">Stand-alone supplies of laboratory consumables for example, reagents, chemicals and test tubes which are supplies of goods</w:t>
      </w:r>
      <w:r>
        <w:t xml:space="preserve">”</w:t>
      </w:r>
    </w:p>
    <w:p>
      <w:pPr>
        <w:pStyle w:val="Compact"/>
        <w:numPr>
          <w:ilvl w:val="0"/>
          <w:numId w:val="1470"/>
        </w:numPr>
      </w:pPr>
      <w:r>
        <w:t xml:space="preserve">“</w:t>
      </w:r>
      <w:r>
        <w:t xml:space="preserve">Separate lease/hire of laboratory equipment</w:t>
      </w:r>
      <w:r>
        <w:t xml:space="preserve">”</w:t>
      </w:r>
    </w:p>
    <w:p>
      <w:pPr>
        <w:pStyle w:val="FirstParagraph"/>
      </w:pPr>
      <w:r>
        <w:rPr>
          <w:b/>
          <w:bCs/>
        </w:rPr>
        <w:t xml:space="preserve">Examples for the Department:</w:t>
      </w:r>
    </w:p>
    <w:p>
      <w:pPr>
        <w:pStyle w:val="Compact"/>
        <w:numPr>
          <w:ilvl w:val="0"/>
          <w:numId w:val="1471"/>
        </w:numPr>
      </w:pPr>
      <w:r>
        <w:rPr>
          <w:b/>
          <w:bCs/>
        </w:rPr>
        <w:t xml:space="preserve">Claimable:</w:t>
      </w:r>
      <w:r>
        <w:t xml:space="preserve"> </w:t>
      </w:r>
      <w:r>
        <w:t xml:space="preserve">A UK test house checks that protective equipment and water-purification units meet the agreed specification before the Department gives them free to an overseas government. These are</w:t>
      </w:r>
      <w:r>
        <w:t xml:space="preserve"> </w:t>
      </w:r>
      <w:r>
        <w:t xml:space="preserve">“</w:t>
      </w:r>
      <w:r>
        <w:t xml:space="preserve">tests and investigations</w:t>
      </w:r>
      <w:r>
        <w:t xml:space="preserve">”</w:t>
      </w:r>
      <w:r>
        <w:t xml:space="preserve"> </w:t>
      </w:r>
      <w:r>
        <w:t xml:space="preserve">for a non-business programme, because the items are given, not sold</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471"/>
        </w:numPr>
      </w:pPr>
      <w:r>
        <w:rPr>
          <w:b/>
          <w:bCs/>
        </w:rPr>
        <w:t xml:space="preserve">Claimable:</w:t>
      </w:r>
      <w:r>
        <w:t xml:space="preserve"> </w:t>
      </w:r>
      <w:r>
        <w:t xml:space="preserve">A contracted laboratory carries out drug testing of staff in security-sensitive roles. HMRC lists</w:t>
      </w:r>
      <w:r>
        <w:t xml:space="preserve"> </w:t>
      </w:r>
      <w:r>
        <w:t xml:space="preserve">“</w:t>
      </w:r>
      <w:r>
        <w:t xml:space="preserve">Drug testing</w:t>
      </w:r>
      <w:r>
        <w:t xml:space="preserve">”</w:t>
      </w:r>
      <w:r>
        <w:t xml:space="preserve">.</w:t>
      </w:r>
    </w:p>
    <w:p>
      <w:pPr>
        <w:pStyle w:val="Compact"/>
        <w:numPr>
          <w:ilvl w:val="0"/>
          <w:numId w:val="1471"/>
        </w:numPr>
      </w:pPr>
      <w:r>
        <w:rPr>
          <w:b/>
          <w:bCs/>
        </w:rPr>
        <w:t xml:space="preserve">Not claimable:</w:t>
      </w:r>
      <w:r>
        <w:t xml:space="preserve"> </w:t>
      </w:r>
      <w:r>
        <w:t xml:space="preserve">Blood tests are done for staff as part of medical checks before an overseas posting. Where tests like these are mainly to protect the staff member’s health, they are normally exempt, so no VAT is charged and there is nothing to recover</w:t>
      </w:r>
      <w:r>
        <w:t xml:space="preserve"> </w:t>
      </w:r>
      <w:r>
        <w:t xml:space="preserve">(</w:t>
      </w:r>
      <w:hyperlink w:anchor="ref-hmrc_n70157">
        <w:r>
          <w:rPr>
            <w:rStyle w:val="Hyperlink"/>
          </w:rPr>
          <w:t xml:space="preserve">HMRC, 2026g</w:t>
        </w:r>
      </w:hyperlink>
      <w:r>
        <w:t xml:space="preserve">, paras. 2.3, 4.11)</w:t>
      </w:r>
      <w:r>
        <w:t xml:space="preserve">. Check the invoice.</w:t>
      </w:r>
    </w:p>
    <w:p>
      <w:pPr>
        <w:pStyle w:val="Compact"/>
        <w:numPr>
          <w:ilvl w:val="0"/>
          <w:numId w:val="1471"/>
        </w:numPr>
      </w:pPr>
      <w:r>
        <w:rPr>
          <w:b/>
          <w:bCs/>
        </w:rPr>
        <w:t xml:space="preserve">Not claimable:</w:t>
      </w:r>
      <w:r>
        <w:t xml:space="preserve"> </w:t>
      </w:r>
      <w:r>
        <w:t xml:space="preserve">The Department pays for certification testing of surplus equipment so that it can sell the equipment to an overseas buyer. That supports a business sale, so it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VATGPB10350, page last updated 19 September 2018</w:t>
      </w:r>
      <w:r>
        <w:t xml:space="preserve"> </w:t>
      </w:r>
      <w:r>
        <w:t xml:space="preserve">(</w:t>
      </w:r>
      <w:hyperlink w:anchor="ref-hmrc_vatgpb">
        <w:r>
          <w:rPr>
            <w:rStyle w:val="Hyperlink"/>
          </w:rPr>
          <w:t xml:space="preserve">HMRC, 2026n, sec. VATGPB10350</w:t>
        </w:r>
      </w:hyperlink>
      <w:r>
        <w:t xml:space="preserve">)</w:t>
      </w:r>
      <w:r>
        <w:t xml:space="preserve">.</w:t>
      </w:r>
    </w:p>
    <w:bookmarkEnd w:id="288"/>
    <w:bookmarkStart w:id="289" w:name="heading-32-laundry-services"/>
    <w:p>
      <w:pPr>
        <w:pStyle w:val="Heading3"/>
      </w:pPr>
      <w:r>
        <w:t xml:space="preserve">Heading 32: Laundry services</w:t>
      </w:r>
    </w:p>
    <w:p>
      <w:pPr>
        <w:pStyle w:val="FirstParagraph"/>
      </w:pPr>
      <w:r>
        <w:rPr>
          <w:b/>
          <w:bCs/>
        </w:rPr>
        <w:t xml:space="preserve">What it covers (HMRC’s description):</w:t>
      </w:r>
      <w:r>
        <w:t xml:space="preserve"> </w:t>
      </w:r>
      <w:r>
        <w:t xml:space="preserve">“</w:t>
      </w:r>
      <w:r>
        <w:t xml:space="preserve">This Heading covers the provision of laundry services.</w:t>
      </w:r>
      <w:r>
        <w:t xml:space="preserve">”</w:t>
      </w:r>
      <w:r>
        <w:t xml:space="preserve"> </w:t>
      </w:r>
      <w:r>
        <w:t xml:space="preserve">Apart from the list below, HMRC’s manual gives no further detail</w:t>
      </w:r>
      <w:r>
        <w:t xml:space="preserve"> </w:t>
      </w:r>
      <w:r>
        <w:t xml:space="preserve">(</w:t>
      </w:r>
      <w:hyperlink w:anchor="ref-hmrc_vatgpb">
        <w:r>
          <w:rPr>
            <w:rStyle w:val="Hyperlink"/>
          </w:rPr>
          <w:t xml:space="preserve">HMRC, 2026n, sec. VATGPB10370</w:t>
        </w:r>
      </w:hyperlink>
      <w:r>
        <w:t xml:space="preserve">)</w:t>
      </w:r>
      <w:r>
        <w:t xml:space="preserve">.</w:t>
      </w:r>
    </w:p>
    <w:p>
      <w:pPr>
        <w:pStyle w:val="BodyText"/>
      </w:pPr>
      <w:r>
        <w:rPr>
          <w:b/>
          <w:bCs/>
        </w:rPr>
        <w:t xml:space="preserve">Includes:</w:t>
      </w:r>
    </w:p>
    <w:p>
      <w:pPr>
        <w:pStyle w:val="Compact"/>
        <w:numPr>
          <w:ilvl w:val="0"/>
          <w:numId w:val="1472"/>
        </w:numPr>
      </w:pPr>
      <w:r>
        <w:t xml:space="preserve">“</w:t>
      </w:r>
      <w:r>
        <w:t xml:space="preserve">Towel hire and cleaning and laundering of towels</w:t>
      </w:r>
      <w:r>
        <w:t xml:space="preserve">”</w:t>
      </w:r>
    </w:p>
    <w:p>
      <w:pPr>
        <w:pStyle w:val="Compact"/>
        <w:numPr>
          <w:ilvl w:val="0"/>
          <w:numId w:val="1472"/>
        </w:numPr>
      </w:pPr>
      <w:r>
        <w:t xml:space="preserve">“</w:t>
      </w:r>
      <w:r>
        <w:t xml:space="preserve">The provision of linen, which is exchanged on a regular basis for laundering, but remains the property of the company providing the service</w:t>
      </w:r>
      <w:r>
        <w:t xml:space="preserve">”</w:t>
      </w:r>
    </w:p>
    <w:p>
      <w:pPr>
        <w:pStyle w:val="Compact"/>
        <w:numPr>
          <w:ilvl w:val="0"/>
          <w:numId w:val="1472"/>
        </w:numPr>
      </w:pPr>
      <w:r>
        <w:t xml:space="preserve">“</w:t>
      </w:r>
      <w:r>
        <w:t xml:space="preserve">Cleaning and laundering of uniforms and fabrics</w:t>
      </w:r>
      <w:r>
        <w:t xml:space="preserve">”</w:t>
      </w:r>
    </w:p>
    <w:p>
      <w:pPr>
        <w:pStyle w:val="Compact"/>
        <w:numPr>
          <w:ilvl w:val="0"/>
          <w:numId w:val="1472"/>
        </w:numPr>
      </w:pPr>
      <w:r>
        <w:t xml:space="preserve">“</w:t>
      </w:r>
      <w:r>
        <w:t xml:space="preserve">Dry cleaning services</w:t>
      </w:r>
      <w:r>
        <w:t xml:space="preserve">”</w:t>
      </w:r>
    </w:p>
    <w:p>
      <w:pPr>
        <w:pStyle w:val="Compact"/>
        <w:numPr>
          <w:ilvl w:val="0"/>
          <w:numId w:val="1472"/>
        </w:numPr>
      </w:pPr>
      <w:r>
        <w:t xml:space="preserve">“</w:t>
      </w:r>
      <w:r>
        <w:t xml:space="preserve">The cleaning or redressing of wigs, for example, for cancer units</w:t>
      </w:r>
      <w:r>
        <w:t xml:space="preserve">”</w:t>
      </w:r>
    </w:p>
    <w:p>
      <w:pPr>
        <w:pStyle w:val="FirstParagraph"/>
      </w:pPr>
      <w:r>
        <w:rPr>
          <w:b/>
          <w:bCs/>
        </w:rPr>
        <w:t xml:space="preserve">Examples for the Department:</w:t>
      </w:r>
    </w:p>
    <w:p>
      <w:pPr>
        <w:pStyle w:val="Compact"/>
        <w:numPr>
          <w:ilvl w:val="0"/>
          <w:numId w:val="1473"/>
        </w:numPr>
      </w:pPr>
      <w:r>
        <w:rPr>
          <w:b/>
          <w:bCs/>
        </w:rPr>
        <w:t xml:space="preserve">Claimable:</w:t>
      </w:r>
      <w:r>
        <w:t xml:space="preserve"> </w:t>
      </w:r>
      <w:r>
        <w:t xml:space="preserve">A contractor provides and regularly swaps bed linen and towels for the Department’s residential training centre, and the linen stays the contractor’s property. This matches HMRC’s included linen arrangement.</w:t>
      </w:r>
    </w:p>
    <w:p>
      <w:pPr>
        <w:pStyle w:val="Compact"/>
        <w:numPr>
          <w:ilvl w:val="0"/>
          <w:numId w:val="1473"/>
        </w:numPr>
      </w:pPr>
      <w:r>
        <w:rPr>
          <w:b/>
          <w:bCs/>
        </w:rPr>
        <w:t xml:space="preserve">Claimable:</w:t>
      </w:r>
      <w:r>
        <w:t xml:space="preserve"> </w:t>
      </w:r>
      <w:r>
        <w:t xml:space="preserve">A contractor launders and dry-cleans uniforms for the Department’s in-house security and front-of-house staff. HMRC lists</w:t>
      </w:r>
      <w:r>
        <w:t xml:space="preserve"> </w:t>
      </w:r>
      <w:r>
        <w:t xml:space="preserve">“</w:t>
      </w:r>
      <w:r>
        <w:t xml:space="preserve">Cleaning and laundering of uniforms</w:t>
      </w:r>
      <w:r>
        <w:t xml:space="preserve">”</w:t>
      </w:r>
      <w:r>
        <w:t xml:space="preserve">.</w:t>
      </w:r>
    </w:p>
    <w:p>
      <w:pPr>
        <w:pStyle w:val="Compact"/>
        <w:numPr>
          <w:ilvl w:val="0"/>
          <w:numId w:val="1473"/>
        </w:numPr>
      </w:pPr>
      <w:r>
        <w:rPr>
          <w:b/>
          <w:bCs/>
        </w:rPr>
        <w:t xml:space="preserve">Not claimable:</w:t>
      </w:r>
      <w:r>
        <w:t xml:space="preserve"> </w:t>
      </w:r>
      <w:r>
        <w:t xml:space="preserve">The Department buys new uniforms or linen outright. That is a purchase of goods, not a laundry service</w:t>
      </w:r>
      <w:r>
        <w:t xml:space="preserve"> </w:t>
      </w:r>
      <w:r>
        <w:t xml:space="preserve">(</w:t>
      </w:r>
      <w:hyperlink w:anchor="ref-hmrc_vatgpb">
        <w:r>
          <w:rPr>
            <w:rStyle w:val="Hyperlink"/>
          </w:rPr>
          <w:t xml:space="preserve">HMRC, 2026n, sec. VATGPB11370</w:t>
        </w:r>
      </w:hyperlink>
      <w:r>
        <w:t xml:space="preserve">)</w:t>
      </w:r>
      <w:r>
        <w:t xml:space="preserve">.</w:t>
      </w:r>
    </w:p>
    <w:p>
      <w:pPr>
        <w:pStyle w:val="Compact"/>
        <w:numPr>
          <w:ilvl w:val="0"/>
          <w:numId w:val="1473"/>
        </w:numPr>
      </w:pPr>
      <w:r>
        <w:rPr>
          <w:b/>
          <w:bCs/>
        </w:rPr>
        <w:t xml:space="preserve">Not claimable:</w:t>
      </w:r>
      <w:r>
        <w:t xml:space="preserve"> </w:t>
      </w:r>
      <w:r>
        <w:t xml:space="preserve">Laundry charges appear on a staff member’s hotel bill during an overseas trip. Any VAT is the overseas country’s VAT, not UK VAT (Value Added Tax Act 1994, ss. 1(1) and 41(3)).</w:t>
      </w:r>
    </w:p>
    <w:p>
      <w:pPr>
        <w:pStyle w:val="FirstParagraph"/>
      </w:pPr>
      <w:r>
        <w:rPr>
          <w:b/>
          <w:bCs/>
        </w:rPr>
        <w:t xml:space="preserve">Source:</w:t>
      </w:r>
      <w:r>
        <w:t xml:space="preserve"> </w:t>
      </w:r>
      <w:r>
        <w:t xml:space="preserve">HMRC manual section VATGPB10370, page last updated 7 January 2016</w:t>
      </w:r>
      <w:r>
        <w:t xml:space="preserve"> </w:t>
      </w:r>
      <w:r>
        <w:t xml:space="preserve">(</w:t>
      </w:r>
      <w:hyperlink w:anchor="ref-hmrc_vatgpb">
        <w:r>
          <w:rPr>
            <w:rStyle w:val="Hyperlink"/>
          </w:rPr>
          <w:t xml:space="preserve">HMRC, 2026n, sec. VATGPB10370</w:t>
        </w:r>
      </w:hyperlink>
      <w:r>
        <w:t xml:space="preserve">)</w:t>
      </w:r>
      <w:r>
        <w:t xml:space="preserve">.</w:t>
      </w:r>
    </w:p>
    <w:bookmarkEnd w:id="289"/>
    <w:bookmarkStart w:id="290" w:name="heading-33-library-services"/>
    <w:p>
      <w:pPr>
        <w:pStyle w:val="Heading3"/>
      </w:pPr>
      <w:r>
        <w:t xml:space="preserve">Heading 33: Library services</w:t>
      </w:r>
    </w:p>
    <w:p>
      <w:pPr>
        <w:pStyle w:val="FirstParagraph"/>
      </w:pPr>
      <w:r>
        <w:rPr>
          <w:b/>
          <w:bCs/>
        </w:rPr>
        <w:t xml:space="preserve">What it covers (HMRC’s description):</w:t>
      </w:r>
      <w:r>
        <w:t xml:space="preserve"> </w:t>
      </w:r>
      <w:r>
        <w:t xml:space="preserve">“</w:t>
      </w:r>
      <w:r>
        <w:t xml:space="preserve">This Heading covers the use of external libraries such as university libraries, independent academic libraries and electronic/online library services</w:t>
      </w:r>
      <w:r>
        <w:t xml:space="preserve">”</w:t>
      </w:r>
      <w:r>
        <w:t xml:space="preserve"> </w:t>
      </w:r>
      <w:r>
        <w:t xml:space="preserve">(</w:t>
      </w:r>
      <w:hyperlink w:anchor="ref-hmrc_vatgpb">
        <w:r>
          <w:rPr>
            <w:rStyle w:val="Hyperlink"/>
          </w:rPr>
          <w:t xml:space="preserve">HMRC, 2026n, sec. VATGPB10390</w:t>
        </w:r>
      </w:hyperlink>
      <w:r>
        <w:t xml:space="preserve">)</w:t>
      </w:r>
      <w:r>
        <w:t xml:space="preserve">.</w:t>
      </w:r>
    </w:p>
    <w:p>
      <w:pPr>
        <w:pStyle w:val="BodyText"/>
      </w:pPr>
      <w:r>
        <w:rPr>
          <w:b/>
          <w:bCs/>
        </w:rPr>
        <w:t xml:space="preserve">Includes:</w:t>
      </w:r>
    </w:p>
    <w:p>
      <w:pPr>
        <w:pStyle w:val="Compact"/>
        <w:numPr>
          <w:ilvl w:val="0"/>
          <w:numId w:val="1474"/>
        </w:numPr>
      </w:pPr>
      <w:r>
        <w:t xml:space="preserve">“</w:t>
      </w:r>
      <w:r>
        <w:t xml:space="preserve">Internet hosted library services which provide access to backdated journals, periodicals, medical books, etc</w:t>
      </w:r>
      <w:r>
        <w:t xml:space="preserve">”</w:t>
      </w:r>
    </w:p>
    <w:p>
      <w:pPr>
        <w:pStyle w:val="FirstParagraph"/>
      </w:pPr>
      <w:r>
        <w:rPr>
          <w:b/>
          <w:bCs/>
        </w:rPr>
        <w:t xml:space="preserve">Excludes:</w:t>
      </w:r>
    </w:p>
    <w:p>
      <w:pPr>
        <w:pStyle w:val="Compact"/>
        <w:numPr>
          <w:ilvl w:val="0"/>
          <w:numId w:val="1475"/>
        </w:numPr>
      </w:pPr>
      <w:r>
        <w:t xml:space="preserve">“</w:t>
      </w:r>
      <w:r>
        <w:t xml:space="preserve">Subscriptions to publications, electronic journals, single online journals, magazines, etc</w:t>
      </w:r>
      <w:r>
        <w:t xml:space="preserve">”</w:t>
      </w:r>
    </w:p>
    <w:p>
      <w:pPr>
        <w:pStyle w:val="FirstParagraph"/>
      </w:pPr>
      <w:r>
        <w:rPr>
          <w:b/>
          <w:bCs/>
        </w:rPr>
        <w:t xml:space="preserve">Examples for the Department:</w:t>
      </w:r>
    </w:p>
    <w:p>
      <w:pPr>
        <w:pStyle w:val="Compact"/>
        <w:numPr>
          <w:ilvl w:val="0"/>
          <w:numId w:val="1476"/>
        </w:numPr>
      </w:pPr>
      <w:r>
        <w:rPr>
          <w:b/>
          <w:bCs/>
        </w:rPr>
        <w:t xml:space="preserve">Claimable:</w:t>
      </w:r>
      <w:r>
        <w:t xml:space="preserve"> </w:t>
      </w:r>
      <w:r>
        <w:t xml:space="preserve">The Department pays for staff access to an online library platform with back-dated journals and periodicals, used by staff studying for professional qualifications and by policy teams. This is an</w:t>
      </w:r>
      <w:r>
        <w:t xml:space="preserve"> </w:t>
      </w:r>
      <w:r>
        <w:t xml:space="preserve">“</w:t>
      </w:r>
      <w:r>
        <w:t xml:space="preserve">Internet hosted library service</w:t>
      </w:r>
      <w:r>
        <w:t xml:space="preserve">”</w:t>
      </w:r>
      <w:r>
        <w:t xml:space="preserve">. Claim only the UK VAT actually shown on the invoice, because some electronic publications are zero-rated (Value Added Tax Act 1994, Sch. 8, Group 3, item 7)</w:t>
      </w:r>
      <w:r>
        <w:t xml:space="preserve"> </w:t>
      </w:r>
      <w:r>
        <w:t xml:space="preserve">(</w:t>
      </w:r>
      <w:hyperlink w:anchor="ref-hmrc_n70110">
        <w:r>
          <w:rPr>
            <w:rStyle w:val="Hyperlink"/>
          </w:rPr>
          <w:t xml:space="preserve">HMRC, 2020f, sec. 9</w:t>
        </w:r>
      </w:hyperlink>
      <w:r>
        <w:t xml:space="preserve">)</w:t>
      </w:r>
      <w:r>
        <w:t xml:space="preserve">.</w:t>
      </w:r>
    </w:p>
    <w:p>
      <w:pPr>
        <w:pStyle w:val="Compact"/>
        <w:numPr>
          <w:ilvl w:val="0"/>
          <w:numId w:val="1476"/>
        </w:numPr>
      </w:pPr>
      <w:r>
        <w:rPr>
          <w:b/>
          <w:bCs/>
        </w:rPr>
        <w:t xml:space="preserve">Claimable:</w:t>
      </w:r>
      <w:r>
        <w:t xml:space="preserve"> </w:t>
      </w:r>
      <w:r>
        <w:t xml:space="preserve">The Department pays a university library, where VAT is charged, to give its researchers access. HMRC names</w:t>
      </w:r>
      <w:r>
        <w:t xml:space="preserve"> </w:t>
      </w:r>
      <w:r>
        <w:t xml:space="preserve">“</w:t>
      </w:r>
      <w:r>
        <w:t xml:space="preserve">university libraries</w:t>
      </w:r>
      <w:r>
        <w:t xml:space="preserve">”</w:t>
      </w:r>
      <w:r>
        <w:t xml:space="preserve">.</w:t>
      </w:r>
    </w:p>
    <w:p>
      <w:pPr>
        <w:pStyle w:val="Compact"/>
        <w:numPr>
          <w:ilvl w:val="0"/>
          <w:numId w:val="1476"/>
        </w:numPr>
      </w:pPr>
      <w:r>
        <w:rPr>
          <w:b/>
          <w:bCs/>
        </w:rPr>
        <w:t xml:space="preserve">Not claimable:</w:t>
      </w:r>
      <w:r>
        <w:t xml:space="preserve"> </w:t>
      </w:r>
      <w:r>
        <w:t xml:space="preserve">The Department takes out a subscription to a single online journal on international trade. HMRC excludes</w:t>
      </w:r>
      <w:r>
        <w:t xml:space="preserve"> </w:t>
      </w:r>
      <w:r>
        <w:t xml:space="preserve">“</w:t>
      </w:r>
      <w:r>
        <w:t xml:space="preserve">single online journals</w:t>
      </w:r>
      <w:r>
        <w:t xml:space="preserve">”</w:t>
      </w:r>
      <w:r>
        <w:t xml:space="preserve">. Also, many electronic publications have been</w:t>
      </w:r>
      <w:r>
        <w:t xml:space="preserve"> </w:t>
      </w:r>
      <w:r>
        <w:rPr>
          <w:b/>
          <w:bCs/>
        </w:rPr>
        <w:t xml:space="preserve">zero-rated</w:t>
      </w:r>
      <w:r>
        <w:t xml:space="preserve"> </w:t>
      </w:r>
      <w:r>
        <w:t xml:space="preserve">in the UK since 1 May 2020</w:t>
      </w:r>
      <w:r>
        <w:t xml:space="preserve"> </w:t>
      </w:r>
      <w:r>
        <w:t xml:space="preserve">(</w:t>
      </w:r>
      <w:hyperlink w:anchor="ref-hmrc_n70110">
        <w:r>
          <w:rPr>
            <w:rStyle w:val="Hyperlink"/>
          </w:rPr>
          <w:t xml:space="preserve">HMRC, 2020f, sec. 9</w:t>
        </w:r>
      </w:hyperlink>
      <w:r>
        <w:t xml:space="preserve">)</w:t>
      </w:r>
      <w:r>
        <w:t xml:space="preserve">. Zero-rated means VAT is charged at 0%, so there is often no VAT to recover anyway</w:t>
      </w:r>
      <w:r>
        <w:t xml:space="preserve"> </w:t>
      </w:r>
      <w:r>
        <w:t xml:space="preserve">(</w:t>
      </w:r>
      <w:hyperlink w:anchor="ref-hmrc_exemption">
        <w:r>
          <w:rPr>
            <w:rStyle w:val="Hyperlink"/>
          </w:rPr>
          <w:t xml:space="preserve">HMRC, 2022a</w:t>
        </w:r>
      </w:hyperlink>
      <w:r>
        <w:t xml:space="preserve">)</w:t>
      </w:r>
      <w:r>
        <w:t xml:space="preserve">.</w:t>
      </w:r>
    </w:p>
    <w:p>
      <w:pPr>
        <w:pStyle w:val="Compact"/>
        <w:numPr>
          <w:ilvl w:val="0"/>
          <w:numId w:val="1476"/>
        </w:numPr>
      </w:pPr>
      <w:r>
        <w:rPr>
          <w:b/>
          <w:bCs/>
        </w:rPr>
        <w:t xml:space="preserve">Not claimable:</w:t>
      </w:r>
      <w:r>
        <w:t xml:space="preserve"> </w:t>
      </w:r>
      <w:r>
        <w:t xml:space="preserve">The Department buys printed books for its own in-house library. That is a purchase of goods, not a library service</w:t>
      </w:r>
      <w:r>
        <w:t xml:space="preserve"> </w:t>
      </w:r>
      <w:r>
        <w:t xml:space="preserve">(</w:t>
      </w:r>
      <w:hyperlink w:anchor="ref-hmrc_vatgpb">
        <w:r>
          <w:rPr>
            <w:rStyle w:val="Hyperlink"/>
          </w:rPr>
          <w:t xml:space="preserve">HMRC, 2026n, sec. VATGPB11370</w:t>
        </w:r>
      </w:hyperlink>
      <w:r>
        <w:t xml:space="preserve">)</w:t>
      </w:r>
      <w:r>
        <w:t xml:space="preserve">, and printed books are zero-rated in any case (Value Added Tax Act 1994, Sch. 8, Group 3, item 1)</w:t>
      </w:r>
      <w:r>
        <w:t xml:space="preserve"> </w:t>
      </w:r>
      <w:r>
        <w:t xml:space="preserve">(</w:t>
      </w:r>
      <w:hyperlink w:anchor="ref-hmrc_n70110">
        <w:r>
          <w:rPr>
            <w:rStyle w:val="Hyperlink"/>
          </w:rPr>
          <w:t xml:space="preserve">HMRC, 2020f, para. 3.1</w:t>
        </w:r>
      </w:hyperlink>
      <w:r>
        <w:t xml:space="preserve">)</w:t>
      </w:r>
      <w:r>
        <w:t xml:space="preserve">.</w:t>
      </w:r>
    </w:p>
    <w:p>
      <w:pPr>
        <w:pStyle w:val="FirstParagraph"/>
      </w:pPr>
      <w:r>
        <w:rPr>
          <w:b/>
          <w:bCs/>
        </w:rPr>
        <w:t xml:space="preserve">Source:</w:t>
      </w:r>
      <w:r>
        <w:t xml:space="preserve"> </w:t>
      </w:r>
      <w:r>
        <w:t xml:space="preserve">HMRC manual section VATGPB10390, page last updated 7 January 2016</w:t>
      </w:r>
      <w:r>
        <w:t xml:space="preserve"> </w:t>
      </w:r>
      <w:r>
        <w:t xml:space="preserve">(</w:t>
      </w:r>
      <w:hyperlink w:anchor="ref-hmrc_vatgpb">
        <w:r>
          <w:rPr>
            <w:rStyle w:val="Hyperlink"/>
          </w:rPr>
          <w:t xml:space="preserve">HMRC, 2026n, sec. VATGPB10390</w:t>
        </w:r>
      </w:hyperlink>
      <w:r>
        <w:t xml:space="preserve">)</w:t>
      </w:r>
      <w:r>
        <w:t xml:space="preserve">.</w:t>
      </w:r>
    </w:p>
    <w:bookmarkEnd w:id="290"/>
    <w:bookmarkStart w:id="291" w:name="Xcaa505fd7742889944cc62d7106edeb919ccbc0"/>
    <w:p>
      <w:pPr>
        <w:pStyle w:val="Heading3"/>
      </w:pPr>
      <w:r>
        <w:t xml:space="preserve">Heading 34: Maintenance and care of livestock and fauna in connection with the Royal Parks</w:t>
      </w:r>
    </w:p>
    <w:p>
      <w:pPr>
        <w:pStyle w:val="FirstParagraph"/>
      </w:pPr>
      <w:r>
        <w:rPr>
          <w:b/>
          <w:bCs/>
        </w:rPr>
        <w:t xml:space="preserve">What it covers (HMRC’s description):</w:t>
      </w:r>
      <w:r>
        <w:t xml:space="preserve"> </w:t>
      </w:r>
      <w:r>
        <w:t xml:space="preserve">“</w:t>
      </w:r>
      <w:r>
        <w:t xml:space="preserve">This Heading covers maintenance and care of livestock and fauna in the Royal Parks.</w:t>
      </w:r>
      <w:r>
        <w:t xml:space="preserve">”</w:t>
      </w:r>
      <w:r>
        <w:t xml:space="preserve"> </w:t>
      </w:r>
      <w:r>
        <w:t xml:space="preserve">Apart from the list below, HMRC’s manual gives no further detail</w:t>
      </w:r>
      <w:r>
        <w:t xml:space="preserve"> </w:t>
      </w:r>
      <w:r>
        <w:t xml:space="preserve">(</w:t>
      </w:r>
      <w:hyperlink w:anchor="ref-hmrc_vatgpb">
        <w:r>
          <w:rPr>
            <w:rStyle w:val="Hyperlink"/>
          </w:rPr>
          <w:t xml:space="preserve">HMRC, 2026n, sec. VATGPB10410</w:t>
        </w:r>
      </w:hyperlink>
      <w:r>
        <w:t xml:space="preserve">)</w:t>
      </w:r>
      <w:r>
        <w:t xml:space="preserve">.</w:t>
      </w:r>
    </w:p>
    <w:p>
      <w:pPr>
        <w:pStyle w:val="BodyText"/>
      </w:pPr>
      <w:r>
        <w:rPr>
          <w:b/>
          <w:bCs/>
        </w:rPr>
        <w:t xml:space="preserve">Who it is aimed at:</w:t>
      </w:r>
      <w:r>
        <w:t xml:space="preserve"> </w:t>
      </w:r>
      <w:r>
        <w:t xml:space="preserve">the body responsible for the Royal Parks. Heading 77, which covers management and maintenance of the Royal Parks commissioned by DCMS, is the related heading</w:t>
      </w:r>
      <w:r>
        <w:t xml:space="preserve"> </w:t>
      </w:r>
      <w:r>
        <w:t xml:space="preserve">(</w:t>
      </w:r>
      <w:hyperlink w:anchor="ref-hmrc_vatgpb">
        <w:r>
          <w:rPr>
            <w:rStyle w:val="Hyperlink"/>
          </w:rPr>
          <w:t xml:space="preserve">HMRC, 2026n, sec. VATGPB11270</w:t>
        </w:r>
      </w:hyperlink>
      <w:r>
        <w:t xml:space="preserve">)</w:t>
      </w:r>
      <w:r>
        <w:t xml:space="preserve">. It is very unlikely to apply to the Department.</w:t>
      </w:r>
    </w:p>
    <w:p>
      <w:pPr>
        <w:pStyle w:val="BodyText"/>
      </w:pPr>
      <w:r>
        <w:rPr>
          <w:b/>
          <w:bCs/>
        </w:rPr>
        <w:t xml:space="preserve">Includes:</w:t>
      </w:r>
    </w:p>
    <w:p>
      <w:pPr>
        <w:pStyle w:val="Compact"/>
        <w:numPr>
          <w:ilvl w:val="0"/>
          <w:numId w:val="1477"/>
        </w:numPr>
      </w:pPr>
      <w:r>
        <w:t xml:space="preserve">“</w:t>
      </w:r>
      <w:r>
        <w:t xml:space="preserve">Veterinary costs</w:t>
      </w:r>
      <w:r>
        <w:t xml:space="preserve">”</w:t>
      </w:r>
    </w:p>
    <w:p>
      <w:pPr>
        <w:pStyle w:val="Compact"/>
        <w:numPr>
          <w:ilvl w:val="0"/>
          <w:numId w:val="1477"/>
        </w:numPr>
      </w:pPr>
      <w:r>
        <w:t xml:space="preserve">“</w:t>
      </w:r>
      <w:r>
        <w:t xml:space="preserve">Tree surgeon’s services</w:t>
      </w:r>
      <w:r>
        <w:t xml:space="preserve">”</w:t>
      </w:r>
    </w:p>
    <w:p>
      <w:pPr>
        <w:pStyle w:val="Compact"/>
        <w:numPr>
          <w:ilvl w:val="0"/>
          <w:numId w:val="1477"/>
        </w:numPr>
      </w:pPr>
      <w:r>
        <w:t xml:space="preserve">“</w:t>
      </w:r>
      <w:r>
        <w:t xml:space="preserve">Vaccination programmes</w:t>
      </w:r>
      <w:r>
        <w:t xml:space="preserve">”</w:t>
      </w:r>
    </w:p>
    <w:p>
      <w:pPr>
        <w:pStyle w:val="FirstParagraph"/>
      </w:pPr>
      <w:r>
        <w:rPr>
          <w:b/>
          <w:bCs/>
        </w:rPr>
        <w:t xml:space="preserve">Examples for the Department:</w:t>
      </w:r>
    </w:p>
    <w:p>
      <w:pPr>
        <w:pStyle w:val="Compact"/>
        <w:numPr>
          <w:ilvl w:val="0"/>
          <w:numId w:val="1478"/>
        </w:numPr>
      </w:pPr>
      <w:r>
        <w:rPr>
          <w:b/>
          <w:bCs/>
        </w:rPr>
        <w:t xml:space="preserve">Claimable (generic, for illustration only):</w:t>
      </w:r>
      <w:r>
        <w:t xml:space="preserve"> </w:t>
      </w:r>
      <w:r>
        <w:t xml:space="preserve">The body running the Royal Parks pays a contracted vet to vaccinate and care for the deer herd in a park.</w:t>
      </w:r>
    </w:p>
    <w:p>
      <w:pPr>
        <w:pStyle w:val="Compact"/>
        <w:numPr>
          <w:ilvl w:val="0"/>
          <w:numId w:val="1478"/>
        </w:numPr>
      </w:pPr>
      <w:r>
        <w:rPr>
          <w:b/>
          <w:bCs/>
        </w:rPr>
        <w:t xml:space="preserve">Not claimable:</w:t>
      </w:r>
      <w:r>
        <w:t xml:space="preserve"> </w:t>
      </w:r>
      <w:r>
        <w:t xml:space="preserve">The Department pays a tree surgeon to work on trees in the grounds of its own offices. This is not connected with the Royal Parks. HMRC’s examples table (VATGPB10435) puts</w:t>
      </w:r>
      <w:r>
        <w:t xml:space="preserve"> </w:t>
      </w:r>
      <w:r>
        <w:t xml:space="preserve">“</w:t>
      </w:r>
      <w:r>
        <w:t xml:space="preserve">Tree surgery</w:t>
      </w:r>
      <w:r>
        <w:t xml:space="preserve">”</w:t>
      </w:r>
      <w:r>
        <w:t xml:space="preserve"> </w:t>
      </w:r>
      <w:r>
        <w:t xml:space="preserve">on building grounds under Heading 35 instead</w:t>
      </w:r>
      <w:r>
        <w:t xml:space="preserve"> </w:t>
      </w:r>
      <w:r>
        <w:t xml:space="preserve">(</w:t>
      </w:r>
      <w:hyperlink w:anchor="ref-hmrc_vatgpb">
        <w:r>
          <w:rPr>
            <w:rStyle w:val="Hyperlink"/>
          </w:rPr>
          <w:t xml:space="preserve">HMRC, 2026n, sec. VATGPB10435</w:t>
        </w:r>
      </w:hyperlink>
      <w:r>
        <w:t xml:space="preserve">)</w:t>
      </w:r>
      <w:r>
        <w:t xml:space="preserve">.</w:t>
      </w:r>
    </w:p>
    <w:p>
      <w:pPr>
        <w:pStyle w:val="FirstParagraph"/>
      </w:pPr>
      <w:r>
        <w:rPr>
          <w:b/>
          <w:bCs/>
        </w:rPr>
        <w:t xml:space="preserve">Source:</w:t>
      </w:r>
      <w:r>
        <w:t xml:space="preserve"> </w:t>
      </w:r>
      <w:r>
        <w:t xml:space="preserve">HMRC manual section VATGPB10410, page last updated 7 January 2016</w:t>
      </w:r>
      <w:r>
        <w:t xml:space="preserve"> </w:t>
      </w:r>
      <w:r>
        <w:t xml:space="preserve">(</w:t>
      </w:r>
      <w:hyperlink w:anchor="ref-hmrc_vatgpb">
        <w:r>
          <w:rPr>
            <w:rStyle w:val="Hyperlink"/>
          </w:rPr>
          <w:t xml:space="preserve">HMRC, 2026n, sec. VATGPB10410</w:t>
        </w:r>
      </w:hyperlink>
      <w:r>
        <w:t xml:space="preserve">)</w:t>
      </w:r>
      <w:r>
        <w:t xml:space="preserve">.</w:t>
      </w:r>
    </w:p>
    <w:bookmarkEnd w:id="291"/>
    <w:bookmarkStart w:id="292" w:name="X8283296de4c0a71b9f31b8528d8f68bbe0f9e7e"/>
    <w:p>
      <w:pPr>
        <w:pStyle w:val="Heading3"/>
      </w:pPr>
      <w:r>
        <w:t xml:space="preserve">Heading 35: Maintenance, repair and cleaning of buildings</w:t>
      </w:r>
    </w:p>
    <w:p>
      <w:pPr>
        <w:pStyle w:val="FirstParagraph"/>
      </w:pPr>
      <w:r>
        <w:rPr>
          <w:b/>
          <w:bCs/>
        </w:rPr>
        <w:t xml:space="preserve">What it covers (HMRC’s description):</w:t>
      </w:r>
      <w:r>
        <w:t xml:space="preserve"> </w:t>
      </w:r>
      <w:r>
        <w:t xml:space="preserve">HMRC gives the full heading:</w:t>
      </w:r>
      <w:r>
        <w:t xml:space="preserve"> </w:t>
      </w:r>
      <w:r>
        <w:t xml:space="preserve">“</w:t>
      </w:r>
      <w:r>
        <w:t xml:space="preserve">Maintenance, repair and cleaning of buildings but excluding works which are more than remedial and which alter the structure or footprint of the building</w:t>
      </w:r>
      <w:r>
        <w:t xml:space="preserve">”</w:t>
      </w:r>
      <w:r>
        <w:t xml:space="preserve"> </w:t>
      </w:r>
      <w:r>
        <w:t xml:space="preserve">(</w:t>
      </w:r>
      <w:hyperlink w:anchor="ref-hmrc_vatgpb">
        <w:r>
          <w:rPr>
            <w:rStyle w:val="Hyperlink"/>
          </w:rPr>
          <w:t xml:space="preserve">HMRC, 2026n, sec. VATGPB10430</w:t>
        </w:r>
      </w:hyperlink>
      <w:r>
        <w:t xml:space="preserve">)</w:t>
      </w:r>
      <w:r>
        <w:t xml:space="preserve">.</w:t>
      </w:r>
    </w:p>
    <w:p>
      <w:pPr>
        <w:pStyle w:val="BodyText"/>
      </w:pPr>
      <w:r>
        <w:t xml:space="preserve">HMRC says this wording replaced the old phrase</w:t>
      </w:r>
      <w:r>
        <w:t xml:space="preserve"> </w:t>
      </w:r>
      <w:r>
        <w:t xml:space="preserve">“</w:t>
      </w:r>
      <w:r>
        <w:t xml:space="preserve">non-structural repairs</w:t>
      </w:r>
      <w:r>
        <w:t xml:space="preserve">”</w:t>
      </w:r>
      <w:r>
        <w:t xml:space="preserve"> </w:t>
      </w:r>
      <w:r>
        <w:t xml:space="preserve">for clarity only. The intended scope has not changed</w:t>
      </w:r>
      <w:r>
        <w:t xml:space="preserve"> </w:t>
      </w:r>
      <w:r>
        <w:t xml:space="preserve">(</w:t>
      </w:r>
      <w:hyperlink w:anchor="ref-hmrc_vatgpb">
        <w:r>
          <w:rPr>
            <w:rStyle w:val="Hyperlink"/>
          </w:rPr>
          <w:t xml:space="preserve">HMRC, 2026n, sec. VATGPB10430</w:t>
        </w:r>
      </w:hyperlink>
      <w:r>
        <w:t xml:space="preserve">)</w:t>
      </w:r>
      <w:r>
        <w:t xml:space="preserve">.</w:t>
      </w:r>
    </w:p>
    <w:p>
      <w:pPr>
        <w:pStyle w:val="BodyText"/>
      </w:pPr>
      <w:r>
        <w:rPr>
          <w:b/>
          <w:bCs/>
        </w:rPr>
        <w:t xml:space="preserve">Key points:</w:t>
      </w:r>
    </w:p>
    <w:p>
      <w:pPr>
        <w:pStyle w:val="Compact"/>
        <w:numPr>
          <w:ilvl w:val="0"/>
          <w:numId w:val="1479"/>
        </w:numPr>
      </w:pPr>
      <w:r>
        <w:rPr>
          <w:b/>
          <w:bCs/>
        </w:rPr>
        <w:t xml:space="preserve">No structural work.</w:t>
      </w:r>
      <w:r>
        <w:t xml:space="preserve"> </w:t>
      </w:r>
      <w:r>
        <w:t xml:space="preserve">“</w:t>
      </w:r>
      <w:r>
        <w:t xml:space="preserve">The key to this heading is that it does not cover structural work such as the alteration of a building or the construction of an extension</w:t>
      </w:r>
      <w:r>
        <w:t xml:space="preserve">”</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479"/>
        </w:numPr>
      </w:pPr>
      <w:r>
        <w:rPr>
          <w:b/>
          <w:bCs/>
        </w:rPr>
        <w:t xml:space="preserve">Freehold or leasehold.</w:t>
      </w:r>
      <w:r>
        <w:t xml:space="preserve"> </w:t>
      </w:r>
      <w:r>
        <w:t xml:space="preserve">The building can be either. However, the heading</w:t>
      </w:r>
      <w:r>
        <w:t xml:space="preserve"> </w:t>
      </w:r>
      <w:r>
        <w:t xml:space="preserve">“</w:t>
      </w:r>
      <w:r>
        <w:t xml:space="preserve">does not include the service charges which are included in the lease</w:t>
      </w:r>
      <w:r>
        <w:t xml:space="preserve">”</w:t>
      </w:r>
      <w:r>
        <w:t xml:space="preserve">, because these are</w:t>
      </w:r>
      <w:r>
        <w:t xml:space="preserve"> </w:t>
      </w:r>
      <w:r>
        <w:t xml:space="preserve">“</w:t>
      </w:r>
      <w:r>
        <w:t xml:space="preserve">normally regarded as additional rent</w:t>
      </w:r>
      <w:r>
        <w:t xml:space="preserve">”</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479"/>
        </w:numPr>
      </w:pPr>
      <w:r>
        <w:rPr>
          <w:b/>
          <w:bCs/>
        </w:rPr>
        <w:t xml:space="preserve">Easement for government departments, which applies to the Department.</w:t>
      </w:r>
      <w:r>
        <w:t xml:space="preserve"> </w:t>
      </w:r>
      <w:r>
        <w:t xml:space="preserve">“</w:t>
      </w:r>
      <w:r>
        <w:t xml:space="preserve">Work funded from running costs (revenue spending) is accepted as non-structural and therefore within the scope of this heading, whereas work funded from capital expenditure is not.</w:t>
      </w:r>
      <w:r>
        <w:t xml:space="preserve">”</w:t>
      </w:r>
      <w:r>
        <w:t xml:space="preserve"> </w:t>
      </w:r>
      <w:r>
        <w:t xml:space="preserve">An easement is a simplification HMRC has agreed</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479"/>
        </w:numPr>
      </w:pPr>
      <w:r>
        <w:rPr>
          <w:b/>
          <w:bCs/>
        </w:rPr>
        <w:t xml:space="preserve">Health and safety or fire work.</w:t>
      </w:r>
      <w:r>
        <w:t xml:space="preserve"> </w:t>
      </w:r>
      <w:r>
        <w:t xml:space="preserve">Work done to meet health and safety or fire regulations is not automatically claimable. It</w:t>
      </w:r>
      <w:r>
        <w:t xml:space="preserve"> </w:t>
      </w:r>
      <w:r>
        <w:t xml:space="preserve">“</w:t>
      </w:r>
      <w:r>
        <w:t xml:space="preserve">must still be listed on repairs and maintenance list to qualify</w:t>
      </w:r>
      <w:r>
        <w:t xml:space="preserve">”</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479"/>
        </w:numPr>
      </w:pPr>
      <w:r>
        <w:rPr>
          <w:b/>
          <w:bCs/>
        </w:rPr>
        <w:t xml:space="preserve">NHS-only rules.</w:t>
      </w:r>
      <w:r>
        <w:t xml:space="preserve"> </w:t>
      </w:r>
      <w:r>
        <w:t xml:space="preserve">HMRC’s £5,000 construction easement and the</w:t>
      </w:r>
      <w:r>
        <w:t xml:space="preserve"> </w:t>
      </w:r>
      <w:r>
        <w:t xml:space="preserve">“</w:t>
      </w:r>
      <w:r>
        <w:t xml:space="preserve">banding scheme</w:t>
      </w:r>
      <w:r>
        <w:t xml:space="preserve">”</w:t>
      </w:r>
      <w:r>
        <w:t xml:space="preserve"> </w:t>
      </w:r>
      <w:r>
        <w:t xml:space="preserve">percentages for capital projects apply only to NHS bodies</w:t>
      </w:r>
      <w:r>
        <w:t xml:space="preserve"> </w:t>
      </w:r>
      <w:r>
        <w:t xml:space="preserve">(</w:t>
      </w:r>
      <w:hyperlink w:anchor="ref-hmrc_vatgpb">
        <w:r>
          <w:rPr>
            <w:rStyle w:val="Hyperlink"/>
          </w:rPr>
          <w:t xml:space="preserve">HMRC, 2026n, sec. VATGPB10430</w:t>
        </w:r>
      </w:hyperlink>
      <w:r>
        <w:t xml:space="preserve">)</w:t>
      </w:r>
      <w:r>
        <w:t xml:space="preserve">. They do not apply to the Department.</w:t>
      </w:r>
    </w:p>
    <w:p>
      <w:pPr>
        <w:pStyle w:val="FirstParagraph"/>
      </w:pPr>
      <w:r>
        <w:rPr>
          <w:b/>
          <w:bCs/>
        </w:rPr>
        <w:t xml:space="preserve">Mixed projects, using the</w:t>
      </w:r>
      <w:r>
        <w:rPr>
          <w:b/>
          <w:bCs/>
        </w:rPr>
        <w:t xml:space="preserve"> </w:t>
      </w:r>
      <w:r>
        <w:rPr>
          <w:b/>
          <w:bCs/>
        </w:rPr>
        <w:t xml:space="preserve">“</w:t>
      </w:r>
      <w:r>
        <w:rPr>
          <w:b/>
          <w:bCs/>
        </w:rPr>
        <w:t xml:space="preserve">line by line</w:t>
      </w:r>
      <w:r>
        <w:rPr>
          <w:b/>
          <w:bCs/>
        </w:rPr>
        <w:t xml:space="preserve">”</w:t>
      </w:r>
      <w:r>
        <w:rPr>
          <w:b/>
          <w:bCs/>
        </w:rPr>
        <w:t xml:space="preserve"> </w:t>
      </w:r>
      <w:r>
        <w:rPr>
          <w:b/>
          <w:bCs/>
        </w:rPr>
        <w:t xml:space="preserve">method:</w:t>
      </w:r>
      <w:r>
        <w:t xml:space="preserve"> </w:t>
      </w:r>
      <w:r>
        <w:t xml:space="preserve">(</w:t>
      </w:r>
      <w:hyperlink w:anchor="ref-hmrc_vatgpb">
        <w:r>
          <w:rPr>
            <w:rStyle w:val="Hyperlink"/>
          </w:rPr>
          <w:t xml:space="preserve">HMRC, 2026n, sec. VATGPB10430</w:t>
        </w:r>
      </w:hyperlink>
      <w:r>
        <w:t xml:space="preserve">)</w:t>
      </w:r>
    </w:p>
    <w:p>
      <w:pPr>
        <w:pStyle w:val="Compact"/>
        <w:numPr>
          <w:ilvl w:val="0"/>
          <w:numId w:val="1480"/>
        </w:numPr>
      </w:pPr>
      <w:r>
        <w:t xml:space="preserve">Go through the bill of quantities and tender documents and sort each item into fully recoverable, non-recoverable, or</w:t>
      </w:r>
      <w:r>
        <w:t xml:space="preserve"> </w:t>
      </w:r>
      <w:r>
        <w:t xml:space="preserve">“</w:t>
      </w:r>
      <w:r>
        <w:t xml:space="preserve">Pot</w:t>
      </w:r>
      <w:r>
        <w:t xml:space="preserve">”</w:t>
      </w:r>
      <w:r>
        <w:t xml:space="preserve"> </w:t>
      </w:r>
      <w:r>
        <w:t xml:space="preserve">(mixed, cannot be separated).</w:t>
      </w:r>
    </w:p>
    <w:p>
      <w:pPr>
        <w:pStyle w:val="Compact"/>
        <w:numPr>
          <w:ilvl w:val="0"/>
          <w:numId w:val="1480"/>
        </w:numPr>
      </w:pPr>
      <w:r>
        <w:rPr>
          <w:b/>
          <w:bCs/>
        </w:rPr>
        <w:t xml:space="preserve">Preliminaries</w:t>
      </w:r>
      <w:r>
        <w:t xml:space="preserve"> </w:t>
      </w:r>
      <w:r>
        <w:t xml:space="preserve">are a contractor’s general project costs. If you have a detailed breakdown, either:</w:t>
      </w:r>
    </w:p>
    <w:p>
      <w:pPr>
        <w:pStyle w:val="Compact"/>
        <w:numPr>
          <w:ilvl w:val="1"/>
          <w:numId w:val="1481"/>
        </w:numPr>
      </w:pPr>
      <w:r>
        <w:t xml:space="preserve">add separately identifiable qualifying items to fully recoverable and the rest to non-recoverable, or</w:t>
      </w:r>
    </w:p>
    <w:p>
      <w:pPr>
        <w:pStyle w:val="Compact"/>
        <w:numPr>
          <w:ilvl w:val="1"/>
          <w:numId w:val="1481"/>
        </w:numPr>
      </w:pPr>
      <w:r>
        <w:t xml:space="preserve">put the whole figure in the Pot.</w:t>
      </w:r>
    </w:p>
    <w:p>
      <w:pPr>
        <w:pStyle w:val="Compact"/>
        <w:numPr>
          <w:ilvl w:val="0"/>
          <w:numId w:val="1000"/>
        </w:numPr>
      </w:pPr>
      <w:r>
        <w:t xml:space="preserve">You cannot</w:t>
      </w:r>
      <w:r>
        <w:t xml:space="preserve"> </w:t>
      </w:r>
      <w:r>
        <w:t xml:space="preserve">“</w:t>
      </w:r>
      <w:r>
        <w:t xml:space="preserve">strip out fully recoverable and add the rest to the Pot</w:t>
      </w:r>
      <w:r>
        <w:t xml:space="preserve">”</w:t>
      </w:r>
      <w:r>
        <w:t xml:space="preserve">.</w:t>
      </w:r>
    </w:p>
    <w:p>
      <w:pPr>
        <w:pStyle w:val="Compact"/>
        <w:numPr>
          <w:ilvl w:val="0"/>
          <w:numId w:val="1480"/>
        </w:numPr>
      </w:pPr>
      <w:r>
        <w:t xml:space="preserve">Where an item clearly splits, follow HMRC’s example.</w:t>
      </w:r>
      <w:r>
        <w:t xml:space="preserve"> </w:t>
      </w:r>
      <w:r>
        <w:t xml:space="preserve">“</w:t>
      </w:r>
      <w:r>
        <w:t xml:space="preserve">Supply and fit 20 doors (16 replacement / 4 new)</w:t>
      </w:r>
      <w:r>
        <w:t xml:space="preserve">”</w:t>
      </w:r>
      <w:r>
        <w:t xml:space="preserve"> </w:t>
      </w:r>
      <w:r>
        <w:t xml:space="preserve">puts 80% in fully recoverable and 20% in non-recoverable. Plain</w:t>
      </w:r>
      <w:r>
        <w:t xml:space="preserve"> </w:t>
      </w:r>
      <w:r>
        <w:t xml:space="preserve">“</w:t>
      </w:r>
      <w:r>
        <w:t xml:space="preserve">Supply and fit 20 doors</w:t>
      </w:r>
      <w:r>
        <w:t xml:space="preserve">”</w:t>
      </w:r>
      <w:r>
        <w:t xml:space="preserve"> </w:t>
      </w:r>
      <w:r>
        <w:t xml:space="preserve">goes in the Pot.</w:t>
      </w:r>
    </w:p>
    <w:p>
      <w:pPr>
        <w:pStyle w:val="Compact"/>
        <w:numPr>
          <w:ilvl w:val="0"/>
          <w:numId w:val="1480"/>
        </w:numPr>
      </w:pPr>
      <w:r>
        <w:t xml:space="preserve">The provisional recovery rate on interim invoices is: Fully recoverable ÷ (Fully recoverable + Non-recoverable).</w:t>
      </w:r>
    </w:p>
    <w:p>
      <w:pPr>
        <w:pStyle w:val="Compact"/>
        <w:numPr>
          <w:ilvl w:val="0"/>
          <w:numId w:val="1480"/>
        </w:numPr>
      </w:pPr>
      <w:r>
        <w:t xml:space="preserve">“</w:t>
      </w:r>
      <w:r>
        <w:t xml:space="preserve">Provisionals</w:t>
      </w:r>
      <w:r>
        <w:t xml:space="preserve">”</w:t>
      </w:r>
      <w:r>
        <w:t xml:space="preserve">,</w:t>
      </w:r>
      <w:r>
        <w:t xml:space="preserve"> </w:t>
      </w:r>
      <w:r>
        <w:t xml:space="preserve">“</w:t>
      </w:r>
      <w:r>
        <w:t xml:space="preserve">Overheads and Profit</w:t>
      </w:r>
      <w:r>
        <w:t xml:space="preserve">”</w:t>
      </w:r>
      <w:r>
        <w:t xml:space="preserve"> </w:t>
      </w:r>
      <w:r>
        <w:t xml:space="preserve">and</w:t>
      </w:r>
      <w:r>
        <w:t xml:space="preserve"> </w:t>
      </w:r>
      <w:r>
        <w:t xml:space="preserve">“</w:t>
      </w:r>
      <w:r>
        <w:t xml:space="preserve">Contractors margin</w:t>
      </w:r>
      <w:r>
        <w:t xml:space="preserve">”</w:t>
      </w:r>
      <w:r>
        <w:t xml:space="preserve"> </w:t>
      </w:r>
      <w:r>
        <w:t xml:space="preserve">go in the Pot.</w:t>
      </w:r>
    </w:p>
    <w:p>
      <w:pPr>
        <w:pStyle w:val="Compact"/>
        <w:numPr>
          <w:ilvl w:val="0"/>
          <w:numId w:val="1480"/>
        </w:numPr>
      </w:pPr>
      <w:r>
        <w:t xml:space="preserve">Ignore contingencies until the end of the project.</w:t>
      </w:r>
    </w:p>
    <w:p>
      <w:pPr>
        <w:pStyle w:val="Compact"/>
        <w:numPr>
          <w:ilvl w:val="0"/>
          <w:numId w:val="1480"/>
        </w:numPr>
      </w:pPr>
      <w:r>
        <w:t xml:space="preserve">Review capital projects annually or at the end of the project, whichever is sooner.</w:t>
      </w:r>
    </w:p>
    <w:p>
      <w:pPr>
        <w:pStyle w:val="FirstParagraph"/>
      </w:pPr>
      <w:r>
        <w:rPr>
          <w:b/>
          <w:bCs/>
        </w:rPr>
        <w:t xml:space="preserve">Includes:</w:t>
      </w:r>
      <w:r>
        <w:t xml:space="preserve"> </w:t>
      </w:r>
      <w:r>
        <w:t xml:space="preserve">These are the items marked</w:t>
      </w:r>
      <w:r>
        <w:t xml:space="preserve"> </w:t>
      </w:r>
      <w:r>
        <w:t xml:space="preserve">“</w:t>
      </w:r>
      <w:r>
        <w:t xml:space="preserve">Yes, Heading 35</w:t>
      </w:r>
      <w:r>
        <w:t xml:space="preserve">”</w:t>
      </w:r>
      <w:r>
        <w:t xml:space="preserve"> </w:t>
      </w:r>
      <w:r>
        <w:t xml:space="preserve">in HMRC’s examples list (VATGPB10435)</w:t>
      </w:r>
      <w:r>
        <w:t xml:space="preserve"> </w:t>
      </w:r>
      <w:r>
        <w:t xml:space="preserve">(</w:t>
      </w:r>
      <w:hyperlink w:anchor="ref-hmrc_vatgpb">
        <w:r>
          <w:rPr>
            <w:rStyle w:val="Hyperlink"/>
          </w:rPr>
          <w:t xml:space="preserve">HMRC, 2026n, sec. VATGPB10435</w:t>
        </w:r>
      </w:hyperlink>
      <w:r>
        <w:t xml:space="preserve">)</w:t>
      </w:r>
      <w:r>
        <w:t xml:space="preserve">. HMRC says the list</w:t>
      </w:r>
      <w:r>
        <w:t xml:space="preserve"> </w:t>
      </w:r>
      <w:r>
        <w:t xml:space="preserve">“</w:t>
      </w:r>
      <w:r>
        <w:t xml:space="preserve">is not exhaustive</w:t>
      </w:r>
      <w:r>
        <w:t xml:space="preserve">”</w:t>
      </w:r>
      <w:r>
        <w:t xml:space="preserve">. Items marked * are where HMRC accepts</w:t>
      </w:r>
      <w:r>
        <w:t xml:space="preserve"> </w:t>
      </w:r>
      <w:r>
        <w:t xml:space="preserve">“</w:t>
      </w:r>
      <w:r>
        <w:t xml:space="preserve">repair by replacement</w:t>
      </w:r>
      <w:r>
        <w:t xml:space="preserve">”</w:t>
      </w:r>
      <w:r>
        <w:t xml:space="preserve"> </w:t>
      </w:r>
      <w:r>
        <w:t xml:space="preserve">as an exception,</w:t>
      </w:r>
      <w:r>
        <w:t xml:space="preserve"> </w:t>
      </w:r>
      <w:r>
        <w:t xml:space="preserve">“</w:t>
      </w:r>
      <w:r>
        <w:t xml:space="preserve">for the listed items only</w:t>
      </w:r>
      <w:r>
        <w:t xml:space="preserve">”</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482"/>
        </w:numPr>
      </w:pPr>
      <w:r>
        <w:rPr>
          <w:b/>
          <w:bCs/>
        </w:rPr>
        <w:t xml:space="preserve">Alarms:</w:t>
      </w:r>
      <w:r>
        <w:t xml:space="preserve"> </w:t>
      </w:r>
      <w:r>
        <w:t xml:space="preserve">repairing existing fire and burglar alarms; repair by partial replacement of parts within an existing alarm</w:t>
      </w:r>
    </w:p>
    <w:p>
      <w:pPr>
        <w:pStyle w:val="Compact"/>
        <w:numPr>
          <w:ilvl w:val="0"/>
          <w:numId w:val="1482"/>
        </w:numPr>
      </w:pPr>
      <w:r>
        <w:rPr>
          <w:b/>
          <w:bCs/>
        </w:rPr>
        <w:t xml:space="preserve">Asbestos:</w:t>
      </w:r>
      <w:r>
        <w:t xml:space="preserve"> </w:t>
      </w:r>
      <w:r>
        <w:t xml:space="preserve">removing asbestos; sealing in asbestos</w:t>
      </w:r>
    </w:p>
    <w:p>
      <w:pPr>
        <w:pStyle w:val="Compact"/>
        <w:numPr>
          <w:ilvl w:val="0"/>
          <w:numId w:val="1482"/>
        </w:numPr>
      </w:pPr>
      <w:r>
        <w:rPr>
          <w:b/>
          <w:bCs/>
        </w:rPr>
        <w:t xml:space="preserve">Ceilings:</w:t>
      </w:r>
      <w:r>
        <w:t xml:space="preserve"> </w:t>
      </w:r>
      <w:r>
        <w:t xml:space="preserve">repairing existing ceilings and suspended ceilings; replacing damaged tiles in the same location within the existing grid</w:t>
      </w:r>
    </w:p>
    <w:p>
      <w:pPr>
        <w:pStyle w:val="Compact"/>
        <w:numPr>
          <w:ilvl w:val="0"/>
          <w:numId w:val="1482"/>
        </w:numPr>
      </w:pPr>
      <w:r>
        <w:rPr>
          <w:b/>
          <w:bCs/>
        </w:rPr>
        <w:t xml:space="preserve">Cleaning:</w:t>
      </w:r>
      <w:r>
        <w:t xml:space="preserve"> </w:t>
      </w:r>
      <w:r>
        <w:t xml:space="preserve">contract cleaning</w:t>
      </w:r>
    </w:p>
    <w:p>
      <w:pPr>
        <w:pStyle w:val="Compact"/>
        <w:numPr>
          <w:ilvl w:val="0"/>
          <w:numId w:val="1482"/>
        </w:numPr>
      </w:pPr>
      <w:r>
        <w:rPr>
          <w:b/>
          <w:bCs/>
        </w:rPr>
        <w:t xml:space="preserve">Decorating:</w:t>
      </w:r>
      <w:r>
        <w:t xml:space="preserve"> </w:t>
      </w:r>
      <w:r>
        <w:t xml:space="preserve">repainting and decorating existing walls, windows and similar</w:t>
      </w:r>
      <w:r>
        <w:t xml:space="preserve"> </w:t>
      </w:r>
      <w:r>
        <w:t xml:space="preserve">“</w:t>
      </w:r>
      <w:r>
        <w:t xml:space="preserve">to restore decorative order</w:t>
      </w:r>
      <w:r>
        <w:t xml:space="preserve">”</w:t>
      </w:r>
      <w:r>
        <w:t xml:space="preserve">; repainting the existing external structure; resealing against damp and draughts</w:t>
      </w:r>
    </w:p>
    <w:p>
      <w:pPr>
        <w:pStyle w:val="Compact"/>
        <w:numPr>
          <w:ilvl w:val="0"/>
          <w:numId w:val="1482"/>
        </w:numPr>
      </w:pPr>
      <w:r>
        <w:rPr>
          <w:b/>
          <w:bCs/>
        </w:rPr>
        <w:t xml:space="preserve">Doors*:</w:t>
      </w:r>
      <w:r>
        <w:t xml:space="preserve"> </w:t>
      </w:r>
      <w:r>
        <w:t xml:space="preserve">repairing by replacing existing doors, fire doors and door frames; replacing existing doors with fire doors</w:t>
      </w:r>
    </w:p>
    <w:p>
      <w:pPr>
        <w:pStyle w:val="Compact"/>
        <w:numPr>
          <w:ilvl w:val="0"/>
          <w:numId w:val="1482"/>
        </w:numPr>
      </w:pPr>
      <w:r>
        <w:rPr>
          <w:b/>
          <w:bCs/>
        </w:rPr>
        <w:t xml:space="preserve">Electrical*:</w:t>
      </w:r>
      <w:r>
        <w:t xml:space="preserve"> </w:t>
      </w:r>
      <w:r>
        <w:t xml:space="preserve">repair by replacing existing wiring, cabling, individual sockets and light fittings</w:t>
      </w:r>
      <w:r>
        <w:t xml:space="preserve"> </w:t>
      </w:r>
      <w:r>
        <w:t xml:space="preserve">“</w:t>
      </w:r>
      <w:r>
        <w:t xml:space="preserve">if in exactly the same location</w:t>
      </w:r>
      <w:r>
        <w:t xml:space="preserve">”</w:t>
      </w:r>
      <w:r>
        <w:t xml:space="preserve">. HMRC adds that recovery on electrical work depends on the context: more scope if the job is purely refurbishment, and limited scope if it is a major alteration or reconfiguration.</w:t>
      </w:r>
    </w:p>
    <w:p>
      <w:pPr>
        <w:pStyle w:val="Compact"/>
        <w:numPr>
          <w:ilvl w:val="0"/>
          <w:numId w:val="1482"/>
        </w:numPr>
      </w:pPr>
      <w:r>
        <w:rPr>
          <w:b/>
          <w:bCs/>
        </w:rPr>
        <w:t xml:space="preserve">Fire escapes:</w:t>
      </w:r>
      <w:r>
        <w:t xml:space="preserve"> </w:t>
      </w:r>
      <w:r>
        <w:t xml:space="preserve">repairing fire escapes</w:t>
      </w:r>
    </w:p>
    <w:p>
      <w:pPr>
        <w:pStyle w:val="Compact"/>
        <w:numPr>
          <w:ilvl w:val="0"/>
          <w:numId w:val="1482"/>
        </w:numPr>
      </w:pPr>
      <w:r>
        <w:rPr>
          <w:b/>
          <w:bCs/>
        </w:rPr>
        <w:t xml:space="preserve">Flooring:</w:t>
      </w:r>
      <w:r>
        <w:t xml:space="preserve"> </w:t>
      </w:r>
      <w:r>
        <w:t xml:space="preserve">breaking up existing concrete floors and relaying them at a slightly different level; repairing existing stuck-down flooring by rescreeding and resurfacing; replacing worn flooring</w:t>
      </w:r>
      <w:r>
        <w:t xml:space="preserve"> </w:t>
      </w:r>
      <w:r>
        <w:t xml:space="preserve">“</w:t>
      </w:r>
      <w:r>
        <w:t xml:space="preserve">with the same type of covering</w:t>
      </w:r>
      <w:r>
        <w:t xml:space="preserve">”</w:t>
      </w:r>
      <w:r>
        <w:t xml:space="preserve"> </w:t>
      </w:r>
      <w:r>
        <w:t xml:space="preserve">(carpet with carpet)</w:t>
      </w:r>
    </w:p>
    <w:p>
      <w:pPr>
        <w:pStyle w:val="Compact"/>
        <w:numPr>
          <w:ilvl w:val="0"/>
          <w:numId w:val="1482"/>
        </w:numPr>
      </w:pPr>
      <w:r>
        <w:rPr>
          <w:b/>
          <w:bCs/>
        </w:rPr>
        <w:t xml:space="preserve">Grounds:</w:t>
      </w:r>
      <w:r>
        <w:t xml:space="preserve"> </w:t>
      </w:r>
      <w:r>
        <w:t xml:space="preserve">maintenance of grounds and gardens next to buildings; gardening; grass cutting; tree surgery</w:t>
      </w:r>
    </w:p>
    <w:p>
      <w:pPr>
        <w:pStyle w:val="Compact"/>
        <w:numPr>
          <w:ilvl w:val="0"/>
          <w:numId w:val="1482"/>
        </w:numPr>
      </w:pPr>
      <w:r>
        <w:rPr>
          <w:b/>
          <w:bCs/>
        </w:rPr>
        <w:t xml:space="preserve">Insulation:</w:t>
      </w:r>
      <w:r>
        <w:t xml:space="preserve"> </w:t>
      </w:r>
      <w:r>
        <w:t xml:space="preserve">repair by replacing lagging</w:t>
      </w:r>
    </w:p>
    <w:p>
      <w:pPr>
        <w:pStyle w:val="Compact"/>
        <w:numPr>
          <w:ilvl w:val="0"/>
          <w:numId w:val="1482"/>
        </w:numPr>
      </w:pPr>
      <w:r>
        <w:rPr>
          <w:b/>
          <w:bCs/>
        </w:rPr>
        <w:t xml:space="preserve">Kitchens:</w:t>
      </w:r>
      <w:r>
        <w:t xml:space="preserve"> </w:t>
      </w:r>
      <w:r>
        <w:t xml:space="preserve">repair by resurfacing existing worktops and units; repair by replacing existing kitchen units and cupboards in kitchens and tea points*</w:t>
      </w:r>
    </w:p>
    <w:p>
      <w:pPr>
        <w:pStyle w:val="Compact"/>
        <w:numPr>
          <w:ilvl w:val="0"/>
          <w:numId w:val="1482"/>
        </w:numPr>
      </w:pPr>
      <w:r>
        <w:rPr>
          <w:b/>
          <w:bCs/>
        </w:rPr>
        <w:t xml:space="preserve">Pipes and radiators*:</w:t>
      </w:r>
      <w:r>
        <w:t xml:space="preserve"> </w:t>
      </w:r>
      <w:r>
        <w:t xml:space="preserve">repairing by replacing existing pipes and radiators in the same location</w:t>
      </w:r>
    </w:p>
    <w:p>
      <w:pPr>
        <w:pStyle w:val="Compact"/>
        <w:numPr>
          <w:ilvl w:val="0"/>
          <w:numId w:val="1482"/>
        </w:numPr>
      </w:pPr>
      <w:r>
        <w:rPr>
          <w:b/>
          <w:bCs/>
        </w:rPr>
        <w:t xml:space="preserve">Miscellaneous:</w:t>
      </w:r>
      <w:r>
        <w:t xml:space="preserve"> </w:t>
      </w:r>
      <w:r>
        <w:t xml:space="preserve">“</w:t>
      </w:r>
      <w:r>
        <w:t xml:space="preserve">Minor works of a repair and maintenance nature</w:t>
      </w:r>
      <w:r>
        <w:t xml:space="preserve">”</w:t>
      </w:r>
    </w:p>
    <w:p>
      <w:pPr>
        <w:pStyle w:val="Compact"/>
        <w:numPr>
          <w:ilvl w:val="0"/>
          <w:numId w:val="1482"/>
        </w:numPr>
      </w:pPr>
      <w:r>
        <w:rPr>
          <w:b/>
          <w:bCs/>
        </w:rPr>
        <w:t xml:space="preserve">Ramps:</w:t>
      </w:r>
      <w:r>
        <w:t xml:space="preserve"> </w:t>
      </w:r>
      <w:r>
        <w:t xml:space="preserve">repairing existing ramps and handrails for disabled access</w:t>
      </w:r>
    </w:p>
    <w:p>
      <w:pPr>
        <w:pStyle w:val="Compact"/>
        <w:numPr>
          <w:ilvl w:val="0"/>
          <w:numId w:val="1482"/>
        </w:numPr>
      </w:pPr>
      <w:r>
        <w:rPr>
          <w:b/>
          <w:bCs/>
        </w:rPr>
        <w:t xml:space="preserve">Roads and paths:</w:t>
      </w:r>
      <w:r>
        <w:t xml:space="preserve"> </w:t>
      </w:r>
      <w:r>
        <w:t xml:space="preserve">re-providing existing manhole covers in the same place at a higher level; resurfacing existing non-fee-paying car parks; resurfacing existing footpaths; road cleaning</w:t>
      </w:r>
    </w:p>
    <w:p>
      <w:pPr>
        <w:pStyle w:val="Compact"/>
        <w:numPr>
          <w:ilvl w:val="0"/>
          <w:numId w:val="1482"/>
        </w:numPr>
      </w:pPr>
      <w:r>
        <w:rPr>
          <w:b/>
          <w:bCs/>
        </w:rPr>
        <w:t xml:space="preserve">Roofs:</w:t>
      </w:r>
      <w:r>
        <w:t xml:space="preserve"> </w:t>
      </w:r>
      <w:r>
        <w:t xml:space="preserve">maintenance including necessary access works; resurfacing, replacing or re-slating an existing roof; re-felting flat roofs</w:t>
      </w:r>
    </w:p>
    <w:p>
      <w:pPr>
        <w:pStyle w:val="Compact"/>
        <w:numPr>
          <w:ilvl w:val="0"/>
          <w:numId w:val="1482"/>
        </w:numPr>
      </w:pPr>
      <w:r>
        <w:rPr>
          <w:b/>
          <w:bCs/>
        </w:rPr>
        <w:t xml:space="preserve">Sanitary ware:</w:t>
      </w:r>
      <w:r>
        <w:t xml:space="preserve"> </w:t>
      </w:r>
      <w:r>
        <w:t xml:space="preserve">repairing existing washbasins and sanitary ware; replacement</w:t>
      </w:r>
      <w:r>
        <w:t xml:space="preserve"> </w:t>
      </w:r>
      <w:r>
        <w:t xml:space="preserve">“</w:t>
      </w:r>
      <w:r>
        <w:t xml:space="preserve">in exactly the same place</w:t>
      </w:r>
      <w:r>
        <w:t xml:space="preserve">”</w:t>
      </w:r>
      <w:r>
        <w:t xml:space="preserve">* (sink for sink, bath for bath, but not sluices and hoppers)</w:t>
      </w:r>
    </w:p>
    <w:p>
      <w:pPr>
        <w:pStyle w:val="Compact"/>
        <w:numPr>
          <w:ilvl w:val="0"/>
          <w:numId w:val="1482"/>
        </w:numPr>
      </w:pPr>
      <w:r>
        <w:rPr>
          <w:b/>
          <w:bCs/>
        </w:rPr>
        <w:t xml:space="preserve">Walls:</w:t>
      </w:r>
      <w:r>
        <w:t xml:space="preserve"> </w:t>
      </w:r>
      <w:r>
        <w:t xml:space="preserve">repairing existing partitions; restoring damaged plaster or brickwork; repairing damaged tiles; repairs to wall cladding</w:t>
      </w:r>
    </w:p>
    <w:p>
      <w:pPr>
        <w:pStyle w:val="Compact"/>
        <w:numPr>
          <w:ilvl w:val="0"/>
          <w:numId w:val="1482"/>
        </w:numPr>
      </w:pPr>
      <w:r>
        <w:rPr>
          <w:b/>
          <w:bCs/>
        </w:rPr>
        <w:t xml:space="preserve">Windows:</w:t>
      </w:r>
      <w:r>
        <w:t xml:space="preserve"> </w:t>
      </w:r>
      <w:r>
        <w:t xml:space="preserve">window cleaning; repairing existing frames and glass with similar items; replacement of windows within the same aperture*</w:t>
      </w:r>
    </w:p>
    <w:p>
      <w:pPr>
        <w:pStyle w:val="Compact"/>
        <w:numPr>
          <w:ilvl w:val="0"/>
          <w:numId w:val="1482"/>
        </w:numPr>
      </w:pPr>
      <w:r>
        <w:rPr>
          <w:b/>
          <w:bCs/>
        </w:rPr>
        <w:t xml:space="preserve">Woodwork:</w:t>
      </w:r>
      <w:r>
        <w:t xml:space="preserve"> </w:t>
      </w:r>
      <w:r>
        <w:t xml:space="preserve">repairs to dado rails, picture rails and skirting boards</w:t>
      </w:r>
    </w:p>
    <w:p>
      <w:pPr>
        <w:pStyle w:val="FirstParagraph"/>
      </w:pPr>
      <w:r>
        <w:rPr>
          <w:b/>
          <w:bCs/>
        </w:rPr>
        <w:t xml:space="preserve">Excludes:</w:t>
      </w:r>
      <w:r>
        <w:t xml:space="preserve"> </w:t>
      </w:r>
      <w:r>
        <w:t xml:space="preserve">(</w:t>
      </w:r>
      <w:hyperlink w:anchor="ref-hmrc_vatgpb">
        <w:r>
          <w:rPr>
            <w:rStyle w:val="Hyperlink"/>
          </w:rPr>
          <w:t xml:space="preserve">HMRC, 2026n, sec. VATGPB10435</w:t>
        </w:r>
      </w:hyperlink>
      <w:r>
        <w:t xml:space="preserve">)</w:t>
      </w:r>
    </w:p>
    <w:p>
      <w:pPr>
        <w:pStyle w:val="Compact"/>
        <w:numPr>
          <w:ilvl w:val="0"/>
          <w:numId w:val="1483"/>
        </w:numPr>
      </w:pPr>
      <w:r>
        <w:rPr>
          <w:b/>
          <w:bCs/>
        </w:rPr>
        <w:t xml:space="preserve">Lease service charges:</w:t>
      </w:r>
      <w:r>
        <w:t xml:space="preserve"> </w:t>
      </w:r>
      <w:r>
        <w:t xml:space="preserve">service charges included in a lease, which are treated as additional rent</w:t>
      </w:r>
      <w:r>
        <w:t xml:space="preserve"> </w:t>
      </w:r>
      <w:r>
        <w:t xml:space="preserve">(</w:t>
      </w:r>
      <w:hyperlink w:anchor="ref-hmrc_vatgpb">
        <w:r>
          <w:rPr>
            <w:rStyle w:val="Hyperlink"/>
          </w:rPr>
          <w:t xml:space="preserve">HMRC, 2026n, sec. VATGPB10430</w:t>
        </w:r>
      </w:hyperlink>
      <w:r>
        <w:t xml:space="preserve">)</w:t>
      </w:r>
    </w:p>
    <w:p>
      <w:pPr>
        <w:pStyle w:val="Compact"/>
        <w:numPr>
          <w:ilvl w:val="0"/>
          <w:numId w:val="1483"/>
        </w:numPr>
      </w:pPr>
      <w:r>
        <w:rPr>
          <w:b/>
          <w:bCs/>
        </w:rPr>
        <w:t xml:space="preserve">Structural or capital work:</w:t>
      </w:r>
      <w:r>
        <w:t xml:space="preserve"> </w:t>
      </w:r>
      <w:r>
        <w:t xml:space="preserve">structural work, alterations and extensions; for government departments, any work funded from capital expenditure</w:t>
      </w:r>
      <w:r>
        <w:t xml:space="preserve"> </w:t>
      </w:r>
      <w:r>
        <w:t xml:space="preserve">(</w:t>
      </w:r>
      <w:hyperlink w:anchor="ref-hmrc_vatgpb">
        <w:r>
          <w:rPr>
            <w:rStyle w:val="Hyperlink"/>
          </w:rPr>
          <w:t xml:space="preserve">HMRC, 2026n, sec. VATGPB10430</w:t>
        </w:r>
      </w:hyperlink>
      <w:r>
        <w:t xml:space="preserve">)</w:t>
      </w:r>
    </w:p>
    <w:p>
      <w:pPr>
        <w:pStyle w:val="Compact"/>
        <w:numPr>
          <w:ilvl w:val="0"/>
          <w:numId w:val="1483"/>
        </w:numPr>
      </w:pPr>
      <w:r>
        <w:rPr>
          <w:b/>
          <w:bCs/>
        </w:rPr>
        <w:t xml:space="preserve">Alarms:</w:t>
      </w:r>
      <w:r>
        <w:t xml:space="preserve"> </w:t>
      </w:r>
      <w:r>
        <w:t xml:space="preserve">installation; extensions to current systems; complete replacement of an existing system</w:t>
      </w:r>
    </w:p>
    <w:p>
      <w:pPr>
        <w:pStyle w:val="Compact"/>
        <w:numPr>
          <w:ilvl w:val="0"/>
          <w:numId w:val="1483"/>
        </w:numPr>
      </w:pPr>
      <w:r>
        <w:rPr>
          <w:b/>
          <w:bCs/>
        </w:rPr>
        <w:t xml:space="preserve">Ceilings:</w:t>
      </w:r>
      <w:r>
        <w:t xml:space="preserve"> </w:t>
      </w:r>
      <w:r>
        <w:t xml:space="preserve">forming fire breaks in ceiling voids; new ceilings or suspended ceilings; complete replacement of a suspended ceiling structure</w:t>
      </w:r>
    </w:p>
    <w:p>
      <w:pPr>
        <w:pStyle w:val="Compact"/>
        <w:numPr>
          <w:ilvl w:val="0"/>
          <w:numId w:val="1483"/>
        </w:numPr>
      </w:pPr>
      <w:r>
        <w:rPr>
          <w:b/>
          <w:bCs/>
        </w:rPr>
        <w:t xml:space="preserve">Construction:</w:t>
      </w:r>
      <w:r>
        <w:t xml:space="preserve"> </w:t>
      </w:r>
      <w:r>
        <w:t xml:space="preserve">a new cool room, new room or new extension; major building improvements; a new damp-proof course; silicone-based injection; a</w:t>
      </w:r>
      <w:r>
        <w:t xml:space="preserve"> </w:t>
      </w:r>
      <w:r>
        <w:t xml:space="preserve">“</w:t>
      </w:r>
      <w:r>
        <w:t xml:space="preserve">single supply of scaffolding</w:t>
      </w:r>
      <w:r>
        <w:t xml:space="preserve">”</w:t>
      </w:r>
      <w:r>
        <w:t xml:space="preserve">; structural repairs needing highly specialised skills; complete replacement of central heating and air conditioning systems</w:t>
      </w:r>
    </w:p>
    <w:p>
      <w:pPr>
        <w:pStyle w:val="Compact"/>
        <w:numPr>
          <w:ilvl w:val="0"/>
          <w:numId w:val="1483"/>
        </w:numPr>
      </w:pPr>
      <w:r>
        <w:rPr>
          <w:b/>
          <w:bCs/>
        </w:rPr>
        <w:t xml:space="preserve">Conversions:</w:t>
      </w:r>
      <w:r>
        <w:t xml:space="preserve"> </w:t>
      </w:r>
      <w:r>
        <w:t xml:space="preserve">“</w:t>
      </w:r>
      <w:r>
        <w:t xml:space="preserve">Converting an office space from small offices to open plan or vice versa</w:t>
      </w:r>
      <w:r>
        <w:t xml:space="preserve">”</w:t>
      </w:r>
    </w:p>
    <w:p>
      <w:pPr>
        <w:pStyle w:val="Compact"/>
        <w:numPr>
          <w:ilvl w:val="0"/>
          <w:numId w:val="1483"/>
        </w:numPr>
      </w:pPr>
      <w:r>
        <w:rPr>
          <w:b/>
          <w:bCs/>
        </w:rPr>
        <w:t xml:space="preserve">Decorating:</w:t>
      </w:r>
      <w:r>
        <w:t xml:space="preserve"> </w:t>
      </w:r>
      <w:r>
        <w:t xml:space="preserve">first-time decoration</w:t>
      </w:r>
    </w:p>
    <w:p>
      <w:pPr>
        <w:pStyle w:val="Compact"/>
        <w:numPr>
          <w:ilvl w:val="0"/>
          <w:numId w:val="1483"/>
        </w:numPr>
      </w:pPr>
      <w:r>
        <w:rPr>
          <w:b/>
          <w:bCs/>
        </w:rPr>
        <w:t xml:space="preserve">Doors:</w:t>
      </w:r>
    </w:p>
    <w:p>
      <w:pPr>
        <w:pStyle w:val="Compact"/>
        <w:numPr>
          <w:ilvl w:val="1"/>
          <w:numId w:val="1484"/>
        </w:numPr>
      </w:pPr>
      <w:r>
        <w:t xml:space="preserve">fire doors in corridors to form a fire break, and fire doors in new partitions or new buildings</w:t>
      </w:r>
    </w:p>
    <w:p>
      <w:pPr>
        <w:pStyle w:val="Compact"/>
        <w:numPr>
          <w:ilvl w:val="1"/>
          <w:numId w:val="1484"/>
        </w:numPr>
      </w:pPr>
      <w:r>
        <w:t xml:space="preserve">widening doors for wheelchair access</w:t>
      </w:r>
    </w:p>
    <w:p>
      <w:pPr>
        <w:pStyle w:val="Compact"/>
        <w:numPr>
          <w:ilvl w:val="1"/>
          <w:numId w:val="1484"/>
        </w:numPr>
      </w:pPr>
      <w:r>
        <w:t xml:space="preserve">blocking up doorways</w:t>
      </w:r>
    </w:p>
    <w:p>
      <w:pPr>
        <w:pStyle w:val="Compact"/>
        <w:numPr>
          <w:ilvl w:val="1"/>
          <w:numId w:val="1484"/>
        </w:numPr>
      </w:pPr>
      <w:r>
        <w:t xml:space="preserve">new doors where none existed before</w:t>
      </w:r>
    </w:p>
    <w:p>
      <w:pPr>
        <w:pStyle w:val="Compact"/>
        <w:numPr>
          <w:ilvl w:val="1"/>
          <w:numId w:val="1484"/>
        </w:numPr>
      </w:pPr>
      <w:r>
        <w:t xml:space="preserve">automatic or electric doors</w:t>
      </w:r>
    </w:p>
    <w:p>
      <w:pPr>
        <w:pStyle w:val="Compact"/>
        <w:numPr>
          <w:ilvl w:val="0"/>
          <w:numId w:val="1483"/>
        </w:numPr>
      </w:pPr>
      <w:r>
        <w:rPr>
          <w:b/>
          <w:bCs/>
        </w:rPr>
        <w:t xml:space="preserve">Electrical:</w:t>
      </w:r>
      <w:r>
        <w:t xml:space="preserve"> </w:t>
      </w:r>
      <w:r>
        <w:t xml:space="preserve">wiring extended into new areas; new emergency lighting or fire signs; installing or replacing a Building Management System; new or additional wiring, sockets, light fittings, or telephone and data cabling; complete rewiring back to the distribution boards</w:t>
      </w:r>
    </w:p>
    <w:p>
      <w:pPr>
        <w:pStyle w:val="Compact"/>
        <w:numPr>
          <w:ilvl w:val="0"/>
          <w:numId w:val="1483"/>
        </w:numPr>
      </w:pPr>
      <w:r>
        <w:rPr>
          <w:b/>
          <w:bCs/>
        </w:rPr>
        <w:t xml:space="preserve">Fire escapes:</w:t>
      </w:r>
      <w:r>
        <w:t xml:space="preserve"> </w:t>
      </w:r>
      <w:r>
        <w:t xml:space="preserve">replacing them; building new ones</w:t>
      </w:r>
    </w:p>
    <w:p>
      <w:pPr>
        <w:pStyle w:val="Compact"/>
        <w:numPr>
          <w:ilvl w:val="0"/>
          <w:numId w:val="1483"/>
        </w:numPr>
      </w:pPr>
      <w:r>
        <w:rPr>
          <w:b/>
          <w:bCs/>
        </w:rPr>
        <w:t xml:space="preserve">Flooring:</w:t>
      </w:r>
      <w:r>
        <w:t xml:space="preserve"> </w:t>
      </w:r>
      <w:r>
        <w:t xml:space="preserve">first-time flooring; a plywood base to level a floor; upgrading flooring (for example lino to carpet, or carpet to wood)</w:t>
      </w:r>
    </w:p>
    <w:p>
      <w:pPr>
        <w:pStyle w:val="Compact"/>
        <w:numPr>
          <w:ilvl w:val="0"/>
          <w:numId w:val="1483"/>
        </w:numPr>
      </w:pPr>
      <w:r>
        <w:rPr>
          <w:b/>
          <w:bCs/>
        </w:rPr>
        <w:t xml:space="preserve">Grounds:</w:t>
      </w:r>
      <w:r>
        <w:t xml:space="preserve"> </w:t>
      </w:r>
      <w:r>
        <w:t xml:space="preserve">landscaping or redesigning grounds</w:t>
      </w:r>
    </w:p>
    <w:p>
      <w:pPr>
        <w:pStyle w:val="Compact"/>
        <w:numPr>
          <w:ilvl w:val="0"/>
          <w:numId w:val="1483"/>
        </w:numPr>
      </w:pPr>
      <w:r>
        <w:rPr>
          <w:b/>
          <w:bCs/>
        </w:rPr>
        <w:t xml:space="preserve">Insulation:</w:t>
      </w:r>
      <w:r>
        <w:t xml:space="preserve"> </w:t>
      </w:r>
      <w:r>
        <w:t xml:space="preserve">first-time insulation; soundproofing panels</w:t>
      </w:r>
    </w:p>
    <w:p>
      <w:pPr>
        <w:pStyle w:val="Compact"/>
        <w:numPr>
          <w:ilvl w:val="0"/>
          <w:numId w:val="1483"/>
        </w:numPr>
      </w:pPr>
      <w:r>
        <w:rPr>
          <w:b/>
          <w:bCs/>
        </w:rPr>
        <w:t xml:space="preserve">Kitchens:</w:t>
      </w:r>
      <w:r>
        <w:t xml:space="preserve"> </w:t>
      </w:r>
      <w:r>
        <w:t xml:space="preserve">new units, cupboards or worktops</w:t>
      </w:r>
    </w:p>
    <w:p>
      <w:pPr>
        <w:pStyle w:val="Compact"/>
        <w:numPr>
          <w:ilvl w:val="0"/>
          <w:numId w:val="1483"/>
        </w:numPr>
      </w:pPr>
      <w:r>
        <w:rPr>
          <w:b/>
          <w:bCs/>
        </w:rPr>
        <w:t xml:space="preserve">Miscellaneous:</w:t>
      </w:r>
      <w:r>
        <w:t xml:space="preserve"> </w:t>
      </w:r>
      <w:r>
        <w:t xml:space="preserve">“</w:t>
      </w:r>
      <w:r>
        <w:t xml:space="preserve">Disturbance works</w:t>
      </w:r>
      <w:r>
        <w:t xml:space="preserve">”</w:t>
      </w:r>
      <w:r>
        <w:t xml:space="preserve"> </w:t>
      </w:r>
      <w:r>
        <w:t xml:space="preserve">(needed only because of alterations or new building works); fitting fire hoses or extinguishers; fitting grilles, bars, locks, window film and security cameras; installing or replacing shelves</w:t>
      </w:r>
    </w:p>
    <w:p>
      <w:pPr>
        <w:pStyle w:val="Compact"/>
        <w:numPr>
          <w:ilvl w:val="0"/>
          <w:numId w:val="1483"/>
        </w:numPr>
      </w:pPr>
      <w:r>
        <w:rPr>
          <w:b/>
          <w:bCs/>
        </w:rPr>
        <w:t xml:space="preserve">Ramps:</w:t>
      </w:r>
      <w:r>
        <w:t xml:space="preserve"> </w:t>
      </w:r>
      <w:r>
        <w:t xml:space="preserve">replacing or altering ramps and handrails; providing them for the first time, including replacing stairs or steps with ramps</w:t>
      </w:r>
    </w:p>
    <w:p>
      <w:pPr>
        <w:pStyle w:val="Compact"/>
        <w:numPr>
          <w:ilvl w:val="0"/>
          <w:numId w:val="1483"/>
        </w:numPr>
      </w:pPr>
      <w:r>
        <w:rPr>
          <w:b/>
          <w:bCs/>
        </w:rPr>
        <w:t xml:space="preserve">Roads and paths:</w:t>
      </w:r>
      <w:r>
        <w:t xml:space="preserve"> </w:t>
      </w:r>
      <w:r>
        <w:t xml:space="preserve">relaying existing footpaths down to the foundation; new car parks or footpaths</w:t>
      </w:r>
    </w:p>
    <w:p>
      <w:pPr>
        <w:pStyle w:val="Compact"/>
        <w:numPr>
          <w:ilvl w:val="0"/>
          <w:numId w:val="1483"/>
        </w:numPr>
      </w:pPr>
      <w:r>
        <w:rPr>
          <w:b/>
          <w:bCs/>
        </w:rPr>
        <w:t xml:space="preserve">Roofs:</w:t>
      </w:r>
      <w:r>
        <w:t xml:space="preserve"> </w:t>
      </w:r>
      <w:r>
        <w:t xml:space="preserve">changing a flat roof to a pitched roof; roofing over open space; installing a canopy</w:t>
      </w:r>
    </w:p>
    <w:p>
      <w:pPr>
        <w:pStyle w:val="Compact"/>
        <w:numPr>
          <w:ilvl w:val="0"/>
          <w:numId w:val="1483"/>
        </w:numPr>
      </w:pPr>
      <w:r>
        <w:rPr>
          <w:b/>
          <w:bCs/>
        </w:rPr>
        <w:t xml:space="preserve">Sanitary ware:</w:t>
      </w:r>
      <w:r>
        <w:t xml:space="preserve"> </w:t>
      </w:r>
      <w:r>
        <w:t xml:space="preserve">new fittings; moving fittings or swapping types (bath to shower); replacing back and side panels, vanity units and shower cubicles</w:t>
      </w:r>
    </w:p>
    <w:p>
      <w:pPr>
        <w:pStyle w:val="Compact"/>
        <w:numPr>
          <w:ilvl w:val="0"/>
          <w:numId w:val="1483"/>
        </w:numPr>
      </w:pPr>
      <w:r>
        <w:rPr>
          <w:b/>
          <w:bCs/>
        </w:rPr>
        <w:t xml:space="preserve">Walls:</w:t>
      </w:r>
      <w:r>
        <w:t xml:space="preserve"> </w:t>
      </w:r>
      <w:r>
        <w:t xml:space="preserve">new partitions or a changed layout; first-time partitions in new buildings or extensions; painting new walls; tiling new areas; providing or replacing wall cladding, panels and protection rails</w:t>
      </w:r>
    </w:p>
    <w:p>
      <w:pPr>
        <w:pStyle w:val="Compact"/>
        <w:numPr>
          <w:ilvl w:val="0"/>
          <w:numId w:val="1483"/>
        </w:numPr>
      </w:pPr>
      <w:r>
        <w:rPr>
          <w:b/>
          <w:bCs/>
        </w:rPr>
        <w:t xml:space="preserve">Windows:</w:t>
      </w:r>
      <w:r>
        <w:t xml:space="preserve"> </w:t>
      </w:r>
      <w:r>
        <w:t xml:space="preserve">bricking up windows or forming new ones; installing or replacing fitted blinds, curtains and tracks; combination window and blind units</w:t>
      </w:r>
    </w:p>
    <w:p>
      <w:pPr>
        <w:pStyle w:val="Compact"/>
        <w:numPr>
          <w:ilvl w:val="0"/>
          <w:numId w:val="1483"/>
        </w:numPr>
      </w:pPr>
      <w:r>
        <w:rPr>
          <w:b/>
          <w:bCs/>
        </w:rPr>
        <w:t xml:space="preserve">Woodwork:</w:t>
      </w:r>
      <w:r>
        <w:t xml:space="preserve"> </w:t>
      </w:r>
      <w:r>
        <w:t xml:space="preserve">replacing dado rails, picture rails and skirting boards</w:t>
      </w:r>
    </w:p>
    <w:p>
      <w:pPr>
        <w:pStyle w:val="FirstParagraph"/>
      </w:pPr>
      <w:r>
        <w:rPr>
          <w:b/>
          <w:bCs/>
        </w:rPr>
        <w:t xml:space="preserve">Examples for the Department:</w:t>
      </w:r>
    </w:p>
    <w:p>
      <w:pPr>
        <w:pStyle w:val="Compact"/>
        <w:numPr>
          <w:ilvl w:val="0"/>
          <w:numId w:val="1485"/>
        </w:numPr>
      </w:pPr>
      <w:r>
        <w:rPr>
          <w:b/>
          <w:bCs/>
        </w:rPr>
        <w:t xml:space="preserve">Claimable:</w:t>
      </w:r>
      <w:r>
        <w:t xml:space="preserve"> </w:t>
      </w:r>
      <w:r>
        <w:t xml:space="preserve">A facilities company provides contract cleaning and window cleaning at the Department’s headquarters and training centre. HMRC lists both as</w:t>
      </w:r>
      <w:r>
        <w:t xml:space="preserve"> </w:t>
      </w:r>
      <w:r>
        <w:t xml:space="preserve">“</w:t>
      </w:r>
      <w:r>
        <w:t xml:space="preserve">Yes / 35</w:t>
      </w:r>
      <w:r>
        <w:t xml:space="preserve">”</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485"/>
        </w:numPr>
      </w:pPr>
      <w:r>
        <w:rPr>
          <w:b/>
          <w:bCs/>
        </w:rPr>
        <w:t xml:space="preserve">Claimable:</w:t>
      </w:r>
      <w:r>
        <w:t xml:space="preserve"> </w:t>
      </w:r>
      <w:r>
        <w:t xml:space="preserve">The Department redecorates its training suite and replaces worn carpet with new carpet, paid for from its running-costs (revenue) budget. This is like-for-like repair, and revenue-funded work is accepted as non-structural</w:t>
      </w:r>
      <w:r>
        <w:t xml:space="preserve"> </w:t>
      </w:r>
      <w:r>
        <w:t xml:space="preserve">(</w:t>
      </w:r>
      <w:hyperlink w:anchor="ref-hmrc_vatgpb">
        <w:r>
          <w:rPr>
            <w:rStyle w:val="Hyperlink"/>
          </w:rPr>
          <w:t xml:space="preserve">HMRC, 2026n, sec. VATGPB10430</w:t>
        </w:r>
      </w:hyperlink>
      <w:r>
        <w:t xml:space="preserve">;</w:t>
      </w:r>
      <w:r>
        <w:t xml:space="preserve"> </w:t>
      </w:r>
      <w:hyperlink w:anchor="ref-hmrc_vatgpb">
        <w:r>
          <w:rPr>
            <w:rStyle w:val="Hyperlink"/>
          </w:rPr>
          <w:t xml:space="preserve">2026n, sec. VATGPB10435</w:t>
        </w:r>
      </w:hyperlink>
      <w:r>
        <w:t xml:space="preserve">)</w:t>
      </w:r>
      <w:r>
        <w:t xml:space="preserve">.</w:t>
      </w:r>
    </w:p>
    <w:p>
      <w:pPr>
        <w:pStyle w:val="Compact"/>
        <w:numPr>
          <w:ilvl w:val="0"/>
          <w:numId w:val="1485"/>
        </w:numPr>
      </w:pPr>
      <w:r>
        <w:rPr>
          <w:b/>
          <w:bCs/>
        </w:rPr>
        <w:t xml:space="preserve">Not claimable:</w:t>
      </w:r>
      <w:r>
        <w:t xml:space="preserve"> </w:t>
      </w:r>
      <w:r>
        <w:t xml:space="preserve">The Department converts cellular offices into an open-plan training room with new partitions, new sockets and new security cameras, paid for from its capital budget. Conversions, new partitions, new wiring and security cameras are all</w:t>
      </w:r>
      <w:r>
        <w:t xml:space="preserve"> </w:t>
      </w:r>
      <w:r>
        <w:t xml:space="preserve">“</w:t>
      </w:r>
      <w:r>
        <w:t xml:space="preserve">No</w:t>
      </w:r>
      <w:r>
        <w:t xml:space="preserve">”</w:t>
      </w:r>
      <w:r>
        <w:t xml:space="preserve">, and capital-funded work is outside the heading</w:t>
      </w:r>
      <w:r>
        <w:t xml:space="preserve"> </w:t>
      </w:r>
      <w:r>
        <w:t xml:space="preserve">(</w:t>
      </w:r>
      <w:hyperlink w:anchor="ref-hmrc_vatgpb">
        <w:r>
          <w:rPr>
            <w:rStyle w:val="Hyperlink"/>
          </w:rPr>
          <w:t xml:space="preserve">HMRC, 2026n, sec. VATGPB10435</w:t>
        </w:r>
      </w:hyperlink>
      <w:r>
        <w:t xml:space="preserve">;</w:t>
      </w:r>
      <w:r>
        <w:t xml:space="preserve"> </w:t>
      </w:r>
      <w:hyperlink w:anchor="ref-hmrc_vatgpb">
        <w:r>
          <w:rPr>
            <w:rStyle w:val="Hyperlink"/>
          </w:rPr>
          <w:t xml:space="preserve">2026n, sec. VATGPB10430</w:t>
        </w:r>
      </w:hyperlink>
      <w:r>
        <w:t xml:space="preserve">)</w:t>
      </w:r>
      <w:r>
        <w:t xml:space="preserve">.</w:t>
      </w:r>
    </w:p>
    <w:p>
      <w:pPr>
        <w:pStyle w:val="Compact"/>
        <w:numPr>
          <w:ilvl w:val="0"/>
          <w:numId w:val="1485"/>
        </w:numPr>
      </w:pPr>
      <w:r>
        <w:rPr>
          <w:b/>
          <w:bCs/>
        </w:rPr>
        <w:t xml:space="preserve">Not claimable:</w:t>
      </w:r>
      <w:r>
        <w:t xml:space="preserve"> </w:t>
      </w:r>
      <w:r>
        <w:t xml:space="preserve">The landlord of a building the Department leases charges a service charge for cleaning and repairs. HMRC treats service charges in the lease as additional rent, so they are not claimable under this heading</w:t>
      </w:r>
      <w:r>
        <w:t xml:space="preserve"> </w:t>
      </w:r>
      <w:r>
        <w:t xml:space="preserve">(</w:t>
      </w:r>
      <w:hyperlink w:anchor="ref-hmrc_vatgpb">
        <w:r>
          <w:rPr>
            <w:rStyle w:val="Hyperlink"/>
          </w:rPr>
          <w:t xml:space="preserve">HMRC, 2026n, sec. VATGPB10430</w:t>
        </w:r>
      </w:hyperlink>
      <w:r>
        <w:t xml:space="preserve">)</w:t>
      </w:r>
      <w:r>
        <w:t xml:space="preserve">.</w:t>
      </w:r>
    </w:p>
    <w:p>
      <w:pPr>
        <w:pStyle w:val="FirstParagraph"/>
      </w:pPr>
      <w:r>
        <w:rPr>
          <w:b/>
          <w:bCs/>
        </w:rPr>
        <w:t xml:space="preserve">Source:</w:t>
      </w:r>
      <w:r>
        <w:t xml:space="preserve"> </w:t>
      </w:r>
      <w:r>
        <w:t xml:space="preserve">HMRC manual section VATGPB10430, page last updated 17 February 2021</w:t>
      </w:r>
      <w:r>
        <w:t xml:space="preserve"> </w:t>
      </w:r>
      <w:r>
        <w:t xml:space="preserve">(</w:t>
      </w:r>
      <w:hyperlink w:anchor="ref-hmrc_vatgpb">
        <w:r>
          <w:rPr>
            <w:rStyle w:val="Hyperlink"/>
          </w:rPr>
          <w:t xml:space="preserve">HMRC, 2026n, sec. VATGPB10430</w:t>
        </w:r>
      </w:hyperlink>
      <w:r>
        <w:t xml:space="preserve">)</w:t>
      </w:r>
      <w:r>
        <w:t xml:space="preserve">; and section VATGPB10435, page last updated 21 May 2021</w:t>
      </w:r>
      <w:r>
        <w:t xml:space="preserve"> </w:t>
      </w:r>
      <w:r>
        <w:t xml:space="preserve">(</w:t>
      </w:r>
      <w:hyperlink w:anchor="ref-hmrc_vatgpb">
        <w:r>
          <w:rPr>
            <w:rStyle w:val="Hyperlink"/>
          </w:rPr>
          <w:t xml:space="preserve">HMRC, 2026n, sec. VATGPB10435</w:t>
        </w:r>
      </w:hyperlink>
      <w:r>
        <w:t xml:space="preserve">)</w:t>
      </w:r>
      <w:r>
        <w:t xml:space="preserve">.</w:t>
      </w:r>
    </w:p>
    <w:bookmarkEnd w:id="292"/>
    <w:bookmarkStart w:id="293" w:name="X90295c2bce3ea5997670e3162a0302dd51f871f"/>
    <w:p>
      <w:pPr>
        <w:pStyle w:val="Heading3"/>
      </w:pPr>
      <w:r>
        <w:t xml:space="preserve">Heading 36: Maintenance and repair of civil engineering works</w:t>
      </w:r>
    </w:p>
    <w:p>
      <w:pPr>
        <w:pStyle w:val="FirstParagraph"/>
      </w:pPr>
      <w:r>
        <w:rPr>
          <w:b/>
          <w:bCs/>
        </w:rPr>
        <w:t xml:space="preserve">What it covers (HMRC’s description):</w:t>
      </w:r>
      <w:r>
        <w:t xml:space="preserve"> </w:t>
      </w:r>
      <w:r>
        <w:t xml:space="preserve">“</w:t>
      </w:r>
      <w:r>
        <w:t xml:space="preserve">Under this Heading civil engineering takes its everyday meaning and includes for example bridges, drains, roads, car parks, footpaths etc</w:t>
      </w:r>
      <w:r>
        <w:t xml:space="preserve">”</w:t>
      </w:r>
      <w:r>
        <w:t xml:space="preserve"> </w:t>
      </w:r>
      <w:r>
        <w:t xml:space="preserve">(</w:t>
      </w:r>
      <w:hyperlink w:anchor="ref-hmrc_vatgpb">
        <w:r>
          <w:rPr>
            <w:rStyle w:val="Hyperlink"/>
          </w:rPr>
          <w:t xml:space="preserve">HMRC, 2026n, sec. VATGPB10450</w:t>
        </w:r>
      </w:hyperlink>
      <w:r>
        <w:t xml:space="preserve">)</w:t>
      </w:r>
      <w:r>
        <w:t xml:space="preserve">.</w:t>
      </w:r>
    </w:p>
    <w:p>
      <w:pPr>
        <w:pStyle w:val="BodyText"/>
      </w:pPr>
      <w:r>
        <w:t xml:space="preserve">HMRC’s Heading 6 guidance confirms that</w:t>
      </w:r>
      <w:r>
        <w:t xml:space="preserve"> </w:t>
      </w:r>
      <w:r>
        <w:t xml:space="preserve">“</w:t>
      </w:r>
      <w:r>
        <w:t xml:space="preserve">Repairs to existing bridges are recoverable under heading 36</w:t>
      </w:r>
      <w:r>
        <w:t xml:space="preserve">”</w:t>
      </w:r>
      <w:r>
        <w:t xml:space="preserve"> </w:t>
      </w:r>
      <w:r>
        <w:t xml:space="preserve">(</w:t>
      </w:r>
      <w:hyperlink w:anchor="ref-hmrc_vatgpb">
        <w:r>
          <w:rPr>
            <w:rStyle w:val="Hyperlink"/>
          </w:rPr>
          <w:t xml:space="preserve">HMRC, 2026n, sec. VATGPB9850</w:t>
        </w:r>
      </w:hyperlink>
      <w:r>
        <w:t xml:space="preserve">)</w:t>
      </w:r>
      <w:r>
        <w:t xml:space="preserve">.</w:t>
      </w:r>
    </w:p>
    <w:p>
      <w:pPr>
        <w:pStyle w:val="BodyText"/>
      </w:pPr>
      <w:r>
        <w:t xml:space="preserve">HMRC’s separate examples list (VATGPB10435) puts resurfacing existing non-fee-paying car parks and footpaths, and road cleaning, under Heading 35</w:t>
      </w:r>
      <w:r>
        <w:t xml:space="preserve"> </w:t>
      </w:r>
      <w:r>
        <w:t xml:space="preserve">(</w:t>
      </w:r>
      <w:hyperlink w:anchor="ref-hmrc_vatgpb">
        <w:r>
          <w:rPr>
            <w:rStyle w:val="Hyperlink"/>
          </w:rPr>
          <w:t xml:space="preserve">HMRC, 2026n, sec. VATGPB10435</w:t>
        </w:r>
      </w:hyperlink>
      <w:r>
        <w:t xml:space="preserve">)</w:t>
      </w:r>
      <w:r>
        <w:t xml:space="preserve">. Either way, the VAT on that work can be claimed when it is for non-business use</w:t>
      </w:r>
      <w:r>
        <w:t xml:space="preserve"> </w:t>
      </w:r>
      <w:r>
        <w:t xml:space="preserve">(</w:t>
      </w:r>
      <w:hyperlink w:anchor="ref-hmrc_gdpef">
        <w:r>
          <w:rPr>
            <w:rStyle w:val="Hyperlink"/>
          </w:rPr>
          <w:t xml:space="preserve">HMRC, 2023c</w:t>
        </w:r>
      </w:hyperlink>
      <w:r>
        <w:t xml:space="preserve">)</w:t>
      </w:r>
      <w:r>
        <w:t xml:space="preserve">.</w:t>
      </w:r>
    </w:p>
    <w:p>
      <w:pPr>
        <w:pStyle w:val="BodyText"/>
      </w:pPr>
      <w:r>
        <w:rPr>
          <w:b/>
          <w:bCs/>
        </w:rPr>
        <w:t xml:space="preserve">Excludes:</w:t>
      </w:r>
    </w:p>
    <w:p>
      <w:pPr>
        <w:pStyle w:val="Compact"/>
        <w:numPr>
          <w:ilvl w:val="0"/>
          <w:numId w:val="1486"/>
        </w:numPr>
      </w:pPr>
      <w:r>
        <w:t xml:space="preserve">“</w:t>
      </w:r>
      <w:r>
        <w:t xml:space="preserve">Repair and maintenance of road schemes. This work falls under Heading 6</w:t>
      </w:r>
      <w:r>
        <w:t xml:space="preserve">”</w:t>
      </w:r>
    </w:p>
    <w:p>
      <w:pPr>
        <w:pStyle w:val="Compact"/>
        <w:numPr>
          <w:ilvl w:val="0"/>
          <w:numId w:val="1486"/>
        </w:numPr>
      </w:pPr>
      <w:r>
        <w:t xml:space="preserve">“</w:t>
      </w:r>
      <w:r>
        <w:t xml:space="preserve">New civil engineering projects</w:t>
      </w:r>
      <w:r>
        <w:t xml:space="preserve">”</w:t>
      </w:r>
    </w:p>
    <w:p>
      <w:pPr>
        <w:pStyle w:val="Compact"/>
        <w:numPr>
          <w:ilvl w:val="0"/>
          <w:numId w:val="1486"/>
        </w:numPr>
      </w:pPr>
      <w:r>
        <w:t xml:space="preserve">“</w:t>
      </w:r>
      <w:r>
        <w:t xml:space="preserve">Supplies carried out under section 278 agreements. This work falls under Heading 6</w:t>
      </w:r>
      <w:r>
        <w:t xml:space="preserve">”</w:t>
      </w:r>
      <w:r>
        <w:t xml:space="preserve">. Section 278 of the Highways Act 1980 lets a highway authority seek contributions from developers towards the cost of highway works</w:t>
      </w:r>
      <w:r>
        <w:t xml:space="preserve"> </w:t>
      </w:r>
      <w:r>
        <w:t xml:space="preserve">(</w:t>
      </w:r>
      <w:hyperlink w:anchor="ref-hmrc_vatgpb">
        <w:r>
          <w:rPr>
            <w:rStyle w:val="Hyperlink"/>
          </w:rPr>
          <w:t xml:space="preserve">HMRC, 2026n, sec. VATGPB9850</w:t>
        </w:r>
      </w:hyperlink>
      <w:r>
        <w:t xml:space="preserve">)</w:t>
      </w:r>
      <w:r>
        <w:t xml:space="preserve">. Note that HMRC’s own Heading 6 page (VATGPB9850) says the Heading 6 wording also excludes section 278 works</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VATGPB9850</w:t>
        </w:r>
      </w:hyperlink>
      <w:r>
        <w:t xml:space="preserve">)</w:t>
      </w:r>
      <w:r>
        <w:t xml:space="preserve">. Do not assume VAT on section 278 works can be refunded under either heading.</w:t>
      </w:r>
    </w:p>
    <w:p>
      <w:pPr>
        <w:pStyle w:val="Compact"/>
        <w:numPr>
          <w:ilvl w:val="0"/>
          <w:numId w:val="1486"/>
        </w:numPr>
      </w:pPr>
      <w:r>
        <w:t xml:space="preserve">“</w:t>
      </w:r>
      <w:r>
        <w:t xml:space="preserve">Winter road gritting and cleaning services</w:t>
      </w:r>
      <w:r>
        <w:t xml:space="preserve">”</w:t>
      </w:r>
    </w:p>
    <w:p>
      <w:pPr>
        <w:pStyle w:val="FirstParagraph"/>
      </w:pPr>
      <w:r>
        <w:rPr>
          <w:b/>
          <w:bCs/>
        </w:rPr>
        <w:t xml:space="preserve">Examples for the Department:</w:t>
      </w:r>
    </w:p>
    <w:p>
      <w:pPr>
        <w:pStyle w:val="Compact"/>
        <w:numPr>
          <w:ilvl w:val="0"/>
          <w:numId w:val="1487"/>
        </w:numPr>
      </w:pPr>
      <w:r>
        <w:rPr>
          <w:b/>
          <w:bCs/>
        </w:rPr>
        <w:t xml:space="preserve">Claimable:</w:t>
      </w:r>
      <w:r>
        <w:t xml:space="preserve"> </w:t>
      </w:r>
      <w:r>
        <w:t xml:space="preserve">A contractor repairs a damaged drainage culvert and a footbridge on the Department’s training-centre site. HMRC names drains and bridges, and this is repair of existing works.</w:t>
      </w:r>
    </w:p>
    <w:p>
      <w:pPr>
        <w:pStyle w:val="Compact"/>
        <w:numPr>
          <w:ilvl w:val="0"/>
          <w:numId w:val="1487"/>
        </w:numPr>
      </w:pPr>
      <w:r>
        <w:rPr>
          <w:b/>
          <w:bCs/>
        </w:rPr>
        <w:t xml:space="preserve">Not claimable:</w:t>
      </w:r>
      <w:r>
        <w:t xml:space="preserve"> </w:t>
      </w:r>
      <w:r>
        <w:t xml:space="preserve">The Department builds a new car park and access road at the training centre. HMRC excludes</w:t>
      </w:r>
      <w:r>
        <w:t xml:space="preserve"> </w:t>
      </w:r>
      <w:r>
        <w:t xml:space="preserve">“</w:t>
      </w:r>
      <w:r>
        <w:t xml:space="preserve">New civil engineering projects</w:t>
      </w:r>
      <w:r>
        <w:t xml:space="preserve">”</w:t>
      </w:r>
      <w:r>
        <w:t xml:space="preserve">.</w:t>
      </w:r>
    </w:p>
    <w:p>
      <w:pPr>
        <w:pStyle w:val="Compact"/>
        <w:numPr>
          <w:ilvl w:val="0"/>
          <w:numId w:val="1487"/>
        </w:numPr>
      </w:pPr>
      <w:r>
        <w:rPr>
          <w:b/>
          <w:bCs/>
        </w:rPr>
        <w:t xml:space="preserve">Not claimable:</w:t>
      </w:r>
      <w:r>
        <w:t xml:space="preserve"> </w:t>
      </w:r>
      <w:r>
        <w:t xml:space="preserve">A contractor grits the Department’s site roads in winter. HMRC specifically excludes</w:t>
      </w:r>
      <w:r>
        <w:t xml:space="preserve"> </w:t>
      </w:r>
      <w:r>
        <w:t xml:space="preserve">“</w:t>
      </w:r>
      <w:r>
        <w:t xml:space="preserve">Winter road gritting and cleaning services</w:t>
      </w:r>
      <w:r>
        <w:t xml:space="preserve">”</w:t>
      </w:r>
      <w:r>
        <w:t xml:space="preserve"> </w:t>
      </w:r>
      <w:r>
        <w:t xml:space="preserve">from this heading. Gritting is not listed under Heading 35 either. Routine</w:t>
      </w:r>
      <w:r>
        <w:t xml:space="preserve"> </w:t>
      </w:r>
      <w:r>
        <w:t xml:space="preserve">“</w:t>
      </w:r>
      <w:r>
        <w:t xml:space="preserve">Road cleaning</w:t>
      </w:r>
      <w:r>
        <w:t xml:space="preserve">”</w:t>
      </w:r>
      <w:r>
        <w:t xml:space="preserve"> </w:t>
      </w:r>
      <w:r>
        <w:t xml:space="preserve">is listed under Heading 35 in VATGPB10435, so it should be considered there rather than here</w:t>
      </w:r>
      <w:r>
        <w:t xml:space="preserve"> </w:t>
      </w:r>
      <w:r>
        <w:t xml:space="preserve">(</w:t>
      </w:r>
      <w:hyperlink w:anchor="ref-hmrc_vatgpb">
        <w:r>
          <w:rPr>
            <w:rStyle w:val="Hyperlink"/>
          </w:rPr>
          <w:t xml:space="preserve">HMRC, 2026n, sec. VATGPB10435</w:t>
        </w:r>
      </w:hyperlink>
      <w:r>
        <w:t xml:space="preserve">)</w:t>
      </w:r>
      <w:r>
        <w:t xml:space="preserve">.</w:t>
      </w:r>
    </w:p>
    <w:p>
      <w:pPr>
        <w:pStyle w:val="FirstParagraph"/>
      </w:pPr>
      <w:r>
        <w:rPr>
          <w:b/>
          <w:bCs/>
        </w:rPr>
        <w:t xml:space="preserve">Source:</w:t>
      </w:r>
      <w:r>
        <w:t xml:space="preserve"> </w:t>
      </w:r>
      <w:r>
        <w:t xml:space="preserve">HMRC manual section VATGPB10450, page last updated 7 January 2016</w:t>
      </w:r>
      <w:r>
        <w:t xml:space="preserve"> </w:t>
      </w:r>
      <w:r>
        <w:t xml:space="preserve">(</w:t>
      </w:r>
      <w:hyperlink w:anchor="ref-hmrc_vatgpb">
        <w:r>
          <w:rPr>
            <w:rStyle w:val="Hyperlink"/>
          </w:rPr>
          <w:t xml:space="preserve">HMRC, 2026n, sec. VATGPB10450</w:t>
        </w:r>
      </w:hyperlink>
      <w:r>
        <w:t xml:space="preserve">)</w:t>
      </w:r>
      <w:r>
        <w:t xml:space="preserve">; and section VATGPB9850, page last updated 20 May 2021</w:t>
      </w:r>
      <w:r>
        <w:t xml:space="preserve"> </w:t>
      </w:r>
      <w:r>
        <w:t xml:space="preserve">(</w:t>
      </w:r>
      <w:hyperlink w:anchor="ref-hmrc_vatgpb">
        <w:r>
          <w:rPr>
            <w:rStyle w:val="Hyperlink"/>
          </w:rPr>
          <w:t xml:space="preserve">HMRC, 2026n, sec. VATGPB9850</w:t>
        </w:r>
      </w:hyperlink>
      <w:r>
        <w:t xml:space="preserve">)</w:t>
      </w:r>
      <w:r>
        <w:t xml:space="preserve">.</w:t>
      </w:r>
    </w:p>
    <w:bookmarkEnd w:id="293"/>
    <w:bookmarkStart w:id="294" w:name="Xc4e561f61c4c943a82bd50bec894726910be1cc"/>
    <w:p>
      <w:pPr>
        <w:pStyle w:val="Heading3"/>
      </w:pPr>
      <w:r>
        <w:t xml:space="preserve">Heading 37: Maintenance, repair and cleaning of equipment, plant, vehicles and vessels</w:t>
      </w:r>
    </w:p>
    <w:p>
      <w:pPr>
        <w:pStyle w:val="FirstParagraph"/>
      </w:pPr>
      <w:r>
        <w:rPr>
          <w:b/>
          <w:bCs/>
        </w:rPr>
        <w:t xml:space="preserve">What it covers (HMRC’s description):</w:t>
      </w:r>
      <w:r>
        <w:t xml:space="preserve"> </w:t>
      </w:r>
      <w:r>
        <w:t xml:space="preserve">This heading lets departments recover VAT on:</w:t>
      </w:r>
    </w:p>
    <w:p>
      <w:pPr>
        <w:pStyle w:val="Compact"/>
        <w:numPr>
          <w:ilvl w:val="0"/>
          <w:numId w:val="1488"/>
        </w:numPr>
      </w:pPr>
      <w:r>
        <w:t xml:space="preserve">“</w:t>
      </w:r>
      <w:r>
        <w:t xml:space="preserve">Repair, maintenance and cleaning of equipment, plant, vehicles and vessels that they own</w:t>
      </w:r>
      <w:r>
        <w:t xml:space="preserve">”</w:t>
      </w:r>
      <w:r>
        <w:t xml:space="preserve">, and/or</w:t>
      </w:r>
    </w:p>
    <w:p>
      <w:pPr>
        <w:pStyle w:val="Compact"/>
        <w:numPr>
          <w:ilvl w:val="0"/>
          <w:numId w:val="1488"/>
        </w:numPr>
      </w:pPr>
      <w:r>
        <w:t xml:space="preserve">repair, maintenance and cleaning of such items</w:t>
      </w:r>
      <w:r>
        <w:t xml:space="preserve"> </w:t>
      </w:r>
      <w:r>
        <w:t xml:space="preserve">“</w:t>
      </w:r>
      <w:r>
        <w:t xml:space="preserve">that are leased</w:t>
      </w:r>
      <w:r>
        <w:t xml:space="preserve">”</w:t>
      </w:r>
      <w:r>
        <w:t xml:space="preserve">. This applies only where the repair and maintenance</w:t>
      </w:r>
      <w:r>
        <w:t xml:space="preserve"> </w:t>
      </w:r>
      <w:r>
        <w:t xml:space="preserve">“</w:t>
      </w:r>
      <w:r>
        <w:t xml:space="preserve">is supplied under a separate contract or agreement from the lease</w:t>
      </w:r>
      <w:r>
        <w:t xml:space="preserve">”</w:t>
      </w:r>
      <w:r>
        <w:t xml:space="preserve">. It can be the same supplier, but</w:t>
      </w:r>
      <w:r>
        <w:t xml:space="preserve"> </w:t>
      </w:r>
      <w:r>
        <w:t xml:space="preserve">“</w:t>
      </w:r>
      <w:r>
        <w:t xml:space="preserve">the contracts/agreements must not be interdependent on each other and must be separately enforceable</w:t>
      </w:r>
      <w:r>
        <w:t xml:space="preserve">”</w:t>
      </w:r>
      <w:r>
        <w:t xml:space="preserve"> </w:t>
      </w:r>
      <w:r>
        <w:t xml:space="preserve">(</w:t>
      </w:r>
      <w:hyperlink w:anchor="ref-hmrc_vatgpb">
        <w:r>
          <w:rPr>
            <w:rStyle w:val="Hyperlink"/>
          </w:rPr>
          <w:t xml:space="preserve">HMRC, 2026n, sec. VATGPB10470</w:t>
        </w:r>
      </w:hyperlink>
      <w:r>
        <w:t xml:space="preserve">)</w:t>
      </w:r>
      <w:r>
        <w:t xml:space="preserve">.</w:t>
      </w:r>
    </w:p>
    <w:p>
      <w:pPr>
        <w:pStyle w:val="FirstParagraph"/>
      </w:pPr>
      <w:r>
        <w:rPr>
          <w:b/>
          <w:bCs/>
        </w:rPr>
        <w:t xml:space="preserve">Definitions:</w:t>
      </w:r>
      <w:r>
        <w:t xml:space="preserve"> </w:t>
      </w:r>
      <w:r>
        <w:t xml:space="preserve">“</w:t>
      </w:r>
      <w:r>
        <w:t xml:space="preserve">vessels includes ships and aircrafts and the term equipment includes computer equipment</w:t>
      </w:r>
      <w:r>
        <w:t xml:space="preserve">”</w:t>
      </w:r>
      <w:r>
        <w:t xml:space="preserve"> </w:t>
      </w:r>
      <w:r>
        <w:t xml:space="preserve">(</w:t>
      </w:r>
      <w:hyperlink w:anchor="ref-hmrc_vatgpb">
        <w:r>
          <w:rPr>
            <w:rStyle w:val="Hyperlink"/>
          </w:rPr>
          <w:t xml:space="preserve">HMRC, 2026n, sec. VATGPB10470</w:t>
        </w:r>
      </w:hyperlink>
      <w:r>
        <w:t xml:space="preserve">)</w:t>
      </w:r>
      <w:r>
        <w:t xml:space="preserve">.</w:t>
      </w:r>
    </w:p>
    <w:p>
      <w:pPr>
        <w:pStyle w:val="BodyText"/>
      </w:pPr>
      <w:r>
        <w:rPr>
          <w:b/>
          <w:bCs/>
        </w:rPr>
        <w:t xml:space="preserve">Leases and hire:</w:t>
      </w:r>
      <w:r>
        <w:t xml:space="preserve"> </w:t>
      </w:r>
      <w:r>
        <w:t xml:space="preserve">VAT on</w:t>
      </w:r>
      <w:r>
        <w:t xml:space="preserve"> </w:t>
      </w:r>
      <w:r>
        <w:t xml:space="preserve">“</w:t>
      </w:r>
      <w:r>
        <w:t xml:space="preserve">the leasing or hire of equipment, plant, vehicles and vessels is not eligible for recovery</w:t>
      </w:r>
      <w:r>
        <w:t xml:space="preserve">”</w:t>
      </w:r>
      <w:r>
        <w:t xml:space="preserve">. The only exceptions are Headings 25 and 26, and then only for contracts that include full repair and maintenance</w:t>
      </w:r>
      <w:r>
        <w:t xml:space="preserve"> </w:t>
      </w:r>
      <w:r>
        <w:t xml:space="preserve">(</w:t>
      </w:r>
      <w:hyperlink w:anchor="ref-hmrc_vatgpb">
        <w:r>
          <w:rPr>
            <w:rStyle w:val="Hyperlink"/>
          </w:rPr>
          <w:t xml:space="preserve">HMRC, 2026n, sec. VATGPB10470</w:t>
        </w:r>
      </w:hyperlink>
      <w:r>
        <w:t xml:space="preserve">)</w:t>
      </w:r>
      <w:r>
        <w:t xml:space="preserve">.</w:t>
      </w:r>
    </w:p>
    <w:p>
      <w:pPr>
        <w:pStyle w:val="BodyText"/>
      </w:pPr>
      <w:r>
        <w:rPr>
          <w:b/>
          <w:bCs/>
        </w:rPr>
        <w:t xml:space="preserve">Includes:</w:t>
      </w:r>
      <w:r>
        <w:t xml:space="preserve"> </w:t>
      </w:r>
      <w:r>
        <w:t xml:space="preserve">HMRC’s wording above covers owned items and separately contracted maintenance of leased items. The following are the items marked</w:t>
      </w:r>
      <w:r>
        <w:t xml:space="preserve"> </w:t>
      </w:r>
      <w:r>
        <w:t xml:space="preserve">“</w:t>
      </w:r>
      <w:r>
        <w:t xml:space="preserve">Yes, Heading 37</w:t>
      </w:r>
      <w:r>
        <w:t xml:space="preserve">”</w:t>
      </w:r>
      <w:r>
        <w:t xml:space="preserve"> </w:t>
      </w:r>
      <w:r>
        <w:t xml:space="preserve">in VATGPB10435</w:t>
      </w:r>
      <w:r>
        <w:t xml:space="preserve"> </w:t>
      </w:r>
      <w:r>
        <w:t xml:space="preserve">(</w:t>
      </w:r>
      <w:hyperlink w:anchor="ref-hmrc_vatgpb">
        <w:r>
          <w:rPr>
            <w:rStyle w:val="Hyperlink"/>
          </w:rPr>
          <w:t xml:space="preserve">HMRC, 2026n, sec. VATGPB10435</w:t>
        </w:r>
      </w:hyperlink>
      <w:r>
        <w:t xml:space="preserve">)</w:t>
      </w:r>
      <w:r>
        <w:t xml:space="preserve">. HMRC says the list</w:t>
      </w:r>
      <w:r>
        <w:t xml:space="preserve"> </w:t>
      </w:r>
      <w:r>
        <w:t xml:space="preserve">“</w:t>
      </w:r>
      <w:r>
        <w:t xml:space="preserve">is not exhaustive</w:t>
      </w:r>
      <w:r>
        <w:t xml:space="preserve">”</w:t>
      </w:r>
      <w:r>
        <w:t xml:space="preserve">. The item marked * is a</w:t>
      </w:r>
      <w:r>
        <w:t xml:space="preserve"> </w:t>
      </w:r>
      <w:r>
        <w:t xml:space="preserve">“</w:t>
      </w:r>
      <w:r>
        <w:t xml:space="preserve">repair by replacement</w:t>
      </w:r>
      <w:r>
        <w:t xml:space="preserve">”</w:t>
      </w:r>
      <w:r>
        <w:t xml:space="preserve"> </w:t>
      </w:r>
      <w:r>
        <w:t xml:space="preserve">exception</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489"/>
        </w:numPr>
      </w:pPr>
      <w:r>
        <w:t xml:space="preserve">Portable Appliance Testing (PAT)</w:t>
      </w:r>
    </w:p>
    <w:p>
      <w:pPr>
        <w:pStyle w:val="Compact"/>
        <w:numPr>
          <w:ilvl w:val="0"/>
          <w:numId w:val="1489"/>
        </w:numPr>
      </w:pPr>
      <w:r>
        <w:t xml:space="preserve">Sterilisation of instruments and equipment</w:t>
      </w:r>
    </w:p>
    <w:p>
      <w:pPr>
        <w:pStyle w:val="Compact"/>
        <w:numPr>
          <w:ilvl w:val="0"/>
          <w:numId w:val="1489"/>
        </w:numPr>
      </w:pPr>
      <w:r>
        <w:t xml:space="preserve">“</w:t>
      </w:r>
      <w:r>
        <w:t xml:space="preserve">Spare parts which are provided as part of the eligible repair and maintenance services</w:t>
      </w:r>
      <w:r>
        <w:t xml:space="preserve">”</w:t>
      </w:r>
    </w:p>
    <w:p>
      <w:pPr>
        <w:pStyle w:val="Compact"/>
        <w:numPr>
          <w:ilvl w:val="0"/>
          <w:numId w:val="1489"/>
        </w:numPr>
      </w:pPr>
      <w:r>
        <w:t xml:space="preserve">Maintenance of security equipment</w:t>
      </w:r>
    </w:p>
    <w:p>
      <w:pPr>
        <w:pStyle w:val="Compact"/>
        <w:numPr>
          <w:ilvl w:val="0"/>
          <w:numId w:val="1489"/>
        </w:numPr>
      </w:pPr>
      <w:r>
        <w:t xml:space="preserve">Repair of an incinerator</w:t>
      </w:r>
    </w:p>
    <w:p>
      <w:pPr>
        <w:pStyle w:val="Compact"/>
        <w:numPr>
          <w:ilvl w:val="0"/>
          <w:numId w:val="1489"/>
        </w:numPr>
      </w:pPr>
      <w:r>
        <w:t xml:space="preserve">Repairs to existing lifts</w:t>
      </w:r>
    </w:p>
    <w:p>
      <w:pPr>
        <w:pStyle w:val="Compact"/>
        <w:numPr>
          <w:ilvl w:val="0"/>
          <w:numId w:val="1489"/>
        </w:numPr>
      </w:pPr>
      <w:r>
        <w:rPr>
          <w:b/>
          <w:bCs/>
        </w:rPr>
        <w:t xml:space="preserve">Mechanical systems:</w:t>
      </w:r>
    </w:p>
    <w:p>
      <w:pPr>
        <w:pStyle w:val="Compact"/>
        <w:numPr>
          <w:ilvl w:val="1"/>
          <w:numId w:val="1490"/>
        </w:numPr>
      </w:pPr>
      <w:r>
        <w:t xml:space="preserve">repairs to faulty systems (including parts)</w:t>
      </w:r>
    </w:p>
    <w:p>
      <w:pPr>
        <w:pStyle w:val="Compact"/>
        <w:numPr>
          <w:ilvl w:val="1"/>
          <w:numId w:val="1490"/>
        </w:numPr>
      </w:pPr>
      <w:r>
        <w:t xml:space="preserve">repairing existing pipes and radiators</w:t>
      </w:r>
    </w:p>
    <w:p>
      <w:pPr>
        <w:pStyle w:val="Compact"/>
        <w:numPr>
          <w:ilvl w:val="1"/>
          <w:numId w:val="1490"/>
        </w:numPr>
      </w:pPr>
      <w:r>
        <w:t xml:space="preserve">repairing a boiler (including parts)</w:t>
      </w:r>
    </w:p>
    <w:p>
      <w:pPr>
        <w:pStyle w:val="Compact"/>
        <w:numPr>
          <w:ilvl w:val="1"/>
          <w:numId w:val="1490"/>
        </w:numPr>
      </w:pPr>
      <w:r>
        <w:t xml:space="preserve">fixing valves or meters to radiators, pipes and taps to regulate hot-water temperature for patient safety or energy conservation</w:t>
      </w:r>
    </w:p>
    <w:p>
      <w:pPr>
        <w:pStyle w:val="Compact"/>
        <w:numPr>
          <w:ilvl w:val="0"/>
          <w:numId w:val="1489"/>
        </w:numPr>
      </w:pPr>
      <w:r>
        <w:t xml:space="preserve">“</w:t>
      </w:r>
      <w:r>
        <w:t xml:space="preserve">Maintenance contracts entered into after the manufacturer’s warranty expires</w:t>
      </w:r>
      <w:r>
        <w:t xml:space="preserve">”</w:t>
      </w:r>
    </w:p>
    <w:p>
      <w:pPr>
        <w:pStyle w:val="Compact"/>
        <w:numPr>
          <w:ilvl w:val="0"/>
          <w:numId w:val="1489"/>
        </w:numPr>
      </w:pPr>
      <w:r>
        <w:t xml:space="preserve">Repairs to existing signs, and new signs needed only because of a Trust merger (an NHS case)</w:t>
      </w:r>
    </w:p>
    <w:p>
      <w:pPr>
        <w:pStyle w:val="Compact"/>
        <w:numPr>
          <w:ilvl w:val="0"/>
          <w:numId w:val="1489"/>
        </w:numPr>
      </w:pPr>
      <w:r>
        <w:t xml:space="preserve">Repairs to fitted blinds, curtains and curtain tracks</w:t>
      </w:r>
    </w:p>
    <w:p>
      <w:pPr>
        <w:pStyle w:val="Compact"/>
        <w:numPr>
          <w:ilvl w:val="0"/>
          <w:numId w:val="1489"/>
        </w:numPr>
      </w:pPr>
      <w:r>
        <w:t xml:space="preserve">Replacement of an X-ray tube or CT tube*</w:t>
      </w:r>
    </w:p>
    <w:p>
      <w:pPr>
        <w:pStyle w:val="FirstParagraph"/>
      </w:pPr>
      <w:r>
        <w:rPr>
          <w:b/>
          <w:bCs/>
        </w:rPr>
        <w:t xml:space="preserve">Excludes:</w:t>
      </w:r>
      <w:r>
        <w:t xml:space="preserve"> </w:t>
      </w:r>
      <w:r>
        <w:t xml:space="preserve">(</w:t>
      </w:r>
      <w:hyperlink w:anchor="ref-hmrc_vatgpb">
        <w:r>
          <w:rPr>
            <w:rStyle w:val="Hyperlink"/>
          </w:rPr>
          <w:t xml:space="preserve">HMRC, 2026n, sec. VATGPB10435</w:t>
        </w:r>
      </w:hyperlink>
      <w:r>
        <w:t xml:space="preserve">)</w:t>
      </w:r>
    </w:p>
    <w:p>
      <w:pPr>
        <w:pStyle w:val="Compact"/>
        <w:numPr>
          <w:ilvl w:val="0"/>
          <w:numId w:val="1491"/>
        </w:numPr>
      </w:pPr>
      <w:r>
        <w:t xml:space="preserve">Leasing or hire of equipment, plant, vehicles or vessels, except under Headings 25 and 26</w:t>
      </w:r>
      <w:r>
        <w:t xml:space="preserve"> </w:t>
      </w:r>
      <w:r>
        <w:t xml:space="preserve">(</w:t>
      </w:r>
      <w:hyperlink w:anchor="ref-hmrc_vatgpb">
        <w:r>
          <w:rPr>
            <w:rStyle w:val="Hyperlink"/>
          </w:rPr>
          <w:t xml:space="preserve">HMRC, 2026n, sec. VATGPB10470</w:t>
        </w:r>
      </w:hyperlink>
      <w:r>
        <w:t xml:space="preserve">)</w:t>
      </w:r>
    </w:p>
    <w:p>
      <w:pPr>
        <w:pStyle w:val="Compact"/>
        <w:numPr>
          <w:ilvl w:val="0"/>
          <w:numId w:val="1491"/>
        </w:numPr>
      </w:pPr>
      <w:r>
        <w:t xml:space="preserve">Repair and maintenance bundled with a lease where the two contracts are interdependent or not separately enforceable</w:t>
      </w:r>
      <w:r>
        <w:t xml:space="preserve"> </w:t>
      </w:r>
      <w:r>
        <w:t xml:space="preserve">(</w:t>
      </w:r>
      <w:hyperlink w:anchor="ref-hmrc_vatgpb">
        <w:r>
          <w:rPr>
            <w:rStyle w:val="Hyperlink"/>
          </w:rPr>
          <w:t xml:space="preserve">HMRC, 2026n, sec. VATGPB10470</w:t>
        </w:r>
      </w:hyperlink>
      <w:r>
        <w:t xml:space="preserve">)</w:t>
      </w:r>
    </w:p>
    <w:p>
      <w:pPr>
        <w:pStyle w:val="Compact"/>
        <w:numPr>
          <w:ilvl w:val="0"/>
          <w:numId w:val="1491"/>
        </w:numPr>
      </w:pPr>
      <w:r>
        <w:rPr>
          <w:b/>
          <w:bCs/>
        </w:rPr>
        <w:t xml:space="preserve">Lifts:</w:t>
      </w:r>
      <w:r>
        <w:t xml:space="preserve"> </w:t>
      </w:r>
      <w:r>
        <w:t xml:space="preserve">replacing a lift; installing a new one</w:t>
      </w:r>
    </w:p>
    <w:p>
      <w:pPr>
        <w:pStyle w:val="Compact"/>
        <w:numPr>
          <w:ilvl w:val="0"/>
          <w:numId w:val="1491"/>
        </w:numPr>
      </w:pPr>
      <w:r>
        <w:rPr>
          <w:b/>
          <w:bCs/>
        </w:rPr>
        <w:t xml:space="preserve">Incinerators:</w:t>
      </w:r>
      <w:r>
        <w:t xml:space="preserve"> </w:t>
      </w:r>
      <w:r>
        <w:t xml:space="preserve">installing a new one or replacing one; building or extending the height of a chimney; increasing the thickness of existing lagging</w:t>
      </w:r>
    </w:p>
    <w:p>
      <w:pPr>
        <w:pStyle w:val="Compact"/>
        <w:numPr>
          <w:ilvl w:val="0"/>
          <w:numId w:val="1491"/>
        </w:numPr>
      </w:pPr>
      <w:r>
        <w:rPr>
          <w:b/>
          <w:bCs/>
        </w:rPr>
        <w:t xml:space="preserve">Mechanical systems:</w:t>
      </w:r>
    </w:p>
    <w:p>
      <w:pPr>
        <w:pStyle w:val="Compact"/>
        <w:numPr>
          <w:ilvl w:val="1"/>
          <w:numId w:val="1492"/>
        </w:numPr>
      </w:pPr>
      <w:r>
        <w:t xml:space="preserve">replacing a system, installing a new one, or altering, adding to or extending one</w:t>
      </w:r>
    </w:p>
    <w:p>
      <w:pPr>
        <w:pStyle w:val="Compact"/>
        <w:numPr>
          <w:ilvl w:val="1"/>
          <w:numId w:val="1492"/>
        </w:numPr>
      </w:pPr>
      <w:r>
        <w:t xml:space="preserve">new or additional pipes and radiators</w:t>
      </w:r>
    </w:p>
    <w:p>
      <w:pPr>
        <w:pStyle w:val="Compact"/>
        <w:numPr>
          <w:ilvl w:val="1"/>
          <w:numId w:val="1492"/>
        </w:numPr>
      </w:pPr>
      <w:r>
        <w:t xml:space="preserve">replacing water tanks, or building or installing new ones</w:t>
      </w:r>
    </w:p>
    <w:p>
      <w:pPr>
        <w:pStyle w:val="Compact"/>
        <w:numPr>
          <w:ilvl w:val="1"/>
          <w:numId w:val="1492"/>
        </w:numPr>
      </w:pPr>
      <w:r>
        <w:t xml:space="preserve">first-time installation or replacement of a boiler</w:t>
      </w:r>
    </w:p>
    <w:p>
      <w:pPr>
        <w:pStyle w:val="Compact"/>
        <w:numPr>
          <w:ilvl w:val="1"/>
          <w:numId w:val="1492"/>
        </w:numPr>
      </w:pPr>
      <w:r>
        <w:t xml:space="preserve">replacing a central heating system, or installing a new one</w:t>
      </w:r>
    </w:p>
    <w:p>
      <w:pPr>
        <w:pStyle w:val="Compact"/>
        <w:numPr>
          <w:ilvl w:val="1"/>
          <w:numId w:val="1492"/>
        </w:numPr>
      </w:pPr>
      <w:r>
        <w:t xml:space="preserve">testing and commissioning</w:t>
      </w:r>
    </w:p>
    <w:p>
      <w:pPr>
        <w:pStyle w:val="Compact"/>
        <w:numPr>
          <w:ilvl w:val="0"/>
          <w:numId w:val="1491"/>
        </w:numPr>
      </w:pPr>
      <w:r>
        <w:rPr>
          <w:b/>
          <w:bCs/>
        </w:rPr>
        <w:t xml:space="preserve">Signs:</w:t>
      </w:r>
      <w:r>
        <w:t xml:space="preserve"> </w:t>
      </w:r>
      <w:r>
        <w:t xml:space="preserve">“</w:t>
      </w:r>
      <w:r>
        <w:t xml:space="preserve">Repair by replacement signs</w:t>
      </w:r>
      <w:r>
        <w:t xml:space="preserve">”</w:t>
      </w:r>
    </w:p>
    <w:p>
      <w:pPr>
        <w:pStyle w:val="Compact"/>
        <w:numPr>
          <w:ilvl w:val="0"/>
          <w:numId w:val="1491"/>
        </w:numPr>
      </w:pPr>
      <w:r>
        <w:t xml:space="preserve">“</w:t>
      </w:r>
      <w:r>
        <w:t xml:space="preserve">Manufacturers warranties which are included in the purchase price of the goods, this is a single supply of goods</w:t>
      </w:r>
      <w:r>
        <w:t xml:space="preserve">”</w:t>
      </w:r>
      <w:r>
        <w:t xml:space="preserve">. A</w:t>
      </w:r>
      <w:r>
        <w:t xml:space="preserve"> </w:t>
      </w:r>
      <w:r>
        <w:rPr>
          <w:b/>
          <w:bCs/>
        </w:rPr>
        <w:t xml:space="preserve">single supply</w:t>
      </w:r>
      <w:r>
        <w:t xml:space="preserve"> </w:t>
      </w:r>
      <w:r>
        <w:t xml:space="preserve">is one supply for VAT purposes that cannot be split, even though it has several parts</w:t>
      </w:r>
      <w:r>
        <w:t xml:space="preserve"> </w:t>
      </w:r>
      <w:r>
        <w:t xml:space="preserve">(</w:t>
      </w:r>
      <w:hyperlink w:anchor="ref-hmrc_vatgpb">
        <w:r>
          <w:rPr>
            <w:rStyle w:val="Hyperlink"/>
          </w:rPr>
          <w:t xml:space="preserve">HMRC, 2026n, sec. VATGPB9720</w:t>
        </w:r>
      </w:hyperlink>
      <w:r>
        <w:t xml:space="preserve">)</w:t>
      </w:r>
      <w:r>
        <w:t xml:space="preserve">.</w:t>
      </w:r>
    </w:p>
    <w:p>
      <w:pPr>
        <w:pStyle w:val="FirstParagraph"/>
      </w:pPr>
      <w:r>
        <w:rPr>
          <w:b/>
          <w:bCs/>
        </w:rPr>
        <w:t xml:space="preserve">Examples for the Department:</w:t>
      </w:r>
    </w:p>
    <w:p>
      <w:pPr>
        <w:pStyle w:val="Compact"/>
        <w:numPr>
          <w:ilvl w:val="0"/>
          <w:numId w:val="1493"/>
        </w:numPr>
      </w:pPr>
      <w:r>
        <w:rPr>
          <w:b/>
          <w:bCs/>
        </w:rPr>
        <w:t xml:space="preserve">Claimable:</w:t>
      </w:r>
      <w:r>
        <w:t xml:space="preserve"> </w:t>
      </w:r>
      <w:r>
        <w:t xml:space="preserve">When the manufacturer’s warranty on the Department’s laptops and servers ends, it signs a separate maintenance and repair contract with a UK IT firm. HMRC confirms that</w:t>
      </w:r>
      <w:r>
        <w:t xml:space="preserve"> </w:t>
      </w:r>
      <w:r>
        <w:t xml:space="preserve">“</w:t>
      </w:r>
      <w:r>
        <w:t xml:space="preserve">equipment includes computer equipment</w:t>
      </w:r>
      <w:r>
        <w:t xml:space="preserve">”</w:t>
      </w:r>
      <w:r>
        <w:t xml:space="preserve"> </w:t>
      </w:r>
      <w:r>
        <w:t xml:space="preserve">and lists maintenance contracts entered into after the warranty expires</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493"/>
        </w:numPr>
      </w:pPr>
      <w:r>
        <w:rPr>
          <w:b/>
          <w:bCs/>
        </w:rPr>
        <w:t xml:space="preserve">Claimable:</w:t>
      </w:r>
      <w:r>
        <w:t xml:space="preserve"> </w:t>
      </w:r>
      <w:r>
        <w:t xml:space="preserve">A contractor carries out annual PAT testing and repairs a faulty lift at headquarters. Both are</w:t>
      </w:r>
      <w:r>
        <w:t xml:space="preserve"> </w:t>
      </w:r>
      <w:r>
        <w:t xml:space="preserve">“</w:t>
      </w:r>
      <w:r>
        <w:t xml:space="preserve">Yes / 37</w:t>
      </w:r>
      <w:r>
        <w:t xml:space="preserve">”</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493"/>
        </w:numPr>
      </w:pPr>
      <w:r>
        <w:rPr>
          <w:b/>
          <w:bCs/>
        </w:rPr>
        <w:t xml:space="preserve">Claimable:</w:t>
      </w:r>
      <w:r>
        <w:t xml:space="preserve"> </w:t>
      </w:r>
      <w:r>
        <w:t xml:space="preserve">A UK contractor services and repairs generators and vehicles the Department owns before the Department gives them free to an overseas government under its capability-building programme. This is repair and maintenance of equipment and vehicles the Department owns, for a non-business purpose</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493"/>
        </w:numPr>
      </w:pPr>
      <w:r>
        <w:rPr>
          <w:b/>
          <w:bCs/>
        </w:rPr>
        <w:t xml:space="preserve">Not claimable:</w:t>
      </w:r>
      <w:r>
        <w:t xml:space="preserve"> </w:t>
      </w:r>
      <w:r>
        <w:t xml:space="preserve">The Department refurbishes surplus vehicles and equipment before selling them to an overseas buyer. The work supports a business sale, so it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493"/>
        </w:numPr>
      </w:pPr>
      <w:r>
        <w:rPr>
          <w:b/>
          <w:bCs/>
        </w:rPr>
        <w:t xml:space="preserve">Not claimable:</w:t>
      </w:r>
      <w:r>
        <w:t xml:space="preserve"> </w:t>
      </w:r>
      <w:r>
        <w:t xml:space="preserve">The Department replaces a failed boiler or an old lift with a new one. Replacement and new installation are</w:t>
      </w:r>
      <w:r>
        <w:t xml:space="preserve"> </w:t>
      </w:r>
      <w:r>
        <w:t xml:space="preserve">“</w:t>
      </w:r>
      <w:r>
        <w:t xml:space="preserve">No</w:t>
      </w:r>
      <w:r>
        <w:t xml:space="preserve">”</w:t>
      </w:r>
      <w:r>
        <w:t xml:space="preserve"> </w:t>
      </w:r>
      <w:r>
        <w:t xml:space="preserve">(</w:t>
      </w:r>
      <w:hyperlink w:anchor="ref-hmrc_vatgpb">
        <w:r>
          <w:rPr>
            <w:rStyle w:val="Hyperlink"/>
          </w:rPr>
          <w:t xml:space="preserve">HMRC, 2026n, sec. VATGPB10435</w:t>
        </w:r>
      </w:hyperlink>
      <w:r>
        <w:t xml:space="preserve">)</w:t>
      </w:r>
      <w:r>
        <w:t xml:space="preserve">.</w:t>
      </w:r>
    </w:p>
    <w:p>
      <w:pPr>
        <w:pStyle w:val="Compact"/>
        <w:numPr>
          <w:ilvl w:val="0"/>
          <w:numId w:val="1493"/>
        </w:numPr>
      </w:pPr>
      <w:r>
        <w:rPr>
          <w:b/>
          <w:bCs/>
        </w:rPr>
        <w:t xml:space="preserve">Not claimable:</w:t>
      </w:r>
      <w:r>
        <w:t xml:space="preserve"> </w:t>
      </w:r>
      <w:r>
        <w:t xml:space="preserve">The Department leases audio-visual equipment for its training centre, and the maintenance is built into the same lease agreement rather than a separate, separately enforceable contract. Lease VAT is not eligible, and the maintenance is not separate from the lease.</w:t>
      </w:r>
    </w:p>
    <w:p>
      <w:pPr>
        <w:pStyle w:val="FirstParagraph"/>
      </w:pPr>
      <w:r>
        <w:rPr>
          <w:b/>
          <w:bCs/>
        </w:rPr>
        <w:t xml:space="preserve">Source:</w:t>
      </w:r>
      <w:r>
        <w:t xml:space="preserve"> </w:t>
      </w:r>
      <w:r>
        <w:t xml:space="preserve">HMRC manual section VATGPB10470, page last updated 14 December 2018</w:t>
      </w:r>
      <w:r>
        <w:t xml:space="preserve"> </w:t>
      </w:r>
      <w:r>
        <w:t xml:space="preserve">(</w:t>
      </w:r>
      <w:hyperlink w:anchor="ref-hmrc_vatgpb">
        <w:r>
          <w:rPr>
            <w:rStyle w:val="Hyperlink"/>
          </w:rPr>
          <w:t xml:space="preserve">HMRC, 2026n, sec. VATGPB10470</w:t>
        </w:r>
      </w:hyperlink>
      <w:r>
        <w:t xml:space="preserve">)</w:t>
      </w:r>
      <w:r>
        <w:t xml:space="preserve">; and section VATGPB10435, page last updated 21 May 2021</w:t>
      </w:r>
      <w:r>
        <w:t xml:space="preserve"> </w:t>
      </w:r>
      <w:r>
        <w:t xml:space="preserve">(</w:t>
      </w:r>
      <w:hyperlink w:anchor="ref-hmrc_vatgpb">
        <w:r>
          <w:rPr>
            <w:rStyle w:val="Hyperlink"/>
          </w:rPr>
          <w:t xml:space="preserve">HMRC, 2026n, sec. VATGPB10435</w:t>
        </w:r>
      </w:hyperlink>
      <w:r>
        <w:t xml:space="preserve">)</w:t>
      </w:r>
      <w:r>
        <w:t xml:space="preserve">.</w:t>
      </w:r>
    </w:p>
    <w:bookmarkEnd w:id="294"/>
    <w:bookmarkStart w:id="295" w:name="Xdf382d3f2695f32c39453f89c923308b5c9037a"/>
    <w:p>
      <w:pPr>
        <w:pStyle w:val="Heading3"/>
      </w:pPr>
      <w:r>
        <w:t xml:space="preserve">Heading 38: Maintenance and repair of statues, monuments and works of art</w:t>
      </w:r>
    </w:p>
    <w:p>
      <w:pPr>
        <w:pStyle w:val="FirstParagraph"/>
      </w:pPr>
      <w:r>
        <w:rPr>
          <w:b/>
          <w:bCs/>
        </w:rPr>
        <w:t xml:space="preserve">What it covers (HMRC’s description):</w:t>
      </w:r>
      <w:r>
        <w:t xml:space="preserve"> </w:t>
      </w:r>
      <w:r>
        <w:t xml:space="preserve">“</w:t>
      </w:r>
      <w:r>
        <w:t xml:space="preserve">This Heading covers the maintenance and repair of statues, monuments and works of art.</w:t>
      </w:r>
      <w:r>
        <w:t xml:space="preserve">”</w:t>
      </w:r>
      <w:r>
        <w:t xml:space="preserve"> </w:t>
      </w:r>
      <w:r>
        <w:t xml:space="preserve">Apart from the lists below, HMRC’s manual gives no further detail</w:t>
      </w:r>
      <w:r>
        <w:t xml:space="preserve"> </w:t>
      </w:r>
      <w:r>
        <w:t xml:space="preserve">(</w:t>
      </w:r>
      <w:hyperlink w:anchor="ref-hmrc_vatgpb">
        <w:r>
          <w:rPr>
            <w:rStyle w:val="Hyperlink"/>
          </w:rPr>
          <w:t xml:space="preserve">HMRC, 2026n, sec. VATGPB10490</w:t>
        </w:r>
      </w:hyperlink>
      <w:r>
        <w:t xml:space="preserve">)</w:t>
      </w:r>
      <w:r>
        <w:t xml:space="preserve">.</w:t>
      </w:r>
    </w:p>
    <w:p>
      <w:pPr>
        <w:pStyle w:val="BodyText"/>
      </w:pPr>
      <w:r>
        <w:rPr>
          <w:b/>
          <w:bCs/>
        </w:rPr>
        <w:t xml:space="preserve">Includes:</w:t>
      </w:r>
    </w:p>
    <w:p>
      <w:pPr>
        <w:pStyle w:val="Compact"/>
        <w:numPr>
          <w:ilvl w:val="0"/>
          <w:numId w:val="1494"/>
        </w:numPr>
      </w:pPr>
      <w:r>
        <w:t xml:space="preserve">“</w:t>
      </w:r>
      <w:r>
        <w:t xml:space="preserve">Cleaning</w:t>
      </w:r>
      <w:r>
        <w:t xml:space="preserve">”</w:t>
      </w:r>
    </w:p>
    <w:p>
      <w:pPr>
        <w:pStyle w:val="Compact"/>
        <w:numPr>
          <w:ilvl w:val="0"/>
          <w:numId w:val="1494"/>
        </w:numPr>
      </w:pPr>
      <w:r>
        <w:t xml:space="preserve">“</w:t>
      </w:r>
      <w:r>
        <w:t xml:space="preserve">Restoration costs</w:t>
      </w:r>
      <w:r>
        <w:t xml:space="preserve">”</w:t>
      </w:r>
    </w:p>
    <w:p>
      <w:pPr>
        <w:pStyle w:val="Compact"/>
        <w:numPr>
          <w:ilvl w:val="0"/>
          <w:numId w:val="1494"/>
        </w:numPr>
      </w:pPr>
      <w:r>
        <w:t xml:space="preserve">“</w:t>
      </w:r>
      <w:r>
        <w:t xml:space="preserve">Removal &amp; relocation costs</w:t>
      </w:r>
      <w:r>
        <w:t xml:space="preserve">”</w:t>
      </w:r>
    </w:p>
    <w:p>
      <w:pPr>
        <w:pStyle w:val="FirstParagraph"/>
      </w:pPr>
      <w:r>
        <w:rPr>
          <w:b/>
          <w:bCs/>
        </w:rPr>
        <w:t xml:space="preserve">Excludes:</w:t>
      </w:r>
    </w:p>
    <w:p>
      <w:pPr>
        <w:pStyle w:val="Compact"/>
        <w:numPr>
          <w:ilvl w:val="0"/>
          <w:numId w:val="1495"/>
        </w:numPr>
      </w:pPr>
      <w:r>
        <w:t xml:space="preserve">“</w:t>
      </w:r>
      <w:r>
        <w:t xml:space="preserve">Expenses relating to the design and installation of new monuments</w:t>
      </w:r>
      <w:r>
        <w:t xml:space="preserve">”</w:t>
      </w:r>
    </w:p>
    <w:p>
      <w:pPr>
        <w:pStyle w:val="FirstParagraph"/>
      </w:pPr>
      <w:r>
        <w:rPr>
          <w:b/>
          <w:bCs/>
        </w:rPr>
        <w:t xml:space="preserve">Examples for the Department:</w:t>
      </w:r>
    </w:p>
    <w:p>
      <w:pPr>
        <w:pStyle w:val="Compact"/>
        <w:numPr>
          <w:ilvl w:val="0"/>
          <w:numId w:val="1496"/>
        </w:numPr>
      </w:pPr>
      <w:r>
        <w:rPr>
          <w:b/>
          <w:bCs/>
        </w:rPr>
        <w:t xml:space="preserve">Claimable:</w:t>
      </w:r>
      <w:r>
        <w:t xml:space="preserve"> </w:t>
      </w:r>
      <w:r>
        <w:t xml:space="preserve">A conservator cleans and restores paintings on display in the Department’s headquarters. HMRC lists</w:t>
      </w:r>
      <w:r>
        <w:t xml:space="preserve"> </w:t>
      </w:r>
      <w:r>
        <w:t xml:space="preserve">“</w:t>
      </w:r>
      <w:r>
        <w:t xml:space="preserve">Cleaning</w:t>
      </w:r>
      <w:r>
        <w:t xml:space="preserve">”</w:t>
      </w:r>
      <w:r>
        <w:t xml:space="preserve"> </w:t>
      </w:r>
      <w:r>
        <w:t xml:space="preserve">and</w:t>
      </w:r>
      <w:r>
        <w:t xml:space="preserve"> </w:t>
      </w:r>
      <w:r>
        <w:t xml:space="preserve">“</w:t>
      </w:r>
      <w:r>
        <w:t xml:space="preserve">Restoration costs</w:t>
      </w:r>
      <w:r>
        <w:t xml:space="preserve">”</w:t>
      </w:r>
      <w:r>
        <w:t xml:space="preserve">.</w:t>
      </w:r>
    </w:p>
    <w:p>
      <w:pPr>
        <w:pStyle w:val="Compact"/>
        <w:numPr>
          <w:ilvl w:val="0"/>
          <w:numId w:val="1496"/>
        </w:numPr>
      </w:pPr>
      <w:r>
        <w:rPr>
          <w:b/>
          <w:bCs/>
        </w:rPr>
        <w:t xml:space="preserve">Claimable:</w:t>
      </w:r>
      <w:r>
        <w:t xml:space="preserve"> </w:t>
      </w:r>
      <w:r>
        <w:t xml:space="preserve">A specialist contractor moves a statue and artworks to the Department’s new building. HMRC lists</w:t>
      </w:r>
      <w:r>
        <w:t xml:space="preserve"> </w:t>
      </w:r>
      <w:r>
        <w:t xml:space="preserve">“</w:t>
      </w:r>
      <w:r>
        <w:t xml:space="preserve">Removal &amp; relocation costs</w:t>
      </w:r>
      <w:r>
        <w:t xml:space="preserve">”</w:t>
      </w:r>
      <w:r>
        <w:t xml:space="preserve">.</w:t>
      </w:r>
    </w:p>
    <w:p>
      <w:pPr>
        <w:pStyle w:val="Compact"/>
        <w:numPr>
          <w:ilvl w:val="0"/>
          <w:numId w:val="1496"/>
        </w:numPr>
      </w:pPr>
      <w:r>
        <w:rPr>
          <w:b/>
          <w:bCs/>
        </w:rPr>
        <w:t xml:space="preserve">Not claimable:</w:t>
      </w:r>
      <w:r>
        <w:t xml:space="preserve"> </w:t>
      </w:r>
      <w:r>
        <w:t xml:space="preserve">The Department commissions a new sculpture or memorial plaque as a gift for a visiting overseas minister. This is design of a new work and a purchase of goods, not maintenance or repair, and HMRC excludes the design and installation of new monuments</w:t>
      </w:r>
      <w:r>
        <w:t xml:space="preserve"> </w:t>
      </w:r>
      <w:r>
        <w:t xml:space="preserve">(</w:t>
      </w:r>
      <w:hyperlink w:anchor="ref-hmrc_vatgpb">
        <w:r>
          <w:rPr>
            <w:rStyle w:val="Hyperlink"/>
          </w:rPr>
          <w:t xml:space="preserve">HMRC, 2026n, sec. VATGPB10490</w:t>
        </w:r>
      </w:hyperlink>
      <w:r>
        <w:t xml:space="preserve">;</w:t>
      </w:r>
      <w:r>
        <w:t xml:space="preserve"> </w:t>
      </w:r>
      <w:hyperlink w:anchor="ref-hmrc_vatgpb">
        <w:r>
          <w:rPr>
            <w:rStyle w:val="Hyperlink"/>
          </w:rPr>
          <w:t xml:space="preserve">2026n, sec. VATGPB11370</w:t>
        </w:r>
      </w:hyperlink>
      <w:r>
        <w:t xml:space="preserve">)</w:t>
      </w:r>
      <w:r>
        <w:t xml:space="preserve">.</w:t>
      </w:r>
    </w:p>
    <w:p>
      <w:pPr>
        <w:pStyle w:val="FirstParagraph"/>
      </w:pPr>
      <w:r>
        <w:rPr>
          <w:b/>
          <w:bCs/>
        </w:rPr>
        <w:t xml:space="preserve">Source:</w:t>
      </w:r>
      <w:r>
        <w:t xml:space="preserve"> </w:t>
      </w:r>
      <w:r>
        <w:t xml:space="preserve">HMRC manual section VATGPB10490, page last updated 7 January 2016</w:t>
      </w:r>
      <w:r>
        <w:t xml:space="preserve"> </w:t>
      </w:r>
      <w:r>
        <w:t xml:space="preserve">(</w:t>
      </w:r>
      <w:hyperlink w:anchor="ref-hmrc_vatgpb">
        <w:r>
          <w:rPr>
            <w:rStyle w:val="Hyperlink"/>
          </w:rPr>
          <w:t xml:space="preserve">HMRC, 2026n, sec. VATGPB10490</w:t>
        </w:r>
      </w:hyperlink>
      <w:r>
        <w:t xml:space="preserve">)</w:t>
      </w:r>
      <w:r>
        <w:t xml:space="preserve">.</w:t>
      </w:r>
    </w:p>
    <w:bookmarkEnd w:id="295"/>
    <w:bookmarkStart w:id="296" w:name="heading-39-medical-and-social-surveys"/>
    <w:p>
      <w:pPr>
        <w:pStyle w:val="Heading3"/>
      </w:pPr>
      <w:r>
        <w:t xml:space="preserve">Heading 39: Medical and social surveys</w:t>
      </w:r>
    </w:p>
    <w:p>
      <w:pPr>
        <w:pStyle w:val="FirstParagraph"/>
      </w:pPr>
      <w:r>
        <w:rPr>
          <w:b/>
          <w:bCs/>
        </w:rPr>
        <w:t xml:space="preserve">What it covers (HMRC’s description):</w:t>
      </w:r>
      <w:r>
        <w:t xml:space="preserve"> </w:t>
      </w:r>
      <w:r>
        <w:t xml:space="preserve">HMRC says this heading</w:t>
      </w:r>
      <w:r>
        <w:t xml:space="preserve"> </w:t>
      </w:r>
      <w:r>
        <w:t xml:space="preserve">“</w:t>
      </w:r>
      <w:r>
        <w:t xml:space="preserve">is specifically designed to allow recovery on surveys which were previously carried out in-house which are now outsourced to private sector providers and where the results are to be used for non-business activity.</w:t>
      </w:r>
      <w:r>
        <w:t xml:space="preserve">”</w:t>
      </w:r>
      <w:r>
        <w:t xml:space="preserve"> </w:t>
      </w:r>
      <w:r>
        <w:t xml:space="preserve">HMRC’s manual gives no further detail on this heading</w:t>
      </w:r>
      <w:r>
        <w:t xml:space="preserve"> </w:t>
      </w:r>
      <w:r>
        <w:t xml:space="preserve">(</w:t>
      </w:r>
      <w:hyperlink w:anchor="ref-hmrc_vatgpb">
        <w:r>
          <w:rPr>
            <w:rStyle w:val="Hyperlink"/>
          </w:rPr>
          <w:t xml:space="preserve">HMRC, 2026n, sec. VATGPB10510</w:t>
        </w:r>
      </w:hyperlink>
      <w:r>
        <w:t xml:space="preserve">)</w:t>
      </w:r>
      <w:r>
        <w:t xml:space="preserve">.</w:t>
      </w:r>
    </w:p>
    <w:p>
      <w:pPr>
        <w:pStyle w:val="BodyText"/>
      </w:pPr>
      <w:r>
        <w:t xml:space="preserve">HMRC’s general COS introduction (VATGPB9720) adds that the</w:t>
      </w:r>
      <w:r>
        <w:t xml:space="preserve"> </w:t>
      </w:r>
      <w:r>
        <w:t xml:space="preserve">“</w:t>
      </w:r>
      <w:r>
        <w:t xml:space="preserve">in-house</w:t>
      </w:r>
      <w:r>
        <w:t xml:space="preserve">”</w:t>
      </w:r>
      <w:r>
        <w:t xml:space="preserve"> </w:t>
      </w:r>
      <w:r>
        <w:t xml:space="preserve">requirement now applies across government as a whole. A department is therefore not prevented from claiming</w:t>
      </w:r>
      <w:r>
        <w:t xml:space="preserve"> </w:t>
      </w:r>
      <w:r>
        <w:t xml:space="preserve">“</w:t>
      </w:r>
      <w:r>
        <w:t xml:space="preserve">merely because you had never undertaken the activity</w:t>
      </w:r>
      <w:r>
        <w:t xml:space="preserve"> </w:t>
      </w:r>
      <w:r>
        <w:t xml:space="preserve">‘</w:t>
      </w:r>
      <w:r>
        <w:t xml:space="preserve">in-house</w:t>
      </w:r>
      <w:r>
        <w:t xml:space="preserve">’</w:t>
      </w:r>
      <w:r>
        <w:t xml:space="preserve">”</w:t>
      </w:r>
      <w:r>
        <w:t xml:space="preserve"> </w:t>
      </w:r>
      <w:r>
        <w:t xml:space="preserve">(</w:t>
      </w:r>
      <w:hyperlink w:anchor="ref-hmrc_vatgpb">
        <w:r>
          <w:rPr>
            <w:rStyle w:val="Hyperlink"/>
          </w:rPr>
          <w:t xml:space="preserve">HMRC, 2026n, sec. VATGPB9720</w:t>
        </w:r>
      </w:hyperlink>
      <w:r>
        <w:t xml:space="preserve">)</w:t>
      </w:r>
      <w:r>
        <w:t xml:space="preserve">. However, HMRC also says:</w:t>
      </w:r>
      <w:r>
        <w:t xml:space="preserve"> </w:t>
      </w:r>
      <w:r>
        <w:t xml:space="preserve">“</w:t>
      </w:r>
      <w:r>
        <w:t xml:space="preserve">If the service you are purchasing was never performed within central government or the NHS, it is most unlikely to fall within the ambit of the Direction</w:t>
      </w:r>
      <w:r>
        <w:t xml:space="preserve">”</w:t>
      </w:r>
      <w:r>
        <w:t xml:space="preserve"> </w:t>
      </w:r>
      <w:r>
        <w:t xml:space="preserve">(</w:t>
      </w:r>
      <w:hyperlink w:anchor="ref-hmrc_vatgpb">
        <w:r>
          <w:rPr>
            <w:rStyle w:val="Hyperlink"/>
          </w:rPr>
          <w:t xml:space="preserve">HMRC, 2026n, sec. VATGPB9720</w:t>
        </w:r>
      </w:hyperlink>
      <w:r>
        <w:t xml:space="preserve">)</w:t>
      </w:r>
      <w:r>
        <w:t xml:space="preserve">.</w:t>
      </w:r>
    </w:p>
    <w:p>
      <w:pPr>
        <w:pStyle w:val="BodyText"/>
      </w:pPr>
      <w:r>
        <w:rPr>
          <w:b/>
          <w:bCs/>
        </w:rPr>
        <w:t xml:space="preserve">Examples for the Department:</w:t>
      </w:r>
    </w:p>
    <w:p>
      <w:pPr>
        <w:pStyle w:val="Compact"/>
        <w:numPr>
          <w:ilvl w:val="0"/>
          <w:numId w:val="1497"/>
        </w:numPr>
      </w:pPr>
      <w:r>
        <w:rPr>
          <w:b/>
          <w:bCs/>
        </w:rPr>
        <w:t xml:space="preserve">Claimable:</w:t>
      </w:r>
      <w:r>
        <w:t xml:space="preserve"> </w:t>
      </w:r>
      <w:r>
        <w:t xml:space="preserve">A UK social research company, which charges UK VAT, runs a survey of public attitudes on a policy area. The results are used only for the Department’s non-business policy work.</w:t>
      </w:r>
    </w:p>
    <w:p>
      <w:pPr>
        <w:pStyle w:val="Compact"/>
        <w:numPr>
          <w:ilvl w:val="0"/>
          <w:numId w:val="1497"/>
        </w:numPr>
      </w:pPr>
      <w:r>
        <w:rPr>
          <w:b/>
          <w:bCs/>
        </w:rPr>
        <w:t xml:space="preserve">Not claimable:</w:t>
      </w:r>
      <w:r>
        <w:t xml:space="preserve"> </w:t>
      </w:r>
      <w:r>
        <w:t xml:space="preserve">The Department commissions a survey of overseas customers’ demand for its data licences and publications. The results feed business sales, not non-business activity, so the survey does not qualify. Any recovery goes through normal input tax rules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VATGPB10510, page last updated 7 January 2016</w:t>
      </w:r>
      <w:r>
        <w:t xml:space="preserve"> </w:t>
      </w:r>
      <w:r>
        <w:t xml:space="preserve">(</w:t>
      </w:r>
      <w:hyperlink w:anchor="ref-hmrc_vatgpb">
        <w:r>
          <w:rPr>
            <w:rStyle w:val="Hyperlink"/>
          </w:rPr>
          <w:t xml:space="preserve">HMRC, 2026n, sec. VATGPB10510</w:t>
        </w:r>
      </w:hyperlink>
      <w:r>
        <w:t xml:space="preserve">)</w:t>
      </w:r>
      <w:r>
        <w:t xml:space="preserve">; and section VATGPB9720, page last updated 25 May 2021</w:t>
      </w:r>
      <w:r>
        <w:t xml:space="preserve"> </w:t>
      </w:r>
      <w:r>
        <w:t xml:space="preserve">(</w:t>
      </w:r>
      <w:hyperlink w:anchor="ref-hmrc_vatgpb">
        <w:r>
          <w:rPr>
            <w:rStyle w:val="Hyperlink"/>
          </w:rPr>
          <w:t xml:space="preserve">HMRC, 2026n, sec. VATGPB9720</w:t>
        </w:r>
      </w:hyperlink>
      <w:r>
        <w:t xml:space="preserve">)</w:t>
      </w:r>
      <w:r>
        <w:t xml:space="preserve">.</w:t>
      </w:r>
    </w:p>
    <w:bookmarkEnd w:id="296"/>
    <w:bookmarkStart w:id="297" w:name="X7f6a094e3227ddf141b36e9afa49b76e0d08043"/>
    <w:p>
      <w:pPr>
        <w:pStyle w:val="Heading3"/>
      </w:pPr>
      <w:r>
        <w:t xml:space="preserve">Heading 40: Messenger, portering and reception services</w:t>
      </w:r>
    </w:p>
    <w:p>
      <w:pPr>
        <w:pStyle w:val="FirstParagraph"/>
      </w:pPr>
      <w:r>
        <w:rPr>
          <w:b/>
          <w:bCs/>
        </w:rPr>
        <w:t xml:space="preserve">What it covers (HMRC’s description):</w:t>
      </w:r>
      <w:r>
        <w:t xml:space="preserve"> </w:t>
      </w:r>
      <w:r>
        <w:t xml:space="preserve">“</w:t>
      </w:r>
      <w:r>
        <w:t xml:space="preserve">This Heading covers messenger, portering and reception services.</w:t>
      </w:r>
      <w:r>
        <w:t xml:space="preserve">”</w:t>
      </w:r>
      <w:r>
        <w:t xml:space="preserve"> </w:t>
      </w:r>
      <w:r>
        <w:t xml:space="preserve">Apart from the lists below, HMRC’s manual gives no further detail</w:t>
      </w:r>
      <w:r>
        <w:t xml:space="preserve"> </w:t>
      </w:r>
      <w:r>
        <w:t xml:space="preserve">(</w:t>
      </w:r>
      <w:hyperlink w:anchor="ref-hmrc_vatgpb">
        <w:r>
          <w:rPr>
            <w:rStyle w:val="Hyperlink"/>
          </w:rPr>
          <w:t xml:space="preserve">HMRC, 2026n, sec. VATGPB10530</w:t>
        </w:r>
      </w:hyperlink>
      <w:r>
        <w:t xml:space="preserve">)</w:t>
      </w:r>
      <w:r>
        <w:t xml:space="preserve">.</w:t>
      </w:r>
    </w:p>
    <w:p>
      <w:pPr>
        <w:pStyle w:val="BodyText"/>
      </w:pPr>
      <w:r>
        <w:rPr>
          <w:b/>
          <w:bCs/>
        </w:rPr>
        <w:t xml:space="preserve">Includes:</w:t>
      </w:r>
    </w:p>
    <w:p>
      <w:pPr>
        <w:pStyle w:val="Compact"/>
        <w:numPr>
          <w:ilvl w:val="0"/>
          <w:numId w:val="1498"/>
        </w:numPr>
      </w:pPr>
      <w:r>
        <w:t xml:space="preserve">“</w:t>
      </w:r>
      <w:r>
        <w:t xml:space="preserve">Collection and distribution of internal mail by a private company</w:t>
      </w:r>
      <w:r>
        <w:t xml:space="preserve">”</w:t>
      </w:r>
    </w:p>
    <w:p>
      <w:pPr>
        <w:pStyle w:val="Compact"/>
        <w:numPr>
          <w:ilvl w:val="0"/>
          <w:numId w:val="1498"/>
        </w:numPr>
      </w:pPr>
      <w:r>
        <w:t xml:space="preserve">“</w:t>
      </w:r>
      <w:r>
        <w:t xml:space="preserve">Patient appointment/reminder services</w:t>
      </w:r>
      <w:r>
        <w:t xml:space="preserve">”</w:t>
      </w:r>
    </w:p>
    <w:p>
      <w:pPr>
        <w:pStyle w:val="Compact"/>
        <w:numPr>
          <w:ilvl w:val="0"/>
          <w:numId w:val="1498"/>
        </w:numPr>
      </w:pPr>
      <w:r>
        <w:t xml:space="preserve">“</w:t>
      </w:r>
      <w:r>
        <w:t xml:space="preserve">Portering services such as the movement of patients and equipment around hospitals</w:t>
      </w:r>
      <w:r>
        <w:t xml:space="preserve">”</w:t>
      </w:r>
    </w:p>
    <w:p>
      <w:pPr>
        <w:pStyle w:val="Compact"/>
        <w:numPr>
          <w:ilvl w:val="0"/>
          <w:numId w:val="1498"/>
        </w:numPr>
      </w:pPr>
      <w:r>
        <w:t xml:space="preserve">“</w:t>
      </w:r>
      <w:r>
        <w:t xml:space="preserve">Movement of corpses by funeral directors to or from the hospital site</w:t>
      </w:r>
      <w:r>
        <w:t xml:space="preserve">”</w:t>
      </w:r>
    </w:p>
    <w:p>
      <w:pPr>
        <w:pStyle w:val="FirstParagraph"/>
      </w:pPr>
      <w:r>
        <w:rPr>
          <w:b/>
          <w:bCs/>
        </w:rPr>
        <w:t xml:space="preserve">Excludes:</w:t>
      </w:r>
    </w:p>
    <w:p>
      <w:pPr>
        <w:pStyle w:val="Compact"/>
        <w:numPr>
          <w:ilvl w:val="0"/>
          <w:numId w:val="1499"/>
        </w:numPr>
      </w:pPr>
      <w:r>
        <w:t xml:space="preserve">“</w:t>
      </w:r>
      <w:r>
        <w:t xml:space="preserve">The hire of telephone equipment/telephone lines or switchboard equipment alone</w:t>
      </w:r>
      <w:r>
        <w:t xml:space="preserve">”</w:t>
      </w:r>
    </w:p>
    <w:p>
      <w:pPr>
        <w:pStyle w:val="Compact"/>
        <w:numPr>
          <w:ilvl w:val="0"/>
          <w:numId w:val="1499"/>
        </w:numPr>
      </w:pPr>
      <w:r>
        <w:t xml:space="preserve">“</w:t>
      </w:r>
      <w:r>
        <w:t xml:space="preserve">Hire of agency staff to supplement in-house services during peak times or to cover leave</w:t>
      </w:r>
      <w:r>
        <w:t xml:space="preserve">”</w:t>
      </w:r>
    </w:p>
    <w:p>
      <w:pPr>
        <w:pStyle w:val="FirstParagraph"/>
      </w:pPr>
      <w:r>
        <w:rPr>
          <w:b/>
          <w:bCs/>
        </w:rPr>
        <w:t xml:space="preserve">Examples for the Department:</w:t>
      </w:r>
    </w:p>
    <w:p>
      <w:pPr>
        <w:pStyle w:val="Compact"/>
        <w:numPr>
          <w:ilvl w:val="0"/>
          <w:numId w:val="1500"/>
        </w:numPr>
      </w:pPr>
      <w:r>
        <w:rPr>
          <w:b/>
          <w:bCs/>
        </w:rPr>
        <w:t xml:space="preserve">Claimable:</w:t>
      </w:r>
      <w:r>
        <w:t xml:space="preserve"> </w:t>
      </w:r>
      <w:r>
        <w:t xml:space="preserve">A facilities company runs the Department’s front-of-house reception at headquarters as a contracted service, including receiving overseas government delegations. This is a reception service.</w:t>
      </w:r>
    </w:p>
    <w:p>
      <w:pPr>
        <w:pStyle w:val="Compact"/>
        <w:numPr>
          <w:ilvl w:val="0"/>
          <w:numId w:val="1500"/>
        </w:numPr>
      </w:pPr>
      <w:r>
        <w:rPr>
          <w:b/>
          <w:bCs/>
        </w:rPr>
        <w:t xml:space="preserve">Claimable:</w:t>
      </w:r>
      <w:r>
        <w:t xml:space="preserve"> </w:t>
      </w:r>
      <w:r>
        <w:t xml:space="preserve">A private company collects and distributes internal mail between the Department’s buildings. HMRC lists this.</w:t>
      </w:r>
    </w:p>
    <w:p>
      <w:pPr>
        <w:pStyle w:val="Compact"/>
        <w:numPr>
          <w:ilvl w:val="0"/>
          <w:numId w:val="1500"/>
        </w:numPr>
      </w:pPr>
      <w:r>
        <w:rPr>
          <w:b/>
          <w:bCs/>
        </w:rPr>
        <w:t xml:space="preserve">Not claimable:</w:t>
      </w:r>
      <w:r>
        <w:t xml:space="preserve"> </w:t>
      </w:r>
      <w:r>
        <w:t xml:space="preserve">An agency supplies a temporary receptionist to cover the in-house receptionist’s annual leave. HMRC excludes agency staff hired</w:t>
      </w:r>
      <w:r>
        <w:t xml:space="preserve"> </w:t>
      </w:r>
      <w:r>
        <w:t xml:space="preserve">“</w:t>
      </w:r>
      <w:r>
        <w:t xml:space="preserve">to cover leave</w:t>
      </w:r>
      <w:r>
        <w:t xml:space="preserve">”</w:t>
      </w:r>
      <w:r>
        <w:t xml:space="preserve">.</w:t>
      </w:r>
    </w:p>
    <w:p>
      <w:pPr>
        <w:pStyle w:val="Compact"/>
        <w:numPr>
          <w:ilvl w:val="0"/>
          <w:numId w:val="1500"/>
        </w:numPr>
      </w:pPr>
      <w:r>
        <w:rPr>
          <w:b/>
          <w:bCs/>
        </w:rPr>
        <w:t xml:space="preserve">Not claimable:</w:t>
      </w:r>
      <w:r>
        <w:t xml:space="preserve"> </w:t>
      </w:r>
      <w:r>
        <w:t xml:space="preserve">The Department rents a new switchboard and phone lines on their own. HMRC excludes this.</w:t>
      </w:r>
    </w:p>
    <w:p>
      <w:pPr>
        <w:pStyle w:val="FirstParagraph"/>
      </w:pPr>
      <w:r>
        <w:rPr>
          <w:b/>
          <w:bCs/>
        </w:rPr>
        <w:t xml:space="preserve">Source:</w:t>
      </w:r>
      <w:r>
        <w:t xml:space="preserve"> </w:t>
      </w:r>
      <w:r>
        <w:t xml:space="preserve">HMRC manual section VATGPB10530, page last updated 7 January 2016</w:t>
      </w:r>
      <w:r>
        <w:t xml:space="preserve"> </w:t>
      </w:r>
      <w:r>
        <w:t xml:space="preserve">(</w:t>
      </w:r>
      <w:hyperlink w:anchor="ref-hmrc_vatgpb">
        <w:r>
          <w:rPr>
            <w:rStyle w:val="Hyperlink"/>
          </w:rPr>
          <w:t xml:space="preserve">HMRC, 2026n, sec. VATGPB10530</w:t>
        </w:r>
      </w:hyperlink>
      <w:r>
        <w:t xml:space="preserve">)</w:t>
      </w:r>
      <w:r>
        <w:t xml:space="preserve">.</w:t>
      </w:r>
    </w:p>
    <w:bookmarkEnd w:id="297"/>
    <w:bookmarkStart w:id="298" w:name="heading-41-nursing-services"/>
    <w:p>
      <w:pPr>
        <w:pStyle w:val="Heading3"/>
      </w:pPr>
      <w:r>
        <w:t xml:space="preserve">Heading 41: Nursing services</w:t>
      </w:r>
    </w:p>
    <w:p>
      <w:pPr>
        <w:pStyle w:val="FirstParagraph"/>
      </w:pPr>
      <w:r>
        <w:rPr>
          <w:b/>
          <w:bCs/>
        </w:rPr>
        <w:t xml:space="preserve">What it covers (HMRC’s description):</w:t>
      </w:r>
      <w:r>
        <w:t xml:space="preserve"> </w:t>
      </w:r>
      <w:r>
        <w:t xml:space="preserve">This heading is</w:t>
      </w:r>
      <w:r>
        <w:t xml:space="preserve"> </w:t>
      </w:r>
      <w:r>
        <w:t xml:space="preserve">“</w:t>
      </w:r>
      <w:r>
        <w:t xml:space="preserve">intended to allow recovery on nursing services in its widest sense</w:t>
      </w:r>
      <w:r>
        <w:t xml:space="preserve">”</w:t>
      </w:r>
      <w:r>
        <w:t xml:space="preserve">. HMRC says</w:t>
      </w:r>
      <w:r>
        <w:t xml:space="preserve"> </w:t>
      </w:r>
      <w:r>
        <w:t xml:space="preserve">“</w:t>
      </w:r>
      <w:r>
        <w:t xml:space="preserve">there is no stipulation that the nursing staff have to be providing medical care</w:t>
      </w:r>
      <w:r>
        <w:t xml:space="preserve">”</w:t>
      </w:r>
      <w:r>
        <w:t xml:space="preserve"> </w:t>
      </w:r>
      <w:r>
        <w:t xml:space="preserve">(</w:t>
      </w:r>
      <w:hyperlink w:anchor="ref-hmrc_vatgpb">
        <w:r>
          <w:rPr>
            <w:rStyle w:val="Hyperlink"/>
          </w:rPr>
          <w:t xml:space="preserve">HMRC, 2026n, sec. VATGPB10550</w:t>
        </w:r>
      </w:hyperlink>
      <w:r>
        <w:t xml:space="preserve">)</w:t>
      </w:r>
      <w:r>
        <w:t xml:space="preserve">.</w:t>
      </w:r>
    </w:p>
    <w:p>
      <w:pPr>
        <w:pStyle w:val="BodyText"/>
      </w:pPr>
      <w:r>
        <w:t xml:space="preserve">HMRC quotes the Royal College of Nursing definition of nursing:</w:t>
      </w:r>
      <w:r>
        <w:t xml:space="preserve"> </w:t>
      </w:r>
      <w:r>
        <w:t xml:space="preserve">“</w:t>
      </w:r>
      <w:r>
        <w:t xml:space="preserve">the use of clinical judgement in the provision of care to enable people to improve, maintain, or recover health, to cope with health problems, and to achieve the best possible quality of life, whatever their disease or disability, until death</w:t>
      </w:r>
      <w:r>
        <w:t xml:space="preserve">”</w:t>
      </w:r>
      <w:r>
        <w:t xml:space="preserve"> </w:t>
      </w:r>
      <w:r>
        <w:t xml:space="preserve">(</w:t>
      </w:r>
      <w:hyperlink w:anchor="ref-hmrc_vatgpb">
        <w:r>
          <w:rPr>
            <w:rStyle w:val="Hyperlink"/>
          </w:rPr>
          <w:t xml:space="preserve">HMRC, 2026n, sec. VATGPB10550</w:t>
        </w:r>
      </w:hyperlink>
      <w:r>
        <w:t xml:space="preserve">)</w:t>
      </w:r>
      <w:r>
        <w:t xml:space="preserve">.</w:t>
      </w:r>
    </w:p>
    <w:p>
      <w:pPr>
        <w:pStyle w:val="BodyText"/>
      </w:pPr>
      <w:r>
        <w:t xml:space="preserve">HMRC warns:</w:t>
      </w:r>
      <w:r>
        <w:t xml:space="preserve"> </w:t>
      </w:r>
      <w:r>
        <w:t xml:space="preserve">“</w:t>
      </w:r>
      <w:r>
        <w:t xml:space="preserve">You should not assume that there is a VAT element included in the charge made to you for nursing services, as the supply may be exempt from VAT. You should check the supplier’s invoice to check whether VAT has been charged</w:t>
      </w:r>
      <w:r>
        <w:t xml:space="preserve">”</w:t>
      </w:r>
      <w:r>
        <w:t xml:space="preserve"> </w:t>
      </w:r>
      <w:r>
        <w:t xml:space="preserve">(</w:t>
      </w:r>
      <w:hyperlink w:anchor="ref-hmrc_vatgpb">
        <w:r>
          <w:rPr>
            <w:rStyle w:val="Hyperlink"/>
          </w:rPr>
          <w:t xml:space="preserve">HMRC, 2026n, sec. VATGPB10550</w:t>
        </w:r>
      </w:hyperlink>
      <w:r>
        <w:t xml:space="preserve">)</w:t>
      </w:r>
      <w:r>
        <w:t xml:space="preserve">.</w:t>
      </w:r>
    </w:p>
    <w:p>
      <w:pPr>
        <w:pStyle w:val="BodyText"/>
      </w:pPr>
      <w:r>
        <w:rPr>
          <w:b/>
          <w:bCs/>
        </w:rPr>
        <w:t xml:space="preserve">Who it is aimed at:</w:t>
      </w:r>
      <w:r>
        <w:t xml:space="preserve"> </w:t>
      </w:r>
      <w:r>
        <w:t xml:space="preserve">most of the roles HMRC lists are NHS roles, so the Department will rarely use this heading. It can still apply, for example to occupational health nursing.</w:t>
      </w:r>
    </w:p>
    <w:p>
      <w:pPr>
        <w:pStyle w:val="BodyText"/>
      </w:pPr>
      <w:r>
        <w:rPr>
          <w:b/>
          <w:bCs/>
        </w:rPr>
        <w:t xml:space="preserve">Includes:</w:t>
      </w:r>
      <w:r>
        <w:t xml:space="preserve"> </w:t>
      </w:r>
      <w:r>
        <w:t xml:space="preserve">HMRC covers situations</w:t>
      </w:r>
      <w:r>
        <w:t xml:space="preserve"> </w:t>
      </w:r>
      <w:r>
        <w:t xml:space="preserve">“</w:t>
      </w:r>
      <w:r>
        <w:t xml:space="preserve">where you are charged VAT on the provision of nursing services or agency nursing staff</w:t>
      </w:r>
      <w:r>
        <w:t xml:space="preserve">”</w:t>
      </w:r>
      <w:r>
        <w:t xml:space="preserve">, including:</w:t>
      </w:r>
    </w:p>
    <w:p>
      <w:pPr>
        <w:pStyle w:val="Compact"/>
        <w:numPr>
          <w:ilvl w:val="0"/>
          <w:numId w:val="1501"/>
        </w:numPr>
      </w:pPr>
      <w:r>
        <w:t xml:space="preserve">“</w:t>
      </w:r>
      <w:r>
        <w:t xml:space="preserve">All grades of registered bank nurses, working on wards across the NHS</w:t>
      </w:r>
      <w:r>
        <w:t xml:space="preserve">”</w:t>
      </w:r>
    </w:p>
    <w:p>
      <w:pPr>
        <w:pStyle w:val="Compact"/>
        <w:numPr>
          <w:ilvl w:val="0"/>
          <w:numId w:val="1501"/>
        </w:numPr>
      </w:pPr>
      <w:r>
        <w:t xml:space="preserve">“</w:t>
      </w:r>
      <w:r>
        <w:t xml:space="preserve">Healthcare Assistants</w:t>
      </w:r>
      <w:r>
        <w:t xml:space="preserve">”</w:t>
      </w:r>
    </w:p>
    <w:p>
      <w:pPr>
        <w:pStyle w:val="Compact"/>
        <w:numPr>
          <w:ilvl w:val="0"/>
          <w:numId w:val="1501"/>
        </w:numPr>
      </w:pPr>
      <w:r>
        <w:t xml:space="preserve">“</w:t>
      </w:r>
      <w:r>
        <w:t xml:space="preserve">Midwives and midwifery assistants</w:t>
      </w:r>
      <w:r>
        <w:t xml:space="preserve">”</w:t>
      </w:r>
    </w:p>
    <w:p>
      <w:pPr>
        <w:pStyle w:val="Compact"/>
        <w:numPr>
          <w:ilvl w:val="0"/>
          <w:numId w:val="1501"/>
        </w:numPr>
      </w:pPr>
      <w:r>
        <w:t xml:space="preserve">“</w:t>
      </w:r>
      <w:r>
        <w:t xml:space="preserve">Phlebotomists</w:t>
      </w:r>
      <w:r>
        <w:t xml:space="preserve">”</w:t>
      </w:r>
    </w:p>
    <w:p>
      <w:pPr>
        <w:pStyle w:val="Compact"/>
        <w:numPr>
          <w:ilvl w:val="0"/>
          <w:numId w:val="1501"/>
        </w:numPr>
      </w:pPr>
      <w:r>
        <w:t xml:space="preserve">“</w:t>
      </w:r>
      <w:r>
        <w:t xml:space="preserve">Theatre Scrub nurses</w:t>
      </w:r>
      <w:r>
        <w:t xml:space="preserve">”</w:t>
      </w:r>
    </w:p>
    <w:p>
      <w:pPr>
        <w:pStyle w:val="Compact"/>
        <w:numPr>
          <w:ilvl w:val="0"/>
          <w:numId w:val="1501"/>
        </w:numPr>
      </w:pPr>
      <w:r>
        <w:t xml:space="preserve">“</w:t>
      </w:r>
      <w:r>
        <w:t xml:space="preserve">Nurses employed by the 111 service</w:t>
      </w:r>
      <w:r>
        <w:t xml:space="preserve">”</w:t>
      </w:r>
    </w:p>
    <w:p>
      <w:pPr>
        <w:pStyle w:val="Compact"/>
        <w:numPr>
          <w:ilvl w:val="0"/>
          <w:numId w:val="1501"/>
        </w:numPr>
      </w:pPr>
      <w:r>
        <w:t xml:space="preserve">“</w:t>
      </w:r>
      <w:r>
        <w:t xml:space="preserve">Operating Departmental Practitioners (ODPs)</w:t>
      </w:r>
      <w:r>
        <w:t xml:space="preserve">”</w:t>
      </w:r>
      <w:r>
        <w:t xml:space="preserve">, because of changes in their role. HMRC notes that ODPs were previously excluded.</w:t>
      </w:r>
    </w:p>
    <w:p>
      <w:pPr>
        <w:pStyle w:val="FirstParagraph"/>
      </w:pPr>
      <w:r>
        <w:rPr>
          <w:b/>
          <w:bCs/>
        </w:rPr>
        <w:t xml:space="preserve">Excludes:</w:t>
      </w:r>
    </w:p>
    <w:p>
      <w:pPr>
        <w:pStyle w:val="Compact"/>
        <w:numPr>
          <w:ilvl w:val="0"/>
          <w:numId w:val="1502"/>
        </w:numPr>
      </w:pPr>
      <w:r>
        <w:t xml:space="preserve">“</w:t>
      </w:r>
      <w:r>
        <w:t xml:space="preserve">Other types of medical professionals such as doctors, locums</w:t>
      </w:r>
      <w:r>
        <w:t xml:space="preserve">”</w:t>
      </w:r>
    </w:p>
    <w:p>
      <w:pPr>
        <w:pStyle w:val="Compact"/>
        <w:numPr>
          <w:ilvl w:val="0"/>
          <w:numId w:val="1502"/>
        </w:numPr>
      </w:pPr>
      <w:r>
        <w:t xml:space="preserve">“</w:t>
      </w:r>
      <w:r>
        <w:t xml:space="preserve">Other healthcare professionals such as ambulance paramedics</w:t>
      </w:r>
      <w:r>
        <w:t xml:space="preserve">”</w:t>
      </w:r>
    </w:p>
    <w:p>
      <w:pPr>
        <w:pStyle w:val="FirstParagraph"/>
      </w:pPr>
      <w:r>
        <w:rPr>
          <w:b/>
          <w:bCs/>
        </w:rPr>
        <w:t xml:space="preserve">Examples for the Department:</w:t>
      </w:r>
    </w:p>
    <w:p>
      <w:pPr>
        <w:pStyle w:val="Compact"/>
        <w:numPr>
          <w:ilvl w:val="0"/>
          <w:numId w:val="1503"/>
        </w:numPr>
      </w:pPr>
      <w:r>
        <w:rPr>
          <w:b/>
          <w:bCs/>
        </w:rPr>
        <w:t xml:space="preserve">Claimable:</w:t>
      </w:r>
      <w:r>
        <w:t xml:space="preserve"> </w:t>
      </w:r>
      <w:r>
        <w:t xml:space="preserve">An agency supplies an occupational health nurse to the Department’s headquarters, and the invoice shows UK VAT. This is nursing</w:t>
      </w:r>
      <w:r>
        <w:t xml:space="preserve"> </w:t>
      </w:r>
      <w:r>
        <w:t xml:space="preserve">“</w:t>
      </w:r>
      <w:r>
        <w:t xml:space="preserve">in its widest sense</w:t>
      </w:r>
      <w:r>
        <w:t xml:space="preserve">”</w:t>
      </w:r>
      <w:r>
        <w:t xml:space="preserve">. It is only claimable if VAT is actually on the invoice.</w:t>
      </w:r>
    </w:p>
    <w:p>
      <w:pPr>
        <w:pStyle w:val="Compact"/>
        <w:numPr>
          <w:ilvl w:val="0"/>
          <w:numId w:val="1503"/>
        </w:numPr>
      </w:pPr>
      <w:r>
        <w:rPr>
          <w:b/>
          <w:bCs/>
        </w:rPr>
        <w:t xml:space="preserve">Not claimable:</w:t>
      </w:r>
      <w:r>
        <w:t xml:space="preserve"> </w:t>
      </w:r>
      <w:r>
        <w:t xml:space="preserve">An agency provides a locum doctor or a paramedic for medical cover at an event. HMRC excludes doctors, locums and paramedics.</w:t>
      </w:r>
    </w:p>
    <w:p>
      <w:pPr>
        <w:pStyle w:val="Compact"/>
        <w:numPr>
          <w:ilvl w:val="0"/>
          <w:numId w:val="1503"/>
        </w:numPr>
      </w:pPr>
      <w:r>
        <w:rPr>
          <w:b/>
          <w:bCs/>
        </w:rPr>
        <w:t xml:space="preserve">Not claimable:</w:t>
      </w:r>
      <w:r>
        <w:t xml:space="preserve"> </w:t>
      </w:r>
      <w:r>
        <w:t xml:space="preserve">A member of staff on an overseas posting falls ill and the Department pays for local nursing care, which carries that country’s VAT. Foreign VAT is not UK VAT (Value Added Tax Act 1994, ss. 1(1) and 41(3)).</w:t>
      </w:r>
    </w:p>
    <w:p>
      <w:pPr>
        <w:pStyle w:val="FirstParagraph"/>
      </w:pPr>
      <w:r>
        <w:rPr>
          <w:b/>
          <w:bCs/>
        </w:rPr>
        <w:t xml:space="preserve">Source:</w:t>
      </w:r>
      <w:r>
        <w:t xml:space="preserve"> </w:t>
      </w:r>
      <w:r>
        <w:t xml:space="preserve">HMRC manual section VATGPB10550, page last updated 21 May 2021</w:t>
      </w:r>
      <w:r>
        <w:t xml:space="preserve"> </w:t>
      </w:r>
      <w:r>
        <w:t xml:space="preserve">(</w:t>
      </w:r>
      <w:hyperlink w:anchor="ref-hmrc_vatgpb">
        <w:r>
          <w:rPr>
            <w:rStyle w:val="Hyperlink"/>
          </w:rPr>
          <w:t xml:space="preserve">HMRC, 2026n, sec. VATGPB10550</w:t>
        </w:r>
      </w:hyperlink>
      <w:r>
        <w:t xml:space="preserve">)</w:t>
      </w:r>
      <w:r>
        <w:t xml:space="preserve">.</w:t>
      </w:r>
    </w:p>
    <w:bookmarkEnd w:id="298"/>
    <w:bookmarkStart w:id="299" w:name="heading-42-office-removals"/>
    <w:p>
      <w:pPr>
        <w:pStyle w:val="Heading3"/>
      </w:pPr>
      <w:r>
        <w:t xml:space="preserve">Heading 42: Office removals</w:t>
      </w:r>
    </w:p>
    <w:p>
      <w:pPr>
        <w:pStyle w:val="FirstParagraph"/>
      </w:pPr>
      <w:r>
        <w:rPr>
          <w:b/>
          <w:bCs/>
        </w:rPr>
        <w:t xml:space="preserve">What it covers (HMRC’s description):</w:t>
      </w:r>
      <w:r>
        <w:t xml:space="preserve"> </w:t>
      </w:r>
      <w:r>
        <w:t xml:space="preserve">“</w:t>
      </w:r>
      <w:r>
        <w:t xml:space="preserve">This Heading covers services involved with office removals.</w:t>
      </w:r>
      <w:r>
        <w:t xml:space="preserve">”</w:t>
      </w:r>
      <w:r>
        <w:t xml:space="preserve"> </w:t>
      </w:r>
      <w:r>
        <w:t xml:space="preserve">Apart from the lists below, HMRC’s manual gives no further detail</w:t>
      </w:r>
      <w:r>
        <w:t xml:space="preserve"> </w:t>
      </w:r>
      <w:r>
        <w:t xml:space="preserve">(</w:t>
      </w:r>
      <w:hyperlink w:anchor="ref-hmrc_vatgpb">
        <w:r>
          <w:rPr>
            <w:rStyle w:val="Hyperlink"/>
          </w:rPr>
          <w:t xml:space="preserve">HMRC, 2026n, sec. VATGPB10570</w:t>
        </w:r>
      </w:hyperlink>
      <w:r>
        <w:t xml:space="preserve">)</w:t>
      </w:r>
      <w:r>
        <w:t xml:space="preserve">.</w:t>
      </w:r>
    </w:p>
    <w:p>
      <w:pPr>
        <w:pStyle w:val="BodyText"/>
      </w:pPr>
      <w:r>
        <w:rPr>
          <w:b/>
          <w:bCs/>
        </w:rPr>
        <w:t xml:space="preserve">Includes:</w:t>
      </w:r>
    </w:p>
    <w:p>
      <w:pPr>
        <w:pStyle w:val="Compact"/>
        <w:numPr>
          <w:ilvl w:val="0"/>
          <w:numId w:val="1504"/>
        </w:numPr>
      </w:pPr>
      <w:r>
        <w:t xml:space="preserve">“</w:t>
      </w:r>
      <w:r>
        <w:t xml:space="preserve">Office relocation contractors</w:t>
      </w:r>
      <w:r>
        <w:t xml:space="preserve">”</w:t>
      </w:r>
    </w:p>
    <w:p>
      <w:pPr>
        <w:pStyle w:val="Compact"/>
        <w:numPr>
          <w:ilvl w:val="0"/>
          <w:numId w:val="1504"/>
        </w:numPr>
      </w:pPr>
      <w:r>
        <w:t xml:space="preserve">“</w:t>
      </w:r>
      <w:r>
        <w:t xml:space="preserve">Provision of removal services</w:t>
      </w:r>
      <w:r>
        <w:t xml:space="preserve">”</w:t>
      </w:r>
    </w:p>
    <w:p>
      <w:pPr>
        <w:pStyle w:val="Compact"/>
        <w:numPr>
          <w:ilvl w:val="0"/>
          <w:numId w:val="1504"/>
        </w:numPr>
      </w:pPr>
      <w:r>
        <w:t xml:space="preserve">“</w:t>
      </w:r>
      <w:r>
        <w:t xml:space="preserve">Crate hire when part of a removal contract</w:t>
      </w:r>
      <w:r>
        <w:t xml:space="preserve">”</w:t>
      </w:r>
    </w:p>
    <w:p>
      <w:pPr>
        <w:pStyle w:val="Compact"/>
        <w:numPr>
          <w:ilvl w:val="0"/>
          <w:numId w:val="1504"/>
        </w:numPr>
      </w:pPr>
      <w:r>
        <w:t xml:space="preserve">“</w:t>
      </w:r>
      <w:r>
        <w:t xml:space="preserve">Contractors moving office accommodation, for example from one floor to another</w:t>
      </w:r>
      <w:r>
        <w:t xml:space="preserve">”</w:t>
      </w:r>
    </w:p>
    <w:p>
      <w:pPr>
        <w:pStyle w:val="FirstParagraph"/>
      </w:pPr>
      <w:r>
        <w:rPr>
          <w:b/>
          <w:bCs/>
        </w:rPr>
        <w:t xml:space="preserve">Excludes:</w:t>
      </w:r>
    </w:p>
    <w:p>
      <w:pPr>
        <w:pStyle w:val="Compact"/>
        <w:numPr>
          <w:ilvl w:val="0"/>
          <w:numId w:val="1505"/>
        </w:numPr>
      </w:pPr>
      <w:r>
        <w:t xml:space="preserve">“</w:t>
      </w:r>
      <w:r>
        <w:t xml:space="preserve">Crate hire alone</w:t>
      </w:r>
      <w:r>
        <w:t xml:space="preserve">”</w:t>
      </w:r>
    </w:p>
    <w:p>
      <w:pPr>
        <w:pStyle w:val="FirstParagraph"/>
      </w:pPr>
      <w:r>
        <w:rPr>
          <w:b/>
          <w:bCs/>
        </w:rPr>
        <w:t xml:space="preserve">Examples for the Department:</w:t>
      </w:r>
    </w:p>
    <w:p>
      <w:pPr>
        <w:pStyle w:val="Compact"/>
        <w:numPr>
          <w:ilvl w:val="0"/>
          <w:numId w:val="1506"/>
        </w:numPr>
      </w:pPr>
      <w:r>
        <w:rPr>
          <w:b/>
          <w:bCs/>
        </w:rPr>
        <w:t xml:space="preserve">Claimable:</w:t>
      </w:r>
      <w:r>
        <w:t xml:space="preserve"> </w:t>
      </w:r>
      <w:r>
        <w:t xml:space="preserve">A removal contractor moves the Department’s training team from the third floor to the fifth floor, and crate hire is included in the same contract. HMRC lists moves</w:t>
      </w:r>
      <w:r>
        <w:t xml:space="preserve"> </w:t>
      </w:r>
      <w:r>
        <w:t xml:space="preserve">“</w:t>
      </w:r>
      <w:r>
        <w:t xml:space="preserve">from one floor to another</w:t>
      </w:r>
      <w:r>
        <w:t xml:space="preserve">”</w:t>
      </w:r>
      <w:r>
        <w:t xml:space="preserve"> </w:t>
      </w:r>
      <w:r>
        <w:t xml:space="preserve">and crate hire</w:t>
      </w:r>
      <w:r>
        <w:t xml:space="preserve"> </w:t>
      </w:r>
      <w:r>
        <w:t xml:space="preserve">“</w:t>
      </w:r>
      <w:r>
        <w:t xml:space="preserve">when part of a removal contract</w:t>
      </w:r>
      <w:r>
        <w:t xml:space="preserve">”</w:t>
      </w:r>
      <w:r>
        <w:t xml:space="preserve">.</w:t>
      </w:r>
    </w:p>
    <w:p>
      <w:pPr>
        <w:pStyle w:val="Compact"/>
        <w:numPr>
          <w:ilvl w:val="0"/>
          <w:numId w:val="1506"/>
        </w:numPr>
      </w:pPr>
      <w:r>
        <w:rPr>
          <w:b/>
          <w:bCs/>
        </w:rPr>
        <w:t xml:space="preserve">Not claimable:</w:t>
      </w:r>
      <w:r>
        <w:t xml:space="preserve"> </w:t>
      </w:r>
      <w:r>
        <w:t xml:space="preserve">The Department hires crates on their own so staff can pack and move themselves. HMRC excludes</w:t>
      </w:r>
      <w:r>
        <w:t xml:space="preserve"> </w:t>
      </w:r>
      <w:r>
        <w:t xml:space="preserve">“</w:t>
      </w:r>
      <w:r>
        <w:t xml:space="preserve">Crate hire alone</w:t>
      </w:r>
      <w:r>
        <w:t xml:space="preserve">”</w:t>
      </w:r>
      <w:r>
        <w:t xml:space="preserve">.</w:t>
      </w:r>
    </w:p>
    <w:p>
      <w:pPr>
        <w:pStyle w:val="Compact"/>
        <w:numPr>
          <w:ilvl w:val="0"/>
          <w:numId w:val="1506"/>
        </w:numPr>
      </w:pPr>
      <w:r>
        <w:rPr>
          <w:b/>
          <w:bCs/>
        </w:rPr>
        <w:t xml:space="preserve">Not claimable:</w:t>
      </w:r>
      <w:r>
        <w:t xml:space="preserve"> </w:t>
      </w:r>
      <w:r>
        <w:t xml:space="preserve">A removal company moves a staff member’s household goods for an overseas posting. This is not an office removal, so it does not fall under this heading. Instead, look at Heading 57, which covers staff relocation</w:t>
      </w:r>
      <w:r>
        <w:t xml:space="preserve"> </w:t>
      </w:r>
      <w:r>
        <w:t xml:space="preserve">“</w:t>
      </w:r>
      <w:r>
        <w:t xml:space="preserve">where the department commissions the removal company</w:t>
      </w:r>
      <w:r>
        <w:t xml:space="preserve">”</w:t>
      </w:r>
      <w:r>
        <w:t xml:space="preserve"> </w:t>
      </w:r>
      <w:r>
        <w:t xml:space="preserve">but excludes</w:t>
      </w:r>
      <w:r>
        <w:t xml:space="preserve"> </w:t>
      </w:r>
      <w:r>
        <w:t xml:space="preserve">“</w:t>
      </w:r>
      <w:r>
        <w:t xml:space="preserve">removal firms hired by staff</w:t>
      </w:r>
      <w:r>
        <w:t xml:space="preserve">”</w:t>
      </w:r>
      <w:r>
        <w:t xml:space="preserve"> </w:t>
      </w:r>
      <w:r>
        <w:t xml:space="preserve">(</w:t>
      </w:r>
      <w:hyperlink w:anchor="ref-hmrc_vatgpb">
        <w:r>
          <w:rPr>
            <w:rStyle w:val="Hyperlink"/>
          </w:rPr>
          <w:t xml:space="preserve">HMRC, 2026n, sec. VATGPB10870</w:t>
        </w:r>
      </w:hyperlink>
      <w:r>
        <w:t xml:space="preserve">)</w:t>
      </w:r>
      <w:r>
        <w:t xml:space="preserve">. Also, the transport of goods out of the UK is usually zero-rated (Value Added Tax Act 1994, Sch. 8, Group 8, item 5), so check whether any UK VAT is actually charged</w:t>
      </w:r>
      <w:r>
        <w:t xml:space="preserve"> </w:t>
      </w:r>
      <w:r>
        <w:t xml:space="preserve">(</w:t>
      </w:r>
      <w:hyperlink w:anchor="ref-hmrc_vtrans">
        <w:r>
          <w:rPr>
            <w:rStyle w:val="Hyperlink"/>
          </w:rPr>
          <w:t xml:space="preserve">HMRC, 2023d, sec. VTRANS060200</w:t>
        </w:r>
      </w:hyperlink>
      <w:r>
        <w:t xml:space="preserve">)</w:t>
      </w:r>
      <w:r>
        <w:t xml:space="preserve">.</w:t>
      </w:r>
    </w:p>
    <w:p>
      <w:pPr>
        <w:pStyle w:val="Compact"/>
        <w:numPr>
          <w:ilvl w:val="0"/>
          <w:numId w:val="1506"/>
        </w:numPr>
      </w:pPr>
      <w:r>
        <w:rPr>
          <w:b/>
          <w:bCs/>
        </w:rPr>
        <w:t xml:space="preserve">Not claimable:</w:t>
      </w:r>
      <w:r>
        <w:t xml:space="preserve"> </w:t>
      </w:r>
      <w:r>
        <w:t xml:space="preserve">The Department ships equipment it is giving to an overseas government. This is not an office removal. Consider whether another heading applies, such as Heading 13 (collection, delivery and distribution services), which covers courier and freight services</w:t>
      </w:r>
      <w:r>
        <w:t xml:space="preserve"> </w:t>
      </w:r>
      <w:r>
        <w:t xml:space="preserve">(</w:t>
      </w:r>
      <w:hyperlink w:anchor="ref-hmrc_vatgpb">
        <w:r>
          <w:rPr>
            <w:rStyle w:val="Hyperlink"/>
          </w:rPr>
          <w:t xml:space="preserve">HMRC, 2026n, sec. VATGPB9990</w:t>
        </w:r>
      </w:hyperlink>
      <w:r>
        <w:t xml:space="preserve">)</w:t>
      </w:r>
      <w:r>
        <w:t xml:space="preserve">. Freight transport out of the UK is usually zero-rated, so there may be little or no UK VAT to claim</w:t>
      </w:r>
      <w:r>
        <w:t xml:space="preserve"> </w:t>
      </w:r>
      <w:r>
        <w:t xml:space="preserve">(</w:t>
      </w:r>
      <w:hyperlink w:anchor="ref-hmrc_vtrans">
        <w:r>
          <w:rPr>
            <w:rStyle w:val="Hyperlink"/>
          </w:rPr>
          <w:t xml:space="preserve">HMRC, 2023d, sec. VTRANS060200</w:t>
        </w:r>
      </w:hyperlink>
      <w:r>
        <w:t xml:space="preserve">;</w:t>
      </w:r>
      <w:r>
        <w:t xml:space="preserve"> </w:t>
      </w:r>
      <w:hyperlink w:anchor="ref-hmrc_vat_rates">
        <w:r>
          <w:rPr>
            <w:rStyle w:val="Hyperlink"/>
          </w:rPr>
          <w:t xml:space="preserve">2026r</w:t>
        </w:r>
      </w:hyperlink>
      <w:r>
        <w:t xml:space="preserve">)</w:t>
      </w:r>
      <w:r>
        <w:t xml:space="preserve">.</w:t>
      </w:r>
    </w:p>
    <w:p>
      <w:pPr>
        <w:pStyle w:val="FirstParagraph"/>
      </w:pPr>
      <w:r>
        <w:rPr>
          <w:b/>
          <w:bCs/>
        </w:rPr>
        <w:t xml:space="preserve">Source:</w:t>
      </w:r>
      <w:r>
        <w:t xml:space="preserve"> </w:t>
      </w:r>
      <w:r>
        <w:t xml:space="preserve">HMRC manual section VATGPB10570, page last updated 7 January 2016</w:t>
      </w:r>
      <w:r>
        <w:t xml:space="preserve"> </w:t>
      </w:r>
      <w:r>
        <w:t xml:space="preserve">(</w:t>
      </w:r>
      <w:hyperlink w:anchor="ref-hmrc_vatgpb">
        <w:r>
          <w:rPr>
            <w:rStyle w:val="Hyperlink"/>
          </w:rPr>
          <w:t xml:space="preserve">HMRC, 2026n, sec. VATGPB10570</w:t>
        </w:r>
      </w:hyperlink>
      <w:r>
        <w:t xml:space="preserve">)</w:t>
      </w:r>
      <w:r>
        <w:t xml:space="preserve">.</w:t>
      </w:r>
    </w:p>
    <w:bookmarkEnd w:id="299"/>
    <w:bookmarkStart w:id="300" w:name="X56347ec2eed82e3302de08cb148f060719cf811"/>
    <w:p>
      <w:pPr>
        <w:pStyle w:val="Heading3"/>
      </w:pPr>
      <w:r>
        <w:t xml:space="preserve">Heading 43: Operation and maintenance of static test facilities</w:t>
      </w:r>
    </w:p>
    <w:p>
      <w:pPr>
        <w:pStyle w:val="FirstParagraph"/>
      </w:pPr>
      <w:r>
        <w:rPr>
          <w:b/>
          <w:bCs/>
        </w:rPr>
        <w:t xml:space="preserve">What it covers (HMRC’s description):</w:t>
      </w:r>
      <w:r>
        <w:t xml:space="preserve"> </w:t>
      </w:r>
      <w:r>
        <w:t xml:space="preserve">The full heading reads:</w:t>
      </w:r>
      <w:r>
        <w:t xml:space="preserve"> </w:t>
      </w:r>
      <w:r>
        <w:t xml:space="preserve">“</w:t>
      </w:r>
      <w:r>
        <w:t xml:space="preserve">Operation and maintenance of static test facilities, engineering and support services and test range industrial support and security/safety services including those acquired for the purposes of research and development</w:t>
      </w:r>
      <w:r>
        <w:t xml:space="preserve">”</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VATGPB10590</w:t>
        </w:r>
      </w:hyperlink>
      <w:r>
        <w:t xml:space="preserve">)</w:t>
      </w:r>
      <w:r>
        <w:t xml:space="preserve">. HMRC’s page repeats this wording (</w:t>
      </w:r>
      <w:r>
        <w:t xml:space="preserve">“</w:t>
      </w:r>
      <w:r>
        <w:t xml:space="preserve">This Heading covers…</w:t>
      </w:r>
      <w:r>
        <w:t xml:space="preserve">”</w:t>
      </w:r>
      <w:r>
        <w:t xml:space="preserve">) and stops there. It gives no Includes list, no Excludes list, no examples and no indication of which bodies the heading is aimed at</w:t>
      </w:r>
      <w:r>
        <w:t xml:space="preserve"> </w:t>
      </w:r>
      <w:r>
        <w:t xml:space="preserve">(</w:t>
      </w:r>
      <w:hyperlink w:anchor="ref-hmrc_vatgpb">
        <w:r>
          <w:rPr>
            <w:rStyle w:val="Hyperlink"/>
          </w:rPr>
          <w:t xml:space="preserve">HMRC, 2026n, sec. VATGPB10590</w:t>
        </w:r>
      </w:hyperlink>
      <w:r>
        <w:t xml:space="preserve">)</w:t>
      </w:r>
      <w:r>
        <w:t xml:space="preserve">. HMRC’s COS introduction (VATGPB9720) notes that some headings</w:t>
      </w:r>
      <w:r>
        <w:t xml:space="preserve"> </w:t>
      </w:r>
      <w:r>
        <w:t xml:space="preserve">“</w:t>
      </w:r>
      <w:r>
        <w:t xml:space="preserve">are seldom used, or are bespoke to a particular department</w:t>
      </w:r>
      <w:r>
        <w:t xml:space="preserve">”</w:t>
      </w:r>
      <w:r>
        <w:t xml:space="preserve"> </w:t>
      </w:r>
      <w:r>
        <w:t xml:space="preserve">(</w:t>
      </w:r>
      <w:hyperlink w:anchor="ref-hmrc_vatgpb">
        <w:r>
          <w:rPr>
            <w:rStyle w:val="Hyperlink"/>
          </w:rPr>
          <w:t xml:space="preserve">HMRC, 2026n, sec. VATGPB9720</w:t>
        </w:r>
      </w:hyperlink>
      <w:r>
        <w:t xml:space="preserve">)</w:t>
      </w:r>
      <w:r>
        <w:t xml:space="preserve">. In practice this heading only matters if the Department has its own test facility or test range and pays an outside contractor to run or maintain it.</w:t>
      </w:r>
    </w:p>
    <w:p>
      <w:pPr>
        <w:pStyle w:val="BodyText"/>
      </w:pPr>
      <w:r>
        <w:rPr>
          <w:b/>
          <w:bCs/>
        </w:rPr>
        <w:t xml:space="preserve">Examples for the Department:</w:t>
      </w:r>
    </w:p>
    <w:p>
      <w:pPr>
        <w:pStyle w:val="Compact"/>
        <w:numPr>
          <w:ilvl w:val="0"/>
          <w:numId w:val="1507"/>
        </w:numPr>
      </w:pPr>
      <w:r>
        <w:rPr>
          <w:b/>
          <w:bCs/>
        </w:rPr>
        <w:t xml:space="preserve">Claimable:</w:t>
      </w:r>
      <w:r>
        <w:t xml:space="preserve"> </w:t>
      </w:r>
      <w:r>
        <w:t xml:space="preserve">The Department owns a fixed test facility in the UK. It uses the facility to check communications equipment before gifting that equipment to partner governments under a capability-building programme, and it pays a contractor to operate and maintain the facility. This is the kind of service the heading describes (</w:t>
      </w:r>
      <w:r>
        <w:t xml:space="preserve">“</w:t>
      </w:r>
      <w:r>
        <w:t xml:space="preserve">operation and maintenance of static test facilities</w:t>
      </w:r>
      <w:r>
        <w:t xml:space="preserve">”</w:t>
      </w:r>
      <w:r>
        <w:t xml:space="preserve">). Gifting for no charge is a</w:t>
      </w:r>
      <w:r>
        <w:t xml:space="preserve"> </w:t>
      </w:r>
      <w:r>
        <w:rPr>
          <w:b/>
          <w:bCs/>
        </w:rPr>
        <w:t xml:space="preserve">non-business</w:t>
      </w:r>
      <w:r>
        <w:t xml:space="preserve"> </w:t>
      </w:r>
      <w:r>
        <w:t xml:space="preserve">activity, which is what COS refunds are for</w:t>
      </w:r>
      <w:r>
        <w:t xml:space="preserve"> </w:t>
      </w:r>
      <w:r>
        <w:t xml:space="preserve">(</w:t>
      </w:r>
      <w:hyperlink w:anchor="ref-hmrc_gdpef">
        <w:r>
          <w:rPr>
            <w:rStyle w:val="Hyperlink"/>
          </w:rPr>
          <w:t xml:space="preserve">HMRC, 2023c</w:t>
        </w:r>
      </w:hyperlink>
      <w:r>
        <w:t xml:space="preserve">;</w:t>
      </w:r>
      <w:r>
        <w:t xml:space="preserve"> </w:t>
      </w:r>
      <w:hyperlink w:anchor="ref-hmrc_vatgpb">
        <w:r>
          <w:rPr>
            <w:rStyle w:val="Hyperlink"/>
          </w:rPr>
          <w:t xml:space="preserve">2026n, sec. VATGPB3100</w:t>
        </w:r>
      </w:hyperlink>
      <w:r>
        <w:t xml:space="preserve">)</w:t>
      </w:r>
      <w:r>
        <w:t xml:space="preserve"> </w:t>
      </w:r>
      <w:r>
        <w:t xml:space="preserve">(see</w:t>
      </w:r>
      <w:r>
        <w:t xml:space="preserve"> </w:t>
      </w:r>
      <w:hyperlink w:anchor="how-to-read-each-entry">
        <w:r>
          <w:rPr>
            <w:rStyle w:val="Hyperlink"/>
          </w:rPr>
          <w:t xml:space="preserve">How to read each entry</w:t>
        </w:r>
      </w:hyperlink>
      <w:r>
        <w:t xml:space="preserve">). Because HMRC gives no further detail on this heading, keep a clear record of why the facility is a</w:t>
      </w:r>
      <w:r>
        <w:t xml:space="preserve"> </w:t>
      </w:r>
      <w:r>
        <w:t xml:space="preserve">“</w:t>
      </w:r>
      <w:r>
        <w:t xml:space="preserve">static test facility</w:t>
      </w:r>
      <w:r>
        <w:t xml:space="preserve">”</w:t>
      </w:r>
      <w:r>
        <w:t xml:space="preserve">.</w:t>
      </w:r>
    </w:p>
    <w:p>
      <w:pPr>
        <w:pStyle w:val="Compact"/>
        <w:numPr>
          <w:ilvl w:val="0"/>
          <w:numId w:val="1507"/>
        </w:numPr>
      </w:pPr>
      <w:r>
        <w:rPr>
          <w:b/>
          <w:bCs/>
        </w:rPr>
        <w:t xml:space="preserve">Not claimable:</w:t>
      </w:r>
      <w:r>
        <w:t xml:space="preserve"> </w:t>
      </w:r>
      <w:r>
        <w:t xml:space="preserve">The Department buys new test equipment for the facility. This is a purchase of goods, not a contracted-out service, so there is no COS refund</w:t>
      </w:r>
      <w:r>
        <w:t xml:space="preserve"> </w:t>
      </w:r>
      <w:r>
        <w:t xml:space="preserve">(</w:t>
      </w:r>
      <w:hyperlink w:anchor="ref-hmrc_vatgpb">
        <w:r>
          <w:rPr>
            <w:rStyle w:val="Hyperlink"/>
          </w:rPr>
          <w:t xml:space="preserve">HMRC, 2026n, sec. VATGPB11370</w:t>
        </w:r>
      </w:hyperlink>
      <w:r>
        <w:t xml:space="preserve">)</w:t>
      </w:r>
      <w:r>
        <w:t xml:space="preserve">.</w:t>
      </w:r>
    </w:p>
    <w:p>
      <w:pPr>
        <w:pStyle w:val="Compact"/>
        <w:numPr>
          <w:ilvl w:val="0"/>
          <w:numId w:val="1507"/>
        </w:numPr>
      </w:pPr>
      <w:r>
        <w:rPr>
          <w:b/>
          <w:bCs/>
        </w:rPr>
        <w:t xml:space="preserve">Not claimable:</w:t>
      </w:r>
      <w:r>
        <w:t xml:space="preserve"> </w:t>
      </w:r>
      <w:r>
        <w:t xml:space="preserve">The same facility is used to test surplus equipment before the Department sells it to an overseas buyer. Selling goods for a charge is normally a business activity</w:t>
      </w:r>
      <w:r>
        <w:t xml:space="preserve"> </w:t>
      </w:r>
      <w:r>
        <w:t xml:space="preserve">(</w:t>
      </w:r>
      <w:hyperlink w:anchor="ref-hmrc_gdpef">
        <w:r>
          <w:rPr>
            <w:rStyle w:val="Hyperlink"/>
          </w:rPr>
          <w:t xml:space="preserve">HMRC, 2023c</w:t>
        </w:r>
      </w:hyperlink>
      <w:r>
        <w:t xml:space="preserve">)</w:t>
      </w:r>
      <w:r>
        <w:t xml:space="preserve">. (For a government department, a sale counts as business if it is an economic activity carried on for consideration and is not treated as non-business under section 41A of the Value Added Tax Act 1994</w:t>
      </w:r>
      <w:r>
        <w:t xml:space="preserve"> </w:t>
      </w:r>
      <w:r>
        <w:t xml:space="preserve">(</w:t>
      </w:r>
      <w:hyperlink w:anchor="ref-hmrc_vatgpb">
        <w:r>
          <w:rPr>
            <w:rStyle w:val="Hyperlink"/>
          </w:rPr>
          <w:t xml:space="preserve">HMRC, 2026n, sec. VATGPB3600</w:t>
        </w:r>
      </w:hyperlink>
      <w:r>
        <w:t xml:space="preserve">)</w:t>
      </w:r>
      <w:r>
        <w:t xml:space="preserve">. The old Treasury power in section 41(2) of that Act to direct that activities be treated as business was repealed by the Finance Act 2012, s. 198; see Part 6, Selling items abroad.) VAT on costs linked to the sale therefore goes through the normal</w:t>
      </w:r>
      <w:r>
        <w:t xml:space="preserve"> </w:t>
      </w:r>
      <w:r>
        <w:rPr>
          <w:b/>
          <w:bCs/>
        </w:rPr>
        <w:t xml:space="preserve">input tax</w:t>
      </w:r>
      <w:r>
        <w:t xml:space="preserve"> </w:t>
      </w:r>
      <w:r>
        <w:t xml:space="preserve">rules, not COS</w:t>
      </w:r>
      <w:r>
        <w:t xml:space="preserve"> </w:t>
      </w:r>
      <w:r>
        <w:t xml:space="preserve">(</w:t>
      </w:r>
      <w:hyperlink w:anchor="ref-hmrc_gdpef">
        <w:r>
          <w:rPr>
            <w:rStyle w:val="Hyperlink"/>
          </w:rPr>
          <w:t xml:space="preserve">HMRC, 2023c</w:t>
        </w:r>
      </w:hyperlink>
      <w:r>
        <w:t xml:space="preserve">)</w:t>
      </w:r>
      <w:r>
        <w:t xml:space="preserve"> </w:t>
      </w:r>
      <w:r>
        <w:t xml:space="preserve">(see</w:t>
      </w:r>
      <w:r>
        <w:t xml:space="preserve"> </w:t>
      </w:r>
      <w:hyperlink w:anchor="how-to-read-each-entry">
        <w:r>
          <w:rPr>
            <w:rStyle w:val="Hyperlink"/>
          </w:rPr>
          <w:t xml:space="preserve">How to read each entry</w:t>
        </w:r>
      </w:hyperlink>
      <w:r>
        <w:t xml:space="preserve">). If the facility serves both purposes, the VAT has to be split between business and non-business use</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VATGPB10590, page last updated 8 September 2020</w:t>
      </w:r>
      <w:r>
        <w:t xml:space="preserve"> </w:t>
      </w:r>
      <w:r>
        <w:t xml:space="preserve">(</w:t>
      </w:r>
      <w:hyperlink w:anchor="ref-hmrc_vatgpb">
        <w:r>
          <w:rPr>
            <w:rStyle w:val="Hyperlink"/>
          </w:rPr>
          <w:t xml:space="preserve">HMRC, 2026n, sec. VATGPB10590</w:t>
        </w:r>
      </w:hyperlink>
      <w:r>
        <w:t xml:space="preserve">)</w:t>
      </w:r>
      <w:r>
        <w:t xml:space="preserve">.</w:t>
      </w:r>
    </w:p>
    <w:bookmarkEnd w:id="300"/>
    <w:bookmarkStart w:id="301" w:name="X0303068d0dea6a86ea6e33a25ada40051b39850"/>
    <w:p>
      <w:pPr>
        <w:pStyle w:val="Heading3"/>
      </w:pPr>
      <w:r>
        <w:t xml:space="preserve">Heading 44: Operation and maintenance of stores depots</w:t>
      </w:r>
    </w:p>
    <w:p>
      <w:pPr>
        <w:pStyle w:val="FirstParagraph"/>
      </w:pPr>
      <w:r>
        <w:rPr>
          <w:b/>
          <w:bCs/>
        </w:rPr>
        <w:t xml:space="preserve">What it covers (HMRC’s description):</w:t>
      </w:r>
      <w:r>
        <w:t xml:space="preserve"> </w:t>
      </w:r>
      <w:r>
        <w:t xml:space="preserve">“</w:t>
      </w:r>
      <w:r>
        <w:t xml:space="preserve">This Heading allows recovery where you employ an external contractor to operate and maintain your stores depot.</w:t>
      </w:r>
      <w:r>
        <w:t xml:space="preserve">”</w:t>
      </w:r>
      <w:r>
        <w:t xml:space="preserve"> </w:t>
      </w:r>
      <w:r>
        <w:t xml:space="preserve">The refund is for the service of running the store. It does not cover the stock held in it. HMRC adds:</w:t>
      </w:r>
      <w:r>
        <w:t xml:space="preserve"> </w:t>
      </w:r>
      <w:r>
        <w:t xml:space="preserve">“</w:t>
      </w:r>
      <w:r>
        <w:t xml:space="preserve">Where you have a single contract for the operation and maintenance of your stores depot and for the supply of the goods, VAT can only be recovered on the service element of the contract where this is shown as a separate charge on the invoice</w:t>
      </w:r>
      <w:r>
        <w:t xml:space="preserve">”</w:t>
      </w:r>
      <w:r>
        <w:t xml:space="preserve"> </w:t>
      </w:r>
      <w:r>
        <w:t xml:space="preserve">(</w:t>
      </w:r>
      <w:hyperlink w:anchor="ref-hmrc_vatgpb">
        <w:r>
          <w:rPr>
            <w:rStyle w:val="Hyperlink"/>
          </w:rPr>
          <w:t xml:space="preserve">HMRC, 2026n, sec. VATGPB10610</w:t>
        </w:r>
      </w:hyperlink>
      <w:r>
        <w:t xml:space="preserve">)</w:t>
      </w:r>
      <w:r>
        <w:t xml:space="preserve">.</w:t>
      </w:r>
    </w:p>
    <w:p>
      <w:pPr>
        <w:pStyle w:val="BodyText"/>
      </w:pPr>
      <w:r>
        <w:rPr>
          <w:b/>
          <w:bCs/>
        </w:rPr>
        <w:t xml:space="preserve">Includes:</w:t>
      </w:r>
    </w:p>
    <w:p>
      <w:pPr>
        <w:pStyle w:val="Compact"/>
        <w:numPr>
          <w:ilvl w:val="0"/>
          <w:numId w:val="1508"/>
        </w:numPr>
      </w:pPr>
      <w:r>
        <w:t xml:space="preserve">“</w:t>
      </w:r>
      <w:r>
        <w:t xml:space="preserve">Monitoring stock levels</w:t>
      </w:r>
      <w:r>
        <w:t xml:space="preserve">”</w:t>
      </w:r>
    </w:p>
    <w:p>
      <w:pPr>
        <w:pStyle w:val="Compact"/>
        <w:numPr>
          <w:ilvl w:val="0"/>
          <w:numId w:val="1508"/>
        </w:numPr>
      </w:pPr>
      <w:r>
        <w:t xml:space="preserve">“</w:t>
      </w:r>
      <w:r>
        <w:t xml:space="preserve">Dealing with requisition requests</w:t>
      </w:r>
      <w:r>
        <w:t xml:space="preserve">”</w:t>
      </w:r>
    </w:p>
    <w:p>
      <w:pPr>
        <w:pStyle w:val="Compact"/>
        <w:numPr>
          <w:ilvl w:val="0"/>
          <w:numId w:val="1508"/>
        </w:numPr>
      </w:pPr>
      <w:r>
        <w:t xml:space="preserve">“</w:t>
      </w:r>
      <w:r>
        <w:t xml:space="preserve">Contracting out the management (and running) of your stocks of items and equipment - such as dressings, medicines, lotions and stationery used in the provision of non-business healthcare</w:t>
      </w:r>
      <w:r>
        <w:t xml:space="preserve">”</w:t>
      </w:r>
    </w:p>
    <w:p>
      <w:pPr>
        <w:pStyle w:val="FirstParagraph"/>
      </w:pPr>
      <w:r>
        <w:rPr>
          <w:b/>
          <w:bCs/>
        </w:rPr>
        <w:t xml:space="preserve">Excludes:</w:t>
      </w:r>
    </w:p>
    <w:p>
      <w:pPr>
        <w:pStyle w:val="Compact"/>
        <w:numPr>
          <w:ilvl w:val="0"/>
          <w:numId w:val="1509"/>
        </w:numPr>
      </w:pPr>
      <w:r>
        <w:t xml:space="preserve">“</w:t>
      </w:r>
      <w:r>
        <w:t xml:space="preserve">The supply of the goods being stored</w:t>
      </w:r>
      <w:r>
        <w:t xml:space="preserve">”</w:t>
      </w:r>
    </w:p>
    <w:p>
      <w:pPr>
        <w:pStyle w:val="FirstParagraph"/>
      </w:pPr>
      <w:r>
        <w:rPr>
          <w:b/>
          <w:bCs/>
        </w:rPr>
        <w:t xml:space="preserve">Examples for the Department:</w:t>
      </w:r>
    </w:p>
    <w:p>
      <w:pPr>
        <w:pStyle w:val="Compact"/>
        <w:numPr>
          <w:ilvl w:val="0"/>
          <w:numId w:val="1510"/>
        </w:numPr>
      </w:pPr>
      <w:r>
        <w:rPr>
          <w:b/>
          <w:bCs/>
        </w:rPr>
        <w:t xml:space="preserve">Claimable:</w:t>
      </w:r>
      <w:r>
        <w:t xml:space="preserve"> </w:t>
      </w:r>
      <w:r>
        <w:t xml:space="preserve">A logistics contractor runs the Department’s UK stores depot, which holds equipment waiting to be gifted to overseas governments. The contractor monitors stock levels and handles requisitions from programme teams. The VAT on its management fee falls within this heading, and the use is non-business.</w:t>
      </w:r>
    </w:p>
    <w:p>
      <w:pPr>
        <w:pStyle w:val="Compact"/>
        <w:numPr>
          <w:ilvl w:val="0"/>
          <w:numId w:val="1510"/>
        </w:numPr>
      </w:pPr>
      <w:r>
        <w:rPr>
          <w:b/>
          <w:bCs/>
        </w:rPr>
        <w:t xml:space="preserve">Not claimable:</w:t>
      </w:r>
      <w:r>
        <w:t xml:space="preserve"> </w:t>
      </w:r>
      <w:r>
        <w:t xml:space="preserve">Under the same contract, the contractor also buys in and supplies the equipment being stored, such as radios and protective kit. There is no refund on the goods. The service element can be claimed only if the invoice shows it as a separate charge</w:t>
      </w:r>
      <w:r>
        <w:t xml:space="preserve"> </w:t>
      </w:r>
      <w:r>
        <w:t xml:space="preserve">(</w:t>
      </w:r>
      <w:hyperlink w:anchor="ref-hmrc_vatgpb">
        <w:r>
          <w:rPr>
            <w:rStyle w:val="Hyperlink"/>
          </w:rPr>
          <w:t xml:space="preserve">HMRC, 2026n, sec. VATGPB10610</w:t>
        </w:r>
      </w:hyperlink>
      <w:r>
        <w:t xml:space="preserve">)</w:t>
      </w:r>
      <w:r>
        <w:t xml:space="preserve">. If the invoice shows one combined price, HMRC’s text gives no basis for claiming any of it.</w:t>
      </w:r>
    </w:p>
    <w:p>
      <w:pPr>
        <w:pStyle w:val="Compact"/>
        <w:numPr>
          <w:ilvl w:val="0"/>
          <w:numId w:val="1510"/>
        </w:numPr>
      </w:pPr>
      <w:r>
        <w:rPr>
          <w:b/>
          <w:bCs/>
        </w:rPr>
        <w:t xml:space="preserve">Not claimable:</w:t>
      </w:r>
      <w:r>
        <w:t xml:space="preserve"> </w:t>
      </w:r>
      <w:r>
        <w:t xml:space="preserve">A depot holds stocks of priced publications that the Department sells to overseas customers. Selling publications for a charge is normally a business activity, so VAT on the storage service goes through normal input tax rules, not COS</w:t>
      </w:r>
      <w:r>
        <w:t xml:space="preserve"> </w:t>
      </w:r>
      <w:r>
        <w:t xml:space="preserve">(</w:t>
      </w:r>
      <w:hyperlink w:anchor="ref-hmrc_gdpef">
        <w:r>
          <w:rPr>
            <w:rStyle w:val="Hyperlink"/>
          </w:rPr>
          <w:t xml:space="preserve">HMRC, 2023c</w:t>
        </w:r>
      </w:hyperlink>
      <w:r>
        <w:t xml:space="preserve">)</w:t>
      </w:r>
      <w:r>
        <w:t xml:space="preserve">. If one depot holds both gift stock and sale stock, the VAT has to be split between non-business and business use</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VATGPB10610, page last updated 15 December 2016</w:t>
      </w:r>
      <w:r>
        <w:t xml:space="preserve"> </w:t>
      </w:r>
      <w:r>
        <w:t xml:space="preserve">(</w:t>
      </w:r>
      <w:hyperlink w:anchor="ref-hmrc_vatgpb">
        <w:r>
          <w:rPr>
            <w:rStyle w:val="Hyperlink"/>
          </w:rPr>
          <w:t xml:space="preserve">HMRC, 2026n, sec. VATGPB10610</w:t>
        </w:r>
      </w:hyperlink>
      <w:r>
        <w:t xml:space="preserve">)</w:t>
      </w:r>
      <w:r>
        <w:t xml:space="preserve">.</w:t>
      </w:r>
    </w:p>
    <w:bookmarkEnd w:id="301"/>
    <w:bookmarkStart w:id="302" w:name="X58e825a3c692f8c52ebde5d7853a557b6a0c6ef"/>
    <w:p>
      <w:pPr>
        <w:pStyle w:val="Heading3"/>
      </w:pPr>
      <w:r>
        <w:t xml:space="preserve">Heading 45: Operation, including the provision of any related services, of hospitals, health care establishments and health care facilities</w:t>
      </w:r>
    </w:p>
    <w:p>
      <w:pPr>
        <w:pStyle w:val="FirstParagraph"/>
      </w:pPr>
      <w:r>
        <w:rPr>
          <w:b/>
          <w:bCs/>
        </w:rPr>
        <w:t xml:space="preserve">What it covers (HMRC’s description):</w:t>
      </w:r>
      <w:r>
        <w:t xml:space="preserve"> </w:t>
      </w:r>
      <w:r>
        <w:t xml:space="preserve">HMRC’s text is written for the NHS and other healthcare providers, not for central government departments such as the Department. The heading</w:t>
      </w:r>
      <w:r>
        <w:t xml:space="preserve"> </w:t>
      </w:r>
      <w:r>
        <w:t xml:space="preserve">“</w:t>
      </w:r>
      <w:r>
        <w:t xml:space="preserve">concerns the operation of healthcare premises that have face-to-face dealings with patients</w:t>
      </w:r>
      <w:r>
        <w:t xml:space="preserve">”</w:t>
      </w:r>
      <w:r>
        <w:t xml:space="preserve">. HMRC says the contractor</w:t>
      </w:r>
      <w:r>
        <w:t xml:space="preserve"> </w:t>
      </w:r>
      <w:r>
        <w:t xml:space="preserve">“</w:t>
      </w:r>
      <w:r>
        <w:t xml:space="preserve">does not have to provide, and is unlikely to be providing, healthcare</w:t>
      </w:r>
      <w:r>
        <w:t xml:space="preserve">”</w:t>
      </w:r>
      <w:r>
        <w:t xml:space="preserve">. The focus is a contractor that</w:t>
      </w:r>
      <w:r>
        <w:t xml:space="preserve"> </w:t>
      </w:r>
      <w:r>
        <w:t xml:space="preserve">“</w:t>
      </w:r>
      <w:r>
        <w:t xml:space="preserve">provides a fully functioning building or facility within which medical and nursing professionals can treat and care for their patients</w:t>
      </w:r>
      <w:r>
        <w:t xml:space="preserve">”</w:t>
      </w:r>
      <w:r>
        <w:t xml:space="preserve">, for example</w:t>
      </w:r>
      <w:r>
        <w:t xml:space="preserve"> </w:t>
      </w:r>
      <w:r>
        <w:t xml:space="preserve">“</w:t>
      </w:r>
      <w:r>
        <w:t xml:space="preserve">full facilities management support, IT support, catering, cleaning and security</w:t>
      </w:r>
      <w:r>
        <w:t xml:space="preserve">”</w:t>
      </w:r>
      <w:r>
        <w:t xml:space="preserve">, using its own employees or subcontractors</w:t>
      </w:r>
      <w:r>
        <w:t xml:space="preserve"> </w:t>
      </w:r>
      <w:r>
        <w:t xml:space="preserve">(</w:t>
      </w:r>
      <w:hyperlink w:anchor="ref-hmrc_vatgpb">
        <w:r>
          <w:rPr>
            <w:rStyle w:val="Hyperlink"/>
          </w:rPr>
          <w:t xml:space="preserve">HMRC, 2026n, sec. VATGPB10630</w:t>
        </w:r>
      </w:hyperlink>
      <w:r>
        <w:t xml:space="preserve">)</w:t>
      </w:r>
      <w:r>
        <w:t xml:space="preserve">.</w:t>
      </w:r>
    </w:p>
    <w:p>
      <w:pPr>
        <w:pStyle w:val="Compact"/>
        <w:numPr>
          <w:ilvl w:val="0"/>
          <w:numId w:val="1511"/>
        </w:numPr>
      </w:pPr>
      <w:r>
        <w:t xml:space="preserve">“</w:t>
      </w:r>
      <w:r>
        <w:t xml:space="preserve">An agreement that consists of an ordinary premises lease with standard communal services only will not be covered by this Heading</w:t>
      </w:r>
      <w:r>
        <w:t xml:space="preserve">”</w:t>
      </w:r>
      <w:r>
        <w:t xml:space="preserve"> </w:t>
      </w:r>
      <w:r>
        <w:t xml:space="preserve">(</w:t>
      </w:r>
      <w:hyperlink w:anchor="ref-hmrc_vatgpb">
        <w:r>
          <w:rPr>
            <w:rStyle w:val="Hyperlink"/>
          </w:rPr>
          <w:t xml:space="preserve">HMRC, 2026n, sec. VATGPB10630</w:t>
        </w:r>
      </w:hyperlink>
      <w:r>
        <w:t xml:space="preserve">)</w:t>
      </w:r>
      <w:r>
        <w:t xml:space="preserve">.</w:t>
      </w:r>
    </w:p>
    <w:p>
      <w:pPr>
        <w:pStyle w:val="Compact"/>
        <w:numPr>
          <w:ilvl w:val="0"/>
          <w:numId w:val="1511"/>
        </w:numPr>
      </w:pPr>
      <w:r>
        <w:t xml:space="preserve">The heading grew out of the type of</w:t>
      </w:r>
      <w:r>
        <w:t xml:space="preserve"> </w:t>
      </w:r>
      <w:r>
        <w:rPr>
          <w:b/>
          <w:bCs/>
        </w:rPr>
        <w:t xml:space="preserve">PFI</w:t>
      </w:r>
      <w:r>
        <w:t xml:space="preserve"> </w:t>
      </w:r>
      <w:r>
        <w:t xml:space="preserve">arrangement common in the 1980s and 1990s</w:t>
      </w:r>
      <w:r>
        <w:t xml:space="preserve"> </w:t>
      </w:r>
      <w:r>
        <w:t xml:space="preserve">(</w:t>
      </w:r>
      <w:hyperlink w:anchor="ref-hmrc_vatgpb">
        <w:r>
          <w:rPr>
            <w:rStyle w:val="Hyperlink"/>
          </w:rPr>
          <w:t xml:space="preserve">HMRC, 2026n, sec. VATGPB10630</w:t>
        </w:r>
      </w:hyperlink>
      <w:r>
        <w:t xml:space="preserve">)</w:t>
      </w:r>
      <w:r>
        <w:t xml:space="preserve">. PFI is the Private Finance Initiative, under which a private partner finances, provides and runs a facility for many years in return for a regular all-in fee called a</w:t>
      </w:r>
      <w:r>
        <w:t xml:space="preserve"> </w:t>
      </w:r>
      <w:r>
        <w:rPr>
          <w:b/>
          <w:bCs/>
        </w:rPr>
        <w:t xml:space="preserve">unitary charge</w:t>
      </w:r>
      <w:r>
        <w:t xml:space="preserve"> </w:t>
      </w:r>
      <w:r>
        <w:t xml:space="preserve">(</w:t>
      </w:r>
      <w:hyperlink w:anchor="ref-hmt_pfi_2023">
        <w:r>
          <w:rPr>
            <w:rStyle w:val="Hyperlink"/>
          </w:rPr>
          <w:t xml:space="preserve">HM Treasury, 2023</w:t>
        </w:r>
      </w:hyperlink>
      <w:r>
        <w:t xml:space="preserve">)</w:t>
      </w:r>
      <w:r>
        <w:t xml:space="preserve">. HMRC says the arrangements have changed over time</w:t>
      </w:r>
      <w:r>
        <w:t xml:space="preserve"> </w:t>
      </w:r>
      <w:r>
        <w:t xml:space="preserve">“</w:t>
      </w:r>
      <w:r>
        <w:t xml:space="preserve">but the principle remains unchanged – the contractor provides a sufficient level of services and support within the building or facility for the NHS (or other healthcare provider) to treat its patients</w:t>
      </w:r>
      <w:r>
        <w:t xml:space="preserve">”</w:t>
      </w:r>
      <w:r>
        <w:t xml:space="preserve">. The heading</w:t>
      </w:r>
      <w:r>
        <w:t xml:space="preserve"> </w:t>
      </w:r>
      <w:r>
        <w:t xml:space="preserve">“</w:t>
      </w:r>
      <w:r>
        <w:t xml:space="preserve">covers PFI, PF2, Scottish Hub Procurement Arrangements, LIFT and non-PFI situations</w:t>
      </w:r>
      <w:r>
        <w:t xml:space="preserve">”</w:t>
      </w:r>
      <w:r>
        <w:t xml:space="preserve"> </w:t>
      </w:r>
      <w:r>
        <w:t xml:space="preserve">(</w:t>
      </w:r>
      <w:hyperlink w:anchor="ref-hmrc_vatgpb">
        <w:r>
          <w:rPr>
            <w:rStyle w:val="Hyperlink"/>
          </w:rPr>
          <w:t xml:space="preserve">HMRC, 2026n, sec. VATGPB10630</w:t>
        </w:r>
      </w:hyperlink>
      <w:r>
        <w:t xml:space="preserve">)</w:t>
      </w:r>
      <w:r>
        <w:t xml:space="preserve">.</w:t>
      </w:r>
    </w:p>
    <w:p>
      <w:pPr>
        <w:pStyle w:val="Compact"/>
        <w:numPr>
          <w:ilvl w:val="0"/>
          <w:numId w:val="1511"/>
        </w:numPr>
      </w:pPr>
      <w:r>
        <w:t xml:space="preserve">HMRC says a hospital, health care establishment or health care facility includes the following</w:t>
      </w:r>
      <w:r>
        <w:t xml:space="preserve"> </w:t>
      </w:r>
      <w:r>
        <w:t xml:space="preserve">(</w:t>
      </w:r>
      <w:hyperlink w:anchor="ref-hmrc_vatgpb">
        <w:r>
          <w:rPr>
            <w:rStyle w:val="Hyperlink"/>
          </w:rPr>
          <w:t xml:space="preserve">HMRC, 2026n, sec. VATGPB10630</w:t>
        </w:r>
      </w:hyperlink>
      <w:r>
        <w:t xml:space="preserve">)</w:t>
      </w:r>
      <w:r>
        <w:t xml:space="preserve">:</w:t>
      </w:r>
    </w:p>
    <w:p>
      <w:pPr>
        <w:pStyle w:val="Compact"/>
        <w:numPr>
          <w:ilvl w:val="1"/>
          <w:numId w:val="1512"/>
        </w:numPr>
      </w:pPr>
      <w:r>
        <w:t xml:space="preserve">an entire hospital complex of buildings</w:t>
      </w:r>
    </w:p>
    <w:p>
      <w:pPr>
        <w:pStyle w:val="Compact"/>
        <w:numPr>
          <w:ilvl w:val="1"/>
          <w:numId w:val="1512"/>
        </w:numPr>
      </w:pPr>
      <w:r>
        <w:t xml:space="preserve">part of a hospital complex of buildings</w:t>
      </w:r>
    </w:p>
    <w:p>
      <w:pPr>
        <w:pStyle w:val="Compact"/>
        <w:numPr>
          <w:ilvl w:val="1"/>
          <w:numId w:val="1512"/>
        </w:numPr>
      </w:pPr>
      <w:r>
        <w:t xml:space="preserve">a discrete part of a hospital, such as a ward, theatre suite, radiology department, renal dialysis suite, diagnostic suite or MRI unit</w:t>
      </w:r>
    </w:p>
    <w:p>
      <w:pPr>
        <w:pStyle w:val="Compact"/>
        <w:numPr>
          <w:ilvl w:val="1"/>
          <w:numId w:val="1512"/>
        </w:numPr>
      </w:pPr>
      <w:r>
        <w:t xml:space="preserve">an off-site facility providing services normally carried out in a hospital or health care establishment, for example for renal dialysis or diagnostic purposes</w:t>
      </w:r>
    </w:p>
    <w:p>
      <w:pPr>
        <w:pStyle w:val="Compact"/>
        <w:numPr>
          <w:ilvl w:val="1"/>
          <w:numId w:val="1512"/>
        </w:numPr>
      </w:pPr>
      <w:r>
        <w:t xml:space="preserve">“</w:t>
      </w:r>
      <w:r>
        <w:t xml:space="preserve">non-residential mental health facilities which are part of the healthcare offered by the NHS body</w:t>
      </w:r>
      <w:r>
        <w:t xml:space="preserve">”</w:t>
      </w:r>
    </w:p>
    <w:p>
      <w:pPr>
        <w:pStyle w:val="FirstParagraph"/>
      </w:pPr>
      <w:r>
        <w:rPr>
          <w:b/>
          <w:bCs/>
        </w:rPr>
        <w:t xml:space="preserve">Includes:</w:t>
      </w:r>
    </w:p>
    <w:p>
      <w:pPr>
        <w:pStyle w:val="Compact"/>
        <w:numPr>
          <w:ilvl w:val="0"/>
          <w:numId w:val="1513"/>
        </w:numPr>
      </w:pPr>
      <w:r>
        <w:t xml:space="preserve">“</w:t>
      </w:r>
      <w:r>
        <w:t xml:space="preserve">The ancillary provision of equipment together with the service of operating and maintaining that equipment. For example, heating, cooling and ventilation equipment; fire protection equipment; specialised lighting; nurse call systems; medical gas supply piping</w:t>
      </w:r>
      <w:r>
        <w:t xml:space="preserve">”</w:t>
      </w:r>
    </w:p>
    <w:p>
      <w:pPr>
        <w:pStyle w:val="Compact"/>
        <w:numPr>
          <w:ilvl w:val="0"/>
          <w:numId w:val="1513"/>
        </w:numPr>
      </w:pPr>
      <w:r>
        <w:t xml:space="preserve">“</w:t>
      </w:r>
      <w:r>
        <w:t xml:space="preserve">Utilities when provided as a part of the whole package under the same contract and paid for within the single unitary charge - the utilities may be invoiced separately to the rest of the charges</w:t>
      </w:r>
      <w:r>
        <w:t xml:space="preserve">”</w:t>
      </w:r>
    </w:p>
    <w:p>
      <w:pPr>
        <w:pStyle w:val="Compact"/>
        <w:numPr>
          <w:ilvl w:val="0"/>
          <w:numId w:val="1513"/>
        </w:numPr>
      </w:pPr>
      <w:r>
        <w:t xml:space="preserve">“</w:t>
      </w:r>
      <w:r>
        <w:t xml:space="preserve">Hyperbaric chambers/mobile theatres, as long as these are supplied on a fully managed and serviced basis</w:t>
      </w:r>
      <w:r>
        <w:t xml:space="preserve">”</w:t>
      </w:r>
    </w:p>
    <w:p>
      <w:pPr>
        <w:pStyle w:val="FirstParagraph"/>
      </w:pPr>
      <w:r>
        <w:rPr>
          <w:b/>
          <w:bCs/>
        </w:rPr>
        <w:t xml:space="preserve">Excludes:</w:t>
      </w:r>
    </w:p>
    <w:p>
      <w:pPr>
        <w:pStyle w:val="Compact"/>
        <w:numPr>
          <w:ilvl w:val="0"/>
          <w:numId w:val="1514"/>
        </w:numPr>
      </w:pPr>
      <w:r>
        <w:t xml:space="preserve">“</w:t>
      </w:r>
      <w:r>
        <w:t xml:space="preserve">The hire of equipment alone</w:t>
      </w:r>
      <w:r>
        <w:t xml:space="preserve">”</w:t>
      </w:r>
    </w:p>
    <w:p>
      <w:pPr>
        <w:pStyle w:val="Compact"/>
        <w:numPr>
          <w:ilvl w:val="0"/>
          <w:numId w:val="1514"/>
        </w:numPr>
      </w:pPr>
      <w:r>
        <w:t xml:space="preserve">“</w:t>
      </w:r>
      <w:r>
        <w:t xml:space="preserve">The separate supply of utilities</w:t>
      </w:r>
      <w:r>
        <w:t xml:space="preserve">”</w:t>
      </w:r>
    </w:p>
    <w:p>
      <w:pPr>
        <w:pStyle w:val="FirstParagraph"/>
      </w:pPr>
      <w:r>
        <w:rPr>
          <w:b/>
          <w:bCs/>
        </w:rPr>
        <w:t xml:space="preserve">Examples for the Department:</w:t>
      </w:r>
      <w:r>
        <w:t xml:space="preserve"> </w:t>
      </w:r>
      <w:r>
        <w:t xml:space="preserve">This heading is very unlikely to apply to the Department because it does not run healthcare premises.</w:t>
      </w:r>
    </w:p>
    <w:p>
      <w:pPr>
        <w:pStyle w:val="Compact"/>
        <w:numPr>
          <w:ilvl w:val="0"/>
          <w:numId w:val="1515"/>
        </w:numPr>
      </w:pPr>
      <w:r>
        <w:rPr>
          <w:b/>
          <w:bCs/>
        </w:rPr>
        <w:t xml:space="preserve">Claimable (generic):</w:t>
      </w:r>
      <w:r>
        <w:t xml:space="preserve"> </w:t>
      </w:r>
      <w:r>
        <w:t xml:space="preserve">An NHS body pays a contractor to provide a fully serviced off-site renal dialysis unit, covering the building, facilities management, cleaning, catering, security and maintained equipment, for one unitary charge. HMRC names an off-site renal dialysis facility as an example of a health care facility</w:t>
      </w:r>
      <w:r>
        <w:t xml:space="preserve"> </w:t>
      </w:r>
      <w:r>
        <w:t xml:space="preserve">(</w:t>
      </w:r>
      <w:hyperlink w:anchor="ref-hmrc_vatgpb">
        <w:r>
          <w:rPr>
            <w:rStyle w:val="Hyperlink"/>
          </w:rPr>
          <w:t xml:space="preserve">HMRC, 2026n, sec. VATGPB10630</w:t>
        </w:r>
      </w:hyperlink>
      <w:r>
        <w:t xml:space="preserve">)</w:t>
      </w:r>
      <w:r>
        <w:t xml:space="preserve">.</w:t>
      </w:r>
    </w:p>
    <w:p>
      <w:pPr>
        <w:pStyle w:val="Compact"/>
        <w:numPr>
          <w:ilvl w:val="0"/>
          <w:numId w:val="1515"/>
        </w:numPr>
      </w:pPr>
      <w:r>
        <w:rPr>
          <w:b/>
          <w:bCs/>
        </w:rPr>
        <w:t xml:space="preserve">Not claimable (generic):</w:t>
      </w:r>
      <w:r>
        <w:t xml:space="preserve"> </w:t>
      </w:r>
      <w:r>
        <w:t xml:space="preserve">The same NHS body hires a mobile scanner with no operating or maintenance service. HMRC excludes</w:t>
      </w:r>
      <w:r>
        <w:t xml:space="preserve"> </w:t>
      </w:r>
      <w:r>
        <w:t xml:space="preserve">“</w:t>
      </w:r>
      <w:r>
        <w:t xml:space="preserve">the hire of equipment alone</w:t>
      </w:r>
      <w:r>
        <w:t xml:space="preserve">”</w:t>
      </w:r>
      <w:r>
        <w:t xml:space="preserve"> </w:t>
      </w:r>
      <w:r>
        <w:t xml:space="preserve">(</w:t>
      </w:r>
      <w:hyperlink w:anchor="ref-hmrc_vatgpb">
        <w:r>
          <w:rPr>
            <w:rStyle w:val="Hyperlink"/>
          </w:rPr>
          <w:t xml:space="preserve">HMRC, 2026n, sec. VATGPB10630</w:t>
        </w:r>
      </w:hyperlink>
      <w:r>
        <w:t xml:space="preserve">)</w:t>
      </w:r>
      <w:r>
        <w:t xml:space="preserve">.</w:t>
      </w:r>
    </w:p>
    <w:p>
      <w:pPr>
        <w:pStyle w:val="Compact"/>
        <w:numPr>
          <w:ilvl w:val="0"/>
          <w:numId w:val="1515"/>
        </w:numPr>
      </w:pPr>
      <w:r>
        <w:rPr>
          <w:b/>
          <w:bCs/>
        </w:rPr>
        <w:t xml:space="preserve">Not claimable:</w:t>
      </w:r>
      <w:r>
        <w:t xml:space="preserve"> </w:t>
      </w:r>
      <w:r>
        <w:t xml:space="preserve">The Department buys medical equipment to gift to an overseas government’s health ministry. This is a purchase of goods, not the operation of a healthcare facility, so there is nothing to claim</w:t>
      </w:r>
      <w:r>
        <w:t xml:space="preserve"> </w:t>
      </w:r>
      <w:r>
        <w:t xml:space="preserve">(</w:t>
      </w:r>
      <w:hyperlink w:anchor="ref-hmrc_vatgpb">
        <w:r>
          <w:rPr>
            <w:rStyle w:val="Hyperlink"/>
          </w:rPr>
          <w:t xml:space="preserve">HMRC, 2026n, sec. VATGPB11370</w:t>
        </w:r>
      </w:hyperlink>
      <w:r>
        <w:t xml:space="preserve">)</w:t>
      </w:r>
      <w:r>
        <w:t xml:space="preserve">.</w:t>
      </w:r>
    </w:p>
    <w:p>
      <w:pPr>
        <w:pStyle w:val="FirstParagraph"/>
      </w:pPr>
      <w:r>
        <w:rPr>
          <w:b/>
          <w:bCs/>
        </w:rPr>
        <w:t xml:space="preserve">Source:</w:t>
      </w:r>
      <w:r>
        <w:t xml:space="preserve"> </w:t>
      </w:r>
      <w:r>
        <w:t xml:space="preserve">HMRC manual section VATGPB10630, page last updated 17 February 2021</w:t>
      </w:r>
      <w:r>
        <w:t xml:space="preserve"> </w:t>
      </w:r>
      <w:r>
        <w:t xml:space="preserve">(</w:t>
      </w:r>
      <w:hyperlink w:anchor="ref-hmrc_vatgpb">
        <w:r>
          <w:rPr>
            <w:rStyle w:val="Hyperlink"/>
          </w:rPr>
          <w:t xml:space="preserve">HMRC, 2026n, sec. VATGPB10630</w:t>
        </w:r>
      </w:hyperlink>
      <w:r>
        <w:t xml:space="preserve">)</w:t>
      </w:r>
      <w:r>
        <w:t xml:space="preserve">.</w:t>
      </w:r>
    </w:p>
    <w:bookmarkEnd w:id="302"/>
    <w:bookmarkStart w:id="303" w:name="Xa6d4bef4a984b55dc521a04f3daef621445610c"/>
    <w:p>
      <w:pPr>
        <w:pStyle w:val="Heading3"/>
      </w:pPr>
      <w:r>
        <w:t xml:space="preserve">Heading 46: Operation of prisons, detention centres and remand centres, including medical services</w:t>
      </w:r>
    </w:p>
    <w:p>
      <w:pPr>
        <w:pStyle w:val="FirstParagraph"/>
      </w:pPr>
      <w:r>
        <w:rPr>
          <w:b/>
          <w:bCs/>
        </w:rPr>
        <w:t xml:space="preserve">What it covers (HMRC’s description):</w:t>
      </w:r>
      <w:r>
        <w:t xml:space="preserve"> </w:t>
      </w:r>
      <w:r>
        <w:t xml:space="preserve">HMRC does not say which bodies use this heading, but its text is about running prisons. HMRC says:</w:t>
      </w:r>
      <w:r>
        <w:t xml:space="preserve"> </w:t>
      </w:r>
      <w:r>
        <w:t xml:space="preserve">“</w:t>
      </w:r>
      <w:r>
        <w:t xml:space="preserve">The origins of this heading lie in the outsourcing of the running of a prison to a private sector company - custodial services, rehabilitation and education, building maintenance, catering etc. However, it can extend to discrete activities within a prison</w:t>
      </w:r>
      <w:r>
        <w:t xml:space="preserve">”</w:t>
      </w:r>
      <w:r>
        <w:t xml:space="preserve"> </w:t>
      </w:r>
      <w:r>
        <w:t xml:space="preserve">(</w:t>
      </w:r>
      <w:hyperlink w:anchor="ref-hmrc_vatgpb">
        <w:r>
          <w:rPr>
            <w:rStyle w:val="Hyperlink"/>
          </w:rPr>
          <w:t xml:space="preserve">HMRC, 2026n, sec. VATGPB10650</w:t>
        </w:r>
      </w:hyperlink>
      <w:r>
        <w:t xml:space="preserve">)</w:t>
      </w:r>
      <w:r>
        <w:t xml:space="preserve">.</w:t>
      </w:r>
    </w:p>
    <w:p>
      <w:pPr>
        <w:pStyle w:val="BodyText"/>
      </w:pPr>
      <w:r>
        <w:rPr>
          <w:b/>
          <w:bCs/>
        </w:rPr>
        <w:t xml:space="preserve">Includes:</w:t>
      </w:r>
    </w:p>
    <w:p>
      <w:pPr>
        <w:pStyle w:val="Compact"/>
        <w:numPr>
          <w:ilvl w:val="0"/>
          <w:numId w:val="1516"/>
        </w:numPr>
      </w:pPr>
      <w:r>
        <w:t xml:space="preserve">“</w:t>
      </w:r>
      <w:r>
        <w:t xml:space="preserve">Operation of prison shops</w:t>
      </w:r>
      <w:r>
        <w:t xml:space="preserve">”</w:t>
      </w:r>
    </w:p>
    <w:p>
      <w:pPr>
        <w:pStyle w:val="Compact"/>
        <w:numPr>
          <w:ilvl w:val="0"/>
          <w:numId w:val="1516"/>
        </w:numPr>
      </w:pPr>
      <w:r>
        <w:t xml:space="preserve">“</w:t>
      </w:r>
      <w:r>
        <w:t xml:space="preserve">Prisoner transport</w:t>
      </w:r>
      <w:r>
        <w:t xml:space="preserve">”</w:t>
      </w:r>
    </w:p>
    <w:p>
      <w:pPr>
        <w:pStyle w:val="Compact"/>
        <w:numPr>
          <w:ilvl w:val="0"/>
          <w:numId w:val="1516"/>
        </w:numPr>
      </w:pPr>
      <w:r>
        <w:t xml:space="preserve">“</w:t>
      </w:r>
      <w:r>
        <w:t xml:space="preserve">Operation of prison hospitals</w:t>
      </w:r>
      <w:r>
        <w:t xml:space="preserve">”</w:t>
      </w:r>
    </w:p>
    <w:p>
      <w:pPr>
        <w:pStyle w:val="FirstParagraph"/>
      </w:pPr>
      <w:r>
        <w:rPr>
          <w:b/>
          <w:bCs/>
        </w:rPr>
        <w:t xml:space="preserve">Excludes:</w:t>
      </w:r>
    </w:p>
    <w:p>
      <w:pPr>
        <w:pStyle w:val="Compact"/>
        <w:numPr>
          <w:ilvl w:val="0"/>
          <w:numId w:val="1517"/>
        </w:numPr>
      </w:pPr>
      <w:r>
        <w:t xml:space="preserve">“</w:t>
      </w:r>
      <w:r>
        <w:t xml:space="preserve">Hostel accommodation</w:t>
      </w:r>
      <w:r>
        <w:t xml:space="preserve">”</w:t>
      </w:r>
    </w:p>
    <w:p>
      <w:pPr>
        <w:pStyle w:val="FirstParagraph"/>
      </w:pPr>
      <w:r>
        <w:rPr>
          <w:b/>
          <w:bCs/>
        </w:rPr>
        <w:t xml:space="preserve">Examples for the Department:</w:t>
      </w:r>
      <w:r>
        <w:t xml:space="preserve"> </w:t>
      </w:r>
      <w:r>
        <w:t xml:space="preserve">This heading is very unlikely to apply to the Department because it does not run custodial establishments.</w:t>
      </w:r>
    </w:p>
    <w:p>
      <w:pPr>
        <w:pStyle w:val="Compact"/>
        <w:numPr>
          <w:ilvl w:val="0"/>
          <w:numId w:val="1518"/>
        </w:numPr>
      </w:pPr>
      <w:r>
        <w:rPr>
          <w:b/>
          <w:bCs/>
        </w:rPr>
        <w:t xml:space="preserve">Claimable (generic):</w:t>
      </w:r>
      <w:r>
        <w:t xml:space="preserve"> </w:t>
      </w:r>
      <w:r>
        <w:t xml:space="preserve">A prisons body contracts a private company to move prisoners between prisons and courts.</w:t>
      </w:r>
      <w:r>
        <w:t xml:space="preserve"> </w:t>
      </w:r>
      <w:r>
        <w:t xml:space="preserve">“</w:t>
      </w:r>
      <w:r>
        <w:t xml:space="preserve">Prisoner transport</w:t>
      </w:r>
      <w:r>
        <w:t xml:space="preserve">”</w:t>
      </w:r>
      <w:r>
        <w:t xml:space="preserve"> </w:t>
      </w:r>
      <w:r>
        <w:t xml:space="preserve">is listed.</w:t>
      </w:r>
    </w:p>
    <w:p>
      <w:pPr>
        <w:pStyle w:val="Compact"/>
        <w:numPr>
          <w:ilvl w:val="0"/>
          <w:numId w:val="1518"/>
        </w:numPr>
      </w:pPr>
      <w:r>
        <w:rPr>
          <w:b/>
          <w:bCs/>
        </w:rPr>
        <w:t xml:space="preserve">Not claimable (generic):</w:t>
      </w:r>
      <w:r>
        <w:t xml:space="preserve"> </w:t>
      </w:r>
      <w:r>
        <w:t xml:space="preserve">The same body pays for hostel accommodation. HMRC expressly excludes this.</w:t>
      </w:r>
    </w:p>
    <w:p>
      <w:pPr>
        <w:pStyle w:val="Compact"/>
        <w:numPr>
          <w:ilvl w:val="0"/>
          <w:numId w:val="1518"/>
        </w:numPr>
      </w:pPr>
      <w:r>
        <w:rPr>
          <w:b/>
          <w:bCs/>
        </w:rPr>
        <w:t xml:space="preserve">Not claimable:</w:t>
      </w:r>
      <w:r>
        <w:t xml:space="preserve"> </w:t>
      </w:r>
      <w:r>
        <w:t xml:space="preserve">The Department pays a contractor to escort sensitive equipment to a port. This is not a prison service. HMRC lists</w:t>
      </w:r>
      <w:r>
        <w:t xml:space="preserve"> </w:t>
      </w:r>
      <w:r>
        <w:t xml:space="preserve">“</w:t>
      </w:r>
      <w:r>
        <w:t xml:space="preserve">the secure transport of equipment</w:t>
      </w:r>
      <w:r>
        <w:t xml:space="preserve">”</w:t>
      </w:r>
      <w:r>
        <w:t xml:space="preserve"> </w:t>
      </w:r>
      <w:r>
        <w:t xml:space="preserve">under Heading 60 instead</w:t>
      </w:r>
      <w:r>
        <w:t xml:space="preserve"> </w:t>
      </w:r>
      <w:r>
        <w:t xml:space="preserve">(</w:t>
      </w:r>
      <w:hyperlink w:anchor="ref-hmrc_vatgpb">
        <w:r>
          <w:rPr>
            <w:rStyle w:val="Hyperlink"/>
          </w:rPr>
          <w:t xml:space="preserve">HMRC, 2026n, sec. VATGPB10930</w:t>
        </w:r>
      </w:hyperlink>
      <w:r>
        <w:t xml:space="preserve">)</w:t>
      </w:r>
      <w:r>
        <w:t xml:space="preserve">.</w:t>
      </w:r>
    </w:p>
    <w:p>
      <w:pPr>
        <w:pStyle w:val="FirstParagraph"/>
      </w:pPr>
      <w:r>
        <w:rPr>
          <w:b/>
          <w:bCs/>
        </w:rPr>
        <w:t xml:space="preserve">Source:</w:t>
      </w:r>
      <w:r>
        <w:t xml:space="preserve"> </w:t>
      </w:r>
      <w:r>
        <w:t xml:space="preserve">HMRC manual section VATGPB10650, page last updated 7 January 2016</w:t>
      </w:r>
      <w:r>
        <w:t xml:space="preserve"> </w:t>
      </w:r>
      <w:r>
        <w:t xml:space="preserve">(</w:t>
      </w:r>
      <w:hyperlink w:anchor="ref-hmrc_vatgpb">
        <w:r>
          <w:rPr>
            <w:rStyle w:val="Hyperlink"/>
          </w:rPr>
          <w:t xml:space="preserve">HMRC, 2026n, sec. VATGPB10650</w:t>
        </w:r>
      </w:hyperlink>
      <w:r>
        <w:t xml:space="preserve">)</w:t>
      </w:r>
      <w:r>
        <w:t xml:space="preserve">.</w:t>
      </w:r>
    </w:p>
    <w:bookmarkEnd w:id="303"/>
    <w:bookmarkStart w:id="304" w:name="heading-47-passenger-transport-services"/>
    <w:p>
      <w:pPr>
        <w:pStyle w:val="Heading3"/>
      </w:pPr>
      <w:r>
        <w:t xml:space="preserve">Heading 47: Passenger transport services</w:t>
      </w:r>
    </w:p>
    <w:p>
      <w:pPr>
        <w:pStyle w:val="FirstParagraph"/>
      </w:pPr>
      <w:r>
        <w:rPr>
          <w:b/>
          <w:bCs/>
        </w:rPr>
        <w:t xml:space="preserve">What it covers (HMRC’s description):</w:t>
      </w:r>
      <w:r>
        <w:t xml:space="preserve"> </w:t>
      </w:r>
      <w:r>
        <w:t xml:space="preserve">HMRC gives no general description beyond its Includes and Excludes lists. It notes that</w:t>
      </w:r>
      <w:r>
        <w:t xml:space="preserve"> </w:t>
      </w:r>
      <w:r>
        <w:t xml:space="preserve">“</w:t>
      </w:r>
      <w:r>
        <w:t xml:space="preserve">the hire or lease of a vehicle without a driver would not be covered under this Heading, but may be eligible for a refund under Heading 26</w:t>
      </w:r>
      <w:r>
        <w:t xml:space="preserve">”</w:t>
      </w:r>
      <w:r>
        <w:t xml:space="preserve"> </w:t>
      </w:r>
      <w:r>
        <w:t xml:space="preserve">(</w:t>
      </w:r>
      <w:hyperlink w:anchor="ref-hmrc_vatgpb">
        <w:r>
          <w:rPr>
            <w:rStyle w:val="Hyperlink"/>
          </w:rPr>
          <w:t xml:space="preserve">HMRC, 2026n, sec. VATGPB10670</w:t>
        </w:r>
      </w:hyperlink>
      <w:r>
        <w:t xml:space="preserve">)</w:t>
      </w:r>
      <w:r>
        <w:t xml:space="preserve">. Heading 26 covers vehicle hire for more than 30 consecutive days where the contract requires the supplier to repair and maintain the vehicle</w:t>
      </w:r>
      <w:r>
        <w:t xml:space="preserve"> </w:t>
      </w:r>
      <w:r>
        <w:t xml:space="preserve">(</w:t>
      </w:r>
      <w:hyperlink w:anchor="ref-hmrc_vatgpb">
        <w:r>
          <w:rPr>
            <w:rStyle w:val="Hyperlink"/>
          </w:rPr>
          <w:t xml:space="preserve">HMRC, 2026n, sec. VATGPB10250</w:t>
        </w:r>
      </w:hyperlink>
      <w:r>
        <w:t xml:space="preserve">)</w:t>
      </w:r>
      <w:r>
        <w:t xml:space="preserve">. For taxis and chauffeur cars, the key conditions are that the Department has a contract with the firm and receives a</w:t>
      </w:r>
      <w:r>
        <w:t xml:space="preserve"> </w:t>
      </w:r>
      <w:r>
        <w:rPr>
          <w:b/>
          <w:bCs/>
        </w:rPr>
        <w:t xml:space="preserve">tax invoice</w:t>
      </w:r>
      <w:r>
        <w:t xml:space="preserve"> </w:t>
      </w:r>
      <w:r>
        <w:t xml:space="preserve">(</w:t>
      </w:r>
      <w:hyperlink w:anchor="ref-hmrc_vatgpb">
        <w:r>
          <w:rPr>
            <w:rStyle w:val="Hyperlink"/>
          </w:rPr>
          <w:t xml:space="preserve">HMRC, 2026n, sec. VATGPB10670</w:t>
        </w:r>
      </w:hyperlink>
      <w:r>
        <w:t xml:space="preserve">)</w:t>
      </w:r>
      <w:r>
        <w:t xml:space="preserve">, meaning a valid VAT invoice addressed to the Department</w:t>
      </w:r>
      <w:r>
        <w:t xml:space="preserve"> </w:t>
      </w:r>
      <w:r>
        <w:t xml:space="preserve">(</w:t>
      </w:r>
      <w:hyperlink w:anchor="ref-hmrc_n700">
        <w:r>
          <w:rPr>
            <w:rStyle w:val="Hyperlink"/>
          </w:rPr>
          <w:t xml:space="preserve">HMRC, 2026o, para. 16.3.1</w:t>
        </w:r>
      </w:hyperlink>
      <w:r>
        <w:t xml:space="preserve">)</w:t>
      </w:r>
      <w:r>
        <w:t xml:space="preserve">.</w:t>
      </w:r>
    </w:p>
    <w:p>
      <w:pPr>
        <w:pStyle w:val="BodyText"/>
      </w:pPr>
      <w:r>
        <w:rPr>
          <w:b/>
          <w:bCs/>
        </w:rPr>
        <w:t xml:space="preserve">Includes:</w:t>
      </w:r>
    </w:p>
    <w:p>
      <w:pPr>
        <w:pStyle w:val="Compact"/>
        <w:numPr>
          <w:ilvl w:val="0"/>
          <w:numId w:val="1519"/>
        </w:numPr>
      </w:pPr>
      <w:r>
        <w:t xml:space="preserve">“</w:t>
      </w:r>
      <w:r>
        <w:t xml:space="preserve">Taxi firms that supply taxis to staff on request provided the government department or health authority has entered into a contract with the firm and receives a tax invoice, e.g. late night car services</w:t>
      </w:r>
      <w:r>
        <w:t xml:space="preserve">”</w:t>
      </w:r>
    </w:p>
    <w:p>
      <w:pPr>
        <w:pStyle w:val="Compact"/>
        <w:numPr>
          <w:ilvl w:val="0"/>
          <w:numId w:val="1519"/>
        </w:numPr>
      </w:pPr>
      <w:r>
        <w:t xml:space="preserve">“</w:t>
      </w:r>
      <w:r>
        <w:t xml:space="preserve">Chauffeur driven cars provided the government department or health authority has entered into a contract with the firm and receives a tax invoice</w:t>
      </w:r>
      <w:r>
        <w:t xml:space="preserve">”</w:t>
      </w:r>
    </w:p>
    <w:p>
      <w:pPr>
        <w:pStyle w:val="Compact"/>
        <w:numPr>
          <w:ilvl w:val="0"/>
          <w:numId w:val="1519"/>
        </w:numPr>
      </w:pPr>
      <w:r>
        <w:t xml:space="preserve">“</w:t>
      </w:r>
      <w:r>
        <w:t xml:space="preserve">Services of an outside contractor to transport passengers/patients</w:t>
      </w:r>
      <w:r>
        <w:t xml:space="preserve">”</w:t>
      </w:r>
    </w:p>
    <w:p>
      <w:pPr>
        <w:pStyle w:val="Compact"/>
        <w:numPr>
          <w:ilvl w:val="0"/>
          <w:numId w:val="1519"/>
        </w:numPr>
      </w:pPr>
      <w:r>
        <w:t xml:space="preserve">A hospital hiring or leasing a vehicle with a driver to transport patients, staff or others,</w:t>
      </w:r>
      <w:r>
        <w:t xml:space="preserve"> </w:t>
      </w:r>
      <w:r>
        <w:t xml:space="preserve">“</w:t>
      </w:r>
      <w:r>
        <w:t xml:space="preserve">providing it is in connection with the non-business activity of the provision of NHS health care</w:t>
      </w:r>
      <w:r>
        <w:t xml:space="preserve">”</w:t>
      </w:r>
    </w:p>
    <w:p>
      <w:pPr>
        <w:pStyle w:val="FirstParagraph"/>
      </w:pPr>
      <w:r>
        <w:rPr>
          <w:b/>
          <w:bCs/>
        </w:rPr>
        <w:t xml:space="preserve">Excludes:</w:t>
      </w:r>
    </w:p>
    <w:p>
      <w:pPr>
        <w:pStyle w:val="Compact"/>
        <w:numPr>
          <w:ilvl w:val="0"/>
          <w:numId w:val="1520"/>
        </w:numPr>
      </w:pPr>
      <w:r>
        <w:t xml:space="preserve">“</w:t>
      </w:r>
      <w:r>
        <w:t xml:space="preserve">Public transport costs - these are already zero-rated</w:t>
      </w:r>
      <w:r>
        <w:t xml:space="preserve">”</w:t>
      </w:r>
    </w:p>
    <w:p>
      <w:pPr>
        <w:pStyle w:val="Compact"/>
        <w:numPr>
          <w:ilvl w:val="0"/>
          <w:numId w:val="1520"/>
        </w:numPr>
      </w:pPr>
      <w:r>
        <w:t xml:space="preserve">“</w:t>
      </w:r>
      <w:r>
        <w:t xml:space="preserve">Road tax</w:t>
      </w:r>
      <w:r>
        <w:t xml:space="preserve">”</w:t>
      </w:r>
    </w:p>
    <w:p>
      <w:pPr>
        <w:pStyle w:val="Compact"/>
        <w:numPr>
          <w:ilvl w:val="0"/>
          <w:numId w:val="1520"/>
        </w:numPr>
      </w:pPr>
      <w:r>
        <w:t xml:space="preserve">“</w:t>
      </w:r>
      <w:r>
        <w:t xml:space="preserve">Passenger insurance</w:t>
      </w:r>
      <w:r>
        <w:t xml:space="preserve">”</w:t>
      </w:r>
    </w:p>
    <w:p>
      <w:pPr>
        <w:pStyle w:val="Compact"/>
        <w:numPr>
          <w:ilvl w:val="0"/>
          <w:numId w:val="1520"/>
        </w:numPr>
      </w:pPr>
      <w:r>
        <w:t xml:space="preserve">“</w:t>
      </w:r>
      <w:r>
        <w:t xml:space="preserve">Staff members hailing cabs in the street or picking up a taxi from a taxi rank</w:t>
      </w:r>
      <w:r>
        <w:t xml:space="preserve">”</w:t>
      </w:r>
    </w:p>
    <w:p>
      <w:pPr>
        <w:pStyle w:val="Compact"/>
        <w:numPr>
          <w:ilvl w:val="0"/>
          <w:numId w:val="1520"/>
        </w:numPr>
      </w:pPr>
      <w:r>
        <w:t xml:space="preserve">Transport of private patients, or of a consultant treating a private patient. This is</w:t>
      </w:r>
      <w:r>
        <w:t xml:space="preserve"> </w:t>
      </w:r>
      <w:r>
        <w:t xml:space="preserve">“</w:t>
      </w:r>
      <w:r>
        <w:t xml:space="preserve">in connection with an exempt business activity and the normal VAT rules would apply</w:t>
      </w:r>
      <w:r>
        <w:t xml:space="preserve">”</w:t>
      </w:r>
      <w:r>
        <w:t xml:space="preserve"> </w:t>
      </w:r>
      <w:r>
        <w:t xml:space="preserve">(</w:t>
      </w:r>
      <w:hyperlink w:anchor="ref-hmrc_vatgpb">
        <w:r>
          <w:rPr>
            <w:rStyle w:val="Hyperlink"/>
          </w:rPr>
          <w:t xml:space="preserve">HMRC, 2026n, sec. VATGPB10670</w:t>
        </w:r>
      </w:hyperlink>
      <w:r>
        <w:t xml:space="preserve">)</w:t>
      </w:r>
      <w:r>
        <w:t xml:space="preserve">. An</w:t>
      </w:r>
      <w:r>
        <w:t xml:space="preserve"> </w:t>
      </w:r>
      <w:r>
        <w:rPr>
          <w:b/>
          <w:bCs/>
        </w:rPr>
        <w:t xml:space="preserve">exempt</w:t>
      </w:r>
      <w:r>
        <w:t xml:space="preserve"> </w:t>
      </w:r>
      <w:r>
        <w:t xml:space="preserve">supply is one on which no VAT is charged and which gives no right to recover related VAT</w:t>
      </w:r>
      <w:r>
        <w:t xml:space="preserve"> </w:t>
      </w:r>
      <w:r>
        <w:t xml:space="preserve">(</w:t>
      </w:r>
      <w:hyperlink w:anchor="ref-hmrc_exemption">
        <w:r>
          <w:rPr>
            <w:rStyle w:val="Hyperlink"/>
          </w:rPr>
          <w:t xml:space="preserve">HMRC, 2022a</w:t>
        </w:r>
      </w:hyperlink>
      <w:r>
        <w:t xml:space="preserve">)</w:t>
      </w:r>
      <w:r>
        <w:t xml:space="preserve">.</w:t>
      </w:r>
    </w:p>
    <w:p>
      <w:pPr>
        <w:pStyle w:val="FirstParagraph"/>
      </w:pPr>
      <w:r>
        <w:rPr>
          <w:b/>
          <w:bCs/>
        </w:rPr>
        <w:t xml:space="preserve">Examples for the Department:</w:t>
      </w:r>
    </w:p>
    <w:p>
      <w:pPr>
        <w:pStyle w:val="Compact"/>
        <w:numPr>
          <w:ilvl w:val="0"/>
          <w:numId w:val="1521"/>
        </w:numPr>
      </w:pPr>
      <w:r>
        <w:rPr>
          <w:b/>
          <w:bCs/>
        </w:rPr>
        <w:t xml:space="preserve">Claimable:</w:t>
      </w:r>
      <w:r>
        <w:t xml:space="preserve"> </w:t>
      </w:r>
      <w:r>
        <w:t xml:space="preserve">The Department has a contract with a VAT-registered account taxi firm to take staff to the airport for early flights to an overseas conference. The firm invoices the Department monthly with VAT invoices. This matches</w:t>
      </w:r>
      <w:r>
        <w:t xml:space="preserve"> </w:t>
      </w:r>
      <w:r>
        <w:t xml:space="preserve">“</w:t>
      </w:r>
      <w:r>
        <w:t xml:space="preserve">taxi firms that supply taxis to staff on request</w:t>
      </w:r>
      <w:r>
        <w:t xml:space="preserve">”</w:t>
      </w:r>
      <w:r>
        <w:t xml:space="preserve"> </w:t>
      </w:r>
      <w:r>
        <w:t xml:space="preserve">under a contract with a tax invoice.</w:t>
      </w:r>
    </w:p>
    <w:p>
      <w:pPr>
        <w:pStyle w:val="Compact"/>
        <w:numPr>
          <w:ilvl w:val="0"/>
          <w:numId w:val="1521"/>
        </w:numPr>
      </w:pPr>
      <w:r>
        <w:rPr>
          <w:b/>
          <w:bCs/>
        </w:rPr>
        <w:t xml:space="preserve">Claimable:</w:t>
      </w:r>
      <w:r>
        <w:t xml:space="preserve"> </w:t>
      </w:r>
      <w:r>
        <w:t xml:space="preserve">A contracted chauffeur-driven car collects a visiting delegation of overseas government officials from the airport and takes them to a capability-building workshop. There is a contract, a tax invoice and a non-business purpose, and HMRC lists</w:t>
      </w:r>
      <w:r>
        <w:t xml:space="preserve"> </w:t>
      </w:r>
      <w:r>
        <w:t xml:space="preserve">“</w:t>
      </w:r>
      <w:r>
        <w:t xml:space="preserve">chauffeur driven cars</w:t>
      </w:r>
      <w:r>
        <w:t xml:space="preserve">”</w:t>
      </w:r>
      <w:r>
        <w:t xml:space="preserve"> </w:t>
      </w:r>
      <w:r>
        <w:t xml:space="preserve">and the transport of passengers by an outside contractor.</w:t>
      </w:r>
    </w:p>
    <w:p>
      <w:pPr>
        <w:pStyle w:val="Compact"/>
        <w:numPr>
          <w:ilvl w:val="0"/>
          <w:numId w:val="1521"/>
        </w:numPr>
      </w:pPr>
      <w:r>
        <w:rPr>
          <w:b/>
          <w:bCs/>
        </w:rPr>
        <w:t xml:space="preserve">Not claimable:</w:t>
      </w:r>
      <w:r>
        <w:t xml:space="preserve"> </w:t>
      </w:r>
      <w:r>
        <w:t xml:space="preserve">Air fares and rail tickets for staff going abroad.</w:t>
      </w:r>
      <w:r>
        <w:t xml:space="preserve"> </w:t>
      </w:r>
      <w:r>
        <w:t xml:space="preserve">“</w:t>
      </w:r>
      <w:r>
        <w:t xml:space="preserve">Public transport costs</w:t>
      </w:r>
      <w:r>
        <w:t xml:space="preserve">”</w:t>
      </w:r>
      <w:r>
        <w:t xml:space="preserve"> </w:t>
      </w:r>
      <w:r>
        <w:t xml:space="preserve">are</w:t>
      </w:r>
      <w:r>
        <w:t xml:space="preserve"> </w:t>
      </w:r>
      <w:r>
        <w:rPr>
          <w:b/>
          <w:bCs/>
        </w:rPr>
        <w:t xml:space="preserve">zero-rated</w:t>
      </w:r>
      <w:r>
        <w:t xml:space="preserve">, meaning VAT is charged at 0%, so there is no VAT to claim</w:t>
      </w:r>
      <w:r>
        <w:t xml:space="preserve"> </w:t>
      </w:r>
      <w:r>
        <w:t xml:space="preserve">(</w:t>
      </w:r>
      <w:hyperlink w:anchor="ref-hmrc_n744a">
        <w:r>
          <w:rPr>
            <w:rStyle w:val="Hyperlink"/>
          </w:rPr>
          <w:t xml:space="preserve">HMRC, 2022g, para. 2.1</w:t>
        </w:r>
      </w:hyperlink>
      <w:r>
        <w:t xml:space="preserve">;</w:t>
      </w:r>
      <w:r>
        <w:t xml:space="preserve"> </w:t>
      </w:r>
      <w:hyperlink w:anchor="ref-hmrc_exemption">
        <w:r>
          <w:rPr>
            <w:rStyle w:val="Hyperlink"/>
          </w:rPr>
          <w:t xml:space="preserve">2022a</w:t>
        </w:r>
      </w:hyperlink>
      <w:r>
        <w:t xml:space="preserve">;</w:t>
      </w:r>
      <w:r>
        <w:t xml:space="preserve"> </w:t>
      </w:r>
      <w:hyperlink w:anchor="ref-hmrc_vatgpb">
        <w:r>
          <w:rPr>
            <w:rStyle w:val="Hyperlink"/>
          </w:rPr>
          <w:t xml:space="preserve">2026n, sec. VATGPB10670</w:t>
        </w:r>
      </w:hyperlink>
      <w:r>
        <w:t xml:space="preserve">)</w:t>
      </w:r>
      <w:r>
        <w:t xml:space="preserve">. A travel agency’s booking fee is a separate service and is looked at under Heading 67 (travel services), not here. Heading 67 itself also excludes hotel accommodation and fares</w:t>
      </w:r>
      <w:r>
        <w:t xml:space="preserve"> </w:t>
      </w:r>
      <w:r>
        <w:t xml:space="preserve">(</w:t>
      </w:r>
      <w:hyperlink w:anchor="ref-hmrc_vatgpb">
        <w:r>
          <w:rPr>
            <w:rStyle w:val="Hyperlink"/>
          </w:rPr>
          <w:t xml:space="preserve">HMRC, 2026n, sec. VATGPB11070</w:t>
        </w:r>
      </w:hyperlink>
      <w:r>
        <w:t xml:space="preserve">)</w:t>
      </w:r>
      <w:r>
        <w:t xml:space="preserve">.</w:t>
      </w:r>
    </w:p>
    <w:p>
      <w:pPr>
        <w:pStyle w:val="Compact"/>
        <w:numPr>
          <w:ilvl w:val="0"/>
          <w:numId w:val="1521"/>
        </w:numPr>
      </w:pPr>
      <w:r>
        <w:rPr>
          <w:b/>
          <w:bCs/>
        </w:rPr>
        <w:t xml:space="preserve">Not claimable:</w:t>
      </w:r>
      <w:r>
        <w:t xml:space="preserve"> </w:t>
      </w:r>
      <w:r>
        <w:t xml:space="preserve">A member of staff hails a cab in the street or takes one from a rank, in the UK or abroad, and claims it on expenses. HMRC expressly excludes this</w:t>
      </w:r>
      <w:r>
        <w:t xml:space="preserve"> </w:t>
      </w:r>
      <w:r>
        <w:t xml:space="preserve">(</w:t>
      </w:r>
      <w:hyperlink w:anchor="ref-hmrc_vatgpb">
        <w:r>
          <w:rPr>
            <w:rStyle w:val="Hyperlink"/>
          </w:rPr>
          <w:t xml:space="preserve">HMRC, 2026n, sec. VATGPB10670</w:t>
        </w:r>
      </w:hyperlink>
      <w:r>
        <w:t xml:space="preserve">)</w:t>
      </w:r>
      <w:r>
        <w:t xml:space="preserve">. Any tax on a taxi abroad is foreign tax, not UK VAT, so it can never be refunded under COS (Value Added Tax Act 1994, ss. 1(1) and 41(3)).</w:t>
      </w:r>
    </w:p>
    <w:p>
      <w:pPr>
        <w:pStyle w:val="FirstParagraph"/>
      </w:pPr>
      <w:r>
        <w:rPr>
          <w:b/>
          <w:bCs/>
        </w:rPr>
        <w:t xml:space="preserve">Source:</w:t>
      </w:r>
      <w:r>
        <w:t xml:space="preserve"> </w:t>
      </w:r>
      <w:r>
        <w:t xml:space="preserve">HMRC manual section VATGPB10670, page last updated 7 January 2016</w:t>
      </w:r>
      <w:r>
        <w:t xml:space="preserve"> </w:t>
      </w:r>
      <w:r>
        <w:t xml:space="preserve">(</w:t>
      </w:r>
      <w:hyperlink w:anchor="ref-hmrc_vatgpb">
        <w:r>
          <w:rPr>
            <w:rStyle w:val="Hyperlink"/>
          </w:rPr>
          <w:t xml:space="preserve">HMRC, 2026n, sec. VATGPB10670</w:t>
        </w:r>
      </w:hyperlink>
      <w:r>
        <w:t xml:space="preserve">)</w:t>
      </w:r>
      <w:r>
        <w:t xml:space="preserve">.</w:t>
      </w:r>
    </w:p>
    <w:bookmarkEnd w:id="304"/>
    <w:bookmarkStart w:id="305" w:name="heading-48-pest-control-services"/>
    <w:p>
      <w:pPr>
        <w:pStyle w:val="Heading3"/>
      </w:pPr>
      <w:r>
        <w:t xml:space="preserve">Heading 48: Pest control services</w:t>
      </w:r>
    </w:p>
    <w:p>
      <w:pPr>
        <w:pStyle w:val="FirstParagraph"/>
      </w:pPr>
      <w:r>
        <w:rPr>
          <w:b/>
          <w:bCs/>
        </w:rPr>
        <w:t xml:space="preserve">What it covers (HMRC’s description):</w:t>
      </w:r>
      <w:r>
        <w:t xml:space="preserve"> </w:t>
      </w:r>
      <w:r>
        <w:t xml:space="preserve">“</w:t>
      </w:r>
      <w:r>
        <w:t xml:space="preserve">This Heading allows recovery on pest control services.</w:t>
      </w:r>
      <w:r>
        <w:t xml:space="preserve">”</w:t>
      </w:r>
      <w:r>
        <w:t xml:space="preserve"> </w:t>
      </w:r>
      <w:r>
        <w:t xml:space="preserve">The refund is for the contractor’s service, not the products used</w:t>
      </w:r>
      <w:r>
        <w:t xml:space="preserve"> </w:t>
      </w:r>
      <w:r>
        <w:t xml:space="preserve">(</w:t>
      </w:r>
      <w:hyperlink w:anchor="ref-hmrc_vatgpb">
        <w:r>
          <w:rPr>
            <w:rStyle w:val="Hyperlink"/>
          </w:rPr>
          <w:t xml:space="preserve">HMRC, 2026n, sec. VATGPB10690</w:t>
        </w:r>
      </w:hyperlink>
      <w:r>
        <w:t xml:space="preserve">)</w:t>
      </w:r>
      <w:r>
        <w:t xml:space="preserve">.</w:t>
      </w:r>
    </w:p>
    <w:p>
      <w:pPr>
        <w:pStyle w:val="BodyText"/>
      </w:pPr>
      <w:r>
        <w:rPr>
          <w:b/>
          <w:bCs/>
        </w:rPr>
        <w:t xml:space="preserve">Includes:</w:t>
      </w:r>
    </w:p>
    <w:p>
      <w:pPr>
        <w:pStyle w:val="Compact"/>
        <w:numPr>
          <w:ilvl w:val="0"/>
          <w:numId w:val="1522"/>
        </w:numPr>
      </w:pPr>
      <w:r>
        <w:t xml:space="preserve">“</w:t>
      </w:r>
      <w:r>
        <w:t xml:space="preserve">Setting of traps</w:t>
      </w:r>
      <w:r>
        <w:t xml:space="preserve">”</w:t>
      </w:r>
    </w:p>
    <w:p>
      <w:pPr>
        <w:pStyle w:val="Compact"/>
        <w:numPr>
          <w:ilvl w:val="0"/>
          <w:numId w:val="1522"/>
        </w:numPr>
      </w:pPr>
      <w:r>
        <w:t xml:space="preserve">“</w:t>
      </w:r>
      <w:r>
        <w:t xml:space="preserve">Spraying insecticide</w:t>
      </w:r>
      <w:r>
        <w:t xml:space="preserve">”</w:t>
      </w:r>
    </w:p>
    <w:p>
      <w:pPr>
        <w:pStyle w:val="Compact"/>
        <w:numPr>
          <w:ilvl w:val="0"/>
          <w:numId w:val="1522"/>
        </w:numPr>
      </w:pPr>
      <w:r>
        <w:t xml:space="preserve">“</w:t>
      </w:r>
      <w:r>
        <w:t xml:space="preserve">Laying down poison</w:t>
      </w:r>
      <w:r>
        <w:t xml:space="preserve">”</w:t>
      </w:r>
    </w:p>
    <w:p>
      <w:pPr>
        <w:pStyle w:val="Compact"/>
        <w:numPr>
          <w:ilvl w:val="0"/>
          <w:numId w:val="1522"/>
        </w:numPr>
      </w:pPr>
      <w:r>
        <w:t xml:space="preserve">“</w:t>
      </w:r>
      <w:r>
        <w:t xml:space="preserve">Removal of dead rodents</w:t>
      </w:r>
      <w:r>
        <w:t xml:space="preserve">”</w:t>
      </w:r>
    </w:p>
    <w:p>
      <w:pPr>
        <w:pStyle w:val="Compact"/>
        <w:numPr>
          <w:ilvl w:val="0"/>
          <w:numId w:val="1522"/>
        </w:numPr>
      </w:pPr>
      <w:r>
        <w:t xml:space="preserve">“</w:t>
      </w:r>
      <w:r>
        <w:t xml:space="preserve">Disinfestation</w:t>
      </w:r>
      <w:r>
        <w:t xml:space="preserve">”</w:t>
      </w:r>
    </w:p>
    <w:p>
      <w:pPr>
        <w:pStyle w:val="FirstParagraph"/>
      </w:pPr>
      <w:r>
        <w:rPr>
          <w:b/>
          <w:bCs/>
        </w:rPr>
        <w:t xml:space="preserve">Excludes:</w:t>
      </w:r>
    </w:p>
    <w:p>
      <w:pPr>
        <w:pStyle w:val="Compact"/>
        <w:numPr>
          <w:ilvl w:val="0"/>
          <w:numId w:val="1523"/>
        </w:numPr>
      </w:pPr>
      <w:r>
        <w:t xml:space="preserve">“</w:t>
      </w:r>
      <w:r>
        <w:t xml:space="preserve">The purchase of goods such as products designed for pest control, for example poisons, traps, etc</w:t>
      </w:r>
      <w:r>
        <w:t xml:space="preserve">”</w:t>
      </w:r>
    </w:p>
    <w:p>
      <w:pPr>
        <w:pStyle w:val="FirstParagraph"/>
      </w:pPr>
      <w:r>
        <w:rPr>
          <w:b/>
          <w:bCs/>
        </w:rPr>
        <w:t xml:space="preserve">Examples for the Department:</w:t>
      </w:r>
    </w:p>
    <w:p>
      <w:pPr>
        <w:pStyle w:val="Compact"/>
        <w:numPr>
          <w:ilvl w:val="0"/>
          <w:numId w:val="1524"/>
        </w:numPr>
      </w:pPr>
      <w:r>
        <w:rPr>
          <w:b/>
          <w:bCs/>
        </w:rPr>
        <w:t xml:space="preserve">Claimable:</w:t>
      </w:r>
      <w:r>
        <w:t xml:space="preserve"> </w:t>
      </w:r>
      <w:r>
        <w:t xml:space="preserve">A contractor provides regular pest control visits at the Department’s headquarters and its UK store, setting traps and removing dead rodents. This is an ordinary running cost, and the service is listed.</w:t>
      </w:r>
    </w:p>
    <w:p>
      <w:pPr>
        <w:pStyle w:val="Compact"/>
        <w:numPr>
          <w:ilvl w:val="0"/>
          <w:numId w:val="1524"/>
        </w:numPr>
      </w:pPr>
      <w:r>
        <w:rPr>
          <w:b/>
          <w:bCs/>
        </w:rPr>
        <w:t xml:space="preserve">Claimable:</w:t>
      </w:r>
      <w:r>
        <w:t xml:space="preserve"> </w:t>
      </w:r>
      <w:r>
        <w:t xml:space="preserve">A contractor disinfests the UK store holding equipment that is waiting to be shipped to a partner government.</w:t>
      </w:r>
      <w:r>
        <w:t xml:space="preserve"> </w:t>
      </w:r>
      <w:r>
        <w:t xml:space="preserve">“</w:t>
      </w:r>
      <w:r>
        <w:t xml:space="preserve">Disinfestation</w:t>
      </w:r>
      <w:r>
        <w:t xml:space="preserve">”</w:t>
      </w:r>
      <w:r>
        <w:t xml:space="preserve"> </w:t>
      </w:r>
      <w:r>
        <w:t xml:space="preserve">is listed, and gifting is non-business.</w:t>
      </w:r>
    </w:p>
    <w:p>
      <w:pPr>
        <w:pStyle w:val="Compact"/>
        <w:numPr>
          <w:ilvl w:val="0"/>
          <w:numId w:val="1524"/>
        </w:numPr>
      </w:pPr>
      <w:r>
        <w:rPr>
          <w:b/>
          <w:bCs/>
        </w:rPr>
        <w:t xml:space="preserve">Not claimable:</w:t>
      </w:r>
      <w:r>
        <w:t xml:space="preserve"> </w:t>
      </w:r>
      <w:r>
        <w:t xml:space="preserve">The facilities team buys rat traps and poison to set itself. These are goods and are expressly excluded.</w:t>
      </w:r>
    </w:p>
    <w:p>
      <w:pPr>
        <w:pStyle w:val="Compact"/>
        <w:numPr>
          <w:ilvl w:val="0"/>
          <w:numId w:val="1524"/>
        </w:numPr>
      </w:pPr>
      <w:r>
        <w:rPr>
          <w:b/>
          <w:bCs/>
        </w:rPr>
        <w:t xml:space="preserve">Not claimable:</w:t>
      </w:r>
      <w:r>
        <w:t xml:space="preserve"> </w:t>
      </w:r>
      <w:r>
        <w:t xml:space="preserve">A local firm carries out pest control at an overseas office used by posted staff. Any local tax charged is not UK VAT, so it cannot be claimed under COS (Value Added Tax Act 1994, ss. 1(1) and 41(3)).</w:t>
      </w:r>
    </w:p>
    <w:p>
      <w:pPr>
        <w:pStyle w:val="FirstParagraph"/>
      </w:pPr>
      <w:r>
        <w:rPr>
          <w:b/>
          <w:bCs/>
        </w:rPr>
        <w:t xml:space="preserve">Source:</w:t>
      </w:r>
      <w:r>
        <w:t xml:space="preserve"> </w:t>
      </w:r>
      <w:r>
        <w:t xml:space="preserve">HMRC manual section VATGPB10690, page last updated 7 January 2016</w:t>
      </w:r>
      <w:r>
        <w:t xml:space="preserve"> </w:t>
      </w:r>
      <w:r>
        <w:t xml:space="preserve">(</w:t>
      </w:r>
      <w:hyperlink w:anchor="ref-hmrc_vatgpb">
        <w:r>
          <w:rPr>
            <w:rStyle w:val="Hyperlink"/>
          </w:rPr>
          <w:t xml:space="preserve">HMRC, 2026n, sec. VATGPB10690</w:t>
        </w:r>
      </w:hyperlink>
      <w:r>
        <w:t xml:space="preserve">)</w:t>
      </w:r>
      <w:r>
        <w:t xml:space="preserve">.</w:t>
      </w:r>
    </w:p>
    <w:bookmarkEnd w:id="305"/>
    <w:bookmarkStart w:id="306" w:name="Xfa3b85c533db511f09fb4af1a9b3f9f46e8af1a"/>
    <w:p>
      <w:pPr>
        <w:pStyle w:val="Heading3"/>
      </w:pPr>
      <w:r>
        <w:t xml:space="preserve">Heading 49: Photographic, reprographic, graphic and design services</w:t>
      </w:r>
    </w:p>
    <w:p>
      <w:pPr>
        <w:pStyle w:val="FirstParagraph"/>
      </w:pPr>
      <w:r>
        <w:rPr>
          <w:b/>
          <w:bCs/>
        </w:rPr>
        <w:t xml:space="preserve">What it covers (HMRC’s description):</w:t>
      </w:r>
      <w:r>
        <w:t xml:space="preserve"> </w:t>
      </w:r>
      <w:r>
        <w:t xml:space="preserve">“</w:t>
      </w:r>
      <w:r>
        <w:t xml:space="preserve">This Heading allows recovery on contracted out photographic, reprographic, graphic and design services</w:t>
      </w:r>
      <w:r>
        <w:t xml:space="preserve">”</w:t>
      </w:r>
      <w:r>
        <w:t xml:space="preserve"> </w:t>
      </w:r>
      <w:r>
        <w:t xml:space="preserve">(</w:t>
      </w:r>
      <w:hyperlink w:anchor="ref-hmrc_vatgpb">
        <w:r>
          <w:rPr>
            <w:rStyle w:val="Hyperlink"/>
          </w:rPr>
          <w:t xml:space="preserve">HMRC, 2026n, sec. VATGPB10710</w:t>
        </w:r>
      </w:hyperlink>
      <w:r>
        <w:t xml:space="preserve">)</w:t>
      </w:r>
      <w:r>
        <w:t xml:space="preserve">.</w:t>
      </w:r>
      <w:r>
        <w:t xml:space="preserve"> </w:t>
      </w:r>
      <w:r>
        <w:t xml:space="preserve">“</w:t>
      </w:r>
      <w:r>
        <w:t xml:space="preserve">Reprographic</w:t>
      </w:r>
      <w:r>
        <w:t xml:space="preserve">”</w:t>
      </w:r>
      <w:r>
        <w:t xml:space="preserve"> </w:t>
      </w:r>
      <w:r>
        <w:t xml:space="preserve">means copying and reproducing documents</w:t>
      </w:r>
      <w:r>
        <w:t xml:space="preserve"> </w:t>
      </w:r>
      <w:r>
        <w:t xml:space="preserve">(</w:t>
      </w:r>
      <w:hyperlink w:anchor="ref-hmrc_vatgpb">
        <w:r>
          <w:rPr>
            <w:rStyle w:val="Hyperlink"/>
          </w:rPr>
          <w:t xml:space="preserve">HMRC, 2026n, sec. VATGPB10230</w:t>
        </w:r>
      </w:hyperlink>
      <w:r>
        <w:t xml:space="preserve">)</w:t>
      </w:r>
      <w:r>
        <w:t xml:space="preserve">.</w:t>
      </w:r>
    </w:p>
    <w:p>
      <w:pPr>
        <w:pStyle w:val="BodyText"/>
      </w:pPr>
      <w:r>
        <w:rPr>
          <w:b/>
          <w:bCs/>
        </w:rPr>
        <w:t xml:space="preserve">Includes:</w:t>
      </w:r>
    </w:p>
    <w:p>
      <w:pPr>
        <w:pStyle w:val="Compact"/>
        <w:numPr>
          <w:ilvl w:val="0"/>
          <w:numId w:val="1525"/>
        </w:numPr>
      </w:pPr>
      <w:r>
        <w:t xml:space="preserve">“</w:t>
      </w:r>
      <w:r>
        <w:t xml:space="preserve">Hire of a photographer</w:t>
      </w:r>
      <w:r>
        <w:t xml:space="preserve">”</w:t>
      </w:r>
    </w:p>
    <w:p>
      <w:pPr>
        <w:pStyle w:val="Compact"/>
        <w:numPr>
          <w:ilvl w:val="0"/>
          <w:numId w:val="1525"/>
        </w:numPr>
      </w:pPr>
      <w:r>
        <w:t xml:space="preserve">“</w:t>
      </w:r>
      <w:r>
        <w:t xml:space="preserve">Design &amp; printing of annual reports</w:t>
      </w:r>
      <w:r>
        <w:t xml:space="preserve">”</w:t>
      </w:r>
    </w:p>
    <w:p>
      <w:pPr>
        <w:pStyle w:val="Compact"/>
        <w:numPr>
          <w:ilvl w:val="0"/>
          <w:numId w:val="1525"/>
        </w:numPr>
      </w:pPr>
      <w:r>
        <w:t xml:space="preserve">“</w:t>
      </w:r>
      <w:r>
        <w:t xml:space="preserve">Bulk copying services</w:t>
      </w:r>
      <w:r>
        <w:t xml:space="preserve">”</w:t>
      </w:r>
    </w:p>
    <w:p>
      <w:pPr>
        <w:pStyle w:val="Compact"/>
        <w:numPr>
          <w:ilvl w:val="0"/>
          <w:numId w:val="1525"/>
        </w:numPr>
      </w:pPr>
      <w:r>
        <w:t xml:space="preserve">“</w:t>
      </w:r>
      <w:r>
        <w:t xml:space="preserve">Design and redesign of a website</w:t>
      </w:r>
      <w:r>
        <w:t xml:space="preserve">”</w:t>
      </w:r>
    </w:p>
    <w:p>
      <w:pPr>
        <w:pStyle w:val="FirstParagraph"/>
      </w:pPr>
      <w:r>
        <w:rPr>
          <w:b/>
          <w:bCs/>
        </w:rPr>
        <w:t xml:space="preserve">Excludes:</w:t>
      </w:r>
    </w:p>
    <w:p>
      <w:pPr>
        <w:pStyle w:val="Compact"/>
        <w:numPr>
          <w:ilvl w:val="0"/>
          <w:numId w:val="1526"/>
        </w:numPr>
      </w:pPr>
      <w:r>
        <w:t xml:space="preserve">“</w:t>
      </w:r>
      <w:r>
        <w:t xml:space="preserve">Purchase of photocopiers etc.</w:t>
      </w:r>
      <w:r>
        <w:t xml:space="preserve">”</w:t>
      </w:r>
    </w:p>
    <w:p>
      <w:pPr>
        <w:pStyle w:val="Compact"/>
        <w:numPr>
          <w:ilvl w:val="0"/>
          <w:numId w:val="1526"/>
        </w:numPr>
      </w:pPr>
      <w:r>
        <w:t xml:space="preserve">Printing of business cards and headed stationery. HMRC says</w:t>
      </w:r>
      <w:r>
        <w:t xml:space="preserve"> </w:t>
      </w:r>
      <w:r>
        <w:t xml:space="preserve">“</w:t>
      </w:r>
      <w:r>
        <w:t xml:space="preserve">these may be recoverable under Heading 61</w:t>
      </w:r>
      <w:r>
        <w:t xml:space="preserve">”</w:t>
      </w:r>
      <w:r>
        <w:t xml:space="preserve">.</w:t>
      </w:r>
    </w:p>
    <w:p>
      <w:pPr>
        <w:pStyle w:val="Compact"/>
        <w:numPr>
          <w:ilvl w:val="0"/>
          <w:numId w:val="1526"/>
        </w:numPr>
      </w:pPr>
      <w:r>
        <w:t xml:space="preserve">“</w:t>
      </w:r>
      <w:r>
        <w:t xml:space="preserve">Printing of office signage</w:t>
      </w:r>
      <w:r>
        <w:t xml:space="preserve">”</w:t>
      </w:r>
    </w:p>
    <w:p>
      <w:pPr>
        <w:pStyle w:val="FirstParagraph"/>
      </w:pPr>
      <w:r>
        <w:rPr>
          <w:b/>
          <w:bCs/>
        </w:rPr>
        <w:t xml:space="preserve">Examples for the Department:</w:t>
      </w:r>
    </w:p>
    <w:p>
      <w:pPr>
        <w:pStyle w:val="Compact"/>
        <w:numPr>
          <w:ilvl w:val="0"/>
          <w:numId w:val="1527"/>
        </w:numPr>
      </w:pPr>
      <w:r>
        <w:rPr>
          <w:b/>
          <w:bCs/>
        </w:rPr>
        <w:t xml:space="preserve">Claimable:</w:t>
      </w:r>
      <w:r>
        <w:t xml:space="preserve"> </w:t>
      </w:r>
      <w:r>
        <w:t xml:space="preserve">The Department hires a UK photographer, who charges UK VAT, to record the handover of gifted equipment to a partner government’s officials.</w:t>
      </w:r>
      <w:r>
        <w:t xml:space="preserve"> </w:t>
      </w:r>
      <w:r>
        <w:t xml:space="preserve">“</w:t>
      </w:r>
      <w:r>
        <w:t xml:space="preserve">Hire of a photographer</w:t>
      </w:r>
      <w:r>
        <w:t xml:space="preserve">”</w:t>
      </w:r>
      <w:r>
        <w:t xml:space="preserve"> </w:t>
      </w:r>
      <w:r>
        <w:t xml:space="preserve">is listed, and the purpose is non-business.</w:t>
      </w:r>
    </w:p>
    <w:p>
      <w:pPr>
        <w:pStyle w:val="Compact"/>
        <w:numPr>
          <w:ilvl w:val="0"/>
          <w:numId w:val="1527"/>
        </w:numPr>
      </w:pPr>
      <w:r>
        <w:rPr>
          <w:b/>
          <w:bCs/>
        </w:rPr>
        <w:t xml:space="preserve">Claimable:</w:t>
      </w:r>
      <w:r>
        <w:t xml:space="preserve"> </w:t>
      </w:r>
      <w:r>
        <w:t xml:space="preserve">A design agency redesigns the Department’s website pages about its international programmes.</w:t>
      </w:r>
      <w:r>
        <w:t xml:space="preserve"> </w:t>
      </w:r>
      <w:r>
        <w:t xml:space="preserve">“</w:t>
      </w:r>
      <w:r>
        <w:t xml:space="preserve">Design and redesign of a website</w:t>
      </w:r>
      <w:r>
        <w:t xml:space="preserve">”</w:t>
      </w:r>
      <w:r>
        <w:t xml:space="preserve"> </w:t>
      </w:r>
      <w:r>
        <w:t xml:space="preserve">is listed.</w:t>
      </w:r>
    </w:p>
    <w:p>
      <w:pPr>
        <w:pStyle w:val="Compact"/>
        <w:numPr>
          <w:ilvl w:val="0"/>
          <w:numId w:val="1527"/>
        </w:numPr>
      </w:pPr>
      <w:r>
        <w:rPr>
          <w:b/>
          <w:bCs/>
        </w:rPr>
        <w:t xml:space="preserve">Not claimable:</w:t>
      </w:r>
      <w:r>
        <w:t xml:space="preserve"> </w:t>
      </w:r>
      <w:r>
        <w:t xml:space="preserve">A design agency produces a sales brochure marketing the Department’s data licences to overseas customers. Selling licences for a charge is normally a business activity, so the VAT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Compact"/>
        <w:numPr>
          <w:ilvl w:val="0"/>
          <w:numId w:val="1527"/>
        </w:numPr>
      </w:pPr>
      <w:r>
        <w:rPr>
          <w:b/>
          <w:bCs/>
        </w:rPr>
        <w:t xml:space="preserve">Not claimable:</w:t>
      </w:r>
      <w:r>
        <w:t xml:space="preserve"> </w:t>
      </w:r>
      <w:r>
        <w:t xml:space="preserve">Business cards are printed for staff going on overseas postings. HMRC excludes these from Heading 49 and points to Heading 61 instead</w:t>
      </w:r>
      <w:r>
        <w:t xml:space="preserve"> </w:t>
      </w:r>
      <w:r>
        <w:t xml:space="preserve">(</w:t>
      </w:r>
      <w:hyperlink w:anchor="ref-hmrc_vatgpb">
        <w:r>
          <w:rPr>
            <w:rStyle w:val="Hyperlink"/>
          </w:rPr>
          <w:t xml:space="preserve">HMRC, 2026n, sec. VATGPB10710</w:t>
        </w:r>
      </w:hyperlink>
      <w:r>
        <w:t xml:space="preserve">)</w:t>
      </w:r>
      <w:r>
        <w:t xml:space="preserve"> </w:t>
      </w:r>
      <w:r>
        <w:t xml:space="preserve">(see the Heading 61 examples).</w:t>
      </w:r>
    </w:p>
    <w:p>
      <w:pPr>
        <w:pStyle w:val="FirstParagraph"/>
      </w:pPr>
      <w:r>
        <w:rPr>
          <w:b/>
          <w:bCs/>
        </w:rPr>
        <w:t xml:space="preserve">Source:</w:t>
      </w:r>
      <w:r>
        <w:t xml:space="preserve"> </w:t>
      </w:r>
      <w:r>
        <w:t xml:space="preserve">HMRC manual section VATGPB10710, page last updated 14 October 2016</w:t>
      </w:r>
      <w:r>
        <w:t xml:space="preserve"> </w:t>
      </w:r>
      <w:r>
        <w:t xml:space="preserve">(</w:t>
      </w:r>
      <w:hyperlink w:anchor="ref-hmrc_vatgpb">
        <w:r>
          <w:rPr>
            <w:rStyle w:val="Hyperlink"/>
          </w:rPr>
          <w:t xml:space="preserve">HMRC, 2026n, sec. VATGPB10710</w:t>
        </w:r>
      </w:hyperlink>
      <w:r>
        <w:t xml:space="preserve">)</w:t>
      </w:r>
      <w:r>
        <w:t xml:space="preserve">.</w:t>
      </w:r>
    </w:p>
    <w:bookmarkEnd w:id="306"/>
    <w:bookmarkStart w:id="307" w:name="X9b28686a2fe53731a9e8c58963f68701584a2bc"/>
    <w:p>
      <w:pPr>
        <w:pStyle w:val="Heading3"/>
      </w:pPr>
      <w:r>
        <w:t xml:space="preserve">Heading 50: Preparation and despatch of forms</w:t>
      </w:r>
    </w:p>
    <w:p>
      <w:pPr>
        <w:pStyle w:val="FirstParagraph"/>
      </w:pPr>
      <w:r>
        <w:rPr>
          <w:b/>
          <w:bCs/>
        </w:rPr>
        <w:t xml:space="preserve">What it covers (HMRC’s description):</w:t>
      </w:r>
      <w:r>
        <w:t xml:space="preserve"> </w:t>
      </w:r>
      <w:r>
        <w:t xml:space="preserve">“</w:t>
      </w:r>
      <w:r>
        <w:t xml:space="preserve">This Heading covers the preparation and despatch of forms.</w:t>
      </w:r>
      <w:r>
        <w:t xml:space="preserve">”</w:t>
      </w:r>
      <w:r>
        <w:t xml:space="preserve"> </w:t>
      </w:r>
      <w:r>
        <w:t xml:space="preserve">HMRC’s only further point is the single-contract condition shown below</w:t>
      </w:r>
      <w:r>
        <w:t xml:space="preserve"> </w:t>
      </w:r>
      <w:r>
        <w:t xml:space="preserve">(</w:t>
      </w:r>
      <w:hyperlink w:anchor="ref-hmrc_vatgpb">
        <w:r>
          <w:rPr>
            <w:rStyle w:val="Hyperlink"/>
          </w:rPr>
          <w:t xml:space="preserve">HMRC, 2026n, sec. VATGPB10730</w:t>
        </w:r>
      </w:hyperlink>
      <w:r>
        <w:t xml:space="preserve">)</w:t>
      </w:r>
      <w:r>
        <w:t xml:space="preserve">.</w:t>
      </w:r>
    </w:p>
    <w:p>
      <w:pPr>
        <w:pStyle w:val="BodyText"/>
      </w:pPr>
      <w:r>
        <w:rPr>
          <w:b/>
          <w:bCs/>
        </w:rPr>
        <w:t xml:space="preserve">Includes:</w:t>
      </w:r>
    </w:p>
    <w:p>
      <w:pPr>
        <w:pStyle w:val="Compact"/>
        <w:numPr>
          <w:ilvl w:val="0"/>
          <w:numId w:val="1528"/>
        </w:numPr>
      </w:pPr>
      <w:r>
        <w:t xml:space="preserve">“</w:t>
      </w:r>
      <w:r>
        <w:t xml:space="preserve">Design, printing and mailing of forms, providing these services are provided within a single contract</w:t>
      </w:r>
      <w:r>
        <w:t xml:space="preserve">”</w:t>
      </w:r>
    </w:p>
    <w:p>
      <w:pPr>
        <w:pStyle w:val="FirstParagraph"/>
      </w:pPr>
      <w:r>
        <w:rPr>
          <w:b/>
          <w:bCs/>
        </w:rPr>
        <w:t xml:space="preserve">Examples for the Department:</w:t>
      </w:r>
    </w:p>
    <w:p>
      <w:pPr>
        <w:pStyle w:val="Compact"/>
        <w:numPr>
          <w:ilvl w:val="0"/>
          <w:numId w:val="1529"/>
        </w:numPr>
      </w:pPr>
      <w:r>
        <w:rPr>
          <w:b/>
          <w:bCs/>
        </w:rPr>
        <w:t xml:space="preserve">Claimable:</w:t>
      </w:r>
      <w:r>
        <w:t xml:space="preserve"> </w:t>
      </w:r>
      <w:r>
        <w:t xml:space="preserve">Under one contract, a mailing house designs, prints and posts the paper forms that staff complete before an overseas posting, such as medical and next-of-kin declarations. Design, printing and mailing are all in a single contract.</w:t>
      </w:r>
    </w:p>
    <w:p>
      <w:pPr>
        <w:pStyle w:val="Compact"/>
        <w:numPr>
          <w:ilvl w:val="0"/>
          <w:numId w:val="1529"/>
        </w:numPr>
      </w:pPr>
      <w:r>
        <w:rPr>
          <w:b/>
          <w:bCs/>
        </w:rPr>
        <w:t xml:space="preserve">Not claimable (under this heading):</w:t>
      </w:r>
      <w:r>
        <w:t xml:space="preserve"> </w:t>
      </w:r>
      <w:r>
        <w:t xml:space="preserve">One firm designs the forms, a second prints them and the Department posts them itself. This does not meet HMRC’s</w:t>
      </w:r>
      <w:r>
        <w:t xml:space="preserve"> </w:t>
      </w:r>
      <w:r>
        <w:t xml:space="preserve">“</w:t>
      </w:r>
      <w:r>
        <w:t xml:space="preserve">within a single contract</w:t>
      </w:r>
      <w:r>
        <w:t xml:space="preserve">”</w:t>
      </w:r>
      <w:r>
        <w:t xml:space="preserve"> </w:t>
      </w:r>
      <w:r>
        <w:t xml:space="preserve">condition for this heading</w:t>
      </w:r>
      <w:r>
        <w:t xml:space="preserve"> </w:t>
      </w:r>
      <w:r>
        <w:t xml:space="preserve">(</w:t>
      </w:r>
      <w:hyperlink w:anchor="ref-hmrc_vatgpb">
        <w:r>
          <w:rPr>
            <w:rStyle w:val="Hyperlink"/>
          </w:rPr>
          <w:t xml:space="preserve">HMRC, 2026n, sec. VATGPB10730</w:t>
        </w:r>
      </w:hyperlink>
      <w:r>
        <w:t xml:space="preserve">)</w:t>
      </w:r>
      <w:r>
        <w:t xml:space="preserve">, so each service has to be tested against its own heading (for example Heading 49 for design or Heading 61 for printing)</w:t>
      </w:r>
      <w:r>
        <w:t xml:space="preserve"> </w:t>
      </w:r>
      <w:r>
        <w:t xml:space="preserve">(</w:t>
      </w:r>
      <w:hyperlink w:anchor="ref-hmrc_vatgpb">
        <w:r>
          <w:rPr>
            <w:rStyle w:val="Hyperlink"/>
          </w:rPr>
          <w:t xml:space="preserve">HMRC, 2026n, sec. VATGPB10710</w:t>
        </w:r>
      </w:hyperlink>
      <w:r>
        <w:t xml:space="preserve"> </w:t>
      </w:r>
      <w:r>
        <w:t xml:space="preserve">and VATGPB10950)</w:t>
      </w:r>
      <w:r>
        <w:t xml:space="preserve">. Ordinary postage stamps for the Royal Mail universal service are exempt, so there is no VAT on them to claim</w:t>
      </w:r>
      <w:r>
        <w:t xml:space="preserve"> </w:t>
      </w:r>
      <w:r>
        <w:t xml:space="preserve">(</w:t>
      </w:r>
      <w:hyperlink w:anchor="ref-hmrc_exemption">
        <w:r>
          <w:rPr>
            <w:rStyle w:val="Hyperlink"/>
          </w:rPr>
          <w:t xml:space="preserve">HMRC, 2022a</w:t>
        </w:r>
      </w:hyperlink>
      <w:r>
        <w:t xml:space="preserve">,</w:t>
      </w:r>
      <w:r>
        <w:t xml:space="preserve"> </w:t>
      </w:r>
      <w:hyperlink w:anchor="ref-hmrc_vat_rates">
        <w:r>
          <w:rPr>
            <w:rStyle w:val="Hyperlink"/>
          </w:rPr>
          <w:t xml:space="preserve">2026r</w:t>
        </w:r>
      </w:hyperlink>
      <w:r>
        <w:t xml:space="preserve">)</w:t>
      </w:r>
      <w:r>
        <w:t xml:space="preserve">.</w:t>
      </w:r>
    </w:p>
    <w:p>
      <w:pPr>
        <w:pStyle w:val="FirstParagraph"/>
      </w:pPr>
      <w:r>
        <w:rPr>
          <w:b/>
          <w:bCs/>
        </w:rPr>
        <w:t xml:space="preserve">Source:</w:t>
      </w:r>
      <w:r>
        <w:t xml:space="preserve"> </w:t>
      </w:r>
      <w:r>
        <w:t xml:space="preserve">HMRC manual section VATGPB10730, page last updated 7 January 2016</w:t>
      </w:r>
      <w:r>
        <w:t xml:space="preserve"> </w:t>
      </w:r>
      <w:r>
        <w:t xml:space="preserve">(</w:t>
      </w:r>
      <w:hyperlink w:anchor="ref-hmrc_vatgpb">
        <w:r>
          <w:rPr>
            <w:rStyle w:val="Hyperlink"/>
          </w:rPr>
          <w:t xml:space="preserve">HMRC, 2026n, sec. VATGPB10730</w:t>
        </w:r>
      </w:hyperlink>
      <w:r>
        <w:t xml:space="preserve">)</w:t>
      </w:r>
      <w:r>
        <w:t xml:space="preserve">.</w:t>
      </w:r>
    </w:p>
    <w:bookmarkEnd w:id="307"/>
    <w:bookmarkStart w:id="308" w:name="heading-51-press-cutting-services"/>
    <w:p>
      <w:pPr>
        <w:pStyle w:val="Heading3"/>
      </w:pPr>
      <w:r>
        <w:t xml:space="preserve">Heading 51: Press cutting services</w:t>
      </w:r>
    </w:p>
    <w:p>
      <w:pPr>
        <w:pStyle w:val="FirstParagraph"/>
      </w:pPr>
      <w:r>
        <w:rPr>
          <w:b/>
          <w:bCs/>
        </w:rPr>
        <w:t xml:space="preserve">What it covers (HMRC’s description):</w:t>
      </w:r>
      <w:r>
        <w:t xml:space="preserve"> </w:t>
      </w:r>
      <w:r>
        <w:t xml:space="preserve">“</w:t>
      </w:r>
      <w:r>
        <w:t xml:space="preserve">This Heading allows recovery where you use an outside contractor to provide you with a physical or electronic press cutting service, for example you are supplied with copies of all articles in the national and/or local press of particular relevance to your government department or health authority.</w:t>
      </w:r>
      <w:r>
        <w:t xml:space="preserve">”</w:t>
      </w:r>
      <w:r>
        <w:t xml:space="preserve"> </w:t>
      </w:r>
      <w:r>
        <w:t xml:space="preserve">HMRC gives no Includes or Excludes lists and no further detail</w:t>
      </w:r>
      <w:r>
        <w:t xml:space="preserve"> </w:t>
      </w:r>
      <w:r>
        <w:t xml:space="preserve">(</w:t>
      </w:r>
      <w:hyperlink w:anchor="ref-hmrc_vatgpb">
        <w:r>
          <w:rPr>
            <w:rStyle w:val="Hyperlink"/>
          </w:rPr>
          <w:t xml:space="preserve">HMRC, 2026n, sec. VATGPB10750</w:t>
        </w:r>
      </w:hyperlink>
      <w:r>
        <w:t xml:space="preserve">)</w:t>
      </w:r>
      <w:r>
        <w:t xml:space="preserve">.</w:t>
      </w:r>
    </w:p>
    <w:p>
      <w:pPr>
        <w:pStyle w:val="BodyText"/>
      </w:pPr>
      <w:r>
        <w:rPr>
          <w:b/>
          <w:bCs/>
        </w:rPr>
        <w:t xml:space="preserve">Examples for the Department:</w:t>
      </w:r>
    </w:p>
    <w:p>
      <w:pPr>
        <w:pStyle w:val="Compact"/>
        <w:numPr>
          <w:ilvl w:val="0"/>
          <w:numId w:val="1530"/>
        </w:numPr>
      </w:pPr>
      <w:r>
        <w:rPr>
          <w:b/>
          <w:bCs/>
        </w:rPr>
        <w:t xml:space="preserve">Claimable:</w:t>
      </w:r>
      <w:r>
        <w:t xml:space="preserve"> </w:t>
      </w:r>
      <w:r>
        <w:t xml:space="preserve">A media-monitoring contractor emails the Department a daily digest of national and local press articles about it, including coverage of its overseas aid and equipment-gifting programmes. This is an electronic press cutting service.</w:t>
      </w:r>
    </w:p>
    <w:p>
      <w:pPr>
        <w:pStyle w:val="Compact"/>
        <w:numPr>
          <w:ilvl w:val="0"/>
          <w:numId w:val="1530"/>
        </w:numPr>
      </w:pPr>
      <w:r>
        <w:rPr>
          <w:b/>
          <w:bCs/>
        </w:rPr>
        <w:t xml:space="preserve">Not claimable:</w:t>
      </w:r>
      <w:r>
        <w:t xml:space="preserve"> </w:t>
      </w:r>
      <w:r>
        <w:t xml:space="preserve">The Department’s own newspaper subscriptions. This is buying newspapers, not a press cutting service. Newspapers, including digital editions, are zero-rated, so there is no VAT to claim anyway</w:t>
      </w:r>
      <w:r>
        <w:t xml:space="preserve"> </w:t>
      </w:r>
      <w:r>
        <w:t xml:space="preserve">(</w:t>
      </w:r>
      <w:hyperlink w:anchor="ref-hmrc_n70110">
        <w:r>
          <w:rPr>
            <w:rStyle w:val="Hyperlink"/>
          </w:rPr>
          <w:t xml:space="preserve">HMRC, 2020f, para. 9.1</w:t>
        </w:r>
      </w:hyperlink>
      <w:r>
        <w:t xml:space="preserve">;</w:t>
      </w:r>
      <w:r>
        <w:t xml:space="preserve"> </w:t>
      </w:r>
      <w:hyperlink w:anchor="ref-hmrc_vat_rates">
        <w:r>
          <w:rPr>
            <w:rStyle w:val="Hyperlink"/>
          </w:rPr>
          <w:t xml:space="preserve">2026r</w:t>
        </w:r>
      </w:hyperlink>
      <w:r>
        <w:t xml:space="preserve">)</w:t>
      </w:r>
      <w:r>
        <w:t xml:space="preserve">.</w:t>
      </w:r>
    </w:p>
    <w:p>
      <w:pPr>
        <w:pStyle w:val="Compact"/>
        <w:numPr>
          <w:ilvl w:val="0"/>
          <w:numId w:val="1530"/>
        </w:numPr>
      </w:pPr>
      <w:r>
        <w:rPr>
          <w:b/>
          <w:bCs/>
        </w:rPr>
        <w:t xml:space="preserve">Not claimable (under this heading):</w:t>
      </w:r>
      <w:r>
        <w:t xml:space="preserve"> </w:t>
      </w:r>
      <w:r>
        <w:t xml:space="preserve">Monitoring of TV and radio coverage. This is not a press cutting service. The Direction has a separate Heading 7 (broadcast monitoring services) for it, so test it there instead</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VATGPB9870</w:t>
        </w:r>
      </w:hyperlink>
      <w:r>
        <w:t xml:space="preserve">)</w:t>
      </w:r>
      <w:r>
        <w:t xml:space="preserve">.</w:t>
      </w:r>
    </w:p>
    <w:p>
      <w:pPr>
        <w:pStyle w:val="FirstParagraph"/>
      </w:pPr>
      <w:r>
        <w:rPr>
          <w:b/>
          <w:bCs/>
        </w:rPr>
        <w:t xml:space="preserve">Source:</w:t>
      </w:r>
      <w:r>
        <w:t xml:space="preserve"> </w:t>
      </w:r>
      <w:r>
        <w:t xml:space="preserve">HMRC manual section VATGPB10750, page last updated 7 January 2016</w:t>
      </w:r>
      <w:r>
        <w:t xml:space="preserve"> </w:t>
      </w:r>
      <w:r>
        <w:t xml:space="preserve">(</w:t>
      </w:r>
      <w:hyperlink w:anchor="ref-hmrc_vatgpb">
        <w:r>
          <w:rPr>
            <w:rStyle w:val="Hyperlink"/>
          </w:rPr>
          <w:t xml:space="preserve">HMRC, 2026n, sec. VATGPB10750</w:t>
        </w:r>
      </w:hyperlink>
      <w:r>
        <w:t xml:space="preserve">)</w:t>
      </w:r>
      <w:r>
        <w:t xml:space="preserve">.</w:t>
      </w:r>
    </w:p>
    <w:bookmarkEnd w:id="308"/>
    <w:bookmarkStart w:id="309" w:name="heading-52-professional-advice"/>
    <w:p>
      <w:pPr>
        <w:pStyle w:val="Heading3"/>
      </w:pPr>
      <w:r>
        <w:t xml:space="preserve">Heading 52: Professional advice</w:t>
      </w:r>
    </w:p>
    <w:p>
      <w:pPr>
        <w:pStyle w:val="FirstParagraph"/>
      </w:pPr>
      <w:r>
        <w:rPr>
          <w:b/>
          <w:bCs/>
        </w:rPr>
        <w:t xml:space="preserve">What it covers (HMRC’s description):</w:t>
      </w:r>
      <w:r>
        <w:t xml:space="preserve"> </w:t>
      </w:r>
      <w:r>
        <w:t xml:space="preserve">The full statutory heading reads:</w:t>
      </w:r>
    </w:p>
    <w:p>
      <w:pPr>
        <w:pStyle w:val="BlockText"/>
      </w:pPr>
      <w:r>
        <w:t xml:space="preserve">“Supplies to:-</w:t>
      </w:r>
    </w:p>
    <w:p>
      <w:pPr>
        <w:pStyle w:val="Compact"/>
        <w:numPr>
          <w:ilvl w:val="0"/>
          <w:numId w:val="1531"/>
        </w:numPr>
      </w:pPr>
      <w:r>
        <w:t xml:space="preserve">a Government department as defined in section 41(6) and (7)(l) of the Value Added Tax Act 1994 but excluding entities designated under subsection (6) and all other bodies defined in subsection (7) of:</w:t>
      </w:r>
    </w:p>
    <w:p>
      <w:pPr>
        <w:pStyle w:val="Compact"/>
        <w:numPr>
          <w:ilvl w:val="0"/>
          <w:numId w:val="1532"/>
        </w:numPr>
      </w:pPr>
      <w:r>
        <w:t xml:space="preserve">professional (excluding legal professional) advice or opinion on departmental efficiency or policy but excluding such services when used in connection with the department’s operational activities,</w:t>
      </w:r>
    </w:p>
    <w:p>
      <w:pPr>
        <w:pStyle w:val="Compact"/>
        <w:numPr>
          <w:ilvl w:val="0"/>
          <w:numId w:val="1532"/>
        </w:numPr>
      </w:pPr>
      <w:r>
        <w:t xml:space="preserve">legal advice and opinion and the conduct of civil litigation, and</w:t>
      </w:r>
    </w:p>
    <w:p>
      <w:pPr>
        <w:pStyle w:val="Compact"/>
        <w:numPr>
          <w:ilvl w:val="0"/>
          <w:numId w:val="1532"/>
        </w:numPr>
      </w:pPr>
      <w:r>
        <w:t xml:space="preserve">internal audit; and</w:t>
      </w:r>
    </w:p>
    <w:p>
      <w:pPr>
        <w:pStyle w:val="Compact"/>
        <w:numPr>
          <w:ilvl w:val="0"/>
          <w:numId w:val="1533"/>
        </w:numPr>
      </w:pPr>
      <w:r>
        <w:t xml:space="preserve">bodies defined in section 41(7)(a) to (k) of the Value Added Tax Act 1994 of professional services including those of any manager, advisor, expert, specialist or non-medical consultant but excluding the provision of tax planning advice and the supply of staff”</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VATGPB10770</w:t>
        </w:r>
      </w:hyperlink>
      <w:r>
        <w:t xml:space="preserve">)</w:t>
      </w:r>
    </w:p>
    <w:p>
      <w:pPr>
        <w:pStyle w:val="FirstParagraph"/>
      </w:pPr>
      <w:r>
        <w:t xml:space="preserve">HMRC says this wording was published on 30 October 2020 and that</w:t>
      </w:r>
      <w:r>
        <w:t xml:space="preserve"> </w:t>
      </w:r>
      <w:r>
        <w:t xml:space="preserve">“</w:t>
      </w:r>
      <w:r>
        <w:t xml:space="preserve">clause (a) applies to government departments and clause (b) to health service bodies</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BodyText"/>
      </w:pPr>
      <w:r>
        <w:rPr>
          <w:b/>
          <w:bCs/>
        </w:rPr>
        <w:t xml:space="preserve">The Department can only use clause (a).</w:t>
      </w:r>
      <w:r>
        <w:t xml:space="preserve"> </w:t>
      </w:r>
      <w:r>
        <w:t xml:space="preserve">The much wider NHS list under clause (b) does</w:t>
      </w:r>
      <w:r>
        <w:t xml:space="preserve"> </w:t>
      </w:r>
      <w:r>
        <w:rPr>
          <w:b/>
          <w:bCs/>
        </w:rPr>
        <w:t xml:space="preserve">not</w:t>
      </w:r>
      <w:r>
        <w:t xml:space="preserve"> </w:t>
      </w:r>
      <w:r>
        <w:t xml:space="preserve">apply to the Department. That list covers architects, quantity surveyors, engineering consultants, HR, process consultants, computer consultancy and contract software development, among others</w:t>
      </w:r>
      <w:r>
        <w:t xml:space="preserve"> </w:t>
      </w:r>
      <w:r>
        <w:t xml:space="preserve">(</w:t>
      </w:r>
      <w:hyperlink w:anchor="ref-hmrc_vatgpb">
        <w:r>
          <w:rPr>
            <w:rStyle w:val="Hyperlink"/>
          </w:rPr>
          <w:t xml:space="preserve">HMRC, 2026n, sec. VATGPB10770</w:t>
        </w:r>
      </w:hyperlink>
      <w:r>
        <w:t xml:space="preserve">)</w:t>
      </w:r>
      <w:r>
        <w:t xml:space="preserve">.</w:t>
      </w:r>
    </w:p>
    <w:p>
      <w:pPr>
        <w:pStyle w:val="BodyText"/>
      </w:pPr>
      <w:r>
        <w:t xml:space="preserve">Key rules for government departments:</w:t>
      </w:r>
    </w:p>
    <w:p>
      <w:pPr>
        <w:pStyle w:val="Compact"/>
        <w:numPr>
          <w:ilvl w:val="0"/>
          <w:numId w:val="1534"/>
        </w:numPr>
      </w:pPr>
      <w:r>
        <w:rPr>
          <w:b/>
          <w:bCs/>
        </w:rPr>
        <w:t xml:space="preserve">Advice only, never implementation.</w:t>
      </w:r>
      <w:r>
        <w:t xml:space="preserve"> </w:t>
      </w:r>
      <w:r>
        <w:t xml:space="preserve">“</w:t>
      </w:r>
      <w:r>
        <w:t xml:space="preserve">This heading relates to the provision only of advice. It does not apply where the services involve acting upon instructions, i.e. implementation.</w:t>
      </w:r>
      <w:r>
        <w:t xml:space="preserve">”</w:t>
      </w:r>
      <w:r>
        <w:t xml:space="preserve"> </w:t>
      </w:r>
      <w:r>
        <w:t xml:space="preserve">For government departments the heading</w:t>
      </w:r>
      <w:r>
        <w:t xml:space="preserve"> </w:t>
      </w:r>
      <w:r>
        <w:t xml:space="preserve">“</w:t>
      </w:r>
      <w:r>
        <w:t xml:space="preserve">covers professional advice on policy formulation, but not on the implementation of policies. Providing advice may, of course, include making recommendations, but not acting upon them</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534"/>
        </w:numPr>
      </w:pPr>
      <w:r>
        <w:rPr>
          <w:b/>
          <w:bCs/>
        </w:rPr>
        <w:t xml:space="preserve">One contract for both advice and implementation means no refund at all.</w:t>
      </w:r>
      <w:r>
        <w:t xml:space="preserve"> </w:t>
      </w:r>
      <w:r>
        <w:t xml:space="preserve">HMRC:</w:t>
      </w:r>
      <w:r>
        <w:t xml:space="preserve"> </w:t>
      </w:r>
      <w:r>
        <w:t xml:space="preserve">“</w:t>
      </w:r>
      <w:r>
        <w:t xml:space="preserve">Where the advice and implementation form part of the same contract, none of the services can be recovered</w:t>
      </w:r>
      <w:r>
        <w:t xml:space="preserve">”</w:t>
      </w:r>
      <w:r>
        <w:t xml:space="preserve"> </w:t>
      </w:r>
      <w:r>
        <w:t xml:space="preserve">(</w:t>
      </w:r>
      <w:hyperlink w:anchor="ref-hmrc_vatgpb">
        <w:r>
          <w:rPr>
            <w:rStyle w:val="Hyperlink"/>
          </w:rPr>
          <w:t xml:space="preserve">HMRC, 2026n, sec. VATGPB10770</w:t>
        </w:r>
      </w:hyperlink>
      <w:r>
        <w:t xml:space="preserve">)</w:t>
      </w:r>
      <w:r>
        <w:t xml:space="preserve">. This is all-or-nothing. The advice element cannot be carved out. Linked contracts (for example an implementation option or call-off agreed at the outset) may be treated as one engagement.</w:t>
      </w:r>
    </w:p>
    <w:p>
      <w:pPr>
        <w:pStyle w:val="Compact"/>
        <w:numPr>
          <w:ilvl w:val="0"/>
          <w:numId w:val="1534"/>
        </w:numPr>
      </w:pPr>
      <w:r>
        <w:rPr>
          <w:b/>
          <w:bCs/>
        </w:rPr>
        <w:t xml:space="preserve">Contracts of a general nature.</w:t>
      </w:r>
      <w:r>
        <w:t xml:space="preserve"> </w:t>
      </w:r>
      <w:r>
        <w:t xml:space="preserve">For these,</w:t>
      </w:r>
      <w:r>
        <w:t xml:space="preserve"> </w:t>
      </w:r>
      <w:r>
        <w:t xml:space="preserve">“</w:t>
      </w:r>
      <w:r>
        <w:t xml:space="preserve">the terms of engagement will determine if the supplier is acting in the capacity of an advisor rather than as a representative acting upon instructions</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534"/>
        </w:numPr>
      </w:pPr>
      <w:r>
        <w:rPr>
          <w:b/>
          <w:bCs/>
        </w:rPr>
        <w:t xml:space="preserve">“</w:t>
      </w:r>
      <w:r>
        <w:rPr>
          <w:b/>
          <w:bCs/>
        </w:rPr>
        <w:t xml:space="preserve">Operational activities</w:t>
      </w:r>
      <w:r>
        <w:rPr>
          <w:b/>
          <w:bCs/>
        </w:rPr>
        <w:t xml:space="preserve">”</w:t>
      </w:r>
      <w:r>
        <w:rPr>
          <w:b/>
          <w:bCs/>
        </w:rPr>
        <w:t xml:space="preserve"> </w:t>
      </w:r>
      <w:r>
        <w:rPr>
          <w:b/>
          <w:bCs/>
        </w:rPr>
        <w:t xml:space="preserve">wording.</w:t>
      </w:r>
      <w:r>
        <w:t xml:space="preserve"> </w:t>
      </w:r>
      <w:r>
        <w:t xml:space="preserve">HMRC says this wording</w:t>
      </w:r>
      <w:r>
        <w:t xml:space="preserve"> </w:t>
      </w:r>
      <w:r>
        <w:t xml:space="preserve">“</w:t>
      </w:r>
      <w:r>
        <w:t xml:space="preserve">will not alter the way HMRC will apply the wording to supplies in practice. We will not restrict recovery provided the services are advisory in nature, they do not extend to implementation or putting the content of the advice into effect, and they concern departmental policy or efficiency</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534"/>
        </w:numPr>
      </w:pPr>
      <w:r>
        <w:rPr>
          <w:b/>
          <w:bCs/>
        </w:rPr>
        <w:t xml:space="preserve">Legal advice.</w:t>
      </w:r>
      <w:r>
        <w:t xml:space="preserve"> </w:t>
      </w:r>
      <w:r>
        <w:t xml:space="preserve">HMRC’s closing paragraph on</w:t>
      </w:r>
      <w:r>
        <w:t xml:space="preserve"> </w:t>
      </w:r>
      <w:r>
        <w:t xml:space="preserve">“</w:t>
      </w:r>
      <w:r>
        <w:t xml:space="preserve">Legal advice and opinion</w:t>
      </w:r>
      <w:r>
        <w:t xml:space="preserve">”</w:t>
      </w:r>
      <w:r>
        <w:t xml:space="preserve"> </w:t>
      </w:r>
      <w:r>
        <w:t xml:space="preserve">sits at the end of the page, after the NHS section. It says the heading</w:t>
      </w:r>
      <w:r>
        <w:t xml:space="preserve"> </w:t>
      </w:r>
      <w:r>
        <w:t xml:space="preserve">“</w:t>
      </w:r>
      <w:r>
        <w:t xml:space="preserve">assumes a clear distinction</w:t>
      </w:r>
      <w:r>
        <w:t xml:space="preserve">”</w:t>
      </w:r>
      <w:r>
        <w:t xml:space="preserve"> </w:t>
      </w:r>
      <w:r>
        <w:t xml:space="preserve">between giving advice or an opinion and</w:t>
      </w:r>
      <w:r>
        <w:t xml:space="preserve"> </w:t>
      </w:r>
      <w:r>
        <w:t xml:space="preserve">“</w:t>
      </w:r>
      <w:r>
        <w:t xml:space="preserve">acting on instructions in another capacity – such as legal representation in court or drafting contracts</w:t>
      </w:r>
      <w:r>
        <w:t xml:space="preserve">”</w:t>
      </w:r>
      <w:r>
        <w:t xml:space="preserve">. For more general contracts, such as longer-term contracts with lawyers,</w:t>
      </w:r>
      <w:r>
        <w:t xml:space="preserve"> </w:t>
      </w:r>
      <w:r>
        <w:t xml:space="preserve">“</w:t>
      </w:r>
      <w:r>
        <w:t xml:space="preserve">what is important is the terms of engagement and whether the lawyer is acting in the capacity of an adviser rather than, for example, a legal representative or advocate</w:t>
      </w:r>
      <w:r>
        <w:t xml:space="preserve">”</w:t>
      </w:r>
      <w:r>
        <w:t xml:space="preserve">.</w:t>
      </w:r>
      <w:r>
        <w:t xml:space="preserve"> </w:t>
      </w:r>
      <w:r>
        <w:t xml:space="preserve">“</w:t>
      </w:r>
      <w:r>
        <w:t xml:space="preserve">The services of advising on the outcome of prospective litigation, and of legal case management, will normally be viewed as an advisory service</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534"/>
        </w:numPr>
      </w:pPr>
      <w:r>
        <w:rPr>
          <w:b/>
          <w:bCs/>
        </w:rPr>
        <w:t xml:space="preserve">A tension HMRC does not resolve.</w:t>
      </w:r>
      <w:r>
        <w:t xml:space="preserve"> </w:t>
      </w:r>
      <w:r>
        <w:t xml:space="preserve">Clause (a) expressly includes</w:t>
      </w:r>
      <w:r>
        <w:t xml:space="preserve"> </w:t>
      </w:r>
      <w:r>
        <w:t xml:space="preserve">“</w:t>
      </w:r>
      <w:r>
        <w:t xml:space="preserve">the conduct of civil litigation</w:t>
      </w:r>
      <w:r>
        <w:t xml:space="preserve">”</w:t>
      </w:r>
      <w:r>
        <w:t xml:space="preserve"> </w:t>
      </w:r>
      <w:r>
        <w:t xml:space="preserve">(</w:t>
      </w:r>
      <w:hyperlink w:anchor="ref-gazette_2020">
        <w:r>
          <w:rPr>
            <w:rStyle w:val="Hyperlink"/>
          </w:rPr>
          <w:t xml:space="preserve">HM Treasury, 2020b</w:t>
        </w:r>
      </w:hyperlink>
      <w:r>
        <w:t xml:space="preserve">)</w:t>
      </w:r>
      <w:r>
        <w:t xml:space="preserve">, yet the closing legal paragraph treats court representation and contract drafting as acting on instructions. HMRC’s page does not reconcile the two</w:t>
      </w:r>
      <w:r>
        <w:t xml:space="preserve"> </w:t>
      </w:r>
      <w:r>
        <w:t xml:space="preserve">(</w:t>
      </w:r>
      <w:hyperlink w:anchor="ref-hmrc_vatgpb">
        <w:r>
          <w:rPr>
            <w:rStyle w:val="Hyperlink"/>
          </w:rPr>
          <w:t xml:space="preserve">HMRC, 2026n, sec. VATGPB10770</w:t>
        </w:r>
      </w:hyperlink>
      <w:r>
        <w:t xml:space="preserve">)</w:t>
      </w:r>
      <w:r>
        <w:t xml:space="preserve">. Confirm the position with HMRC before claiming on litigation or contract-drafting fees.</w:t>
      </w:r>
    </w:p>
    <w:p>
      <w:pPr>
        <w:pStyle w:val="Compact"/>
        <w:numPr>
          <w:ilvl w:val="0"/>
          <w:numId w:val="1534"/>
        </w:numPr>
      </w:pPr>
      <w:r>
        <w:rPr>
          <w:b/>
          <w:bCs/>
        </w:rPr>
        <w:t xml:space="preserve">HM Treasury letter of 14 April 2014.</w:t>
      </w:r>
      <w:r>
        <w:t xml:space="preserve"> </w:t>
      </w:r>
      <w:r>
        <w:t xml:space="preserve">HM Treasury wrote to government departments about shared service arrangements and refunds under this heading for non-criminal legal services.</w:t>
      </w:r>
      <w:r>
        <w:t xml:space="preserve"> </w:t>
      </w:r>
      <w:r>
        <w:t xml:space="preserve">“</w:t>
      </w:r>
      <w:r>
        <w:t xml:space="preserve">In so far as the Treasury directs HMRC, in individual cases, VAT can also be recovered on other non-criminal legal services. Bodies that have such an arrangement with HM Treasury may continue to claim refunds on all non-criminal legal services</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534"/>
        </w:numPr>
      </w:pPr>
      <w:r>
        <w:rPr>
          <w:b/>
          <w:bCs/>
        </w:rPr>
        <w:t xml:space="preserve">Further changes to this guidance.</w:t>
      </w:r>
      <w:r>
        <w:t xml:space="preserve"> </w:t>
      </w:r>
      <w:r>
        <w:t xml:space="preserve">HMRC’s COS introduction (VATGPB9720) asks bodies to</w:t>
      </w:r>
      <w:r>
        <w:t xml:space="preserve"> </w:t>
      </w:r>
      <w:r>
        <w:t xml:space="preserve">“</w:t>
      </w:r>
      <w:r>
        <w:t xml:space="preserve">continue to use the individual pieces of guidance to government departments and NHS bodies on Heading 52 for a short while longer as further amendments to the guidance for this Heading will be made soon</w:t>
      </w:r>
      <w:r>
        <w:t xml:space="preserve">”</w:t>
      </w:r>
      <w:r>
        <w:t xml:space="preserve"> </w:t>
      </w:r>
      <w:r>
        <w:t xml:space="preserve">(</w:t>
      </w:r>
      <w:hyperlink w:anchor="ref-hmrc_vatgpb">
        <w:r>
          <w:rPr>
            <w:rStyle w:val="Hyperlink"/>
          </w:rPr>
          <w:t xml:space="preserve">HMRC, 2026n, sec. VATGPB9720</w:t>
        </w:r>
      </w:hyperlink>
      <w:r>
        <w:t xml:space="preserve">)</w:t>
      </w:r>
      <w:r>
        <w:t xml:space="preserve">. Check whether the Department has had its own guidance from HMRC on this heading.</w:t>
      </w:r>
    </w:p>
    <w:p>
      <w:pPr>
        <w:pStyle w:val="FirstParagraph"/>
      </w:pPr>
      <w:r>
        <w:rPr>
          <w:b/>
          <w:bCs/>
        </w:rPr>
        <w:t xml:space="preserve">Includes:</w:t>
      </w:r>
      <w:r>
        <w:t xml:space="preserve"> </w:t>
      </w:r>
      <w:r>
        <w:t xml:space="preserve">(government departments, clause (a))</w:t>
      </w:r>
    </w:p>
    <w:p>
      <w:pPr>
        <w:pStyle w:val="Compact"/>
        <w:numPr>
          <w:ilvl w:val="0"/>
          <w:numId w:val="1535"/>
        </w:numPr>
      </w:pPr>
      <w:r>
        <w:t xml:space="preserve">“</w:t>
      </w:r>
      <w:r>
        <w:t xml:space="preserve">Internal audit reports</w:t>
      </w:r>
      <w:r>
        <w:t xml:space="preserve">”</w:t>
      </w:r>
      <w:r>
        <w:t xml:space="preserve">. HMRC explains that internal audit gives</w:t>
      </w:r>
      <w:r>
        <w:t xml:space="preserve"> </w:t>
      </w:r>
      <w:r>
        <w:t xml:space="preserve">“</w:t>
      </w:r>
      <w:r>
        <w:t xml:space="preserve">independent assurance that an organisation’s risk management, governance and internal control processes are operating effectively</w:t>
      </w:r>
      <w:r>
        <w:t xml:space="preserve">”</w:t>
      </w:r>
      <w:r>
        <w:t xml:space="preserve"> </w:t>
      </w:r>
      <w:r>
        <w:t xml:space="preserve">and has</w:t>
      </w:r>
      <w:r>
        <w:t xml:space="preserve"> </w:t>
      </w:r>
      <w:r>
        <w:t xml:space="preserve">“</w:t>
      </w:r>
      <w:r>
        <w:t xml:space="preserve">a wider role than simply addressing operational activities</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535"/>
        </w:numPr>
      </w:pPr>
      <w:r>
        <w:t xml:space="preserve">“</w:t>
      </w:r>
      <w:r>
        <w:t xml:space="preserve">All criminal and non-criminal legal advice and opinion</w:t>
      </w:r>
      <w:r>
        <w:t xml:space="preserve">”</w:t>
      </w:r>
      <w:r>
        <w:t xml:space="preserve">, subject to HMRC’s</w:t>
      </w:r>
      <w:r>
        <w:t xml:space="preserve"> </w:t>
      </w:r>
      <w:r>
        <w:t xml:space="preserve">“</w:t>
      </w:r>
      <w:r>
        <w:t xml:space="preserve">Additional information</w:t>
      </w:r>
      <w:r>
        <w:t xml:space="preserve">”</w:t>
      </w:r>
      <w:r>
        <w:t xml:space="preserve"> </w:t>
      </w:r>
      <w:r>
        <w:t xml:space="preserve">(the HM Treasury point above).</w:t>
      </w:r>
    </w:p>
    <w:p>
      <w:pPr>
        <w:pStyle w:val="Compact"/>
        <w:numPr>
          <w:ilvl w:val="0"/>
          <w:numId w:val="1535"/>
        </w:numPr>
      </w:pPr>
      <w:r>
        <w:t xml:space="preserve">“</w:t>
      </w:r>
      <w:r>
        <w:t xml:space="preserve">Legal…, advisory or consulting services supplied to a Government Department which is sponsoring an Independent Public Inquiry, but not supplies of staff</w:t>
      </w:r>
      <w:r>
        <w:t xml:space="preserve">”</w:t>
      </w:r>
    </w:p>
    <w:p>
      <w:pPr>
        <w:pStyle w:val="Compact"/>
        <w:numPr>
          <w:ilvl w:val="0"/>
          <w:numId w:val="1535"/>
        </w:numPr>
      </w:pPr>
      <w:r>
        <w:t xml:space="preserve">“</w:t>
      </w:r>
      <w:r>
        <w:t xml:space="preserve">Hire of consultants to provide advice on efficiency issues or comment on the viability of new departmental initiatives</w:t>
      </w:r>
      <w:r>
        <w:t xml:space="preserve">”</w:t>
      </w:r>
    </w:p>
    <w:p>
      <w:pPr>
        <w:pStyle w:val="FirstParagraph"/>
      </w:pPr>
      <w:r>
        <w:rPr>
          <w:b/>
          <w:bCs/>
        </w:rPr>
        <w:t xml:space="preserve">Excludes:</w:t>
      </w:r>
      <w:r>
        <w:t xml:space="preserve"> </w:t>
      </w:r>
      <w:r>
        <w:t xml:space="preserve">(government departments, clause (a))</w:t>
      </w:r>
    </w:p>
    <w:p>
      <w:pPr>
        <w:pStyle w:val="Compact"/>
        <w:numPr>
          <w:ilvl w:val="0"/>
          <w:numId w:val="1536"/>
        </w:numPr>
      </w:pPr>
      <w:r>
        <w:t xml:space="preserve">“</w:t>
      </w:r>
      <w:r>
        <w:t xml:space="preserve">The hire of a consultant to work as part of the Department</w:t>
      </w:r>
      <w:r>
        <w:t xml:space="preserve">”</w:t>
      </w:r>
    </w:p>
    <w:p>
      <w:pPr>
        <w:pStyle w:val="Compact"/>
        <w:numPr>
          <w:ilvl w:val="0"/>
          <w:numId w:val="1536"/>
        </w:numPr>
      </w:pPr>
      <w:r>
        <w:t xml:space="preserve">“</w:t>
      </w:r>
      <w:r>
        <w:t xml:space="preserve">Research - this is covered by Headings 20, 58, 59, 66 or 74</w:t>
      </w:r>
      <w:r>
        <w:t xml:space="preserve">”</w:t>
      </w:r>
    </w:p>
    <w:p>
      <w:pPr>
        <w:pStyle w:val="Compact"/>
        <w:numPr>
          <w:ilvl w:val="0"/>
          <w:numId w:val="1536"/>
        </w:numPr>
      </w:pPr>
      <w:r>
        <w:t xml:space="preserve">“</w:t>
      </w:r>
      <w:r>
        <w:t xml:space="preserve">The service of actually putting something into effect, as opposed to merely advising on a matter. For example, the services of a professional who is brought in to advise on AND then implement a new initiative. Where the advice and implementation form part of the same contract, none of the services can be recovered.</w:t>
      </w:r>
      <w:r>
        <w:t xml:space="preserve">”</w:t>
      </w:r>
    </w:p>
    <w:p>
      <w:pPr>
        <w:pStyle w:val="Compact"/>
        <w:numPr>
          <w:ilvl w:val="0"/>
          <w:numId w:val="1536"/>
        </w:numPr>
      </w:pPr>
      <w:r>
        <w:t xml:space="preserve">“</w:t>
      </w:r>
      <w:r>
        <w:t xml:space="preserve">Supplies of staff</w:t>
      </w:r>
      <w:r>
        <w:t xml:space="preserve">”</w:t>
      </w:r>
    </w:p>
    <w:p>
      <w:pPr>
        <w:pStyle w:val="Compact"/>
        <w:numPr>
          <w:ilvl w:val="0"/>
          <w:numId w:val="1536"/>
        </w:numPr>
      </w:pPr>
      <w:r>
        <w:t xml:space="preserve">“</w:t>
      </w:r>
      <w:r>
        <w:t xml:space="preserve">Staff secondments - because this involves contracting in staff to work alongside existing employees</w:t>
      </w:r>
      <w:r>
        <w:t xml:space="preserve">”</w:t>
      </w:r>
    </w:p>
    <w:p>
      <w:pPr>
        <w:pStyle w:val="Compact"/>
        <w:numPr>
          <w:ilvl w:val="0"/>
          <w:numId w:val="1536"/>
        </w:numPr>
      </w:pPr>
      <w:r>
        <w:t xml:space="preserve">“</w:t>
      </w:r>
      <w:r>
        <w:t xml:space="preserve">Specialist staff hired to provide</w:t>
      </w:r>
      <w:r>
        <w:t xml:space="preserve"> </w:t>
      </w:r>
      <w:r>
        <w:t xml:space="preserve">‘</w:t>
      </w:r>
      <w:r>
        <w:t xml:space="preserve">holiday/maternity cover</w:t>
      </w:r>
      <w:r>
        <w:t xml:space="preserve">’</w:t>
      </w:r>
      <w:r>
        <w:t xml:space="preserve"> </w:t>
      </w:r>
      <w:r>
        <w:t xml:space="preserve">for key staff members</w:t>
      </w:r>
      <w:r>
        <w:t xml:space="preserve">”</w:t>
      </w:r>
    </w:p>
    <w:p>
      <w:pPr>
        <w:pStyle w:val="Compact"/>
        <w:numPr>
          <w:ilvl w:val="0"/>
          <w:numId w:val="1536"/>
        </w:numPr>
      </w:pPr>
      <w:r>
        <w:t xml:space="preserve">“</w:t>
      </w:r>
      <w:r>
        <w:t xml:space="preserve">Hire of accountants to carry out tax health checks</w:t>
      </w:r>
      <w:r>
        <w:t xml:space="preserve">”</w:t>
      </w:r>
      <w:r>
        <w:t xml:space="preserve">. HMRC says this</w:t>
      </w:r>
      <w:r>
        <w:t xml:space="preserve"> </w:t>
      </w:r>
      <w:r>
        <w:t xml:space="preserve">“</w:t>
      </w:r>
      <w:r>
        <w:t xml:space="preserve">does not involve providing advice on policy formulation</w:t>
      </w:r>
      <w:r>
        <w:t xml:space="preserve">”</w:t>
      </w:r>
      <w:r>
        <w:t xml:space="preserve"> </w:t>
      </w:r>
      <w:r>
        <w:t xml:space="preserve">and points to VATGPB9750 (COS Heading 1, accounting services) for outsourced accounts department services</w:t>
      </w:r>
      <w:r>
        <w:t xml:space="preserve"> </w:t>
      </w:r>
      <w:r>
        <w:t xml:space="preserve">(</w:t>
      </w:r>
      <w:hyperlink w:anchor="ref-hmrc_vatgpb">
        <w:r>
          <w:rPr>
            <w:rStyle w:val="Hyperlink"/>
          </w:rPr>
          <w:t xml:space="preserve">HMRC, 2026n, sec. VATGPB10770</w:t>
        </w:r>
      </w:hyperlink>
      <w:r>
        <w:t xml:space="preserve">)</w:t>
      </w:r>
      <w:r>
        <w:t xml:space="preserve">.</w:t>
      </w:r>
    </w:p>
    <w:p>
      <w:pPr>
        <w:pStyle w:val="FirstParagraph"/>
      </w:pPr>
      <w:r>
        <w:rPr>
          <w:b/>
          <w:bCs/>
        </w:rPr>
        <w:t xml:space="preserve">Examples for the Department:</w:t>
      </w:r>
    </w:p>
    <w:p>
      <w:pPr>
        <w:pStyle w:val="Compact"/>
        <w:numPr>
          <w:ilvl w:val="0"/>
          <w:numId w:val="1537"/>
        </w:numPr>
      </w:pPr>
      <w:r>
        <w:rPr>
          <w:b/>
          <w:bCs/>
        </w:rPr>
        <w:t xml:space="preserve">Claimable:</w:t>
      </w:r>
      <w:r>
        <w:t xml:space="preserve"> </w:t>
      </w:r>
      <w:r>
        <w:t xml:space="preserve">A consultancy is engaged to review whether the Department’s programme of gifting equipment to overseas governments gives value for money and to recommend options. The contract ends when the report is delivered. This is advice on</w:t>
      </w:r>
      <w:r>
        <w:t xml:space="preserve"> </w:t>
      </w:r>
      <w:r>
        <w:t xml:space="preserve">“</w:t>
      </w:r>
      <w:r>
        <w:t xml:space="preserve">efficiency issues</w:t>
      </w:r>
      <w:r>
        <w:t xml:space="preserve">”</w:t>
      </w:r>
      <w:r>
        <w:t xml:space="preserve"> </w:t>
      </w:r>
      <w:r>
        <w:t xml:space="preserve">and</w:t>
      </w:r>
      <w:r>
        <w:t xml:space="preserve"> </w:t>
      </w:r>
      <w:r>
        <w:t xml:space="preserve">“</w:t>
      </w:r>
      <w:r>
        <w:t xml:space="preserve">the viability of new departmental initiatives</w:t>
      </w:r>
      <w:r>
        <w:t xml:space="preserve">”</w:t>
      </w:r>
      <w:r>
        <w:t xml:space="preserve">, with recommendations but no implementation.</w:t>
      </w:r>
    </w:p>
    <w:p>
      <w:pPr>
        <w:pStyle w:val="Compact"/>
        <w:numPr>
          <w:ilvl w:val="0"/>
          <w:numId w:val="1537"/>
        </w:numPr>
      </w:pPr>
      <w:r>
        <w:rPr>
          <w:b/>
          <w:bCs/>
        </w:rPr>
        <w:t xml:space="preserve">Claimable:</w:t>
      </w:r>
      <w:r>
        <w:t xml:space="preserve"> </w:t>
      </w:r>
      <w:r>
        <w:t xml:space="preserve">A law firm gives a written legal opinion on whether the Department has the legal power to gift surplus equipment to a foreign government.</w:t>
      </w:r>
      <w:r>
        <w:t xml:space="preserve"> </w:t>
      </w:r>
      <w:r>
        <w:t xml:space="preserve">“</w:t>
      </w:r>
      <w:r>
        <w:t xml:space="preserve">Legal advice and opinion</w:t>
      </w:r>
      <w:r>
        <w:t xml:space="preserve">”</w:t>
      </w:r>
      <w:r>
        <w:t xml:space="preserve"> </w:t>
      </w:r>
      <w:r>
        <w:t xml:space="preserve">is expressly within clause (a).</w:t>
      </w:r>
    </w:p>
    <w:p>
      <w:pPr>
        <w:pStyle w:val="Compact"/>
        <w:numPr>
          <w:ilvl w:val="0"/>
          <w:numId w:val="1537"/>
        </w:numPr>
      </w:pPr>
      <w:r>
        <w:rPr>
          <w:b/>
          <w:bCs/>
        </w:rPr>
        <w:t xml:space="preserve">Not claimable:</w:t>
      </w:r>
      <w:r>
        <w:t xml:space="preserve"> </w:t>
      </w:r>
      <w:r>
        <w:t xml:space="preserve">The same consultancy is hired under one contract to recommend a new overseas travel and postings policy</w:t>
      </w:r>
      <w:r>
        <w:t xml:space="preserve"> </w:t>
      </w:r>
      <w:r>
        <w:rPr>
          <w:b/>
          <w:bCs/>
        </w:rPr>
        <w:t xml:space="preserve">and</w:t>
      </w:r>
      <w:r>
        <w:t xml:space="preserve"> </w:t>
      </w:r>
      <w:r>
        <w:t xml:space="preserve">then roll it out, by rewriting procedures and running the new process. Because advice and implementation are in the same contract,</w:t>
      </w:r>
      <w:r>
        <w:t xml:space="preserve"> </w:t>
      </w:r>
      <w:r>
        <w:t xml:space="preserve">“</w:t>
      </w:r>
      <w:r>
        <w:t xml:space="preserve">none of the services can be recovered</w:t>
      </w:r>
      <w:r>
        <w:t xml:space="preserve">”</w:t>
      </w:r>
      <w:r>
        <w:t xml:space="preserve">, including the advice part</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537"/>
        </w:numPr>
      </w:pPr>
      <w:r>
        <w:rPr>
          <w:b/>
          <w:bCs/>
        </w:rPr>
        <w:t xml:space="preserve">Not claimable:</w:t>
      </w:r>
      <w:r>
        <w:t xml:space="preserve"> </w:t>
      </w:r>
      <w:r>
        <w:t xml:space="preserve">Accountants carry out a VAT</w:t>
      </w:r>
      <w:r>
        <w:t xml:space="preserve"> </w:t>
      </w:r>
      <w:r>
        <w:t xml:space="preserve">“</w:t>
      </w:r>
      <w:r>
        <w:t xml:space="preserve">health check</w:t>
      </w:r>
      <w:r>
        <w:t xml:space="preserve">”</w:t>
      </w:r>
      <w:r>
        <w:t xml:space="preserve"> </w:t>
      </w:r>
      <w:r>
        <w:t xml:space="preserve">on the Department’s sales of data licences to overseas customers. HMRC expressly excludes</w:t>
      </w:r>
      <w:r>
        <w:t xml:space="preserve"> </w:t>
      </w:r>
      <w:r>
        <w:t xml:space="preserve">“</w:t>
      </w:r>
      <w:r>
        <w:t xml:space="preserve">tax health checks</w:t>
      </w:r>
      <w:r>
        <w:t xml:space="preserve">”</w:t>
      </w:r>
      <w:r>
        <w:t xml:space="preserve"> </w:t>
      </w:r>
      <w:r>
        <w:t xml:space="preserve">(</w:t>
      </w:r>
      <w:hyperlink w:anchor="ref-hmrc_vatgpb">
        <w:r>
          <w:rPr>
            <w:rStyle w:val="Hyperlink"/>
          </w:rPr>
          <w:t xml:space="preserve">HMRC, 2026n, sec. VATGPB10770</w:t>
        </w:r>
      </w:hyperlink>
      <w:r>
        <w:t xml:space="preserve">)</w:t>
      </w:r>
      <w:r>
        <w:t xml:space="preserve">. The work also relates to what is normally a business activity, so any recovery would be under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VATGPB10770, page last updated 16 June 2025</w:t>
      </w:r>
      <w:r>
        <w:t xml:space="preserve"> </w:t>
      </w:r>
      <w:r>
        <w:t xml:space="preserve">(</w:t>
      </w:r>
      <w:hyperlink w:anchor="ref-hmrc_vatgpb">
        <w:r>
          <w:rPr>
            <w:rStyle w:val="Hyperlink"/>
          </w:rPr>
          <w:t xml:space="preserve">HMRC, 2026n, sec. VATGPB10770</w:t>
        </w:r>
      </w:hyperlink>
      <w:r>
        <w:t xml:space="preserve">)</w:t>
      </w:r>
      <w:r>
        <w:t xml:space="preserve">.</w:t>
      </w:r>
    </w:p>
    <w:bookmarkEnd w:id="309"/>
    <w:bookmarkStart w:id="310" w:name="Xdaf533c2d142f563953fa667ee9b678c1151b9c"/>
    <w:p>
      <w:pPr>
        <w:pStyle w:val="Heading3"/>
      </w:pPr>
      <w:r>
        <w:t xml:space="preserve">Heading 53: Provision under a PFI agreement of accommodation, for office or other governmental use</w:t>
      </w:r>
    </w:p>
    <w:p>
      <w:pPr>
        <w:pStyle w:val="FirstParagraph"/>
      </w:pPr>
      <w:r>
        <w:rPr>
          <w:b/>
          <w:bCs/>
        </w:rPr>
        <w:t xml:space="preserve">What it covers (HMRC’s description):</w:t>
      </w:r>
      <w:r>
        <w:t xml:space="preserve"> </w:t>
      </w:r>
      <w:r>
        <w:t xml:space="preserve">The full heading reads:</w:t>
      </w:r>
      <w:r>
        <w:t xml:space="preserve"> </w:t>
      </w:r>
      <w:r>
        <w:t xml:space="preserve">“</w:t>
      </w:r>
      <w:r>
        <w:t xml:space="preserve">Provision under a PFI agreement of accommodation, for office or other governmental use, together with management or other services in connection with that accommodation</w:t>
      </w:r>
      <w:r>
        <w:t xml:space="preserve">”</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VATGPB10790</w:t>
        </w:r>
      </w:hyperlink>
      <w:r>
        <w:t xml:space="preserve">)</w:t>
      </w:r>
      <w:r>
        <w:t xml:space="preserve">.</w:t>
      </w:r>
    </w:p>
    <w:p>
      <w:pPr>
        <w:pStyle w:val="Compact"/>
        <w:numPr>
          <w:ilvl w:val="0"/>
          <w:numId w:val="1538"/>
        </w:numPr>
      </w:pPr>
      <w:r>
        <w:rPr>
          <w:b/>
          <w:bCs/>
        </w:rPr>
        <w:t xml:space="preserve">PFI</w:t>
      </w:r>
      <w:r>
        <w:t xml:space="preserve"> </w:t>
      </w:r>
      <w:r>
        <w:t xml:space="preserve">is the Private Finance Initiative. Under it, a private partner provides and runs a building for many years in return for a regular all-in fee called the</w:t>
      </w:r>
      <w:r>
        <w:t xml:space="preserve"> </w:t>
      </w:r>
      <w:r>
        <w:rPr>
          <w:b/>
          <w:bCs/>
        </w:rPr>
        <w:t xml:space="preserve">unitary charge</w:t>
      </w:r>
      <w:r>
        <w:t xml:space="preserve"> </w:t>
      </w:r>
      <w:r>
        <w:t xml:space="preserve">(</w:t>
      </w:r>
      <w:hyperlink w:anchor="ref-hmt_pfi_2023">
        <w:r>
          <w:rPr>
            <w:rStyle w:val="Hyperlink"/>
          </w:rPr>
          <w:t xml:space="preserve">HM Treasury, 2023</w:t>
        </w:r>
      </w:hyperlink>
      <w:r>
        <w:t xml:space="preserve">)</w:t>
      </w:r>
      <w:r>
        <w:t xml:space="preserve">.</w:t>
      </w:r>
    </w:p>
    <w:p>
      <w:pPr>
        <w:pStyle w:val="Compact"/>
        <w:numPr>
          <w:ilvl w:val="0"/>
          <w:numId w:val="1538"/>
        </w:numPr>
      </w:pPr>
      <w:r>
        <w:t xml:space="preserve">The heading covers</w:t>
      </w:r>
      <w:r>
        <w:t xml:space="preserve"> </w:t>
      </w:r>
      <w:r>
        <w:t xml:space="preserve">“</w:t>
      </w:r>
      <w:r>
        <w:t xml:space="preserve">PFI arrangements under which government departments/NHS bodies are supplied with fully serviced and managed accommodation by a single PFI provider</w:t>
      </w:r>
      <w:r>
        <w:t xml:space="preserve">”</w:t>
      </w:r>
      <w:r>
        <w:t xml:space="preserve">.</w:t>
      </w:r>
      <w:r>
        <w:t xml:space="preserve"> </w:t>
      </w:r>
      <w:r>
        <w:t xml:space="preserve">“</w:t>
      </w:r>
      <w:r>
        <w:t xml:space="preserve">The most distinct element will be that risk is transferred from the government departments/NHS body to the PFI provider</w:t>
      </w:r>
      <w:r>
        <w:t xml:space="preserve">”</w:t>
      </w:r>
      <w:r>
        <w:t xml:space="preserve"> </w:t>
      </w:r>
      <w:r>
        <w:t xml:space="preserve">(</w:t>
      </w:r>
      <w:hyperlink w:anchor="ref-hmrc_vatgpb">
        <w:r>
          <w:rPr>
            <w:rStyle w:val="Hyperlink"/>
          </w:rPr>
          <w:t xml:space="preserve">HMRC, 2026n, sec. VATGPB10790</w:t>
        </w:r>
      </w:hyperlink>
      <w:r>
        <w:t xml:space="preserve">)</w:t>
      </w:r>
      <w:r>
        <w:t xml:space="preserve">.</w:t>
      </w:r>
    </w:p>
    <w:p>
      <w:pPr>
        <w:pStyle w:val="Compact"/>
        <w:numPr>
          <w:ilvl w:val="0"/>
          <w:numId w:val="1538"/>
        </w:numPr>
      </w:pPr>
      <w:r>
        <w:t xml:space="preserve">“</w:t>
      </w:r>
      <w:r>
        <w:t xml:space="preserve">Consequently, the heading does not include leases granted by commercial landlords, even where they are landlord repairing and insuring leases</w:t>
      </w:r>
      <w:r>
        <w:t xml:space="preserve">”</w:t>
      </w:r>
      <w:r>
        <w:t xml:space="preserve"> </w:t>
      </w:r>
      <w:r>
        <w:t xml:space="preserve">(</w:t>
      </w:r>
      <w:hyperlink w:anchor="ref-hmrc_vatgpb">
        <w:r>
          <w:rPr>
            <w:rStyle w:val="Hyperlink"/>
          </w:rPr>
          <w:t xml:space="preserve">HMRC, 2026n, sec. VATGPB10790</w:t>
        </w:r>
      </w:hyperlink>
      <w:r>
        <w:t xml:space="preserve">)</w:t>
      </w:r>
      <w:r>
        <w:t xml:space="preserve">. A landlord repairing and insuring lease is one where the landlord, not the tenant, is responsible for repairs and insurance.</w:t>
      </w:r>
    </w:p>
    <w:p>
      <w:pPr>
        <w:pStyle w:val="Compact"/>
        <w:numPr>
          <w:ilvl w:val="0"/>
          <w:numId w:val="1538"/>
        </w:numPr>
      </w:pPr>
      <w:r>
        <w:t xml:space="preserve">Utilities:</w:t>
      </w:r>
      <w:r>
        <w:t xml:space="preserve"> </w:t>
      </w:r>
      <w:r>
        <w:t xml:space="preserve">“</w:t>
      </w:r>
      <w:r>
        <w:t xml:space="preserve">Recovery under this heading is only allowed on utilities when provided as part of the supply of PFI accommodation and where the cost is subsumed within the single unitary charge.</w:t>
      </w:r>
      <w:r>
        <w:t xml:space="preserve">”</w:t>
      </w:r>
      <w:r>
        <w:t xml:space="preserve"> </w:t>
      </w:r>
      <w:r>
        <w:t xml:space="preserve">HMRC sees this as</w:t>
      </w:r>
      <w:r>
        <w:t xml:space="preserve"> </w:t>
      </w:r>
      <w:r>
        <w:t xml:space="preserve">“</w:t>
      </w:r>
      <w:r>
        <w:t xml:space="preserve">a necessary incidental cost of providing the accommodation</w:t>
      </w:r>
      <w:r>
        <w:t xml:space="preserve">”</w:t>
      </w:r>
      <w:r>
        <w:t xml:space="preserve">.</w:t>
      </w:r>
      <w:r>
        <w:t xml:space="preserve"> </w:t>
      </w:r>
      <w:r>
        <w:t xml:space="preserve">“</w:t>
      </w:r>
      <w:r>
        <w:t xml:space="preserve">Utilities provided outside the PFI charge will not qualify for relief under this Heading</w:t>
      </w:r>
      <w:r>
        <w:t xml:space="preserve">”</w:t>
      </w:r>
      <w:r>
        <w:t xml:space="preserve"> </w:t>
      </w:r>
      <w:r>
        <w:t xml:space="preserve">(</w:t>
      </w:r>
      <w:hyperlink w:anchor="ref-hmrc_vatgpb">
        <w:r>
          <w:rPr>
            <w:rStyle w:val="Hyperlink"/>
          </w:rPr>
          <w:t xml:space="preserve">HMRC, 2026n, sec. VATGPB10790</w:t>
        </w:r>
      </w:hyperlink>
      <w:r>
        <w:t xml:space="preserve">)</w:t>
      </w:r>
      <w:r>
        <w:t xml:space="preserve">.</w:t>
      </w:r>
    </w:p>
    <w:p>
      <w:pPr>
        <w:pStyle w:val="FirstParagraph"/>
      </w:pPr>
      <w:r>
        <w:rPr>
          <w:b/>
          <w:bCs/>
        </w:rPr>
        <w:t xml:space="preserve">Examples for the Department:</w:t>
      </w:r>
    </w:p>
    <w:p>
      <w:pPr>
        <w:pStyle w:val="Compact"/>
        <w:numPr>
          <w:ilvl w:val="0"/>
          <w:numId w:val="1539"/>
        </w:numPr>
      </w:pPr>
      <w:r>
        <w:rPr>
          <w:b/>
          <w:bCs/>
        </w:rPr>
        <w:t xml:space="preserve">Claimable:</w:t>
      </w:r>
      <w:r>
        <w:t xml:space="preserve"> </w:t>
      </w:r>
      <w:r>
        <w:t xml:space="preserve">The Department occupies a regional office under a PFI contract. The provider supplies the building, facilities management, maintenance and security, with utilities included in one unitary charge, and carries the risk. The VAT on the unitary charge, including the utilities within it, falls under this heading.</w:t>
      </w:r>
    </w:p>
    <w:p>
      <w:pPr>
        <w:pStyle w:val="Compact"/>
        <w:numPr>
          <w:ilvl w:val="0"/>
          <w:numId w:val="1539"/>
        </w:numPr>
      </w:pPr>
      <w:r>
        <w:rPr>
          <w:b/>
          <w:bCs/>
        </w:rPr>
        <w:t xml:space="preserve">Not claimable:</w:t>
      </w:r>
      <w:r>
        <w:t xml:space="preserve"> </w:t>
      </w:r>
      <w:r>
        <w:t xml:space="preserve">The Department’s headquarters is leased from a commercial landlord, even on a landlord repairing and insuring lease. HMRC expressly excludes this</w:t>
      </w:r>
      <w:r>
        <w:t xml:space="preserve"> </w:t>
      </w:r>
      <w:r>
        <w:t xml:space="preserve">(</w:t>
      </w:r>
      <w:hyperlink w:anchor="ref-hmrc_vatgpb">
        <w:r>
          <w:rPr>
            <w:rStyle w:val="Hyperlink"/>
          </w:rPr>
          <w:t xml:space="preserve">HMRC, 2026n, sec. VATGPB10790</w:t>
        </w:r>
      </w:hyperlink>
      <w:r>
        <w:t xml:space="preserve">)</w:t>
      </w:r>
      <w:r>
        <w:t xml:space="preserve">. Any separately contracted services, such as cleaning, have to be tested against their own heading (for example Heading 35). HMRC’s Heading 35 guidance says service charges included in the lease are not covered, because they are normally regarded as additional rent</w:t>
      </w:r>
      <w:r>
        <w:t xml:space="preserve"> </w:t>
      </w:r>
      <w:r>
        <w:t xml:space="preserve">(</w:t>
      </w:r>
      <w:hyperlink w:anchor="ref-hmrc_vatgpb">
        <w:r>
          <w:rPr>
            <w:rStyle w:val="Hyperlink"/>
          </w:rPr>
          <w:t xml:space="preserve">HMRC, 2026n, sec. VATGPB10430</w:t>
        </w:r>
      </w:hyperlink>
      <w:r>
        <w:t xml:space="preserve">)</w:t>
      </w:r>
      <w:r>
        <w:t xml:space="preserve">.</w:t>
      </w:r>
    </w:p>
    <w:p>
      <w:pPr>
        <w:pStyle w:val="Compact"/>
        <w:numPr>
          <w:ilvl w:val="0"/>
          <w:numId w:val="1539"/>
        </w:numPr>
      </w:pPr>
      <w:r>
        <w:rPr>
          <w:b/>
          <w:bCs/>
        </w:rPr>
        <w:t xml:space="preserve">Not claimable:</w:t>
      </w:r>
      <w:r>
        <w:t xml:space="preserve"> </w:t>
      </w:r>
      <w:r>
        <w:t xml:space="preserve">The electricity for the PFI building is billed directly by an energy supplier, outside the unitary charge. HMRC says it does not qualify</w:t>
      </w:r>
      <w:r>
        <w:t xml:space="preserve"> </w:t>
      </w:r>
      <w:r>
        <w:t xml:space="preserve">(</w:t>
      </w:r>
      <w:hyperlink w:anchor="ref-hmrc_vatgpb">
        <w:r>
          <w:rPr>
            <w:rStyle w:val="Hyperlink"/>
          </w:rPr>
          <w:t xml:space="preserve">HMRC, 2026n, sec. VATGPB10790</w:t>
        </w:r>
      </w:hyperlink>
      <w:r>
        <w:t xml:space="preserve">)</w:t>
      </w:r>
      <w:r>
        <w:t xml:space="preserve">.</w:t>
      </w:r>
    </w:p>
    <w:p>
      <w:pPr>
        <w:pStyle w:val="Compact"/>
        <w:numPr>
          <w:ilvl w:val="0"/>
          <w:numId w:val="1539"/>
        </w:numPr>
      </w:pPr>
      <w:r>
        <w:rPr>
          <w:b/>
          <w:bCs/>
        </w:rPr>
        <w:t xml:space="preserve">Not claimable:</w:t>
      </w:r>
      <w:r>
        <w:t xml:space="preserve"> </w:t>
      </w:r>
      <w:r>
        <w:t xml:space="preserve">A serviced office or flat is rented abroad for a posted officer. This is not a PFI agreement, and any local tax is not UK VAT (Value Added Tax Act 1994, ss. 1(1) and 41(3)).</w:t>
      </w:r>
    </w:p>
    <w:p>
      <w:pPr>
        <w:pStyle w:val="FirstParagraph"/>
      </w:pPr>
      <w:r>
        <w:rPr>
          <w:b/>
          <w:bCs/>
        </w:rPr>
        <w:t xml:space="preserve">Source:</w:t>
      </w:r>
      <w:r>
        <w:t xml:space="preserve"> </w:t>
      </w:r>
      <w:r>
        <w:t xml:space="preserve">HMRC manual section VATGPB10790, page last updated 8 September 2020</w:t>
      </w:r>
      <w:r>
        <w:t xml:space="preserve"> </w:t>
      </w:r>
      <w:r>
        <w:t xml:space="preserve">(</w:t>
      </w:r>
      <w:hyperlink w:anchor="ref-hmrc_vatgpb">
        <w:r>
          <w:rPr>
            <w:rStyle w:val="Hyperlink"/>
          </w:rPr>
          <w:t xml:space="preserve">HMRC, 2026n, sec. VATGPB10790</w:t>
        </w:r>
      </w:hyperlink>
      <w:r>
        <w:t xml:space="preserve">)</w:t>
      </w:r>
      <w:r>
        <w:t xml:space="preserve">.</w:t>
      </w:r>
    </w:p>
    <w:bookmarkEnd w:id="310"/>
    <w:bookmarkStart w:id="311" w:name="Xedbf786b30a3020dbe8d24b595a905f4b0c9da6"/>
    <w:p>
      <w:pPr>
        <w:pStyle w:val="Heading3"/>
      </w:pPr>
      <w:r>
        <w:t xml:space="preserve">Heading 54: Publicity services including those provided through a digital medium</w:t>
      </w:r>
    </w:p>
    <w:p>
      <w:pPr>
        <w:pStyle w:val="FirstParagraph"/>
      </w:pPr>
      <w:r>
        <w:rPr>
          <w:b/>
          <w:bCs/>
        </w:rPr>
        <w:t xml:space="preserve">What it covers (HMRC’s description):</w:t>
      </w:r>
      <w:r>
        <w:t xml:space="preserve"> </w:t>
      </w:r>
      <w:r>
        <w:t xml:space="preserve">“</w:t>
      </w:r>
      <w:r>
        <w:t xml:space="preserve">This Heading allows recovery on publicity services</w:t>
      </w:r>
      <w:r>
        <w:t xml:space="preserve">”</w:t>
      </w:r>
      <w:r>
        <w:t xml:space="preserve"> </w:t>
      </w:r>
      <w:r>
        <w:t xml:space="preserve">(</w:t>
      </w:r>
      <w:hyperlink w:anchor="ref-hmrc_vatgpb">
        <w:r>
          <w:rPr>
            <w:rStyle w:val="Hyperlink"/>
          </w:rPr>
          <w:t xml:space="preserve">HMRC, 2026n, sec. VATGPB10810</w:t>
        </w:r>
      </w:hyperlink>
      <w:r>
        <w:t xml:space="preserve">)</w:t>
      </w:r>
      <w:r>
        <w:t xml:space="preserve">.</w:t>
      </w:r>
    </w:p>
    <w:p>
      <w:pPr>
        <w:pStyle w:val="BodyText"/>
      </w:pPr>
      <w:r>
        <w:rPr>
          <w:b/>
          <w:bCs/>
        </w:rPr>
        <w:t xml:space="preserve">Includes:</w:t>
      </w:r>
    </w:p>
    <w:p>
      <w:pPr>
        <w:pStyle w:val="Compact"/>
        <w:numPr>
          <w:ilvl w:val="0"/>
          <w:numId w:val="1540"/>
        </w:numPr>
      </w:pPr>
      <w:r>
        <w:t xml:space="preserve">“</w:t>
      </w:r>
      <w:r>
        <w:t xml:space="preserve">Advertising campaigns other than recruitment adverts (which are covered by heading 57)</w:t>
      </w:r>
      <w:r>
        <w:t xml:space="preserve">”</w:t>
      </w:r>
    </w:p>
    <w:p>
      <w:pPr>
        <w:pStyle w:val="Compact"/>
        <w:numPr>
          <w:ilvl w:val="0"/>
          <w:numId w:val="1540"/>
        </w:numPr>
      </w:pPr>
      <w:r>
        <w:t xml:space="preserve">“</w:t>
      </w:r>
      <w:r>
        <w:t xml:space="preserve">The use of a private publicity agency for dealing with the media</w:t>
      </w:r>
      <w:r>
        <w:t xml:space="preserve">”</w:t>
      </w:r>
    </w:p>
    <w:p>
      <w:pPr>
        <w:pStyle w:val="Compact"/>
        <w:numPr>
          <w:ilvl w:val="0"/>
          <w:numId w:val="1540"/>
        </w:numPr>
      </w:pPr>
      <w:r>
        <w:t xml:space="preserve">“</w:t>
      </w:r>
      <w:r>
        <w:t xml:space="preserve">Press releases</w:t>
      </w:r>
      <w:r>
        <w:t xml:space="preserve">”</w:t>
      </w:r>
    </w:p>
    <w:p>
      <w:pPr>
        <w:pStyle w:val="Compact"/>
        <w:numPr>
          <w:ilvl w:val="0"/>
          <w:numId w:val="1540"/>
        </w:numPr>
      </w:pPr>
      <w:r>
        <w:t xml:space="preserve">“</w:t>
      </w:r>
      <w:r>
        <w:t xml:space="preserve">Digital publicity services, for example illuminated portable posters and video walls</w:t>
      </w:r>
      <w:r>
        <w:t xml:space="preserve">”</w:t>
      </w:r>
    </w:p>
    <w:p>
      <w:pPr>
        <w:pStyle w:val="FirstParagraph"/>
      </w:pPr>
      <w:r>
        <w:rPr>
          <w:b/>
          <w:bCs/>
        </w:rPr>
        <w:t xml:space="preserve">Excludes:</w:t>
      </w:r>
    </w:p>
    <w:p>
      <w:pPr>
        <w:pStyle w:val="Compact"/>
        <w:numPr>
          <w:ilvl w:val="0"/>
          <w:numId w:val="1541"/>
        </w:numPr>
      </w:pPr>
      <w:r>
        <w:t xml:space="preserve">“</w:t>
      </w:r>
      <w:r>
        <w:t xml:space="preserve">Commissioning promotional items such as mugs, T-shirts, stickers etc. This is a supply of goods for VAT purposes and as such falls outside the scope of the Direction</w:t>
      </w:r>
      <w:r>
        <w:t xml:space="preserve">”</w:t>
      </w:r>
    </w:p>
    <w:p>
      <w:pPr>
        <w:pStyle w:val="Compact"/>
        <w:numPr>
          <w:ilvl w:val="0"/>
          <w:numId w:val="1541"/>
        </w:numPr>
      </w:pPr>
      <w:r>
        <w:t xml:space="preserve">“</w:t>
      </w:r>
      <w:r>
        <w:t xml:space="preserve">The direct placing of an advertisement, for example in a newspaper</w:t>
      </w:r>
      <w:r>
        <w:t xml:space="preserve">”</w:t>
      </w:r>
    </w:p>
    <w:p>
      <w:pPr>
        <w:pStyle w:val="FirstParagraph"/>
      </w:pPr>
      <w:r>
        <w:rPr>
          <w:b/>
          <w:bCs/>
        </w:rPr>
        <w:t xml:space="preserve">Examples for the Department:</w:t>
      </w:r>
    </w:p>
    <w:p>
      <w:pPr>
        <w:pStyle w:val="Compact"/>
        <w:numPr>
          <w:ilvl w:val="0"/>
          <w:numId w:val="1542"/>
        </w:numPr>
      </w:pPr>
      <w:r>
        <w:rPr>
          <w:b/>
          <w:bCs/>
        </w:rPr>
        <w:t xml:space="preserve">Claimable:</w:t>
      </w:r>
      <w:r>
        <w:t xml:space="preserve"> </w:t>
      </w:r>
      <w:r>
        <w:t xml:space="preserve">A PR agency handles press releases and media enquiries for the announcement of a new joint international project with partner governments.</w:t>
      </w:r>
      <w:r>
        <w:t xml:space="preserve"> </w:t>
      </w:r>
      <w:r>
        <w:t xml:space="preserve">“</w:t>
      </w:r>
      <w:r>
        <w:t xml:space="preserve">The use of a private publicity agency for dealing with the media</w:t>
      </w:r>
      <w:r>
        <w:t xml:space="preserve">”</w:t>
      </w:r>
      <w:r>
        <w:t xml:space="preserve"> </w:t>
      </w:r>
      <w:r>
        <w:t xml:space="preserve">and</w:t>
      </w:r>
      <w:r>
        <w:t xml:space="preserve"> </w:t>
      </w:r>
      <w:r>
        <w:t xml:space="preserve">“</w:t>
      </w:r>
      <w:r>
        <w:t xml:space="preserve">press releases</w:t>
      </w:r>
      <w:r>
        <w:t xml:space="preserve">”</w:t>
      </w:r>
      <w:r>
        <w:t xml:space="preserve"> </w:t>
      </w:r>
      <w:r>
        <w:t xml:space="preserve">are both listed.</w:t>
      </w:r>
    </w:p>
    <w:p>
      <w:pPr>
        <w:pStyle w:val="Compact"/>
        <w:numPr>
          <w:ilvl w:val="0"/>
          <w:numId w:val="1542"/>
        </w:numPr>
      </w:pPr>
      <w:r>
        <w:rPr>
          <w:b/>
          <w:bCs/>
        </w:rPr>
        <w:t xml:space="preserve">Not claimable:</w:t>
      </w:r>
      <w:r>
        <w:t xml:space="preserve"> </w:t>
      </w:r>
      <w:r>
        <w:t xml:space="preserve">Branded mugs, T-shirts and lanyards are ordered for delegates at an overseas conference. These are goods and fall</w:t>
      </w:r>
      <w:r>
        <w:t xml:space="preserve"> </w:t>
      </w:r>
      <w:r>
        <w:t xml:space="preserve">“</w:t>
      </w:r>
      <w:r>
        <w:t xml:space="preserve">outside the scope of the Direction</w:t>
      </w:r>
      <w:r>
        <w:t xml:space="preserve">”</w:t>
      </w:r>
      <w:r>
        <w:t xml:space="preserve">.</w:t>
      </w:r>
    </w:p>
    <w:p>
      <w:pPr>
        <w:pStyle w:val="Compact"/>
        <w:numPr>
          <w:ilvl w:val="0"/>
          <w:numId w:val="1542"/>
        </w:numPr>
      </w:pPr>
      <w:r>
        <w:rPr>
          <w:b/>
          <w:bCs/>
        </w:rPr>
        <w:t xml:space="preserve">Not claimable:</w:t>
      </w:r>
      <w:r>
        <w:t xml:space="preserve"> </w:t>
      </w:r>
      <w:r>
        <w:t xml:space="preserve">The Department pays a newspaper directly to run an advert announcing a public consultation.</w:t>
      </w:r>
      <w:r>
        <w:t xml:space="preserve"> </w:t>
      </w:r>
      <w:r>
        <w:t xml:space="preserve">“</w:t>
      </w:r>
      <w:r>
        <w:t xml:space="preserve">The direct placing of an advertisement</w:t>
      </w:r>
      <w:r>
        <w:t xml:space="preserve">”</w:t>
      </w:r>
      <w:r>
        <w:t xml:space="preserve"> </w:t>
      </w:r>
      <w:r>
        <w:t xml:space="preserve">is excluded.</w:t>
      </w:r>
    </w:p>
    <w:p>
      <w:pPr>
        <w:pStyle w:val="Compact"/>
        <w:numPr>
          <w:ilvl w:val="0"/>
          <w:numId w:val="1542"/>
        </w:numPr>
      </w:pPr>
      <w:r>
        <w:rPr>
          <w:b/>
          <w:bCs/>
        </w:rPr>
        <w:t xml:space="preserve">Not claimable:</w:t>
      </w:r>
      <w:r>
        <w:t xml:space="preserve"> </w:t>
      </w:r>
      <w:r>
        <w:t xml:space="preserve">A marketing agency runs a campaign to sell the Department’s data licences to overseas customers. Selling licences for a charge is normally a business activity, so the VAT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VATGPB10810, page last updated 17 February 2021</w:t>
      </w:r>
      <w:r>
        <w:t xml:space="preserve"> </w:t>
      </w:r>
      <w:r>
        <w:t xml:space="preserve">(</w:t>
      </w:r>
      <w:hyperlink w:anchor="ref-hmrc_vatgpb">
        <w:r>
          <w:rPr>
            <w:rStyle w:val="Hyperlink"/>
          </w:rPr>
          <w:t xml:space="preserve">HMRC, 2026n, sec. VATGPB10810</w:t>
        </w:r>
      </w:hyperlink>
      <w:r>
        <w:t xml:space="preserve">)</w:t>
      </w:r>
      <w:r>
        <w:t xml:space="preserve">.</w:t>
      </w:r>
    </w:p>
    <w:bookmarkEnd w:id="311"/>
    <w:bookmarkStart w:id="312" w:name="X984f85e42c045aae149b996499bb0461e6e2b87"/>
    <w:p>
      <w:pPr>
        <w:pStyle w:val="Heading3"/>
      </w:pPr>
      <w:r>
        <w:t xml:space="preserve">Heading 55: Purchasing and procurement services</w:t>
      </w:r>
    </w:p>
    <w:p>
      <w:pPr>
        <w:pStyle w:val="FirstParagraph"/>
      </w:pPr>
      <w:r>
        <w:rPr>
          <w:b/>
          <w:bCs/>
        </w:rPr>
        <w:t xml:space="preserve">What it covers (HMRC’s description):</w:t>
      </w:r>
      <w:r>
        <w:t xml:space="preserve"> </w:t>
      </w:r>
      <w:r>
        <w:t xml:space="preserve">“</w:t>
      </w:r>
      <w:r>
        <w:t xml:space="preserve">This Heading allows recovery on purchasing and procurement services i.e. the procurement service charge.</w:t>
      </w:r>
      <w:r>
        <w:t xml:space="preserve">”</w:t>
      </w:r>
      <w:r>
        <w:t xml:space="preserve"> </w:t>
      </w:r>
      <w:r>
        <w:t xml:space="preserve">Only the buying service is covered, not what is bought</w:t>
      </w:r>
      <w:r>
        <w:t xml:space="preserve"> </w:t>
      </w:r>
      <w:r>
        <w:t xml:space="preserve">(</w:t>
      </w:r>
      <w:hyperlink w:anchor="ref-hmrc_vatgpb">
        <w:r>
          <w:rPr>
            <w:rStyle w:val="Hyperlink"/>
          </w:rPr>
          <w:t xml:space="preserve">HMRC, 2026n, sec. VATGPB10830</w:t>
        </w:r>
      </w:hyperlink>
      <w:r>
        <w:t xml:space="preserve">)</w:t>
      </w:r>
      <w:r>
        <w:t xml:space="preserve">.</w:t>
      </w:r>
    </w:p>
    <w:p>
      <w:pPr>
        <w:pStyle w:val="BodyText"/>
      </w:pPr>
      <w:r>
        <w:rPr>
          <w:b/>
          <w:bCs/>
        </w:rPr>
        <w:t xml:space="preserve">Includes:</w:t>
      </w:r>
    </w:p>
    <w:p>
      <w:pPr>
        <w:pStyle w:val="Compact"/>
        <w:numPr>
          <w:ilvl w:val="0"/>
          <w:numId w:val="1543"/>
        </w:numPr>
      </w:pPr>
      <w:r>
        <w:t xml:space="preserve">“</w:t>
      </w:r>
      <w:r>
        <w:t xml:space="preserve">Negotiating procurement contracts</w:t>
      </w:r>
      <w:r>
        <w:t xml:space="preserve">”</w:t>
      </w:r>
    </w:p>
    <w:p>
      <w:pPr>
        <w:pStyle w:val="Compact"/>
        <w:numPr>
          <w:ilvl w:val="0"/>
          <w:numId w:val="1543"/>
        </w:numPr>
      </w:pPr>
      <w:r>
        <w:t xml:space="preserve">“</w:t>
      </w:r>
      <w:r>
        <w:t xml:space="preserve">Management and co-ordination of bulk orders</w:t>
      </w:r>
      <w:r>
        <w:t xml:space="preserve">”</w:t>
      </w:r>
    </w:p>
    <w:p>
      <w:pPr>
        <w:pStyle w:val="Compact"/>
        <w:numPr>
          <w:ilvl w:val="0"/>
          <w:numId w:val="1543"/>
        </w:numPr>
      </w:pPr>
      <w:r>
        <w:t xml:space="preserve">“</w:t>
      </w:r>
      <w:r>
        <w:t xml:space="preserve">Cloud based procurement services</w:t>
      </w:r>
      <w:r>
        <w:t xml:space="preserve">”</w:t>
      </w:r>
    </w:p>
    <w:p>
      <w:pPr>
        <w:pStyle w:val="Compact"/>
        <w:numPr>
          <w:ilvl w:val="0"/>
          <w:numId w:val="1543"/>
        </w:numPr>
      </w:pPr>
      <w:r>
        <w:t xml:space="preserve">“</w:t>
      </w:r>
      <w:r>
        <w:t xml:space="preserve">Government procurement services</w:t>
      </w:r>
      <w:r>
        <w:t xml:space="preserve">”</w:t>
      </w:r>
    </w:p>
    <w:p>
      <w:pPr>
        <w:pStyle w:val="Compact"/>
        <w:numPr>
          <w:ilvl w:val="0"/>
          <w:numId w:val="1543"/>
        </w:numPr>
      </w:pPr>
      <w:r>
        <w:t xml:space="preserve">“</w:t>
      </w:r>
      <w:r>
        <w:t xml:space="preserve">Where you use a buying agent or private firm to carry out your purchasing, then any VAT incurred on the buying agents services would be eligible for recovery under this heading</w:t>
      </w:r>
      <w:r>
        <w:t xml:space="preserve">”</w:t>
      </w:r>
    </w:p>
    <w:p>
      <w:pPr>
        <w:pStyle w:val="FirstParagraph"/>
      </w:pPr>
      <w:r>
        <w:rPr>
          <w:b/>
          <w:bCs/>
        </w:rPr>
        <w:t xml:space="preserve">Excludes:</w:t>
      </w:r>
    </w:p>
    <w:p>
      <w:pPr>
        <w:pStyle w:val="Compact"/>
        <w:numPr>
          <w:ilvl w:val="0"/>
          <w:numId w:val="1544"/>
        </w:numPr>
      </w:pPr>
      <w:r>
        <w:t xml:space="preserve">“</w:t>
      </w:r>
      <w:r>
        <w:t xml:space="preserve">The actual cost of the goods procured</w:t>
      </w:r>
      <w:r>
        <w:t xml:space="preserve">”</w:t>
      </w:r>
    </w:p>
    <w:p>
      <w:pPr>
        <w:pStyle w:val="FirstParagraph"/>
      </w:pPr>
      <w:r>
        <w:rPr>
          <w:b/>
          <w:bCs/>
        </w:rPr>
        <w:t xml:space="preserve">Examples for the Department:</w:t>
      </w:r>
    </w:p>
    <w:p>
      <w:pPr>
        <w:pStyle w:val="Compact"/>
        <w:numPr>
          <w:ilvl w:val="0"/>
          <w:numId w:val="1545"/>
        </w:numPr>
      </w:pPr>
      <w:r>
        <w:rPr>
          <w:b/>
          <w:bCs/>
        </w:rPr>
        <w:t xml:space="preserve">Claimable:</w:t>
      </w:r>
      <w:r>
        <w:t xml:space="preserve"> </w:t>
      </w:r>
      <w:r>
        <w:t xml:space="preserve">A procurement agent charges a fee for sourcing suppliers and negotiating contracts for equipment the Department will gift to an overseas government. The agent’s fee is</w:t>
      </w:r>
      <w:r>
        <w:t xml:space="preserve"> </w:t>
      </w:r>
      <w:r>
        <w:t xml:space="preserve">“</w:t>
      </w:r>
      <w:r>
        <w:t xml:space="preserve">the procurement service charge</w:t>
      </w:r>
      <w:r>
        <w:t xml:space="preserve">”</w:t>
      </w:r>
      <w:r>
        <w:t xml:space="preserve">, and gifting is non-business.</w:t>
      </w:r>
    </w:p>
    <w:p>
      <w:pPr>
        <w:pStyle w:val="Compact"/>
        <w:numPr>
          <w:ilvl w:val="0"/>
          <w:numId w:val="1545"/>
        </w:numPr>
      </w:pPr>
      <w:r>
        <w:rPr>
          <w:b/>
          <w:bCs/>
        </w:rPr>
        <w:t xml:space="preserve">Claimable:</w:t>
      </w:r>
      <w:r>
        <w:t xml:space="preserve"> </w:t>
      </w:r>
      <w:r>
        <w:t xml:space="preserve">A buying agent, acting as the Department’s agent, finds external training providers for the Department’s staff and negotiates the contracts. The training providers invoice the Department directly for the courses, and the agent charges its own separate fee. The VAT on the agent’s fee falls here as a buying agent’s service. The VAT on the courses is a separate question for Heading 65 (training)</w:t>
      </w:r>
      <w:r>
        <w:t xml:space="preserve"> </w:t>
      </w:r>
      <w:r>
        <w:t xml:space="preserve">(</w:t>
      </w:r>
      <w:hyperlink w:anchor="ref-hmrc_vatgpb">
        <w:r>
          <w:rPr>
            <w:rStyle w:val="Hyperlink"/>
          </w:rPr>
          <w:t xml:space="preserve">HMRC, 2026n, sec. VATGPB11030</w:t>
        </w:r>
      </w:hyperlink>
      <w:r>
        <w:t xml:space="preserve">)</w:t>
      </w:r>
      <w:r>
        <w:t xml:space="preserve">. If instead one firm sells the Department a single package of training plus booking, the package as a whole is looked at under Heading 65, not here</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545"/>
        </w:numPr>
      </w:pPr>
      <w:r>
        <w:rPr>
          <w:b/>
          <w:bCs/>
        </w:rPr>
        <w:t xml:space="preserve">Not claimable:</w:t>
      </w:r>
      <w:r>
        <w:t xml:space="preserve"> </w:t>
      </w:r>
      <w:r>
        <w:t xml:space="preserve">The VAT charged on the equipment bought through the procurement agent. HMRC excludes</w:t>
      </w:r>
      <w:r>
        <w:t xml:space="preserve"> </w:t>
      </w:r>
      <w:r>
        <w:t xml:space="preserve">“</w:t>
      </w:r>
      <w:r>
        <w:t xml:space="preserve">the actual cost of the goods procured</w:t>
      </w:r>
      <w:r>
        <w:t xml:space="preserve">”</w:t>
      </w:r>
      <w:r>
        <w:t xml:space="preserve">.</w:t>
      </w:r>
    </w:p>
    <w:p>
      <w:pPr>
        <w:pStyle w:val="Compact"/>
        <w:numPr>
          <w:ilvl w:val="0"/>
          <w:numId w:val="1545"/>
        </w:numPr>
      </w:pPr>
      <w:r>
        <w:rPr>
          <w:b/>
          <w:bCs/>
        </w:rPr>
        <w:t xml:space="preserve">Not claimable:</w:t>
      </w:r>
      <w:r>
        <w:t xml:space="preserve"> </w:t>
      </w:r>
      <w:r>
        <w:t xml:space="preserve">An agent sources stock of publications that the Department will sell to overseas customers. Selling publications for a charge is normally a business activity, so the VAT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VATGPB10830, page last updated 17 October 2016</w:t>
      </w:r>
      <w:r>
        <w:t xml:space="preserve"> </w:t>
      </w:r>
      <w:r>
        <w:t xml:space="preserve">(</w:t>
      </w:r>
      <w:hyperlink w:anchor="ref-hmrc_vatgpb">
        <w:r>
          <w:rPr>
            <w:rStyle w:val="Hyperlink"/>
          </w:rPr>
          <w:t xml:space="preserve">HMRC, 2026n, sec. VATGPB10830</w:t>
        </w:r>
      </w:hyperlink>
      <w:r>
        <w:t xml:space="preserve">)</w:t>
      </w:r>
      <w:r>
        <w:t xml:space="preserve">.</w:t>
      </w:r>
    </w:p>
    <w:bookmarkEnd w:id="312"/>
    <w:bookmarkStart w:id="313" w:name="Xd8a906251edf66379c86491a09518eb599ba336"/>
    <w:p>
      <w:pPr>
        <w:pStyle w:val="Heading3"/>
      </w:pPr>
      <w:r>
        <w:t xml:space="preserve">Heading 56: Broadcasting services via radio, radio bandwidth or the internet</w:t>
      </w:r>
    </w:p>
    <w:p>
      <w:pPr>
        <w:pStyle w:val="FirstParagraph"/>
      </w:pPr>
      <w:r>
        <w:rPr>
          <w:b/>
          <w:bCs/>
        </w:rPr>
        <w:t xml:space="preserve">What it covers (HMRC’s description):</w:t>
      </w:r>
      <w:r>
        <w:t xml:space="preserve"> </w:t>
      </w:r>
      <w:r>
        <w:t xml:space="preserve">“</w:t>
      </w:r>
      <w:r>
        <w:t xml:space="preserve">This Heading allows recovery on radio services.</w:t>
      </w:r>
      <w:r>
        <w:t xml:space="preserve">”</w:t>
      </w:r>
      <w:r>
        <w:t xml:space="preserve"> </w:t>
      </w:r>
      <w:r>
        <w:t xml:space="preserve">Despite that one-line description, the heading title and Includes list also cover internet broadcasting and webcasting</w:t>
      </w:r>
      <w:r>
        <w:t xml:space="preserve"> </w:t>
      </w:r>
      <w:r>
        <w:t xml:space="preserve">(</w:t>
      </w:r>
      <w:hyperlink w:anchor="ref-hmrc_vatgpb">
        <w:r>
          <w:rPr>
            <w:rStyle w:val="Hyperlink"/>
          </w:rPr>
          <w:t xml:space="preserve">HMRC, 2026n, sec. VATGPB10850</w:t>
        </w:r>
      </w:hyperlink>
      <w:r>
        <w:t xml:space="preserve">)</w:t>
      </w:r>
      <w:r>
        <w:t xml:space="preserve">.</w:t>
      </w:r>
    </w:p>
    <w:p>
      <w:pPr>
        <w:pStyle w:val="BodyText"/>
      </w:pPr>
      <w:r>
        <w:rPr>
          <w:b/>
          <w:bCs/>
        </w:rPr>
        <w:t xml:space="preserve">Includes:</w:t>
      </w:r>
    </w:p>
    <w:p>
      <w:pPr>
        <w:pStyle w:val="Compact"/>
        <w:numPr>
          <w:ilvl w:val="0"/>
          <w:numId w:val="1546"/>
        </w:numPr>
      </w:pPr>
      <w:r>
        <w:t xml:space="preserve">“</w:t>
      </w:r>
      <w:r>
        <w:t xml:space="preserve">Radio broadcasting</w:t>
      </w:r>
      <w:r>
        <w:t xml:space="preserve">”</w:t>
      </w:r>
    </w:p>
    <w:p>
      <w:pPr>
        <w:pStyle w:val="Compact"/>
        <w:numPr>
          <w:ilvl w:val="0"/>
          <w:numId w:val="1546"/>
        </w:numPr>
      </w:pPr>
      <w:r>
        <w:t xml:space="preserve">“</w:t>
      </w:r>
      <w:r>
        <w:t xml:space="preserve">Radio bandwidth</w:t>
      </w:r>
      <w:r>
        <w:t xml:space="preserve">”</w:t>
      </w:r>
    </w:p>
    <w:p>
      <w:pPr>
        <w:pStyle w:val="Compact"/>
        <w:numPr>
          <w:ilvl w:val="0"/>
          <w:numId w:val="1546"/>
        </w:numPr>
      </w:pPr>
      <w:r>
        <w:t xml:space="preserve">“</w:t>
      </w:r>
      <w:r>
        <w:t xml:space="preserve">Internet broadcasting</w:t>
      </w:r>
      <w:r>
        <w:t xml:space="preserve">”</w:t>
      </w:r>
    </w:p>
    <w:p>
      <w:pPr>
        <w:pStyle w:val="Compact"/>
        <w:numPr>
          <w:ilvl w:val="0"/>
          <w:numId w:val="1546"/>
        </w:numPr>
      </w:pPr>
      <w:r>
        <w:t xml:space="preserve">“</w:t>
      </w:r>
      <w:r>
        <w:t xml:space="preserve">Contracting out of services connected to the running of a hospital radio service</w:t>
      </w:r>
      <w:r>
        <w:t xml:space="preserve">”</w:t>
      </w:r>
    </w:p>
    <w:p>
      <w:pPr>
        <w:pStyle w:val="Compact"/>
        <w:numPr>
          <w:ilvl w:val="0"/>
          <w:numId w:val="1546"/>
        </w:numPr>
      </w:pPr>
      <w:r>
        <w:t xml:space="preserve">“</w:t>
      </w:r>
      <w:r>
        <w:t xml:space="preserve">Webcasting</w:t>
      </w:r>
      <w:r>
        <w:t xml:space="preserve">”</w:t>
      </w:r>
    </w:p>
    <w:p>
      <w:pPr>
        <w:pStyle w:val="Compact"/>
        <w:numPr>
          <w:ilvl w:val="0"/>
          <w:numId w:val="1546"/>
        </w:numPr>
      </w:pPr>
      <w:r>
        <w:t xml:space="preserve">“</w:t>
      </w:r>
      <w:r>
        <w:t xml:space="preserve">Provision of radio communications network for NHS ambulance Trusts, including handsets when supplied as part of the communications network</w:t>
      </w:r>
      <w:r>
        <w:t xml:space="preserve">”</w:t>
      </w:r>
    </w:p>
    <w:p>
      <w:pPr>
        <w:pStyle w:val="FirstParagraph"/>
      </w:pPr>
      <w:r>
        <w:rPr>
          <w:b/>
          <w:bCs/>
        </w:rPr>
        <w:t xml:space="preserve">Excludes:</w:t>
      </w:r>
    </w:p>
    <w:p>
      <w:pPr>
        <w:pStyle w:val="Compact"/>
        <w:numPr>
          <w:ilvl w:val="0"/>
          <w:numId w:val="1547"/>
        </w:numPr>
      </w:pPr>
      <w:r>
        <w:t xml:space="preserve">“</w:t>
      </w:r>
      <w:r>
        <w:t xml:space="preserve">Purchase of radios or radio equipment as a standalone supply</w:t>
      </w:r>
      <w:r>
        <w:t xml:space="preserve">”</w:t>
      </w:r>
    </w:p>
    <w:p>
      <w:pPr>
        <w:pStyle w:val="Compact"/>
        <w:numPr>
          <w:ilvl w:val="0"/>
          <w:numId w:val="1547"/>
        </w:numPr>
      </w:pPr>
      <w:r>
        <w:t xml:space="preserve">“</w:t>
      </w:r>
      <w:r>
        <w:t xml:space="preserve">The supply of car radios or radio masts</w:t>
      </w:r>
      <w:r>
        <w:t xml:space="preserve">”</w:t>
      </w:r>
    </w:p>
    <w:p>
      <w:pPr>
        <w:pStyle w:val="FirstParagraph"/>
      </w:pPr>
      <w:r>
        <w:rPr>
          <w:b/>
          <w:bCs/>
        </w:rPr>
        <w:t xml:space="preserve">Examples for the Department:</w:t>
      </w:r>
    </w:p>
    <w:p>
      <w:pPr>
        <w:pStyle w:val="Compact"/>
        <w:numPr>
          <w:ilvl w:val="0"/>
          <w:numId w:val="1548"/>
        </w:numPr>
      </w:pPr>
      <w:r>
        <w:rPr>
          <w:b/>
          <w:bCs/>
        </w:rPr>
        <w:t xml:space="preserve">Claimable:</w:t>
      </w:r>
      <w:r>
        <w:t xml:space="preserve"> </w:t>
      </w:r>
      <w:r>
        <w:t xml:space="preserve">A UK webcasting provider streams the launch of a joint international project live, so officials in partner countries can watch online, and invoices the Department with UK VAT.</w:t>
      </w:r>
      <w:r>
        <w:t xml:space="preserve"> </w:t>
      </w:r>
      <w:r>
        <w:t xml:space="preserve">“</w:t>
      </w:r>
      <w:r>
        <w:t xml:space="preserve">Webcasting</w:t>
      </w:r>
      <w:r>
        <w:t xml:space="preserve">”</w:t>
      </w:r>
      <w:r>
        <w:t xml:space="preserve"> </w:t>
      </w:r>
      <w:r>
        <w:t xml:space="preserve">and</w:t>
      </w:r>
      <w:r>
        <w:t xml:space="preserve"> </w:t>
      </w:r>
      <w:r>
        <w:t xml:space="preserve">“</w:t>
      </w:r>
      <w:r>
        <w:t xml:space="preserve">internet broadcasting</w:t>
      </w:r>
      <w:r>
        <w:t xml:space="preserve">”</w:t>
      </w:r>
      <w:r>
        <w:t xml:space="preserve"> </w:t>
      </w:r>
      <w:r>
        <w:t xml:space="preserve">are listed.</w:t>
      </w:r>
    </w:p>
    <w:p>
      <w:pPr>
        <w:pStyle w:val="Compact"/>
        <w:numPr>
          <w:ilvl w:val="0"/>
          <w:numId w:val="1548"/>
        </w:numPr>
      </w:pPr>
      <w:r>
        <w:rPr>
          <w:b/>
          <w:bCs/>
        </w:rPr>
        <w:t xml:space="preserve">Not claimable:</w:t>
      </w:r>
      <w:r>
        <w:t xml:space="preserve"> </w:t>
      </w:r>
      <w:r>
        <w:t xml:space="preserve">Handheld radios are bought to gift to an overseas government’s border agency. HMRC excludes the</w:t>
      </w:r>
      <w:r>
        <w:t xml:space="preserve"> </w:t>
      </w:r>
      <w:r>
        <w:t xml:space="preserve">“</w:t>
      </w:r>
      <w:r>
        <w:t xml:space="preserve">purchase of radios or radio equipment as a standalone supply</w:t>
      </w:r>
      <w:r>
        <w:t xml:space="preserve">”</w:t>
      </w:r>
      <w:r>
        <w:t xml:space="preserve">. These are goods.</w:t>
      </w:r>
    </w:p>
    <w:p>
      <w:pPr>
        <w:pStyle w:val="Compact"/>
        <w:numPr>
          <w:ilvl w:val="0"/>
          <w:numId w:val="1548"/>
        </w:numPr>
      </w:pPr>
      <w:r>
        <w:rPr>
          <w:b/>
          <w:bCs/>
        </w:rPr>
        <w:t xml:space="preserve">Not claimable:</w:t>
      </w:r>
      <w:r>
        <w:t xml:space="preserve"> </w:t>
      </w:r>
      <w:r>
        <w:t xml:space="preserve">A radio mast is bought for one of the Department’s sites. HMRC expressly excludes radio masts.</w:t>
      </w:r>
    </w:p>
    <w:p>
      <w:pPr>
        <w:pStyle w:val="FirstParagraph"/>
      </w:pPr>
      <w:r>
        <w:rPr>
          <w:b/>
          <w:bCs/>
        </w:rPr>
        <w:t xml:space="preserve">Source:</w:t>
      </w:r>
      <w:r>
        <w:t xml:space="preserve"> </w:t>
      </w:r>
      <w:r>
        <w:t xml:space="preserve">HMRC manual section VATGPB10850, page last updated 21 May 2021</w:t>
      </w:r>
      <w:r>
        <w:t xml:space="preserve"> </w:t>
      </w:r>
      <w:r>
        <w:t xml:space="preserve">(</w:t>
      </w:r>
      <w:hyperlink w:anchor="ref-hmrc_vatgpb">
        <w:r>
          <w:rPr>
            <w:rStyle w:val="Hyperlink"/>
          </w:rPr>
          <w:t xml:space="preserve">HMRC, 2026n, sec. VATGPB10850</w:t>
        </w:r>
      </w:hyperlink>
      <w:r>
        <w:t xml:space="preserve">)</w:t>
      </w:r>
      <w:r>
        <w:t xml:space="preserve">.</w:t>
      </w:r>
    </w:p>
    <w:bookmarkEnd w:id="313"/>
    <w:bookmarkStart w:id="314" w:name="X5e2cc5ae95ef4e16ddae9159fa3ba8ce8765e19"/>
    <w:p>
      <w:pPr>
        <w:pStyle w:val="Heading3"/>
      </w:pPr>
      <w:r>
        <w:t xml:space="preserve">Heading 57: Recruitment and relocation of staff and other related services</w:t>
      </w:r>
    </w:p>
    <w:p>
      <w:pPr>
        <w:pStyle w:val="FirstParagraph"/>
      </w:pPr>
      <w:r>
        <w:rPr>
          <w:b/>
          <w:bCs/>
        </w:rPr>
        <w:t xml:space="preserve">What it covers (HMRC’s description):</w:t>
      </w:r>
      <w:r>
        <w:t xml:space="preserve"> </w:t>
      </w:r>
      <w:r>
        <w:t xml:space="preserve">“</w:t>
      </w:r>
      <w:r>
        <w:t xml:space="preserve">This Heading allows recovery on recruitment and relocation of staff and other related services.</w:t>
      </w:r>
      <w:r>
        <w:t xml:space="preserve">”</w:t>
      </w:r>
      <w:r>
        <w:t xml:space="preserve"> </w:t>
      </w:r>
      <w:r>
        <w:t xml:space="preserve">The key test for relocation is that</w:t>
      </w:r>
      <w:r>
        <w:t xml:space="preserve"> </w:t>
      </w:r>
      <w:r>
        <w:rPr>
          <w:b/>
          <w:bCs/>
        </w:rPr>
        <w:t xml:space="preserve">the Department</w:t>
      </w:r>
      <w:r>
        <w:t xml:space="preserve">, not the employee, commissions the removal company. HMRC also notes that VAT on recruiting canteen staff qualifies only</w:t>
      </w:r>
      <w:r>
        <w:t xml:space="preserve"> </w:t>
      </w:r>
      <w:r>
        <w:t xml:space="preserve">“</w:t>
      </w:r>
      <w:r>
        <w:t xml:space="preserve">to the extent that it relates to the supply of catering for NHS in-patients</w:t>
      </w:r>
      <w:r>
        <w:t xml:space="preserve">”</w:t>
      </w:r>
      <w:r>
        <w:t xml:space="preserve"> </w:t>
      </w:r>
      <w:r>
        <w:t xml:space="preserve">(</w:t>
      </w:r>
      <w:hyperlink w:anchor="ref-hmrc_vatgpb">
        <w:r>
          <w:rPr>
            <w:rStyle w:val="Hyperlink"/>
          </w:rPr>
          <w:t xml:space="preserve">HMRC, 2026n, sec. VATGPB10870</w:t>
        </w:r>
      </w:hyperlink>
      <w:r>
        <w:t xml:space="preserve">)</w:t>
      </w:r>
      <w:r>
        <w:t xml:space="preserve">. That note is NHS-specific.</w:t>
      </w:r>
    </w:p>
    <w:p>
      <w:pPr>
        <w:pStyle w:val="BodyText"/>
      </w:pPr>
      <w:r>
        <w:rPr>
          <w:b/>
          <w:bCs/>
        </w:rPr>
        <w:t xml:space="preserve">Includes:</w:t>
      </w:r>
    </w:p>
    <w:p>
      <w:pPr>
        <w:pStyle w:val="Compact"/>
        <w:numPr>
          <w:ilvl w:val="0"/>
          <w:numId w:val="1549"/>
        </w:numPr>
      </w:pPr>
      <w:r>
        <w:t xml:space="preserve">“</w:t>
      </w:r>
      <w:r>
        <w:t xml:space="preserve">Security vetting checks undertaken on employees including Disclosure and Barring Service (DBS) checks</w:t>
      </w:r>
      <w:r>
        <w:t xml:space="preserve">”</w:t>
      </w:r>
    </w:p>
    <w:p>
      <w:pPr>
        <w:pStyle w:val="Compact"/>
        <w:numPr>
          <w:ilvl w:val="0"/>
          <w:numId w:val="1549"/>
        </w:numPr>
      </w:pPr>
      <w:r>
        <w:t xml:space="preserve">“</w:t>
      </w:r>
      <w:r>
        <w:t xml:space="preserve">Staff relocation expenses where the department commissions the removal company</w:t>
      </w:r>
      <w:r>
        <w:t xml:space="preserve">”</w:t>
      </w:r>
    </w:p>
    <w:p>
      <w:pPr>
        <w:pStyle w:val="Compact"/>
        <w:numPr>
          <w:ilvl w:val="0"/>
          <w:numId w:val="1549"/>
        </w:numPr>
      </w:pPr>
      <w:r>
        <w:t xml:space="preserve">“</w:t>
      </w:r>
      <w:r>
        <w:t xml:space="preserve">Staff recruitment advertising commissioned via a recruitment agency</w:t>
      </w:r>
      <w:r>
        <w:t xml:space="preserve">”</w:t>
      </w:r>
    </w:p>
    <w:p>
      <w:pPr>
        <w:pStyle w:val="Compact"/>
        <w:numPr>
          <w:ilvl w:val="0"/>
          <w:numId w:val="1549"/>
        </w:numPr>
      </w:pPr>
      <w:r>
        <w:t xml:space="preserve">“</w:t>
      </w:r>
      <w:r>
        <w:t xml:space="preserve">Civil Service Resourcing</w:t>
      </w:r>
      <w:r>
        <w:t xml:space="preserve">”</w:t>
      </w:r>
    </w:p>
    <w:p>
      <w:pPr>
        <w:pStyle w:val="Compact"/>
        <w:numPr>
          <w:ilvl w:val="0"/>
          <w:numId w:val="1549"/>
        </w:numPr>
      </w:pPr>
      <w:r>
        <w:t xml:space="preserve">“</w:t>
      </w:r>
      <w:r>
        <w:t xml:space="preserve">If you use an agency to arrange for the recruitment of staff, the VAT would be refundable under this heading. This would include services provided as part of a recruitment drive</w:t>
      </w:r>
      <w:r>
        <w:t xml:space="preserve">”</w:t>
      </w:r>
    </w:p>
    <w:p>
      <w:pPr>
        <w:pStyle w:val="Compact"/>
        <w:numPr>
          <w:ilvl w:val="0"/>
          <w:numId w:val="1549"/>
        </w:numPr>
      </w:pPr>
      <w:r>
        <w:t xml:space="preserve">Using a private company to deal with the relocation of staff when, for example, moving to a new building</w:t>
      </w:r>
    </w:p>
    <w:p>
      <w:pPr>
        <w:pStyle w:val="FirstParagraph"/>
      </w:pPr>
      <w:r>
        <w:rPr>
          <w:b/>
          <w:bCs/>
        </w:rPr>
        <w:t xml:space="preserve">Excludes:</w:t>
      </w:r>
    </w:p>
    <w:p>
      <w:pPr>
        <w:pStyle w:val="Compact"/>
        <w:numPr>
          <w:ilvl w:val="0"/>
          <w:numId w:val="1550"/>
        </w:numPr>
      </w:pPr>
      <w:r>
        <w:t xml:space="preserve">“</w:t>
      </w:r>
      <w:r>
        <w:t xml:space="preserve">VAT incurred on removal firms hired by staff</w:t>
      </w:r>
      <w:r>
        <w:t xml:space="preserve">”</w:t>
      </w:r>
    </w:p>
    <w:p>
      <w:pPr>
        <w:pStyle w:val="Compact"/>
        <w:numPr>
          <w:ilvl w:val="0"/>
          <w:numId w:val="1550"/>
        </w:numPr>
      </w:pPr>
      <w:r>
        <w:t xml:space="preserve">“</w:t>
      </w:r>
      <w:r>
        <w:t xml:space="preserve">Placing recruitment adverts in a newspaper or on internet recruitment websites</w:t>
      </w:r>
      <w:r>
        <w:t xml:space="preserve">”</w:t>
      </w:r>
    </w:p>
    <w:p>
      <w:pPr>
        <w:pStyle w:val="FirstParagraph"/>
      </w:pPr>
      <w:r>
        <w:rPr>
          <w:b/>
          <w:bCs/>
        </w:rPr>
        <w:t xml:space="preserve">Examples for the Department:</w:t>
      </w:r>
    </w:p>
    <w:p>
      <w:pPr>
        <w:pStyle w:val="Compact"/>
        <w:numPr>
          <w:ilvl w:val="0"/>
          <w:numId w:val="1551"/>
        </w:numPr>
      </w:pPr>
      <w:r>
        <w:rPr>
          <w:b/>
          <w:bCs/>
        </w:rPr>
        <w:t xml:space="preserve">Claimable:</w:t>
      </w:r>
      <w:r>
        <w:t xml:space="preserve"> </w:t>
      </w:r>
      <w:r>
        <w:t xml:space="preserve">The Department commissions a removal company to move an officer’s household goods for an overseas posting and receives the VAT invoice in its own name. This is</w:t>
      </w:r>
      <w:r>
        <w:t xml:space="preserve"> </w:t>
      </w:r>
      <w:r>
        <w:t xml:space="preserve">“</w:t>
      </w:r>
      <w:r>
        <w:t xml:space="preserve">staff relocation expenses where the department commissions the removal company</w:t>
      </w:r>
      <w:r>
        <w:t xml:space="preserve">”</w:t>
      </w:r>
      <w:r>
        <w:t xml:space="preserve">. International removals are often wholly or partly zero-rated</w:t>
      </w:r>
      <w:r>
        <w:t xml:space="preserve"> </w:t>
      </w:r>
      <w:r>
        <w:t xml:space="preserve">(</w:t>
      </w:r>
      <w:hyperlink w:anchor="ref-hmrc_n744b">
        <w:r>
          <w:rPr>
            <w:rStyle w:val="Hyperlink"/>
          </w:rPr>
          <w:t xml:space="preserve">HMRC, 2021a, para. 5.3</w:t>
        </w:r>
      </w:hyperlink>
      <w:r>
        <w:t xml:space="preserve">;</w:t>
      </w:r>
      <w:r>
        <w:t xml:space="preserve"> </w:t>
      </w:r>
      <w:hyperlink w:anchor="ref-hmrc_vat_rates">
        <w:r>
          <w:rPr>
            <w:rStyle w:val="Hyperlink"/>
          </w:rPr>
          <w:t xml:space="preserve">2026r</w:t>
        </w:r>
      </w:hyperlink>
      <w:r>
        <w:t xml:space="preserve">)</w:t>
      </w:r>
      <w:r>
        <w:t xml:space="preserve">, and COS can only refund UK VAT actually charged (Value Added Tax Act 1994, s. 41(3)). Storing the officer’s possessions while they are abroad is a separate service listed under Heading 63</w:t>
      </w:r>
      <w:r>
        <w:t xml:space="preserve"> </w:t>
      </w:r>
      <w:r>
        <w:t xml:space="preserve">(</w:t>
      </w:r>
      <w:hyperlink w:anchor="ref-hmrc_vatgpb">
        <w:r>
          <w:rPr>
            <w:rStyle w:val="Hyperlink"/>
          </w:rPr>
          <w:t xml:space="preserve">HMRC, 2026n, sec. VATGPB10990</w:t>
        </w:r>
      </w:hyperlink>
      <w:r>
        <w:t xml:space="preserve">)</w:t>
      </w:r>
      <w:r>
        <w:t xml:space="preserve">.</w:t>
      </w:r>
    </w:p>
    <w:p>
      <w:pPr>
        <w:pStyle w:val="Compact"/>
        <w:numPr>
          <w:ilvl w:val="0"/>
          <w:numId w:val="1551"/>
        </w:numPr>
      </w:pPr>
      <w:r>
        <w:rPr>
          <w:b/>
          <w:bCs/>
        </w:rPr>
        <w:t xml:space="preserve">Claimable:</w:t>
      </w:r>
      <w:r>
        <w:t xml:space="preserve"> </w:t>
      </w:r>
      <w:r>
        <w:t xml:space="preserve">A recruitment agency runs a campaign to recruit staff for the Department’s international programmes team, including recruitment adverts it commissions. Both are listed.</w:t>
      </w:r>
    </w:p>
    <w:p>
      <w:pPr>
        <w:pStyle w:val="Compact"/>
        <w:numPr>
          <w:ilvl w:val="0"/>
          <w:numId w:val="1551"/>
        </w:numPr>
      </w:pPr>
      <w:r>
        <w:rPr>
          <w:b/>
          <w:bCs/>
        </w:rPr>
        <w:t xml:space="preserve">Not claimable:</w:t>
      </w:r>
      <w:r>
        <w:t xml:space="preserve"> </w:t>
      </w:r>
      <w:r>
        <w:t xml:space="preserve">The officer hires their own removal firm and the Department reimburses them. HMRC excludes</w:t>
      </w:r>
      <w:r>
        <w:t xml:space="preserve"> </w:t>
      </w:r>
      <w:r>
        <w:t xml:space="preserve">“</w:t>
      </w:r>
      <w:r>
        <w:t xml:space="preserve">removal firms hired by staff</w:t>
      </w:r>
      <w:r>
        <w:t xml:space="preserve">”</w:t>
      </w:r>
      <w:r>
        <w:t xml:space="preserve">.</w:t>
      </w:r>
    </w:p>
    <w:p>
      <w:pPr>
        <w:pStyle w:val="Compact"/>
        <w:numPr>
          <w:ilvl w:val="0"/>
          <w:numId w:val="1551"/>
        </w:numPr>
      </w:pPr>
      <w:r>
        <w:rPr>
          <w:b/>
          <w:bCs/>
        </w:rPr>
        <w:t xml:space="preserve">Not claimable:</w:t>
      </w:r>
      <w:r>
        <w:t xml:space="preserve"> </w:t>
      </w:r>
      <w:r>
        <w:t xml:space="preserve">The Department places a job advert directly on an internet recruitment website or in a newspaper. HMRC expressly excludes this. Only adverts commissioned via a recruitment agency qualify.</w:t>
      </w:r>
    </w:p>
    <w:p>
      <w:pPr>
        <w:pStyle w:val="FirstParagraph"/>
      </w:pPr>
      <w:r>
        <w:rPr>
          <w:b/>
          <w:bCs/>
        </w:rPr>
        <w:t xml:space="preserve">Source:</w:t>
      </w:r>
      <w:r>
        <w:t xml:space="preserve"> </w:t>
      </w:r>
      <w:r>
        <w:t xml:space="preserve">HMRC manual section VATGPB10870, page last updated 14 October 2016</w:t>
      </w:r>
      <w:r>
        <w:t xml:space="preserve"> </w:t>
      </w:r>
      <w:r>
        <w:t xml:space="preserve">(</w:t>
      </w:r>
      <w:hyperlink w:anchor="ref-hmrc_vatgpb">
        <w:r>
          <w:rPr>
            <w:rStyle w:val="Hyperlink"/>
          </w:rPr>
          <w:t xml:space="preserve">HMRC, 2026n, sec. VATGPB10870</w:t>
        </w:r>
      </w:hyperlink>
      <w:r>
        <w:t xml:space="preserve">)</w:t>
      </w:r>
      <w:r>
        <w:t xml:space="preserve">.</w:t>
      </w:r>
    </w:p>
    <w:bookmarkEnd w:id="314"/>
    <w:bookmarkStart w:id="315" w:name="X576f64227b87fca36dd2807f51a951af855ea0f"/>
    <w:p>
      <w:pPr>
        <w:pStyle w:val="Heading3"/>
      </w:pPr>
      <w:r>
        <w:t xml:space="preserve">Heading 58: Research, testing, inspection, certification and approval work for the Health and Safety Executive</w:t>
      </w:r>
    </w:p>
    <w:p>
      <w:pPr>
        <w:pStyle w:val="FirstParagraph"/>
      </w:pPr>
      <w:r>
        <w:rPr>
          <w:b/>
          <w:bCs/>
        </w:rPr>
        <w:t xml:space="preserve">What it covers (HMRC’s description):</w:t>
      </w:r>
      <w:r>
        <w:t xml:space="preserve"> </w:t>
      </w:r>
      <w:r>
        <w:t xml:space="preserve">“</w:t>
      </w:r>
      <w:r>
        <w:t xml:space="preserve">This Heading covers research, testing, inspection, certification and approval work for the Health and Safety Executive (HSE).</w:t>
      </w:r>
      <w:r>
        <w:t xml:space="preserve">”</w:t>
      </w:r>
      <w:r>
        <w:t xml:space="preserve"> </w:t>
      </w:r>
      <w:r>
        <w:t xml:space="preserve">The only other point HMRC makes is:</w:t>
      </w:r>
      <w:r>
        <w:t xml:space="preserve"> </w:t>
      </w:r>
      <w:r>
        <w:t xml:space="preserve">“</w:t>
      </w:r>
      <w:r>
        <w:t xml:space="preserve">Devolved administrations discharging functions on behalf of the HSE may recover VAT on contracted out services under this Heading.</w:t>
      </w:r>
      <w:r>
        <w:t xml:space="preserve">”</w:t>
      </w:r>
      <w:r>
        <w:t xml:space="preserve"> </w:t>
      </w:r>
      <w:r>
        <w:t xml:space="preserve">The heading is therefore for the HSE and for devolved administrations carrying out HSE functions. HMRC’s manual gives no further detail</w:t>
      </w:r>
      <w:r>
        <w:t xml:space="preserve"> </w:t>
      </w:r>
      <w:r>
        <w:t xml:space="preserve">(</w:t>
      </w:r>
      <w:hyperlink w:anchor="ref-hmrc_vatgpb">
        <w:r>
          <w:rPr>
            <w:rStyle w:val="Hyperlink"/>
          </w:rPr>
          <w:t xml:space="preserve">HMRC, 2026n, sec. VATGPB10890</w:t>
        </w:r>
      </w:hyperlink>
      <w:r>
        <w:t xml:space="preserve">)</w:t>
      </w:r>
      <w:r>
        <w:t xml:space="preserve">.</w:t>
      </w:r>
    </w:p>
    <w:p>
      <w:pPr>
        <w:pStyle w:val="BodyText"/>
      </w:pPr>
      <w:r>
        <w:rPr>
          <w:b/>
          <w:bCs/>
        </w:rPr>
        <w:t xml:space="preserve">Examples for the Department:</w:t>
      </w:r>
      <w:r>
        <w:t xml:space="preserve"> </w:t>
      </w:r>
      <w:r>
        <w:t xml:space="preserve">Under paragraph 4 of the Direction this heading is restricted to the HSE (and devolved administrations exercising HSE functions), so it does not apply to the Department</w:t>
      </w:r>
      <w:r>
        <w:t xml:space="preserve"> </w:t>
      </w:r>
      <w:r>
        <w:t xml:space="preserve">(</w:t>
      </w:r>
      <w:hyperlink w:anchor="ref-gazette_2020">
        <w:r>
          <w:rPr>
            <w:rStyle w:val="Hyperlink"/>
          </w:rPr>
          <w:t xml:space="preserve">HM Treasury, 2020b, para. 4</w:t>
        </w:r>
      </w:hyperlink>
      <w:r>
        <w:t xml:space="preserve">;</w:t>
      </w:r>
      <w:r>
        <w:t xml:space="preserve"> </w:t>
      </w:r>
      <w:hyperlink w:anchor="ref-hmrc_vatgpb">
        <w:r>
          <w:rPr>
            <w:rStyle w:val="Hyperlink"/>
          </w:rPr>
          <w:t xml:space="preserve">HMRC, 2026n, sec. VATGPB10890</w:t>
        </w:r>
      </w:hyperlink>
      <w:r>
        <w:t xml:space="preserve">)</w:t>
      </w:r>
      <w:r>
        <w:t xml:space="preserve">.</w:t>
      </w:r>
    </w:p>
    <w:p>
      <w:pPr>
        <w:pStyle w:val="Compact"/>
        <w:numPr>
          <w:ilvl w:val="0"/>
          <w:numId w:val="1552"/>
        </w:numPr>
      </w:pPr>
      <w:r>
        <w:rPr>
          <w:b/>
          <w:bCs/>
        </w:rPr>
        <w:t xml:space="preserve">Claimable (generic):</w:t>
      </w:r>
      <w:r>
        <w:t xml:space="preserve"> </w:t>
      </w:r>
      <w:r>
        <w:t xml:space="preserve">The HSE contracts a laboratory to test and certify a type of equipment as part of its regulatory work. This is testing and certification</w:t>
      </w:r>
      <w:r>
        <w:t xml:space="preserve"> </w:t>
      </w:r>
      <w:r>
        <w:t xml:space="preserve">“</w:t>
      </w:r>
      <w:r>
        <w:t xml:space="preserve">for the Health and Safety Executive</w:t>
      </w:r>
      <w:r>
        <w:t xml:space="preserve">”</w:t>
      </w:r>
      <w:r>
        <w:t xml:space="preserve">.</w:t>
      </w:r>
    </w:p>
    <w:p>
      <w:pPr>
        <w:pStyle w:val="Compact"/>
        <w:numPr>
          <w:ilvl w:val="0"/>
          <w:numId w:val="1552"/>
        </w:numPr>
      </w:pPr>
      <w:r>
        <w:rPr>
          <w:b/>
          <w:bCs/>
        </w:rPr>
        <w:t xml:space="preserve">Not claimable:</w:t>
      </w:r>
      <w:r>
        <w:t xml:space="preserve"> </w:t>
      </w:r>
      <w:r>
        <w:t xml:space="preserve">The Department pays a test house to check that equipment meets safety standards before gifting it overseas. This is not work for the HSE, so it does not fall under this heading. It would have to fit another heading on its own merits.</w:t>
      </w:r>
    </w:p>
    <w:p>
      <w:pPr>
        <w:pStyle w:val="FirstParagraph"/>
      </w:pPr>
      <w:r>
        <w:rPr>
          <w:b/>
          <w:bCs/>
        </w:rPr>
        <w:t xml:space="preserve">Source:</w:t>
      </w:r>
      <w:r>
        <w:t xml:space="preserve"> </w:t>
      </w:r>
      <w:r>
        <w:t xml:space="preserve">HMRC manual section VATGPB10890, page last updated 7 January 2016</w:t>
      </w:r>
      <w:r>
        <w:t xml:space="preserve"> </w:t>
      </w:r>
      <w:r>
        <w:t xml:space="preserve">(</w:t>
      </w:r>
      <w:hyperlink w:anchor="ref-hmrc_vatgpb">
        <w:r>
          <w:rPr>
            <w:rStyle w:val="Hyperlink"/>
          </w:rPr>
          <w:t xml:space="preserve">HMRC, 2026n, sec. VATGPB10890</w:t>
        </w:r>
      </w:hyperlink>
      <w:r>
        <w:t xml:space="preserve">)</w:t>
      </w:r>
      <w:r>
        <w:t xml:space="preserve">.</w:t>
      </w:r>
    </w:p>
    <w:bookmarkEnd w:id="315"/>
    <w:bookmarkStart w:id="316" w:name="Xf09834c05cf08bd5f623cd1027ef4032752b664"/>
    <w:p>
      <w:pPr>
        <w:pStyle w:val="Heading3"/>
      </w:pPr>
      <w:r>
        <w:t xml:space="preserve">Heading 59: Scientific work of the kind normally carried out for the Department of the Environment, Food and Rural Affairs and the Food Standards Agency</w:t>
      </w:r>
    </w:p>
    <w:p>
      <w:pPr>
        <w:pStyle w:val="FirstParagraph"/>
      </w:pPr>
      <w:r>
        <w:rPr>
          <w:b/>
          <w:bCs/>
        </w:rPr>
        <w:t xml:space="preserve">What it covers (HMRC’s description):</w:t>
      </w:r>
      <w:r>
        <w:t xml:space="preserve"> </w:t>
      </w:r>
      <w:r>
        <w:t xml:space="preserve">“</w:t>
      </w:r>
      <w:r>
        <w:t xml:space="preserve">This Heading allows recovery for scientific work of the kind normally carried out for the Department for Environment, Food and Rural Affairs and the Food Standards Agency.</w:t>
      </w:r>
      <w:r>
        <w:t xml:space="preserve">”</w:t>
      </w:r>
      <w:r>
        <w:t xml:space="preserve"> </w:t>
      </w:r>
      <w:r>
        <w:t xml:space="preserve">Its natural users are DEFRA and the FSA. HMRC’s only comment on other users is that the heading</w:t>
      </w:r>
      <w:r>
        <w:t xml:space="preserve"> </w:t>
      </w:r>
      <w:r>
        <w:t xml:space="preserve">“</w:t>
      </w:r>
      <w:r>
        <w:t xml:space="preserve">may be used by departments in the devolved administrations if they have taken over responsibility for work undertaken by DEFRA or the Food Standards Agency</w:t>
      </w:r>
      <w:r>
        <w:t xml:space="preserve">”</w:t>
      </w:r>
      <w:r>
        <w:t xml:space="preserve">. HMRC’s manual says nothing about other departments using it</w:t>
      </w:r>
      <w:r>
        <w:t xml:space="preserve"> </w:t>
      </w:r>
      <w:r>
        <w:t xml:space="preserve">(</w:t>
      </w:r>
      <w:hyperlink w:anchor="ref-hmrc_vatgpb">
        <w:r>
          <w:rPr>
            <w:rStyle w:val="Hyperlink"/>
          </w:rPr>
          <w:t xml:space="preserve">HMRC, 2026n, sec. VATGPB10910</w:t>
        </w:r>
      </w:hyperlink>
      <w:r>
        <w:t xml:space="preserve">)</w:t>
      </w:r>
      <w:r>
        <w:t xml:space="preserve">.</w:t>
      </w:r>
    </w:p>
    <w:p>
      <w:pPr>
        <w:pStyle w:val="BodyText"/>
      </w:pPr>
      <w:r>
        <w:rPr>
          <w:b/>
          <w:bCs/>
        </w:rPr>
        <w:t xml:space="preserve">Includes:</w:t>
      </w:r>
    </w:p>
    <w:p>
      <w:pPr>
        <w:pStyle w:val="Compact"/>
        <w:numPr>
          <w:ilvl w:val="0"/>
          <w:numId w:val="1553"/>
        </w:numPr>
      </w:pPr>
      <w:r>
        <w:t xml:space="preserve">“</w:t>
      </w:r>
      <w:r>
        <w:t xml:space="preserve">Testing contaminated food to identify strains of bacteria e.g. salmonella</w:t>
      </w:r>
      <w:r>
        <w:t xml:space="preserve">”</w:t>
      </w:r>
    </w:p>
    <w:p>
      <w:pPr>
        <w:pStyle w:val="Compact"/>
        <w:numPr>
          <w:ilvl w:val="0"/>
          <w:numId w:val="1553"/>
        </w:numPr>
      </w:pPr>
      <w:r>
        <w:t xml:space="preserve">“</w:t>
      </w:r>
      <w:r>
        <w:t xml:space="preserve">Detection and verification of disease in animals e.g. BSE</w:t>
      </w:r>
      <w:r>
        <w:t xml:space="preserve">”</w:t>
      </w:r>
    </w:p>
    <w:p>
      <w:pPr>
        <w:pStyle w:val="Compact"/>
        <w:numPr>
          <w:ilvl w:val="0"/>
          <w:numId w:val="1553"/>
        </w:numPr>
      </w:pPr>
      <w:r>
        <w:t xml:space="preserve">“</w:t>
      </w:r>
      <w:r>
        <w:t xml:space="preserve">Detection and verification of plant disease e.g. Dutch elm disease</w:t>
      </w:r>
      <w:r>
        <w:t xml:space="preserve">”</w:t>
      </w:r>
    </w:p>
    <w:p>
      <w:pPr>
        <w:pStyle w:val="Compact"/>
        <w:numPr>
          <w:ilvl w:val="0"/>
          <w:numId w:val="1553"/>
        </w:numPr>
      </w:pPr>
      <w:r>
        <w:t xml:space="preserve">“</w:t>
      </w:r>
      <w:r>
        <w:t xml:space="preserve">Inspection of diseased animal carcasses</w:t>
      </w:r>
      <w:r>
        <w:t xml:space="preserve">”</w:t>
      </w:r>
    </w:p>
    <w:p>
      <w:pPr>
        <w:pStyle w:val="FirstParagraph"/>
      </w:pPr>
      <w:r>
        <w:rPr>
          <w:b/>
          <w:bCs/>
        </w:rPr>
        <w:t xml:space="preserve">Examples for the Department:</w:t>
      </w:r>
      <w:r>
        <w:t xml:space="preserve"> </w:t>
      </w:r>
      <w:r>
        <w:t xml:space="preserve">Under paragraph 4 of the Direction this heading is restricted to DEFRA and the Food Standards Agency (and devolved administrations exercising those functions), so it does not apply to the Department</w:t>
      </w:r>
      <w:r>
        <w:t xml:space="preserve"> </w:t>
      </w:r>
      <w:r>
        <w:t xml:space="preserve">(</w:t>
      </w:r>
      <w:hyperlink w:anchor="ref-gazette_2020">
        <w:r>
          <w:rPr>
            <w:rStyle w:val="Hyperlink"/>
          </w:rPr>
          <w:t xml:space="preserve">HM Treasury, 2020b, para. 4</w:t>
        </w:r>
      </w:hyperlink>
      <w:r>
        <w:t xml:space="preserve">;</w:t>
      </w:r>
      <w:r>
        <w:t xml:space="preserve"> </w:t>
      </w:r>
      <w:hyperlink w:anchor="ref-hmrc_vatgpb">
        <w:r>
          <w:rPr>
            <w:rStyle w:val="Hyperlink"/>
          </w:rPr>
          <w:t xml:space="preserve">HMRC, 2026n, sec. VATGPB10910</w:t>
        </w:r>
      </w:hyperlink>
      <w:r>
        <w:t xml:space="preserve">)</w:t>
      </w:r>
      <w:r>
        <w:t xml:space="preserve">.</w:t>
      </w:r>
    </w:p>
    <w:p>
      <w:pPr>
        <w:pStyle w:val="Compact"/>
        <w:numPr>
          <w:ilvl w:val="0"/>
          <w:numId w:val="1554"/>
        </w:numPr>
      </w:pPr>
      <w:r>
        <w:rPr>
          <w:b/>
          <w:bCs/>
        </w:rPr>
        <w:t xml:space="preserve">Claimable (generic):</w:t>
      </w:r>
      <w:r>
        <w:t xml:space="preserve"> </w:t>
      </w:r>
      <w:r>
        <w:t xml:space="preserve">The FSA, or a devolved body that has taken over its work, contracts a laboratory to test food samples for salmonella. This is HMRC’s own example.</w:t>
      </w:r>
    </w:p>
    <w:p>
      <w:pPr>
        <w:pStyle w:val="Compact"/>
        <w:numPr>
          <w:ilvl w:val="0"/>
          <w:numId w:val="1554"/>
        </w:numPr>
      </w:pPr>
      <w:r>
        <w:rPr>
          <w:b/>
          <w:bCs/>
        </w:rPr>
        <w:t xml:space="preserve">Not claimable:</w:t>
      </w:r>
      <w:r>
        <w:t xml:space="preserve"> </w:t>
      </w:r>
      <w:r>
        <w:t xml:space="preserve">The Department pays a contractor to test the water systems in its headquarters for Legionella as part of building compliance. This is not food, animal-disease or plant-disease work of the kind HMRC describes, so it does not fit this heading.</w:t>
      </w:r>
    </w:p>
    <w:p>
      <w:pPr>
        <w:pStyle w:val="FirstParagraph"/>
      </w:pPr>
      <w:r>
        <w:rPr>
          <w:b/>
          <w:bCs/>
        </w:rPr>
        <w:t xml:space="preserve">Source:</w:t>
      </w:r>
      <w:r>
        <w:t xml:space="preserve"> </w:t>
      </w:r>
      <w:r>
        <w:t xml:space="preserve">HMRC manual section VATGPB10910, page last updated 7 January 2016</w:t>
      </w:r>
      <w:r>
        <w:t xml:space="preserve"> </w:t>
      </w:r>
      <w:r>
        <w:t xml:space="preserve">(</w:t>
      </w:r>
      <w:hyperlink w:anchor="ref-hmrc_vatgpb">
        <w:r>
          <w:rPr>
            <w:rStyle w:val="Hyperlink"/>
          </w:rPr>
          <w:t xml:space="preserve">HMRC, 2026n, sec. VATGPB10910</w:t>
        </w:r>
      </w:hyperlink>
      <w:r>
        <w:t xml:space="preserve">)</w:t>
      </w:r>
      <w:r>
        <w:t xml:space="preserve">.</w:t>
      </w:r>
    </w:p>
    <w:bookmarkEnd w:id="316"/>
    <w:bookmarkStart w:id="317" w:name="Xedbb426c0aac9a179fd12f91cdc5e606f6fc01c"/>
    <w:p>
      <w:pPr>
        <w:pStyle w:val="Heading3"/>
      </w:pPr>
      <w:r>
        <w:t xml:space="preserve">Heading 60: Security services, including security guards, CCTV monitoring, secure transport of items and monitoring the safety of those working alone</w:t>
      </w:r>
    </w:p>
    <w:p>
      <w:pPr>
        <w:pStyle w:val="FirstParagraph"/>
      </w:pPr>
      <w:r>
        <w:rPr>
          <w:b/>
          <w:bCs/>
        </w:rPr>
        <w:t xml:space="preserve">What it covers (HMRC’s description):</w:t>
      </w:r>
      <w:r>
        <w:t xml:space="preserve"> </w:t>
      </w:r>
      <w:r>
        <w:t xml:space="preserve">“</w:t>
      </w:r>
      <w:r>
        <w:t xml:space="preserve">This heading allows recovery for the security services.</w:t>
      </w:r>
      <w:r>
        <w:t xml:space="preserve">”</w:t>
      </w:r>
      <w:r>
        <w:t xml:space="preserve"> </w:t>
      </w:r>
      <w:r>
        <w:t xml:space="preserve">Equipment qualifies only when it is part of a wider security service</w:t>
      </w:r>
      <w:r>
        <w:t xml:space="preserve"> </w:t>
      </w:r>
      <w:r>
        <w:t xml:space="preserve">(</w:t>
      </w:r>
      <w:hyperlink w:anchor="ref-hmrc_vatgpb">
        <w:r>
          <w:rPr>
            <w:rStyle w:val="Hyperlink"/>
          </w:rPr>
          <w:t xml:space="preserve">HMRC, 2026n, sec. VATGPB10930</w:t>
        </w:r>
      </w:hyperlink>
      <w:r>
        <w:t xml:space="preserve">)</w:t>
      </w:r>
      <w:r>
        <w:t xml:space="preserve">.</w:t>
      </w:r>
    </w:p>
    <w:p>
      <w:pPr>
        <w:pStyle w:val="BodyText"/>
      </w:pPr>
      <w:r>
        <w:rPr>
          <w:b/>
          <w:bCs/>
        </w:rPr>
        <w:t xml:space="preserve">Includes:</w:t>
      </w:r>
    </w:p>
    <w:p>
      <w:pPr>
        <w:pStyle w:val="Compact"/>
        <w:numPr>
          <w:ilvl w:val="0"/>
          <w:numId w:val="1555"/>
        </w:numPr>
      </w:pPr>
      <w:r>
        <w:t xml:space="preserve">“</w:t>
      </w:r>
      <w:r>
        <w:t xml:space="preserve">Staff security surveillance equipment (CCTV, surveillance cameras) supplied as part of a wider security service</w:t>
      </w:r>
      <w:r>
        <w:t xml:space="preserve">”</w:t>
      </w:r>
    </w:p>
    <w:p>
      <w:pPr>
        <w:pStyle w:val="Compact"/>
        <w:numPr>
          <w:ilvl w:val="0"/>
          <w:numId w:val="1555"/>
        </w:numPr>
      </w:pPr>
      <w:r>
        <w:t xml:space="preserve">“</w:t>
      </w:r>
      <w:r>
        <w:t xml:space="preserve">Security patrols and security guards</w:t>
      </w:r>
      <w:r>
        <w:t xml:space="preserve">”</w:t>
      </w:r>
    </w:p>
    <w:p>
      <w:pPr>
        <w:pStyle w:val="Compact"/>
        <w:numPr>
          <w:ilvl w:val="0"/>
          <w:numId w:val="1555"/>
        </w:numPr>
      </w:pPr>
      <w:r>
        <w:t xml:space="preserve">“</w:t>
      </w:r>
      <w:r>
        <w:t xml:space="preserve">The secure transport of equipment</w:t>
      </w:r>
      <w:r>
        <w:t xml:space="preserve">”</w:t>
      </w:r>
    </w:p>
    <w:p>
      <w:pPr>
        <w:pStyle w:val="Compact"/>
        <w:numPr>
          <w:ilvl w:val="0"/>
          <w:numId w:val="1555"/>
        </w:numPr>
      </w:pPr>
      <w:r>
        <w:t xml:space="preserve">“</w:t>
      </w:r>
      <w:r>
        <w:t xml:space="preserve">Lone worker monitoring of staff</w:t>
      </w:r>
      <w:r>
        <w:t xml:space="preserve">”</w:t>
      </w:r>
    </w:p>
    <w:p>
      <w:pPr>
        <w:pStyle w:val="FirstParagraph"/>
      </w:pPr>
      <w:r>
        <w:rPr>
          <w:b/>
          <w:bCs/>
        </w:rPr>
        <w:t xml:space="preserve">Excludes:</w:t>
      </w:r>
    </w:p>
    <w:p>
      <w:pPr>
        <w:pStyle w:val="Compact"/>
        <w:numPr>
          <w:ilvl w:val="0"/>
          <w:numId w:val="1556"/>
        </w:numPr>
      </w:pPr>
      <w:r>
        <w:t xml:space="preserve">“</w:t>
      </w:r>
      <w:r>
        <w:t xml:space="preserve">Purchase of security equipment as a standalone supply would not be eligible as this would be a supply of goods</w:t>
      </w:r>
      <w:r>
        <w:t xml:space="preserve">”</w:t>
      </w:r>
    </w:p>
    <w:p>
      <w:pPr>
        <w:pStyle w:val="Compact"/>
        <w:numPr>
          <w:ilvl w:val="0"/>
          <w:numId w:val="1556"/>
        </w:numPr>
      </w:pPr>
      <w:r>
        <w:t xml:space="preserve">“</w:t>
      </w:r>
      <w:r>
        <w:t xml:space="preserve">Installation of security equipment as a standalone contract</w:t>
      </w:r>
      <w:r>
        <w:t xml:space="preserve">”</w:t>
      </w:r>
    </w:p>
    <w:p>
      <w:pPr>
        <w:pStyle w:val="Compact"/>
        <w:numPr>
          <w:ilvl w:val="0"/>
          <w:numId w:val="1556"/>
        </w:numPr>
      </w:pPr>
      <w:r>
        <w:t xml:space="preserve">“</w:t>
      </w:r>
      <w:r>
        <w:t xml:space="preserve">Security vetting - this may be recoverable under heading 57</w:t>
      </w:r>
      <w:r>
        <w:t xml:space="preserve">”</w:t>
      </w:r>
    </w:p>
    <w:p>
      <w:pPr>
        <w:pStyle w:val="Compact"/>
        <w:numPr>
          <w:ilvl w:val="0"/>
          <w:numId w:val="1556"/>
        </w:numPr>
      </w:pPr>
      <w:r>
        <w:t xml:space="preserve">“</w:t>
      </w:r>
      <w:r>
        <w:t xml:space="preserve">Hire of security staff to supplement in-house security teams, for example to provide holiday cover</w:t>
      </w:r>
      <w:r>
        <w:t xml:space="preserve">”</w:t>
      </w:r>
    </w:p>
    <w:p>
      <w:pPr>
        <w:pStyle w:val="Compact"/>
        <w:numPr>
          <w:ilvl w:val="0"/>
          <w:numId w:val="1556"/>
        </w:numPr>
      </w:pPr>
      <w:r>
        <w:t xml:space="preserve">“</w:t>
      </w:r>
      <w:r>
        <w:t xml:space="preserve">VAT incurred on the repair and maintenance of security equipment - this may be recoverable under heading 37</w:t>
      </w:r>
      <w:r>
        <w:t xml:space="preserve">”</w:t>
      </w:r>
    </w:p>
    <w:p>
      <w:pPr>
        <w:pStyle w:val="FirstParagraph"/>
      </w:pPr>
      <w:r>
        <w:rPr>
          <w:b/>
          <w:bCs/>
        </w:rPr>
        <w:t xml:space="preserve">Examples for the Department:</w:t>
      </w:r>
    </w:p>
    <w:p>
      <w:pPr>
        <w:pStyle w:val="Compact"/>
        <w:numPr>
          <w:ilvl w:val="0"/>
          <w:numId w:val="1557"/>
        </w:numPr>
      </w:pPr>
      <w:r>
        <w:rPr>
          <w:b/>
          <w:bCs/>
        </w:rPr>
        <w:t xml:space="preserve">Claimable:</w:t>
      </w:r>
      <w:r>
        <w:t xml:space="preserve"> </w:t>
      </w:r>
      <w:r>
        <w:t xml:space="preserve">A security contractor moves sensitive equipment from the Department’s UK depot to the port for shipment to a partner government.</w:t>
      </w:r>
      <w:r>
        <w:t xml:space="preserve"> </w:t>
      </w:r>
      <w:r>
        <w:t xml:space="preserve">“</w:t>
      </w:r>
      <w:r>
        <w:t xml:space="preserve">The secure transport of equipment</w:t>
      </w:r>
      <w:r>
        <w:t xml:space="preserve">”</w:t>
      </w:r>
      <w:r>
        <w:t xml:space="preserve"> </w:t>
      </w:r>
      <w:r>
        <w:t xml:space="preserve">is listed. If the contract covers carriage all the way to the overseas destination, it may be zero-rated as international freight, leaving no VAT to claim</w:t>
      </w:r>
      <w:r>
        <w:t xml:space="preserve"> </w:t>
      </w:r>
      <w:r>
        <w:t xml:space="preserve">(</w:t>
      </w:r>
      <w:hyperlink w:anchor="ref-hmrc_n744b">
        <w:r>
          <w:rPr>
            <w:rStyle w:val="Hyperlink"/>
          </w:rPr>
          <w:t xml:space="preserve">HMRC, 2021a, para. 5.3</w:t>
        </w:r>
      </w:hyperlink>
      <w:r>
        <w:t xml:space="preserve">;</w:t>
      </w:r>
      <w:r>
        <w:t xml:space="preserve"> </w:t>
      </w:r>
      <w:hyperlink w:anchor="ref-hmrc_vat_rates">
        <w:r>
          <w:rPr>
            <w:rStyle w:val="Hyperlink"/>
          </w:rPr>
          <w:t xml:space="preserve">2026r</w:t>
        </w:r>
      </w:hyperlink>
      <w:r>
        <w:t xml:space="preserve">)</w:t>
      </w:r>
      <w:r>
        <w:t xml:space="preserve">.</w:t>
      </w:r>
    </w:p>
    <w:p>
      <w:pPr>
        <w:pStyle w:val="Compact"/>
        <w:numPr>
          <w:ilvl w:val="0"/>
          <w:numId w:val="1557"/>
        </w:numPr>
      </w:pPr>
      <w:r>
        <w:rPr>
          <w:b/>
          <w:bCs/>
        </w:rPr>
        <w:t xml:space="preserve">Claimable:</w:t>
      </w:r>
      <w:r>
        <w:t xml:space="preserve"> </w:t>
      </w:r>
      <w:r>
        <w:t xml:space="preserve">A UK provider supplies a lone-worker monitoring service (a check-in app and a 24-hour monitoring centre) for staff travelling alone on overseas visits and invoices the Department with UK VAT.</w:t>
      </w:r>
      <w:r>
        <w:t xml:space="preserve"> </w:t>
      </w:r>
      <w:r>
        <w:t xml:space="preserve">“</w:t>
      </w:r>
      <w:r>
        <w:t xml:space="preserve">Lone worker monitoring of staff</w:t>
      </w:r>
      <w:r>
        <w:t xml:space="preserve">”</w:t>
      </w:r>
      <w:r>
        <w:t xml:space="preserve"> </w:t>
      </w:r>
      <w:r>
        <w:t xml:space="preserve">is listed.</w:t>
      </w:r>
    </w:p>
    <w:p>
      <w:pPr>
        <w:pStyle w:val="Compact"/>
        <w:numPr>
          <w:ilvl w:val="0"/>
          <w:numId w:val="1557"/>
        </w:numPr>
      </w:pPr>
      <w:r>
        <w:rPr>
          <w:b/>
          <w:bCs/>
        </w:rPr>
        <w:t xml:space="preserve">Not claimable:</w:t>
      </w:r>
      <w:r>
        <w:t xml:space="preserve"> </w:t>
      </w:r>
      <w:r>
        <w:t xml:space="preserve">The Department buys CCTV cameras outright and pays a separate firm just to install them. Both the standalone purchase of goods and standalone installation are excluded.</w:t>
      </w:r>
    </w:p>
    <w:p>
      <w:pPr>
        <w:pStyle w:val="Compact"/>
        <w:numPr>
          <w:ilvl w:val="0"/>
          <w:numId w:val="1557"/>
        </w:numPr>
      </w:pPr>
      <w:r>
        <w:rPr>
          <w:b/>
          <w:bCs/>
        </w:rPr>
        <w:t xml:space="preserve">Not claimable:</w:t>
      </w:r>
      <w:r>
        <w:t xml:space="preserve"> </w:t>
      </w:r>
      <w:r>
        <w:t xml:space="preserve">Agency guards are brought in to cover the in-house security team’s summer holidays. HMRC expressly excludes this.</w:t>
      </w:r>
    </w:p>
    <w:p>
      <w:pPr>
        <w:pStyle w:val="FirstParagraph"/>
      </w:pPr>
      <w:r>
        <w:rPr>
          <w:b/>
          <w:bCs/>
        </w:rPr>
        <w:t xml:space="preserve">Source:</w:t>
      </w:r>
      <w:r>
        <w:t xml:space="preserve"> </w:t>
      </w:r>
      <w:r>
        <w:t xml:space="preserve">HMRC manual section VATGPB10930, page last updated 12 March 2021</w:t>
      </w:r>
      <w:r>
        <w:t xml:space="preserve"> </w:t>
      </w:r>
      <w:r>
        <w:t xml:space="preserve">(</w:t>
      </w:r>
      <w:hyperlink w:anchor="ref-hmrc_vatgpb">
        <w:r>
          <w:rPr>
            <w:rStyle w:val="Hyperlink"/>
          </w:rPr>
          <w:t xml:space="preserve">HMRC, 2026n, sec. VATGPB10930</w:t>
        </w:r>
      </w:hyperlink>
      <w:r>
        <w:t xml:space="preserve">)</w:t>
      </w:r>
      <w:r>
        <w:t xml:space="preserve">.</w:t>
      </w:r>
    </w:p>
    <w:bookmarkEnd w:id="317"/>
    <w:bookmarkStart w:id="318" w:name="X4fb3066222037bf3d3f36efdaf4d7fa187e4d0d"/>
    <w:p>
      <w:pPr>
        <w:pStyle w:val="Heading3"/>
      </w:pPr>
      <w:r>
        <w:t xml:space="preserve">Heading 61: Services of printing, copying, reproducing or mailing of any documents or publications, including typesetting services</w:t>
      </w:r>
    </w:p>
    <w:p>
      <w:pPr>
        <w:pStyle w:val="FirstParagraph"/>
      </w:pPr>
      <w:r>
        <w:rPr>
          <w:b/>
          <w:bCs/>
        </w:rPr>
        <w:t xml:space="preserve">What it covers (HMRC’s description):</w:t>
      </w:r>
      <w:r>
        <w:t xml:space="preserve"> </w:t>
      </w:r>
      <w:r>
        <w:t xml:space="preserve">HMRC gives no opening description, only the lists and additional information below</w:t>
      </w:r>
      <w:r>
        <w:t xml:space="preserve"> </w:t>
      </w:r>
      <w:r>
        <w:t xml:space="preserve">(</w:t>
      </w:r>
      <w:hyperlink w:anchor="ref-hmrc_vatgpb">
        <w:r>
          <w:rPr>
            <w:rStyle w:val="Hyperlink"/>
          </w:rPr>
          <w:t xml:space="preserve">HMRC, 2026n, sec. VATGPB10950</w:t>
        </w:r>
      </w:hyperlink>
      <w:r>
        <w:t xml:space="preserve">)</w:t>
      </w:r>
      <w:r>
        <w:t xml:space="preserve">.</w:t>
      </w:r>
    </w:p>
    <w:p>
      <w:pPr>
        <w:pStyle w:val="Compact"/>
        <w:numPr>
          <w:ilvl w:val="0"/>
          <w:numId w:val="1558"/>
        </w:numPr>
      </w:pPr>
      <w:r>
        <w:rPr>
          <w:b/>
          <w:bCs/>
        </w:rPr>
        <w:t xml:space="preserve">Paper.</w:t>
      </w:r>
      <w:r>
        <w:t xml:space="preserve"> </w:t>
      </w:r>
      <w:r>
        <w:t xml:space="preserve">“</w:t>
      </w:r>
      <w:r>
        <w:t xml:space="preserve">Although the supply of the paper is a supply of goods, it is considered an intrinsic part of the service being provided</w:t>
      </w:r>
      <w:r>
        <w:t xml:space="preserve">”</w:t>
      </w:r>
      <w:r>
        <w:t xml:space="preserve">. So VAT is recoverable</w:t>
      </w:r>
      <w:r>
        <w:t xml:space="preserve"> </w:t>
      </w:r>
      <w:r>
        <w:t xml:space="preserve">“</w:t>
      </w:r>
      <w:r>
        <w:t xml:space="preserve">on the total contract price, which will normally include that of typesetting, paper and the use of the printing or embossing machinery</w:t>
      </w:r>
      <w:r>
        <w:t xml:space="preserve">”</w:t>
      </w:r>
      <w:r>
        <w:t xml:space="preserve"> </w:t>
      </w:r>
      <w:r>
        <w:t xml:space="preserve">(</w:t>
      </w:r>
      <w:hyperlink w:anchor="ref-hmrc_vatgpb">
        <w:r>
          <w:rPr>
            <w:rStyle w:val="Hyperlink"/>
          </w:rPr>
          <w:t xml:space="preserve">HMRC, 2026n, sec. VATGPB10950</w:t>
        </w:r>
      </w:hyperlink>
      <w:r>
        <w:t xml:space="preserve">)</w:t>
      </w:r>
      <w:r>
        <w:t xml:space="preserve">.</w:t>
      </w:r>
    </w:p>
    <w:p>
      <w:pPr>
        <w:pStyle w:val="Compact"/>
        <w:numPr>
          <w:ilvl w:val="0"/>
          <w:numId w:val="1558"/>
        </w:numPr>
      </w:pPr>
      <w:r>
        <w:rPr>
          <w:b/>
          <w:bCs/>
        </w:rPr>
        <w:t xml:space="preserve">Signs and badges.</w:t>
      </w:r>
      <w:r>
        <w:t xml:space="preserve"> </w:t>
      </w:r>
      <w:r>
        <w:t xml:space="preserve">“</w:t>
      </w:r>
      <w:r>
        <w:t xml:space="preserve">The initial supply of signs and names badges (also the complete replacement of) is not eligible for recovery, as they are seen as goods.</w:t>
      </w:r>
      <w:r>
        <w:t xml:space="preserve">”</w:t>
      </w:r>
      <w:r>
        <w:t xml:space="preserve"> </w:t>
      </w:r>
      <w:r>
        <w:t xml:space="preserve">Signs replaced because government departments or NHS bodies merge are recoverable, as are repairs to existing signs</w:t>
      </w:r>
      <w:r>
        <w:t xml:space="preserve"> </w:t>
      </w:r>
      <w:r>
        <w:t xml:space="preserve">(</w:t>
      </w:r>
      <w:hyperlink w:anchor="ref-hmrc_vatgpb">
        <w:r>
          <w:rPr>
            <w:rStyle w:val="Hyperlink"/>
          </w:rPr>
          <w:t xml:space="preserve">HMRC, 2026n, sec. VATGPB10950</w:t>
        </w:r>
      </w:hyperlink>
      <w:r>
        <w:t xml:space="preserve">)</w:t>
      </w:r>
      <w:r>
        <w:t xml:space="preserve">.</w:t>
      </w:r>
    </w:p>
    <w:p>
      <w:pPr>
        <w:pStyle w:val="FirstParagraph"/>
      </w:pPr>
      <w:r>
        <w:rPr>
          <w:b/>
          <w:bCs/>
        </w:rPr>
        <w:t xml:space="preserve">Includes:</w:t>
      </w:r>
    </w:p>
    <w:p>
      <w:pPr>
        <w:pStyle w:val="Compact"/>
        <w:numPr>
          <w:ilvl w:val="0"/>
          <w:numId w:val="1559"/>
        </w:numPr>
      </w:pPr>
      <w:r>
        <w:t xml:space="preserve">“</w:t>
      </w:r>
      <w:r>
        <w:t xml:space="preserve">Post opening services</w:t>
      </w:r>
      <w:r>
        <w:t xml:space="preserve">”</w:t>
      </w:r>
    </w:p>
    <w:p>
      <w:pPr>
        <w:pStyle w:val="Compact"/>
        <w:numPr>
          <w:ilvl w:val="0"/>
          <w:numId w:val="1559"/>
        </w:numPr>
      </w:pPr>
      <w:r>
        <w:t xml:space="preserve">“</w:t>
      </w:r>
      <w:r>
        <w:t xml:space="preserve">Franking</w:t>
      </w:r>
      <w:r>
        <w:t xml:space="preserve">”</w:t>
      </w:r>
    </w:p>
    <w:p>
      <w:pPr>
        <w:pStyle w:val="Compact"/>
        <w:numPr>
          <w:ilvl w:val="0"/>
          <w:numId w:val="1559"/>
        </w:numPr>
      </w:pPr>
      <w:r>
        <w:t xml:space="preserve">“</w:t>
      </w:r>
      <w:r>
        <w:t xml:space="preserve">Labelling services including printing of bespoke forms, labels, cards, reports, letterheads etc. (bespoke means from scratch designed specifically for the government department/NHS body)</w:t>
      </w:r>
      <w:r>
        <w:t xml:space="preserve">”</w:t>
      </w:r>
    </w:p>
    <w:p>
      <w:pPr>
        <w:pStyle w:val="Compact"/>
        <w:numPr>
          <w:ilvl w:val="0"/>
          <w:numId w:val="1559"/>
        </w:numPr>
      </w:pPr>
      <w:r>
        <w:t xml:space="preserve">“</w:t>
      </w:r>
      <w:r>
        <w:t xml:space="preserve">Parcel X-raying services</w:t>
      </w:r>
      <w:r>
        <w:t xml:space="preserve">”</w:t>
      </w:r>
    </w:p>
    <w:p>
      <w:pPr>
        <w:pStyle w:val="Compact"/>
        <w:numPr>
          <w:ilvl w:val="0"/>
          <w:numId w:val="1559"/>
        </w:numPr>
      </w:pPr>
      <w:r>
        <w:t xml:space="preserve">“</w:t>
      </w:r>
      <w:r>
        <w:t xml:space="preserve">Photocopying services supplied by outside firms</w:t>
      </w:r>
      <w:r>
        <w:t xml:space="preserve">”</w:t>
      </w:r>
    </w:p>
    <w:p>
      <w:pPr>
        <w:pStyle w:val="Compact"/>
        <w:numPr>
          <w:ilvl w:val="0"/>
          <w:numId w:val="1559"/>
        </w:numPr>
      </w:pPr>
      <w:r>
        <w:t xml:space="preserve">“</w:t>
      </w:r>
      <w:r>
        <w:t xml:space="preserve">Services of mailing agencies</w:t>
      </w:r>
      <w:r>
        <w:t xml:space="preserve">”</w:t>
      </w:r>
    </w:p>
    <w:p>
      <w:pPr>
        <w:pStyle w:val="Compact"/>
        <w:numPr>
          <w:ilvl w:val="0"/>
          <w:numId w:val="1559"/>
        </w:numPr>
      </w:pPr>
      <w:r>
        <w:t xml:space="preserve">“</w:t>
      </w:r>
      <w:r>
        <w:t xml:space="preserve">Printing services or reproduction of documents or publications for example, annual reports</w:t>
      </w:r>
      <w:r>
        <w:t xml:space="preserve">”</w:t>
      </w:r>
    </w:p>
    <w:p>
      <w:pPr>
        <w:pStyle w:val="Compact"/>
        <w:numPr>
          <w:ilvl w:val="0"/>
          <w:numId w:val="1559"/>
        </w:numPr>
      </w:pPr>
      <w:r>
        <w:t xml:space="preserve">“</w:t>
      </w:r>
      <w:r>
        <w:t xml:space="preserve">Typesetting services</w:t>
      </w:r>
      <w:r>
        <w:t xml:space="preserve">”</w:t>
      </w:r>
    </w:p>
    <w:p>
      <w:pPr>
        <w:pStyle w:val="Compact"/>
        <w:numPr>
          <w:ilvl w:val="0"/>
          <w:numId w:val="1559"/>
        </w:numPr>
      </w:pPr>
      <w:r>
        <w:t xml:space="preserve">“</w:t>
      </w:r>
      <w:r>
        <w:t xml:space="preserve">Micro filming and microfiche services</w:t>
      </w:r>
      <w:r>
        <w:t xml:space="preserve">”</w:t>
      </w:r>
    </w:p>
    <w:p>
      <w:pPr>
        <w:pStyle w:val="FirstParagraph"/>
      </w:pPr>
      <w:r>
        <w:rPr>
          <w:b/>
          <w:bCs/>
        </w:rPr>
        <w:t xml:space="preserve">Excludes:</w:t>
      </w:r>
    </w:p>
    <w:p>
      <w:pPr>
        <w:pStyle w:val="Compact"/>
        <w:numPr>
          <w:ilvl w:val="0"/>
          <w:numId w:val="1560"/>
        </w:numPr>
      </w:pPr>
      <w:r>
        <w:t xml:space="preserve">“</w:t>
      </w:r>
      <w:r>
        <w:t xml:space="preserve">Post box hire</w:t>
      </w:r>
      <w:r>
        <w:t xml:space="preserve">”</w:t>
      </w:r>
    </w:p>
    <w:p>
      <w:pPr>
        <w:pStyle w:val="Compact"/>
        <w:numPr>
          <w:ilvl w:val="0"/>
          <w:numId w:val="1560"/>
        </w:numPr>
      </w:pPr>
      <w:r>
        <w:t xml:space="preserve">“</w:t>
      </w:r>
      <w:r>
        <w:t xml:space="preserve">Shredding machines</w:t>
      </w:r>
      <w:r>
        <w:t xml:space="preserve">”</w:t>
      </w:r>
    </w:p>
    <w:p>
      <w:pPr>
        <w:pStyle w:val="Compact"/>
        <w:numPr>
          <w:ilvl w:val="0"/>
          <w:numId w:val="1560"/>
        </w:numPr>
      </w:pPr>
      <w:r>
        <w:t xml:space="preserve">“</w:t>
      </w:r>
      <w:r>
        <w:t xml:space="preserve">Franking machines</w:t>
      </w:r>
      <w:r>
        <w:t xml:space="preserve">”</w:t>
      </w:r>
    </w:p>
    <w:p>
      <w:pPr>
        <w:pStyle w:val="FirstParagraph"/>
      </w:pPr>
      <w:r>
        <w:rPr>
          <w:b/>
          <w:bCs/>
        </w:rPr>
        <w:t xml:space="preserve">Examples for the Department:</w:t>
      </w:r>
    </w:p>
    <w:p>
      <w:pPr>
        <w:pStyle w:val="Compact"/>
        <w:numPr>
          <w:ilvl w:val="0"/>
          <w:numId w:val="1561"/>
        </w:numPr>
      </w:pPr>
      <w:r>
        <w:rPr>
          <w:b/>
          <w:bCs/>
        </w:rPr>
        <w:t xml:space="preserve">Claimable:</w:t>
      </w:r>
      <w:r>
        <w:t xml:space="preserve"> </w:t>
      </w:r>
      <w:r>
        <w:t xml:space="preserve">A printer produces business cards and letterheads, to the Department’s own bespoke design, for staff starting overseas postings.</w:t>
      </w:r>
      <w:r>
        <w:t xml:space="preserve"> </w:t>
      </w:r>
      <w:r>
        <w:t xml:space="preserve">“</w:t>
      </w:r>
      <w:r>
        <w:t xml:space="preserve">Bespoke… cards… letterheads</w:t>
      </w:r>
      <w:r>
        <w:t xml:space="preserve">”</w:t>
      </w:r>
      <w:r>
        <w:t xml:space="preserve"> </w:t>
      </w:r>
      <w:r>
        <w:t xml:space="preserve">are listed, and HMRC’s Heading 49 page points such printing here</w:t>
      </w:r>
      <w:r>
        <w:t xml:space="preserve"> </w:t>
      </w:r>
      <w:r>
        <w:t xml:space="preserve">(</w:t>
      </w:r>
      <w:hyperlink w:anchor="ref-hmrc_vatgpb">
        <w:r>
          <w:rPr>
            <w:rStyle w:val="Hyperlink"/>
          </w:rPr>
          <w:t xml:space="preserve">HMRC, 2026n, sec. VATGPB10950</w:t>
        </w:r>
      </w:hyperlink>
      <w:r>
        <w:t xml:space="preserve"> </w:t>
      </w:r>
      <w:r>
        <w:t xml:space="preserve">and VATGPB10710)</w:t>
      </w:r>
      <w:r>
        <w:t xml:space="preserve">.</w:t>
      </w:r>
    </w:p>
    <w:p>
      <w:pPr>
        <w:pStyle w:val="Compact"/>
        <w:numPr>
          <w:ilvl w:val="0"/>
          <w:numId w:val="1561"/>
        </w:numPr>
      </w:pPr>
      <w:r>
        <w:rPr>
          <w:b/>
          <w:bCs/>
        </w:rPr>
        <w:t xml:space="preserve">Claimable:</w:t>
      </w:r>
      <w:r>
        <w:t xml:space="preserve"> </w:t>
      </w:r>
      <w:r>
        <w:t xml:space="preserve">An outside firm runs post opening and parcel X-raying in the headquarters mailroom. Both are listed. This is an ordinary running cost.</w:t>
      </w:r>
    </w:p>
    <w:p>
      <w:pPr>
        <w:pStyle w:val="Compact"/>
        <w:numPr>
          <w:ilvl w:val="0"/>
          <w:numId w:val="1561"/>
        </w:numPr>
      </w:pPr>
      <w:r>
        <w:rPr>
          <w:b/>
          <w:bCs/>
        </w:rPr>
        <w:t xml:space="preserve">Not claimable:</w:t>
      </w:r>
      <w:r>
        <w:t xml:space="preserve"> </w:t>
      </w:r>
      <w:r>
        <w:t xml:space="preserve">The first set of signs and staff name badges for a newly opened office. HMRC treats these as goods and they are not eligible</w:t>
      </w:r>
      <w:r>
        <w:t xml:space="preserve"> </w:t>
      </w:r>
      <w:r>
        <w:t xml:space="preserve">(</w:t>
      </w:r>
      <w:hyperlink w:anchor="ref-hmrc_vatgpb">
        <w:r>
          <w:rPr>
            <w:rStyle w:val="Hyperlink"/>
          </w:rPr>
          <w:t xml:space="preserve">HMRC, 2026n, sec. VATGPB10950</w:t>
        </w:r>
      </w:hyperlink>
      <w:r>
        <w:t xml:space="preserve">)</w:t>
      </w:r>
      <w:r>
        <w:t xml:space="preserve">.</w:t>
      </w:r>
    </w:p>
    <w:p>
      <w:pPr>
        <w:pStyle w:val="Compact"/>
        <w:numPr>
          <w:ilvl w:val="0"/>
          <w:numId w:val="1561"/>
        </w:numPr>
      </w:pPr>
      <w:r>
        <w:rPr>
          <w:b/>
          <w:bCs/>
        </w:rPr>
        <w:t xml:space="preserve">Not claimable:</w:t>
      </w:r>
      <w:r>
        <w:t xml:space="preserve"> </w:t>
      </w:r>
      <w:r>
        <w:t xml:space="preserve">Printing a priced report that the Department sells to overseas customers. Selling publications for a charge is normally a business activity, so it goes through normal input tax rules, not COS</w:t>
      </w:r>
      <w:r>
        <w:t xml:space="preserve"> </w:t>
      </w:r>
      <w:r>
        <w:t xml:space="preserve">(</w:t>
      </w:r>
      <w:hyperlink w:anchor="ref-hmrc_gdpef">
        <w:r>
          <w:rPr>
            <w:rStyle w:val="Hyperlink"/>
          </w:rPr>
          <w:t xml:space="preserve">HMRC, 2023c</w:t>
        </w:r>
      </w:hyperlink>
      <w:r>
        <w:t xml:space="preserve">)</w:t>
      </w:r>
      <w:r>
        <w:t xml:space="preserve">. Many printed booklets and leaflets are zero-rated anyway, so there may be no VAT on the print bill at all</w:t>
      </w:r>
      <w:r>
        <w:t xml:space="preserve"> </w:t>
      </w:r>
      <w:r>
        <w:t xml:space="preserve">(</w:t>
      </w:r>
      <w:hyperlink w:anchor="ref-hmrc_n70110">
        <w:r>
          <w:rPr>
            <w:rStyle w:val="Hyperlink"/>
          </w:rPr>
          <w:t xml:space="preserve">HMRC, 2020f, para. 7.1</w:t>
        </w:r>
      </w:hyperlink>
      <w:r>
        <w:t xml:space="preserve">;</w:t>
      </w:r>
      <w:r>
        <w:t xml:space="preserve"> </w:t>
      </w:r>
      <w:hyperlink w:anchor="ref-hmrc_vat_rates">
        <w:r>
          <w:rPr>
            <w:rStyle w:val="Hyperlink"/>
          </w:rPr>
          <w:t xml:space="preserve">2026r</w:t>
        </w:r>
      </w:hyperlink>
      <w:r>
        <w:t xml:space="preserve">)</w:t>
      </w:r>
      <w:r>
        <w:t xml:space="preserve">.</w:t>
      </w:r>
    </w:p>
    <w:p>
      <w:pPr>
        <w:pStyle w:val="FirstParagraph"/>
      </w:pPr>
      <w:r>
        <w:rPr>
          <w:b/>
          <w:bCs/>
        </w:rPr>
        <w:t xml:space="preserve">Source:</w:t>
      </w:r>
      <w:r>
        <w:t xml:space="preserve"> </w:t>
      </w:r>
      <w:r>
        <w:t xml:space="preserve">HMRC manual section VATGPB10950, page last updated 19 October 2016</w:t>
      </w:r>
      <w:r>
        <w:t xml:space="preserve"> </w:t>
      </w:r>
      <w:r>
        <w:t xml:space="preserve">(</w:t>
      </w:r>
      <w:hyperlink w:anchor="ref-hmrc_vatgpb">
        <w:r>
          <w:rPr>
            <w:rStyle w:val="Hyperlink"/>
          </w:rPr>
          <w:t xml:space="preserve">HMRC, 2026n, sec. VATGPB10950</w:t>
        </w:r>
      </w:hyperlink>
      <w:r>
        <w:t xml:space="preserve">)</w:t>
      </w:r>
      <w:r>
        <w:t xml:space="preserve">.</w:t>
      </w:r>
    </w:p>
    <w:bookmarkEnd w:id="318"/>
    <w:bookmarkStart w:id="319" w:name="heading-62-share-registry-survey"/>
    <w:p>
      <w:pPr>
        <w:pStyle w:val="Heading3"/>
      </w:pPr>
      <w:r>
        <w:t xml:space="preserve">Heading 62: Share Registry Survey</w:t>
      </w:r>
    </w:p>
    <w:p>
      <w:pPr>
        <w:pStyle w:val="FirstParagraph"/>
      </w:pPr>
      <w:r>
        <w:rPr>
          <w:b/>
          <w:bCs/>
        </w:rPr>
        <w:t xml:space="preserve">What it covers (HMRC’s description):</w:t>
      </w:r>
      <w:r>
        <w:t xml:space="preserve"> </w:t>
      </w:r>
      <w:r>
        <w:t xml:space="preserve">“</w:t>
      </w:r>
      <w:r>
        <w:t xml:space="preserve">This Heading allows recovery on the share registry survey.</w:t>
      </w:r>
      <w:r>
        <w:t xml:space="preserve">”</w:t>
      </w:r>
      <w:r>
        <w:t xml:space="preserve"> </w:t>
      </w:r>
      <w:r>
        <w:t xml:space="preserve">That is HMRC’s whole description. HMRC’s manual gives no further detail on what the survey is or which bodies the heading is aimed at</w:t>
      </w:r>
      <w:r>
        <w:t xml:space="preserve"> </w:t>
      </w:r>
      <w:r>
        <w:t xml:space="preserve">(</w:t>
      </w:r>
      <w:hyperlink w:anchor="ref-hmrc_vatgpb">
        <w:r>
          <w:rPr>
            <w:rStyle w:val="Hyperlink"/>
          </w:rPr>
          <w:t xml:space="preserve">HMRC, 2026n, sec. VATGPB10970</w:t>
        </w:r>
      </w:hyperlink>
      <w:r>
        <w:t xml:space="preserve">)</w:t>
      </w:r>
      <w:r>
        <w:t xml:space="preserve">. HMRC’s COS introduction (VATGPB9720) notes that some headings</w:t>
      </w:r>
      <w:r>
        <w:t xml:space="preserve"> </w:t>
      </w:r>
      <w:r>
        <w:t xml:space="preserve">“</w:t>
      </w:r>
      <w:r>
        <w:t xml:space="preserve">are seldom used, or are bespoke to a particular department</w:t>
      </w:r>
      <w:r>
        <w:t xml:space="preserve">”</w:t>
      </w:r>
      <w:r>
        <w:t xml:space="preserve">, and this may be one of them</w:t>
      </w:r>
      <w:r>
        <w:t xml:space="preserve"> </w:t>
      </w:r>
      <w:r>
        <w:t xml:space="preserve">(</w:t>
      </w:r>
      <w:hyperlink w:anchor="ref-hmrc_vatgpb">
        <w:r>
          <w:rPr>
            <w:rStyle w:val="Hyperlink"/>
          </w:rPr>
          <w:t xml:space="preserve">HMRC, 2026n, sec. VATGPB9720</w:t>
        </w:r>
      </w:hyperlink>
      <w:r>
        <w:t xml:space="preserve">)</w:t>
      </w:r>
      <w:r>
        <w:t xml:space="preserve">. It is very unlikely to apply to the Department.</w:t>
      </w:r>
    </w:p>
    <w:p>
      <w:pPr>
        <w:pStyle w:val="BodyText"/>
      </w:pPr>
      <w:r>
        <w:rPr>
          <w:b/>
          <w:bCs/>
        </w:rPr>
        <w:t xml:space="preserve">Examples for the Department:</w:t>
      </w:r>
    </w:p>
    <w:p>
      <w:pPr>
        <w:pStyle w:val="Compact"/>
        <w:numPr>
          <w:ilvl w:val="0"/>
          <w:numId w:val="1562"/>
        </w:numPr>
      </w:pPr>
      <w:r>
        <w:rPr>
          <w:b/>
          <w:bCs/>
        </w:rPr>
        <w:t xml:space="preserve">Claimable:</w:t>
      </w:r>
      <w:r>
        <w:t xml:space="preserve"> </w:t>
      </w:r>
      <w:r>
        <w:t xml:space="preserve">Only if the Department actually commissions the specific</w:t>
      </w:r>
      <w:r>
        <w:t xml:space="preserve"> </w:t>
      </w:r>
      <w:r>
        <w:t xml:space="preserve">“</w:t>
      </w:r>
      <w:r>
        <w:t xml:space="preserve">share registry survey</w:t>
      </w:r>
      <w:r>
        <w:t xml:space="preserve">”</w:t>
      </w:r>
      <w:r>
        <w:t xml:space="preserve"> </w:t>
      </w:r>
      <w:r>
        <w:t xml:space="preserve">that the Direction refers to. Because HMRC does not explain what this is, confirm with HMRC before claiming.</w:t>
      </w:r>
    </w:p>
    <w:p>
      <w:pPr>
        <w:pStyle w:val="Compact"/>
        <w:numPr>
          <w:ilvl w:val="0"/>
          <w:numId w:val="1562"/>
        </w:numPr>
      </w:pPr>
      <w:r>
        <w:rPr>
          <w:b/>
          <w:bCs/>
        </w:rPr>
        <w:t xml:space="preserve">Not claimable:</w:t>
      </w:r>
      <w:r>
        <w:t xml:space="preserve"> </w:t>
      </w:r>
      <w:r>
        <w:t xml:space="preserve">A market research survey of overseas customers for the Department’s data licences. This is not a</w:t>
      </w:r>
      <w:r>
        <w:t xml:space="preserve"> </w:t>
      </w:r>
      <w:r>
        <w:t xml:space="preserve">“</w:t>
      </w:r>
      <w:r>
        <w:t xml:space="preserve">share registry survey</w:t>
      </w:r>
      <w:r>
        <w:t xml:space="preserve">”</w:t>
      </w:r>
      <w:r>
        <w:t xml:space="preserve">. It also supports what is normally a business activity, so the VAT goes through normal input tax rules, not COS</w:t>
      </w:r>
      <w:r>
        <w:t xml:space="preserve"> </w:t>
      </w:r>
      <w:r>
        <w:t xml:space="preserve">(</w:t>
      </w:r>
      <w:hyperlink w:anchor="ref-hmrc_gdpef">
        <w:r>
          <w:rPr>
            <w:rStyle w:val="Hyperlink"/>
          </w:rPr>
          <w:t xml:space="preserve">HMRC, 2023c</w:t>
        </w:r>
      </w:hyperlink>
      <w:r>
        <w:t xml:space="preserve">)</w:t>
      </w:r>
      <w:r>
        <w:t xml:space="preserve">.</w:t>
      </w:r>
    </w:p>
    <w:p>
      <w:pPr>
        <w:pStyle w:val="FirstParagraph"/>
      </w:pPr>
      <w:r>
        <w:rPr>
          <w:b/>
          <w:bCs/>
        </w:rPr>
        <w:t xml:space="preserve">Source:</w:t>
      </w:r>
      <w:r>
        <w:t xml:space="preserve"> </w:t>
      </w:r>
      <w:r>
        <w:t xml:space="preserve">HMRC manual section VATGPB10970, page last updated 7 January 2016</w:t>
      </w:r>
      <w:r>
        <w:t xml:space="preserve"> </w:t>
      </w:r>
      <w:r>
        <w:t xml:space="preserve">(</w:t>
      </w:r>
      <w:hyperlink w:anchor="ref-hmrc_vatgpb">
        <w:r>
          <w:rPr>
            <w:rStyle w:val="Hyperlink"/>
          </w:rPr>
          <w:t xml:space="preserve">HMRC, 2026n, sec. VATGPB10970</w:t>
        </w:r>
      </w:hyperlink>
      <w:r>
        <w:t xml:space="preserve">)</w:t>
      </w:r>
      <w:r>
        <w:t xml:space="preserve">.</w:t>
      </w:r>
    </w:p>
    <w:bookmarkEnd w:id="319"/>
    <w:bookmarkStart w:id="320" w:name="X9f7426051e2cf6defef9c7d1ba7710b8e2d3729"/>
    <w:p>
      <w:pPr>
        <w:pStyle w:val="Heading3"/>
      </w:pPr>
      <w:r>
        <w:t xml:space="preserve">Heading 63: Storage, distribution and goods disposal services</w:t>
      </w:r>
    </w:p>
    <w:p>
      <w:pPr>
        <w:pStyle w:val="FirstParagraph"/>
      </w:pPr>
      <w:r>
        <w:rPr>
          <w:b/>
          <w:bCs/>
        </w:rPr>
        <w:t xml:space="preserve">What it covers (HMRC’s description):</w:t>
      </w:r>
      <w:r>
        <w:t xml:space="preserve"> </w:t>
      </w:r>
      <w:r>
        <w:t xml:space="preserve">HMRC says the heading covers</w:t>
      </w:r>
      <w:r>
        <w:t xml:space="preserve"> </w:t>
      </w:r>
      <w:r>
        <w:t xml:space="preserve">“</w:t>
      </w:r>
      <w:r>
        <w:t xml:space="preserve">both physical and electronic storage and distribution services as well as physical goods disposal services</w:t>
      </w:r>
      <w:r>
        <w:t xml:space="preserve">”</w:t>
      </w:r>
      <w:r>
        <w:t xml:space="preserve"> </w:t>
      </w:r>
      <w:r>
        <w:t xml:space="preserve">(</w:t>
      </w:r>
      <w:hyperlink w:anchor="ref-hmrc_vatgpb">
        <w:r>
          <w:rPr>
            <w:rStyle w:val="Hyperlink"/>
          </w:rPr>
          <w:t xml:space="preserve">HMRC, 2026n, sec. VATGPB10990</w:t>
        </w:r>
      </w:hyperlink>
      <w:r>
        <w:t xml:space="preserve">)</w:t>
      </w:r>
      <w:r>
        <w:t xml:space="preserve">. HMRC also notes two background points:</w:t>
      </w:r>
    </w:p>
    <w:p>
      <w:pPr>
        <w:pStyle w:val="Compact"/>
        <w:numPr>
          <w:ilvl w:val="0"/>
          <w:numId w:val="1563"/>
        </w:numPr>
      </w:pPr>
      <w:r>
        <w:t xml:space="preserve">The Finance Act 2012 (s. 196 and Sch. 26, para. 5)</w:t>
      </w:r>
      <w:r>
        <w:t xml:space="preserve"> </w:t>
      </w:r>
      <w:r>
        <w:t xml:space="preserve">“</w:t>
      </w:r>
      <w:r>
        <w:t xml:space="preserve">required the standard rate of VAT to be applied to supplies of storage facilities with effect from 1 October 2012</w:t>
      </w:r>
      <w:r>
        <w:t xml:space="preserve">”</w:t>
      </w:r>
      <w:r>
        <w:t xml:space="preserve"> </w:t>
      </w:r>
      <w:r>
        <w:t xml:space="preserve">(</w:t>
      </w:r>
      <w:hyperlink w:anchor="ref-hmrc_vatgpb">
        <w:r>
          <w:rPr>
            <w:rStyle w:val="Hyperlink"/>
          </w:rPr>
          <w:t xml:space="preserve">HMRC, 2026n, sec. VATGPB10990</w:t>
        </w:r>
      </w:hyperlink>
      <w:r>
        <w:t xml:space="preserve">)</w:t>
      </w:r>
      <w:r>
        <w:t xml:space="preserve">. So letting storage facilities, which could previously be exempt as a supply of land, now normally carries VAT (Value Added Tax Act 1994, Sch. 9, Group 1, item 1(ka)). HMRC’s detailed guidance on this is at VATLP17550</w:t>
      </w:r>
      <w:r>
        <w:t xml:space="preserve"> </w:t>
      </w:r>
      <w:r>
        <w:t xml:space="preserve">(</w:t>
      </w:r>
      <w:hyperlink w:anchor="ref-hmrc_vatlp">
        <w:r>
          <w:rPr>
            <w:rStyle w:val="Hyperlink"/>
          </w:rPr>
          <w:t xml:space="preserve">HMRC, 2025k, sec. VATLP17550</w:t>
        </w:r>
      </w:hyperlink>
      <w:r>
        <w:t xml:space="preserve">)</w:t>
      </w:r>
      <w:r>
        <w:t xml:space="preserve">.</w:t>
      </w:r>
    </w:p>
    <w:p>
      <w:pPr>
        <w:pStyle w:val="Compact"/>
        <w:numPr>
          <w:ilvl w:val="0"/>
          <w:numId w:val="1563"/>
        </w:numPr>
      </w:pPr>
      <w:r>
        <w:t xml:space="preserve">A definition of</w:t>
      </w:r>
      <w:r>
        <w:t xml:space="preserve"> </w:t>
      </w:r>
      <w:r>
        <w:t xml:space="preserve">“</w:t>
      </w:r>
      <w:r>
        <w:t xml:space="preserve">storage</w:t>
      </w:r>
      <w:r>
        <w:t xml:space="preserve">”</w:t>
      </w:r>
      <w:r>
        <w:t xml:space="preserve"> </w:t>
      </w:r>
      <w:r>
        <w:t xml:space="preserve">is at VATLP17600</w:t>
      </w:r>
      <w:r>
        <w:t xml:space="preserve"> </w:t>
      </w:r>
      <w:r>
        <w:t xml:space="preserve">(</w:t>
      </w:r>
      <w:hyperlink w:anchor="ref-hmrc_vatlp">
        <w:r>
          <w:rPr>
            <w:rStyle w:val="Hyperlink"/>
          </w:rPr>
          <w:t xml:space="preserve">HMRC, 2025k, sec. VATLP17600</w:t>
        </w:r>
      </w:hyperlink>
      <w:r>
        <w:t xml:space="preserve">)</w:t>
      </w:r>
      <w:r>
        <w:t xml:space="preserve">.</w:t>
      </w:r>
    </w:p>
    <w:p>
      <w:pPr>
        <w:pStyle w:val="FirstParagraph"/>
      </w:pPr>
      <w:r>
        <w:rPr>
          <w:b/>
          <w:bCs/>
        </w:rPr>
        <w:t xml:space="preserve">Includes:</w:t>
      </w:r>
    </w:p>
    <w:p>
      <w:pPr>
        <w:pStyle w:val="Compact"/>
        <w:numPr>
          <w:ilvl w:val="0"/>
          <w:numId w:val="1564"/>
        </w:numPr>
      </w:pPr>
      <w:r>
        <w:t xml:space="preserve">Records sent for archiving or destruction</w:t>
      </w:r>
    </w:p>
    <w:p>
      <w:pPr>
        <w:pStyle w:val="Compact"/>
        <w:numPr>
          <w:ilvl w:val="0"/>
          <w:numId w:val="1564"/>
        </w:numPr>
      </w:pPr>
      <w:r>
        <w:t xml:space="preserve">Storage of detained or seized items</w:t>
      </w:r>
    </w:p>
    <w:p>
      <w:pPr>
        <w:pStyle w:val="Compact"/>
        <w:numPr>
          <w:ilvl w:val="0"/>
          <w:numId w:val="1564"/>
        </w:numPr>
      </w:pPr>
      <w:r>
        <w:t xml:space="preserve">Secure disposal of seized items</w:t>
      </w:r>
    </w:p>
    <w:p>
      <w:pPr>
        <w:pStyle w:val="Compact"/>
        <w:numPr>
          <w:ilvl w:val="0"/>
          <w:numId w:val="1564"/>
        </w:numPr>
      </w:pPr>
      <w:r>
        <w:t xml:space="preserve">Accommodation of seized or detained animals in zoos or boarding kennels</w:t>
      </w:r>
    </w:p>
    <w:p>
      <w:pPr>
        <w:pStyle w:val="Compact"/>
        <w:numPr>
          <w:ilvl w:val="0"/>
          <w:numId w:val="1564"/>
        </w:numPr>
      </w:pPr>
      <w:r>
        <w:t xml:space="preserve">Storage of employees’ possessions when they are relocated</w:t>
      </w:r>
    </w:p>
    <w:p>
      <w:pPr>
        <w:pStyle w:val="Compact"/>
        <w:numPr>
          <w:ilvl w:val="0"/>
          <w:numId w:val="1564"/>
        </w:numPr>
      </w:pPr>
      <w:r>
        <w:t xml:space="preserve">Incineration services</w:t>
      </w:r>
    </w:p>
    <w:p>
      <w:pPr>
        <w:pStyle w:val="Compact"/>
        <w:numPr>
          <w:ilvl w:val="0"/>
          <w:numId w:val="1564"/>
        </w:numPr>
      </w:pPr>
      <w:r>
        <w:t xml:space="preserve">Secure bulk shredding services</w:t>
      </w:r>
    </w:p>
    <w:p>
      <w:pPr>
        <w:pStyle w:val="Compact"/>
        <w:numPr>
          <w:ilvl w:val="0"/>
          <w:numId w:val="1564"/>
        </w:numPr>
      </w:pPr>
      <w:r>
        <w:t xml:space="preserve">Call-off stock (HMRC lists this without further explanation)</w:t>
      </w:r>
    </w:p>
    <w:p>
      <w:pPr>
        <w:pStyle w:val="FirstParagraph"/>
      </w:pPr>
      <w:r>
        <w:rPr>
          <w:b/>
          <w:bCs/>
        </w:rPr>
        <w:t xml:space="preserve">Examples for the Department:</w:t>
      </w:r>
    </w:p>
    <w:p>
      <w:pPr>
        <w:pStyle w:val="Compact"/>
        <w:numPr>
          <w:ilvl w:val="0"/>
          <w:numId w:val="1565"/>
        </w:numPr>
      </w:pPr>
      <w:r>
        <w:rPr>
          <w:b/>
          <w:bCs/>
        </w:rPr>
        <w:t xml:space="preserve">Claimable:</w:t>
      </w:r>
      <w:r>
        <w:t xml:space="preserve"> </w:t>
      </w:r>
      <w:r>
        <w:t xml:space="preserve">An officer is posted overseas for three years. The Department contracts a UK storage firm to keep the officer’s furniture and belongings until they return, and the invoice comes to the Department with UK VAT. This matches</w:t>
      </w:r>
      <w:r>
        <w:t xml:space="preserve"> </w:t>
      </w:r>
      <w:r>
        <w:t xml:space="preserve">“</w:t>
      </w:r>
      <w:r>
        <w:t xml:space="preserve">Storage of employees’ possessions when they are relocated</w:t>
      </w:r>
      <w:r>
        <w:t xml:space="preserve">”</w:t>
      </w:r>
      <w:r>
        <w:t xml:space="preserve">. The Department must be the customer (Value Added Tax Act 1994, s. 41(3)). Compare Heading 57, which excludes</w:t>
      </w:r>
      <w:r>
        <w:t xml:space="preserve"> </w:t>
      </w:r>
      <w:r>
        <w:t xml:space="preserve">“</w:t>
      </w:r>
      <w:r>
        <w:t xml:space="preserve">VAT incurred on removal firms hired by staff</w:t>
      </w:r>
      <w:r>
        <w:t xml:space="preserve">”</w:t>
      </w:r>
      <w:r>
        <w:t xml:space="preserve"> </w:t>
      </w:r>
      <w:r>
        <w:t xml:space="preserve">(</w:t>
      </w:r>
      <w:hyperlink w:anchor="ref-hmrc_vatgpb">
        <w:r>
          <w:rPr>
            <w:rStyle w:val="Hyperlink"/>
          </w:rPr>
          <w:t xml:space="preserve">HMRC, 2026n, sec. VATGPB10870</w:t>
        </w:r>
      </w:hyperlink>
      <w:r>
        <w:t xml:space="preserve">)</w:t>
      </w:r>
      <w:r>
        <w:t xml:space="preserve">.</w:t>
      </w:r>
    </w:p>
    <w:p>
      <w:pPr>
        <w:pStyle w:val="Compact"/>
        <w:numPr>
          <w:ilvl w:val="0"/>
          <w:numId w:val="1565"/>
        </w:numPr>
      </w:pPr>
      <w:r>
        <w:rPr>
          <w:b/>
          <w:bCs/>
        </w:rPr>
        <w:t xml:space="preserve">Claimable:</w:t>
      </w:r>
      <w:r>
        <w:t xml:space="preserve"> </w:t>
      </w:r>
      <w:r>
        <w:t xml:space="preserve">The Department is giving equipment to an overseas government for free under a capability-building programme. A logistics firm stores it in a UK warehouse and charges VAT while the shipment is prepared. This is a storage service bought for a</w:t>
      </w:r>
      <w:r>
        <w:t xml:space="preserve"> </w:t>
      </w:r>
      <w:r>
        <w:rPr>
          <w:b/>
          <w:bCs/>
        </w:rPr>
        <w:t xml:space="preserve">non-business</w:t>
      </w:r>
      <w:r>
        <w:t xml:space="preserve"> </w:t>
      </w:r>
      <w:r>
        <w:t xml:space="preserve">purpose (gifting for no charge), which is what COS refunds are for</w:t>
      </w:r>
      <w:r>
        <w:t xml:space="preserve"> </w:t>
      </w:r>
      <w:r>
        <w:t xml:space="preserve">(</w:t>
      </w:r>
      <w:hyperlink w:anchor="ref-hmrc_gdpef">
        <w:r>
          <w:rPr>
            <w:rStyle w:val="Hyperlink"/>
          </w:rPr>
          <w:t xml:space="preserve">HMRC, 2023c, sec. 3</w:t>
        </w:r>
      </w:hyperlink>
      <w:r>
        <w:t xml:space="preserve">)</w:t>
      </w:r>
      <w:r>
        <w:t xml:space="preserve"> </w:t>
      </w:r>
      <w:r>
        <w:t xml:space="preserve">(see</w:t>
      </w:r>
      <w:r>
        <w:t xml:space="preserve"> </w:t>
      </w:r>
      <w:hyperlink w:anchor="how-to-read-each-entry">
        <w:r>
          <w:rPr>
            <w:rStyle w:val="Hyperlink"/>
          </w:rPr>
          <w:t xml:space="preserve">How to read each entry</w:t>
        </w:r>
      </w:hyperlink>
      <w:r>
        <w:t xml:space="preserve">). The international freight leg is different: transport of goods to a place outside the UK is normally</w:t>
      </w:r>
      <w:r>
        <w:t xml:space="preserve"> </w:t>
      </w:r>
      <w:r>
        <w:rPr>
          <w:b/>
          <w:bCs/>
        </w:rPr>
        <w:t xml:space="preserve">zero-rated</w:t>
      </w:r>
      <w:r>
        <w:t xml:space="preserve"> </w:t>
      </w:r>
      <w:r>
        <w:t xml:space="preserve">(VAT at 0%) under the Value Added Tax Act 1994, Sch. 8, Group 8, item 5, so it carries no VAT to claim</w:t>
      </w:r>
      <w:r>
        <w:t xml:space="preserve"> </w:t>
      </w:r>
      <w:r>
        <w:t xml:space="preserve">(</w:t>
      </w:r>
      <w:hyperlink w:anchor="ref-hmrc_vtrans">
        <w:r>
          <w:rPr>
            <w:rStyle w:val="Hyperlink"/>
          </w:rPr>
          <w:t xml:space="preserve">HMRC, 2023d, sec. VTRANS060200</w:t>
        </w:r>
      </w:hyperlink>
      <w:r>
        <w:t xml:space="preserve">)</w:t>
      </w:r>
      <w:r>
        <w:t xml:space="preserve">.</w:t>
      </w:r>
    </w:p>
    <w:p>
      <w:pPr>
        <w:pStyle w:val="Compact"/>
        <w:numPr>
          <w:ilvl w:val="0"/>
          <w:numId w:val="1565"/>
        </w:numPr>
      </w:pPr>
      <w:r>
        <w:rPr>
          <w:b/>
          <w:bCs/>
        </w:rPr>
        <w:t xml:space="preserve">Not claimable:</w:t>
      </w:r>
      <w:r>
        <w:t xml:space="preserve"> </w:t>
      </w:r>
      <w:r>
        <w:t xml:space="preserve">Warehouse storage of surplus equipment waiting to be sold to an overseas buyer. Selling goods is normally a business activity, so this VAT is not a COS claim and goes through the normal</w:t>
      </w:r>
      <w:r>
        <w:t xml:space="preserve"> </w:t>
      </w:r>
      <w:r>
        <w:rPr>
          <w:b/>
          <w:bCs/>
        </w:rPr>
        <w:t xml:space="preserve">input tax</w:t>
      </w:r>
      <w:r>
        <w:t xml:space="preserve"> </w:t>
      </w:r>
      <w:r>
        <w:t xml:space="preserve">rules instead</w:t>
      </w:r>
      <w:r>
        <w:t xml:space="preserve"> </w:t>
      </w:r>
      <w:r>
        <w:t xml:space="preserve">(</w:t>
      </w:r>
      <w:hyperlink w:anchor="ref-hmrc_gdpef">
        <w:r>
          <w:rPr>
            <w:rStyle w:val="Hyperlink"/>
          </w:rPr>
          <w:t xml:space="preserve">HMRC, 2023c, sec. 3</w:t>
        </w:r>
      </w:hyperlink>
      <w:r>
        <w:t xml:space="preserve">)</w:t>
      </w:r>
      <w:r>
        <w:t xml:space="preserve"> </w:t>
      </w:r>
      <w:r>
        <w:t xml:space="preserve">(see</w:t>
      </w:r>
      <w:r>
        <w:t xml:space="preserve"> </w:t>
      </w:r>
      <w:hyperlink w:anchor="how-to-read-each-entry">
        <w:r>
          <w:rPr>
            <w:rStyle w:val="Hyperlink"/>
          </w:rPr>
          <w:t xml:space="preserve">How to read each entry</w:t>
        </w:r>
      </w:hyperlink>
      <w:r>
        <w:t xml:space="preserve">).</w:t>
      </w:r>
    </w:p>
    <w:p>
      <w:pPr>
        <w:pStyle w:val="Compact"/>
        <w:numPr>
          <w:ilvl w:val="0"/>
          <w:numId w:val="1565"/>
        </w:numPr>
      </w:pPr>
      <w:r>
        <w:rPr>
          <w:b/>
          <w:bCs/>
        </w:rPr>
        <w:t xml:space="preserve">Not claimable:</w:t>
      </w:r>
      <w:r>
        <w:t xml:space="preserve"> </w:t>
      </w:r>
      <w:r>
        <w:t xml:space="preserve">Buying archive boxes or racking for the records store. These are goods, not services, and HMRC states that</w:t>
      </w:r>
      <w:r>
        <w:t xml:space="preserve"> </w:t>
      </w:r>
      <w:r>
        <w:t xml:space="preserve">“</w:t>
      </w:r>
      <w:r>
        <w:t xml:space="preserve">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w:t>
      </w:r>
    </w:p>
    <w:p>
      <w:pPr>
        <w:pStyle w:val="FirstParagraph"/>
      </w:pPr>
      <w:r>
        <w:rPr>
          <w:b/>
          <w:bCs/>
        </w:rPr>
        <w:t xml:space="preserve">Source:</w:t>
      </w:r>
      <w:r>
        <w:t xml:space="preserve"> </w:t>
      </w:r>
      <w:r>
        <w:t xml:space="preserve">HMRC manual section VATGPB10990, page last updated 7 January 2016</w:t>
      </w:r>
      <w:r>
        <w:t xml:space="preserve"> </w:t>
      </w:r>
      <w:r>
        <w:t xml:space="preserve">(</w:t>
      </w:r>
      <w:hyperlink w:anchor="ref-hmrc_vatgpb">
        <w:r>
          <w:rPr>
            <w:rStyle w:val="Hyperlink"/>
          </w:rPr>
          <w:t xml:space="preserve">HMRC, 2026n, sec. VATGPB10990</w:t>
        </w:r>
      </w:hyperlink>
      <w:r>
        <w:t xml:space="preserve">)</w:t>
      </w:r>
      <w:r>
        <w:t xml:space="preserve">.</w:t>
      </w:r>
    </w:p>
    <w:bookmarkEnd w:id="320"/>
    <w:bookmarkStart w:id="321" w:name="Xe21247a1db06a4eb0e91c0d6be8f317e99c9517"/>
    <w:p>
      <w:pPr>
        <w:pStyle w:val="Heading3"/>
      </w:pPr>
      <w:r>
        <w:t xml:space="preserve">Heading 64: Surveying, certification and registration in connection with ships</w:t>
      </w:r>
    </w:p>
    <w:p>
      <w:pPr>
        <w:pStyle w:val="FirstParagraph"/>
      </w:pPr>
      <w:r>
        <w:rPr>
          <w:b/>
          <w:bCs/>
        </w:rPr>
        <w:t xml:space="preserve">What it covers (HMRC’s description):</w:t>
      </w:r>
      <w:r>
        <w:t xml:space="preserve"> </w:t>
      </w:r>
      <w:r>
        <w:t xml:space="preserve">HMRC gives the full heading as:</w:t>
      </w:r>
      <w:r>
        <w:t xml:space="preserve"> </w:t>
      </w:r>
      <w:r>
        <w:t xml:space="preserve">“</w:t>
      </w:r>
      <w:r>
        <w:t xml:space="preserve">Surveying, certification and registration in connection with ships and relevant record-keeping and verification, issue of certification, cards, discharge books and campaign medals to seamen</w:t>
      </w:r>
      <w:r>
        <w:t xml:space="preserve">”</w:t>
      </w:r>
      <w:r>
        <w:t xml:space="preserve"> </w:t>
      </w:r>
      <w:r>
        <w:t xml:space="preserve">(</w:t>
      </w:r>
      <w:hyperlink w:anchor="ref-hmrc_vatgpb">
        <w:r>
          <w:rPr>
            <w:rStyle w:val="Hyperlink"/>
          </w:rPr>
          <w:t xml:space="preserve">HMRC, 2026n, sec. VATGPB11010</w:t>
        </w:r>
      </w:hyperlink>
      <w:r>
        <w:t xml:space="preserve">)</w:t>
      </w:r>
      <w:r>
        <w:t xml:space="preserve">. HMRC’s manual gives no further detail.</w:t>
      </w:r>
    </w:p>
    <w:p>
      <w:pPr>
        <w:pStyle w:val="BodyText"/>
      </w:pPr>
      <w:r>
        <w:t xml:space="preserve">This heading is aimed at the body or bodies responsible for regulating merchant shipping and keeping seafarers’ records. It is unlikely to apply to the Department.</w:t>
      </w:r>
    </w:p>
    <w:p>
      <w:pPr>
        <w:pStyle w:val="BodyText"/>
      </w:pPr>
      <w:r>
        <w:rPr>
          <w:b/>
          <w:bCs/>
        </w:rPr>
        <w:t xml:space="preserve">Examples for the Department:</w:t>
      </w:r>
    </w:p>
    <w:p>
      <w:pPr>
        <w:pStyle w:val="Compact"/>
        <w:numPr>
          <w:ilvl w:val="0"/>
          <w:numId w:val="1566"/>
        </w:numPr>
      </w:pPr>
      <w:r>
        <w:rPr>
          <w:b/>
          <w:bCs/>
        </w:rPr>
        <w:t xml:space="preserve">Claimable (generic):</w:t>
      </w:r>
      <w:r>
        <w:t xml:space="preserve"> </w:t>
      </w:r>
      <w:r>
        <w:t xml:space="preserve">A body responsible for ship registration contracts out vessel surveys and the issue of seafarers’ discharge books. This is the wording of the heading.</w:t>
      </w:r>
    </w:p>
    <w:p>
      <w:pPr>
        <w:pStyle w:val="Compact"/>
        <w:numPr>
          <w:ilvl w:val="0"/>
          <w:numId w:val="1566"/>
        </w:numPr>
      </w:pPr>
      <w:r>
        <w:rPr>
          <w:b/>
          <w:bCs/>
        </w:rPr>
        <w:t xml:space="preserve">Not claimable:</w:t>
      </w:r>
      <w:r>
        <w:t xml:space="preserve"> </w:t>
      </w:r>
      <w:r>
        <w:t xml:space="preserve">The Department pays a freight company to ship gifted equipment by sea to an overseas government. That is transport of goods, not surveying, certification or registration. Freight to a place outside the UK is normally zero-rated anyway (Value Added Tax Act 1994, Sch. 8, Group 8, item 5), so there is no VAT to claim</w:t>
      </w:r>
      <w:r>
        <w:t xml:space="preserve"> </w:t>
      </w:r>
      <w:r>
        <w:t xml:space="preserve">(</w:t>
      </w:r>
      <w:hyperlink w:anchor="ref-hmrc_vtrans">
        <w:r>
          <w:rPr>
            <w:rStyle w:val="Hyperlink"/>
          </w:rPr>
          <w:t xml:space="preserve">HMRC, 2023d, sec. VTRANS060200</w:t>
        </w:r>
      </w:hyperlink>
      <w:r>
        <w:t xml:space="preserve">)</w:t>
      </w:r>
      <w:r>
        <w:t xml:space="preserve">.</w:t>
      </w:r>
    </w:p>
    <w:p>
      <w:pPr>
        <w:pStyle w:val="FirstParagraph"/>
      </w:pPr>
      <w:r>
        <w:rPr>
          <w:b/>
          <w:bCs/>
        </w:rPr>
        <w:t xml:space="preserve">Source:</w:t>
      </w:r>
      <w:r>
        <w:t xml:space="preserve"> </w:t>
      </w:r>
      <w:r>
        <w:t xml:space="preserve">HMRC manual section VATGPB11010, page last updated 21 May 2021</w:t>
      </w:r>
      <w:r>
        <w:t xml:space="preserve"> </w:t>
      </w:r>
      <w:r>
        <w:t xml:space="preserve">(</w:t>
      </w:r>
      <w:hyperlink w:anchor="ref-hmrc_vatgpb">
        <w:r>
          <w:rPr>
            <w:rStyle w:val="Hyperlink"/>
          </w:rPr>
          <w:t xml:space="preserve">HMRC, 2026n, sec. VATGPB11010</w:t>
        </w:r>
      </w:hyperlink>
      <w:r>
        <w:t xml:space="preserve">)</w:t>
      </w:r>
      <w:r>
        <w:t xml:space="preserve">.</w:t>
      </w:r>
    </w:p>
    <w:bookmarkEnd w:id="321"/>
    <w:bookmarkStart w:id="322" w:name="heading-65-training-tuition-or-education"/>
    <w:p>
      <w:pPr>
        <w:pStyle w:val="Heading3"/>
      </w:pPr>
      <w:r>
        <w:t xml:space="preserve">Heading 65: Training, tuition or education</w:t>
      </w:r>
    </w:p>
    <w:p>
      <w:pPr>
        <w:pStyle w:val="FirstParagraph"/>
      </w:pPr>
      <w:r>
        <w:rPr>
          <w:b/>
          <w:bCs/>
        </w:rPr>
        <w:t xml:space="preserve">What it covers (HMRC’s description):</w:t>
      </w:r>
      <w:r>
        <w:t xml:space="preserve"> </w:t>
      </w:r>
      <w:r>
        <w:t xml:space="preserve">HMRC’s page has no opening summary and goes straight to the Includes and Excludes lists below</w:t>
      </w:r>
      <w:r>
        <w:t xml:space="preserve"> </w:t>
      </w:r>
      <w:r>
        <w:t xml:space="preserve">(</w:t>
      </w:r>
      <w:hyperlink w:anchor="ref-hmrc_vatgpb">
        <w:r>
          <w:rPr>
            <w:rStyle w:val="Hyperlink"/>
          </w:rPr>
          <w:t xml:space="preserve">HMRC, 2026n, sec. VATGPB11030</w:t>
        </w:r>
      </w:hyperlink>
      <w:r>
        <w:t xml:space="preserve">)</w:t>
      </w:r>
      <w:r>
        <w:t xml:space="preserve">. The other key points in HMRC’s text are:</w:t>
      </w:r>
    </w:p>
    <w:p>
      <w:pPr>
        <w:pStyle w:val="Compact"/>
        <w:numPr>
          <w:ilvl w:val="0"/>
          <w:numId w:val="1567"/>
        </w:numPr>
      </w:pPr>
      <w:r>
        <w:rPr>
          <w:b/>
          <w:bCs/>
        </w:rPr>
        <w:t xml:space="preserve">Own staff.</w:t>
      </w:r>
      <w:r>
        <w:t xml:space="preserve"> </w:t>
      </w:r>
      <w:r>
        <w:t xml:space="preserve">“</w:t>
      </w:r>
      <w:r>
        <w:t xml:space="preserve">Generally, this Heading will apply where costs are incurred for the training, tuition or education of a qualifying body’s own employees.</w:t>
      </w:r>
      <w:r>
        <w:t xml:space="preserve">”</w:t>
      </w:r>
      <w:r>
        <w:t xml:space="preserve"> </w:t>
      </w:r>
      <w:r>
        <w:t xml:space="preserve">A</w:t>
      </w:r>
      <w:r>
        <w:t xml:space="preserve"> </w:t>
      </w:r>
      <w:r>
        <w:t xml:space="preserve">“</w:t>
      </w:r>
      <w:r>
        <w:t xml:space="preserve">qualifying body</w:t>
      </w:r>
      <w:r>
        <w:t xml:space="preserve">”</w:t>
      </w:r>
      <w:r>
        <w:t xml:space="preserve"> </w:t>
      </w:r>
      <w:r>
        <w:t xml:space="preserve">is an organisation that can claim under the scheme, such as the Department.</w:t>
      </w:r>
    </w:p>
    <w:p>
      <w:pPr>
        <w:pStyle w:val="Compact"/>
        <w:numPr>
          <w:ilvl w:val="0"/>
          <w:numId w:val="1567"/>
        </w:numPr>
      </w:pPr>
      <w:r>
        <w:rPr>
          <w:b/>
          <w:bCs/>
        </w:rPr>
        <w:t xml:space="preserve">Non-employees.</w:t>
      </w:r>
      <w:r>
        <w:t xml:space="preserve"> </w:t>
      </w:r>
      <w:r>
        <w:t xml:space="preserve">The heading</w:t>
      </w:r>
      <w:r>
        <w:t xml:space="preserve"> </w:t>
      </w:r>
      <w:r>
        <w:t xml:space="preserve">“</w:t>
      </w:r>
      <w:r>
        <w:t xml:space="preserve">could also apply to supplies delivered to non-employees where the qualifying body acts under its own statutory remit to deliver training to those non-employees in a non-business capacity</w:t>
      </w:r>
      <w:r>
        <w:t xml:space="preserve">”</w:t>
      </w:r>
      <w:r>
        <w:t xml:space="preserve">. In that case HMRC</w:t>
      </w:r>
      <w:r>
        <w:t xml:space="preserve"> </w:t>
      </w:r>
      <w:r>
        <w:t xml:space="preserve">“</w:t>
      </w:r>
      <w:r>
        <w:t xml:space="preserve">would expect the cost to be paid from the qualifying body’s own budget and that no recharge would be made to the other party</w:t>
      </w:r>
      <w:r>
        <w:t xml:space="preserve">”</w:t>
      </w:r>
      <w:r>
        <w:t xml:space="preserve">.</w:t>
      </w:r>
    </w:p>
    <w:p>
      <w:pPr>
        <w:pStyle w:val="Compact"/>
        <w:numPr>
          <w:ilvl w:val="0"/>
          <w:numId w:val="1567"/>
        </w:numPr>
      </w:pPr>
      <w:r>
        <w:rPr>
          <w:b/>
          <w:bCs/>
        </w:rPr>
        <w:t xml:space="preserve">Business activities are out.</w:t>
      </w:r>
      <w:r>
        <w:t xml:space="preserve"> </w:t>
      </w:r>
      <w:r>
        <w:t xml:space="preserve">“</w:t>
      </w:r>
      <w:r>
        <w:t xml:space="preserve">When the training, tuition or education relates to a business activity, VAT should not be reclaimed under this Heading. A VAT reclaim may still be possible but should be made under normal VAT business rules.</w:t>
      </w:r>
      <w:r>
        <w:t xml:space="preserve">”</w:t>
      </w:r>
    </w:p>
    <w:p>
      <w:pPr>
        <w:pStyle w:val="Compact"/>
        <w:numPr>
          <w:ilvl w:val="0"/>
          <w:numId w:val="1567"/>
        </w:numPr>
      </w:pPr>
      <w:r>
        <w:rPr>
          <w:b/>
          <w:bCs/>
        </w:rPr>
        <w:t xml:space="preserve">Exempt providers.</w:t>
      </w:r>
      <w:r>
        <w:t xml:space="preserve"> </w:t>
      </w:r>
      <w:r>
        <w:t xml:space="preserve">Education and vocational training is</w:t>
      </w:r>
      <w:r>
        <w:t xml:space="preserve"> </w:t>
      </w:r>
      <w:r>
        <w:rPr>
          <w:b/>
          <w:bCs/>
        </w:rPr>
        <w:t xml:space="preserve">exempt</w:t>
      </w:r>
      <w:r>
        <w:t xml:space="preserve"> </w:t>
      </w:r>
      <w:r>
        <w:t xml:space="preserve">from VAT (no VAT is charged at all),</w:t>
      </w:r>
      <w:r>
        <w:t xml:space="preserve"> </w:t>
      </w:r>
      <w:r>
        <w:t xml:space="preserve">“</w:t>
      </w:r>
      <w:r>
        <w:t xml:space="preserve">so there is no VAT to recover</w:t>
      </w:r>
      <w:r>
        <w:t xml:space="preserve">”</w:t>
      </w:r>
      <w:r>
        <w:t xml:space="preserve">, if it is provided by one of the</w:t>
      </w:r>
      <w:r>
        <w:t xml:space="preserve"> </w:t>
      </w:r>
      <w:r>
        <w:t xml:space="preserve">“</w:t>
      </w:r>
      <w:r>
        <w:t xml:space="preserve">eligible bodies</w:t>
      </w:r>
      <w:r>
        <w:t xml:space="preserve">”</w:t>
      </w:r>
      <w:r>
        <w:t xml:space="preserve"> </w:t>
      </w:r>
      <w:r>
        <w:t xml:space="preserve">listed in HMRC Notice 701/30 (Value Added Tax Act 1994, Sch. 9, Group 6, item 1)</w:t>
      </w:r>
      <w:r>
        <w:t xml:space="preserve"> </w:t>
      </w:r>
      <w:r>
        <w:t xml:space="preserve">(</w:t>
      </w:r>
      <w:hyperlink w:anchor="ref-hmrc_n70130">
        <w:r>
          <w:rPr>
            <w:rStyle w:val="Hyperlink"/>
          </w:rPr>
          <w:t xml:space="preserve">HMRC, 2025d, para. 4.1</w:t>
        </w:r>
      </w:hyperlink>
      <w:r>
        <w:t xml:space="preserve">;</w:t>
      </w:r>
      <w:r>
        <w:t xml:space="preserve"> </w:t>
      </w:r>
      <w:hyperlink w:anchor="ref-hmrc_vatgpb">
        <w:r>
          <w:rPr>
            <w:rStyle w:val="Hyperlink"/>
          </w:rPr>
          <w:t xml:space="preserve">2026n, sec. VATGPB11030</w:t>
        </w:r>
      </w:hyperlink>
      <w:r>
        <w:t xml:space="preserve">)</w:t>
      </w:r>
      <w:r>
        <w:t xml:space="preserve">. In practice these are:</w:t>
      </w:r>
    </w:p>
    <w:p>
      <w:pPr>
        <w:pStyle w:val="Compact"/>
        <w:numPr>
          <w:ilvl w:val="1"/>
          <w:numId w:val="1568"/>
        </w:numPr>
      </w:pPr>
      <w:r>
        <w:t xml:space="preserve">schools for the under-19s</w:t>
      </w:r>
    </w:p>
    <w:p>
      <w:pPr>
        <w:pStyle w:val="Compact"/>
        <w:numPr>
          <w:ilvl w:val="1"/>
          <w:numId w:val="1568"/>
        </w:numPr>
      </w:pPr>
      <w:r>
        <w:t xml:space="preserve">universities</w:t>
      </w:r>
    </w:p>
    <w:p>
      <w:pPr>
        <w:pStyle w:val="Compact"/>
        <w:numPr>
          <w:ilvl w:val="1"/>
          <w:numId w:val="1568"/>
        </w:numPr>
      </w:pPr>
      <w:r>
        <w:t xml:space="preserve">further and higher education colleges</w:t>
      </w:r>
    </w:p>
    <w:p>
      <w:pPr>
        <w:pStyle w:val="Compact"/>
        <w:numPr>
          <w:ilvl w:val="1"/>
          <w:numId w:val="1568"/>
        </w:numPr>
      </w:pPr>
      <w:r>
        <w:t xml:space="preserve">other public bodies</w:t>
      </w:r>
    </w:p>
    <w:p>
      <w:pPr>
        <w:pStyle w:val="Compact"/>
        <w:numPr>
          <w:ilvl w:val="1"/>
          <w:numId w:val="1568"/>
        </w:numPr>
      </w:pPr>
      <w:r>
        <w:t xml:space="preserve">non-profit-making bodies that reinvest surpluses of income back into the courses they provide</w:t>
      </w:r>
    </w:p>
    <w:p>
      <w:pPr>
        <w:pStyle w:val="FirstParagraph"/>
      </w:pPr>
      <w:r>
        <w:rPr>
          <w:b/>
          <w:bCs/>
        </w:rPr>
        <w:t xml:space="preserve">Includes:</w:t>
      </w:r>
    </w:p>
    <w:p>
      <w:pPr>
        <w:pStyle w:val="Compact"/>
        <w:numPr>
          <w:ilvl w:val="0"/>
          <w:numId w:val="1569"/>
        </w:numPr>
      </w:pPr>
      <w:r>
        <w:t xml:space="preserve">“</w:t>
      </w:r>
      <w:r>
        <w:t xml:space="preserve">Training, tuition or education services delivered face to face and/or online by a trainer, teacher or tutor.</w:t>
      </w:r>
      <w:r>
        <w:t xml:space="preserve">”</w:t>
      </w:r>
    </w:p>
    <w:p>
      <w:pPr>
        <w:pStyle w:val="Compact"/>
        <w:numPr>
          <w:ilvl w:val="0"/>
          <w:numId w:val="1569"/>
        </w:numPr>
      </w:pPr>
      <w:r>
        <w:t xml:space="preserve">“</w:t>
      </w:r>
      <w:r>
        <w:t xml:space="preserve">Training and education services which are not delivered directly by a person either face to face or online, but require a significant amount of interaction on the part of the person receiving the training or education in order to serve its purpose.</w:t>
      </w:r>
      <w:r>
        <w:t xml:space="preserve">”</w:t>
      </w:r>
    </w:p>
    <w:p>
      <w:pPr>
        <w:pStyle w:val="Compact"/>
        <w:numPr>
          <w:ilvl w:val="1"/>
          <w:numId w:val="1570"/>
        </w:numPr>
      </w:pPr>
      <w:r>
        <w:t xml:space="preserve">HMRC adds that</w:t>
      </w:r>
      <w:r>
        <w:t xml:space="preserve"> </w:t>
      </w:r>
      <w:r>
        <w:t xml:space="preserve">“</w:t>
      </w:r>
      <w:r>
        <w:t xml:space="preserve">some distance-learning or e-learning packages may meet this definition</w:t>
      </w:r>
      <w:r>
        <w:t xml:space="preserve">”</w:t>
      </w:r>
      <w:r>
        <w:t xml:space="preserve">.</w:t>
      </w:r>
    </w:p>
    <w:p>
      <w:pPr>
        <w:pStyle w:val="Compact"/>
        <w:numPr>
          <w:ilvl w:val="1"/>
          <w:numId w:val="1570"/>
        </w:numPr>
      </w:pPr>
      <w:r>
        <w:t xml:space="preserve">By</w:t>
      </w:r>
      <w:r>
        <w:t xml:space="preserve"> </w:t>
      </w:r>
      <w:r>
        <w:t xml:space="preserve">“</w:t>
      </w:r>
      <w:r>
        <w:t xml:space="preserve">interaction</w:t>
      </w:r>
      <w:r>
        <w:t xml:space="preserve">”</w:t>
      </w:r>
      <w:r>
        <w:t xml:space="preserve"> </w:t>
      </w:r>
      <w:r>
        <w:t xml:space="preserve">HMRC means</w:t>
      </w:r>
      <w:r>
        <w:t xml:space="preserve"> </w:t>
      </w:r>
      <w:r>
        <w:t xml:space="preserve">“</w:t>
      </w:r>
      <w:r>
        <w:t xml:space="preserve">the user will be required to interact with the training or education package in a substantial way to realise its benefit – for example, the user may need to complete real-time interactions and receive corresponding feedback while progressing through the training package, and assessments may be performed with the results recorded</w:t>
      </w:r>
      <w:r>
        <w:t xml:space="preserve">”</w:t>
      </w:r>
      <w:r>
        <w:t xml:space="preserve">.</w:t>
      </w:r>
    </w:p>
    <w:p>
      <w:pPr>
        <w:pStyle w:val="Compact"/>
        <w:numPr>
          <w:ilvl w:val="1"/>
          <w:numId w:val="1570"/>
        </w:numPr>
      </w:pPr>
      <w:r>
        <w:t xml:space="preserve">HMRC also says</w:t>
      </w:r>
      <w:r>
        <w:t xml:space="preserve"> </w:t>
      </w:r>
      <w:r>
        <w:t xml:space="preserve">“</w:t>
      </w:r>
      <w:r>
        <w:t xml:space="preserve">interactions with a person may also take place online, although not necessarily in real-time</w:t>
      </w:r>
      <w:r>
        <w:t xml:space="preserve">”</w:t>
      </w:r>
      <w:r>
        <w:t xml:space="preserve">.</w:t>
      </w:r>
    </w:p>
    <w:p>
      <w:pPr>
        <w:pStyle w:val="Compact"/>
        <w:numPr>
          <w:ilvl w:val="1"/>
          <w:numId w:val="1570"/>
        </w:numPr>
      </w:pPr>
      <w:r>
        <w:t xml:space="preserve">“</w:t>
      </w:r>
      <w:r>
        <w:t xml:space="preserve">Tuition, by its nature, is expected to be delivered by a person face to face and/or online.</w:t>
      </w:r>
      <w:r>
        <w:t xml:space="preserve">”</w:t>
      </w:r>
    </w:p>
    <w:p>
      <w:pPr>
        <w:pStyle w:val="FirstParagraph"/>
      </w:pPr>
      <w:r>
        <w:rPr>
          <w:b/>
          <w:bCs/>
        </w:rPr>
        <w:t xml:space="preserve">Excludes:</w:t>
      </w:r>
    </w:p>
    <w:p>
      <w:pPr>
        <w:pStyle w:val="Compact"/>
        <w:numPr>
          <w:ilvl w:val="0"/>
          <w:numId w:val="1571"/>
        </w:numPr>
      </w:pPr>
      <w:r>
        <w:t xml:space="preserve">“</w:t>
      </w:r>
      <w:r>
        <w:t xml:space="preserve">VAT incurred on separate supplies of accommodation, meals and room hire provided in relation to the training, tuition or education being provided.</w:t>
      </w:r>
      <w:r>
        <w:t xml:space="preserve">”</w:t>
      </w:r>
    </w:p>
    <w:p>
      <w:pPr>
        <w:pStyle w:val="Compact"/>
        <w:numPr>
          <w:ilvl w:val="0"/>
          <w:numId w:val="1571"/>
        </w:numPr>
      </w:pPr>
      <w:r>
        <w:t xml:space="preserve">“</w:t>
      </w:r>
      <w:r>
        <w:t xml:space="preserve">Supplies involving access to information designed to aid training, tuition or education</w:t>
      </w:r>
      <w:r>
        <w:t xml:space="preserve">”</w:t>
      </w:r>
      <w:r>
        <w:t xml:space="preserve">. HMRC treats this as</w:t>
      </w:r>
      <w:r>
        <w:t xml:space="preserve"> </w:t>
      </w:r>
      <w:r>
        <w:t xml:space="preserve">“</w:t>
      </w:r>
      <w:r>
        <w:t xml:space="preserve">a supply of learning materials rather than a supply of training, tuition or education itself</w:t>
      </w:r>
      <w:r>
        <w:t xml:space="preserve">”</w:t>
      </w:r>
      <w:r>
        <w:t xml:space="preserve">, and says</w:t>
      </w:r>
      <w:r>
        <w:t xml:space="preserve"> </w:t>
      </w:r>
      <w:r>
        <w:t xml:space="preserve">“</w:t>
      </w:r>
      <w:r>
        <w:t xml:space="preserve">supplies of online manuals and webinars are likely to fall into this category</w:t>
      </w:r>
      <w:r>
        <w:t xml:space="preserve">”</w:t>
      </w:r>
      <w:r>
        <w:t xml:space="preserve">.</w:t>
      </w:r>
    </w:p>
    <w:p>
      <w:pPr>
        <w:pStyle w:val="Compact"/>
        <w:numPr>
          <w:ilvl w:val="0"/>
          <w:numId w:val="1571"/>
        </w:numPr>
      </w:pPr>
      <w:r>
        <w:t xml:space="preserve">“</w:t>
      </w:r>
      <w:r>
        <w:t xml:space="preserve">Services involving access to training, tuition or educational packages which are not interactive in nature.</w:t>
      </w:r>
      <w:r>
        <w:t xml:space="preserve">”</w:t>
      </w:r>
    </w:p>
    <w:p>
      <w:pPr>
        <w:pStyle w:val="Compact"/>
        <w:numPr>
          <w:ilvl w:val="0"/>
          <w:numId w:val="1571"/>
        </w:numPr>
      </w:pPr>
      <w:r>
        <w:t xml:space="preserve">“</w:t>
      </w:r>
      <w:r>
        <w:t xml:space="preserve">VAT incurred on activities which couldn’t have been performed in-house by qualifying bodies</w:t>
      </w:r>
      <w:r>
        <w:t xml:space="preserve">”</w:t>
      </w:r>
      <w:r>
        <w:t xml:space="preserve">. HMRC’s example is</w:t>
      </w:r>
      <w:r>
        <w:t xml:space="preserve"> </w:t>
      </w:r>
      <w:r>
        <w:t xml:space="preserve">“</w:t>
      </w:r>
      <w:r>
        <w:t xml:space="preserve">charges for exam services in relation to professional qualifications, although these are likely to be exempt from VAT</w:t>
      </w:r>
      <w:r>
        <w:t xml:space="preserve">”</w:t>
      </w:r>
      <w:r>
        <w:t xml:space="preserve">.</w:t>
      </w:r>
    </w:p>
    <w:p>
      <w:pPr>
        <w:pStyle w:val="Compact"/>
        <w:numPr>
          <w:ilvl w:val="1"/>
          <w:numId w:val="1572"/>
        </w:numPr>
      </w:pPr>
      <w:r>
        <w:t xml:space="preserve">HMRC accepts it can be hard to tell whether a type of training was ever done in-house. The test is therefore whether it is</w:t>
      </w:r>
      <w:r>
        <w:t xml:space="preserve"> </w:t>
      </w:r>
      <w:r>
        <w:t xml:space="preserve">“</w:t>
      </w:r>
      <w:r>
        <w:t xml:space="preserve">on a balance of probabilities, likely to have been performed in-house within Government previously. If this is the case, it is accepted that the VAT is recoverable under H65.</w:t>
      </w:r>
      <w:r>
        <w:t xml:space="preserve">”</w:t>
      </w:r>
    </w:p>
    <w:p>
      <w:pPr>
        <w:pStyle w:val="FirstParagraph"/>
      </w:pPr>
      <w:r>
        <w:rPr>
          <w:b/>
          <w:bCs/>
        </w:rPr>
        <w:t xml:space="preserve">Examples for the Department:</w:t>
      </w:r>
    </w:p>
    <w:p>
      <w:pPr>
        <w:pStyle w:val="Compact"/>
        <w:numPr>
          <w:ilvl w:val="0"/>
          <w:numId w:val="1573"/>
        </w:numPr>
      </w:pPr>
      <w:r>
        <w:rPr>
          <w:b/>
          <w:bCs/>
        </w:rPr>
        <w:t xml:space="preserve">Claimable: Pre-travel safety training.</w:t>
      </w:r>
      <w:r>
        <w:t xml:space="preserve"> </w:t>
      </w:r>
      <w:r>
        <w:t xml:space="preserve">A UK commercial provider runs a two-day, face-to-face personal safety course for staff about to travel to higher-risk countries and charges 20% VAT. This is training</w:t>
      </w:r>
      <w:r>
        <w:t xml:space="preserve"> </w:t>
      </w:r>
      <w:r>
        <w:t xml:space="preserve">“</w:t>
      </w:r>
      <w:r>
        <w:t xml:space="preserve">delivered face to face … by a trainer</w:t>
      </w:r>
      <w:r>
        <w:t xml:space="preserve">”</w:t>
      </w:r>
      <w:r>
        <w:t xml:space="preserve"> </w:t>
      </w:r>
      <w:r>
        <w:t xml:space="preserve">to the Department’s own employees for its non-business work. Record why you think it passes HMRC’s in-house test.</w:t>
      </w:r>
    </w:p>
    <w:p>
      <w:pPr>
        <w:pStyle w:val="Compact"/>
        <w:numPr>
          <w:ilvl w:val="0"/>
          <w:numId w:val="1573"/>
        </w:numPr>
      </w:pPr>
      <w:r>
        <w:rPr>
          <w:b/>
          <w:bCs/>
        </w:rPr>
        <w:t xml:space="preserve">Claimable: Live online language tuition.</w:t>
      </w:r>
      <w:r>
        <w:t xml:space="preserve"> </w:t>
      </w:r>
      <w:r>
        <w:t xml:space="preserve">An officer preparing for an overseas posting has weekly video-call lessons with a tutor from a UK company that charges VAT. This matches</w:t>
      </w:r>
      <w:r>
        <w:t xml:space="preserve"> </w:t>
      </w:r>
      <w:r>
        <w:t xml:space="preserve">“</w:t>
      </w:r>
      <w:r>
        <w:t xml:space="preserve">Tuition … delivered … online by a … tutor</w:t>
      </w:r>
      <w:r>
        <w:t xml:space="preserve">”</w:t>
      </w:r>
      <w:r>
        <w:t xml:space="preserve">.</w:t>
      </w:r>
    </w:p>
    <w:p>
      <w:pPr>
        <w:pStyle w:val="Compact"/>
        <w:numPr>
          <w:ilvl w:val="0"/>
          <w:numId w:val="1573"/>
        </w:numPr>
      </w:pPr>
      <w:r>
        <w:rPr>
          <w:b/>
          <w:bCs/>
        </w:rPr>
        <w:t xml:space="preserve">Claimable: Interactive e-learning.</w:t>
      </w:r>
      <w:r>
        <w:t xml:space="preserve"> </w:t>
      </w:r>
      <w:r>
        <w:t xml:space="preserve">The Department licenses an anti-bribery e-learning course from a UK provider that charges VAT, for staff who run its overseas aid and capability-building programmes. Staff work through scenarios, get feedback as they go and take an assessment whose results are recorded. This meets HMRC’s</w:t>
      </w:r>
      <w:r>
        <w:t xml:space="preserve"> </w:t>
      </w:r>
      <w:r>
        <w:t xml:space="preserve">“</w:t>
      </w:r>
      <w:r>
        <w:t xml:space="preserve">significant amount of interaction</w:t>
      </w:r>
      <w:r>
        <w:t xml:space="preserve">”</w:t>
      </w:r>
      <w:r>
        <w:t xml:space="preserve"> </w:t>
      </w:r>
      <w:r>
        <w:t xml:space="preserve">test.</w:t>
      </w:r>
    </w:p>
    <w:p>
      <w:pPr>
        <w:pStyle w:val="Compact"/>
        <w:numPr>
          <w:ilvl w:val="0"/>
          <w:numId w:val="1573"/>
        </w:numPr>
      </w:pPr>
      <w:r>
        <w:rPr>
          <w:b/>
          <w:bCs/>
        </w:rPr>
        <w:t xml:space="preserve">Not claimable: Webinar library or online manuals.</w:t>
      </w:r>
      <w:r>
        <w:t xml:space="preserve"> </w:t>
      </w:r>
      <w:r>
        <w:t xml:space="preserve">A subscription that gives staff access to recorded webinars, e-books or online manuals. HMRC treats this as</w:t>
      </w:r>
      <w:r>
        <w:t xml:space="preserve"> </w:t>
      </w:r>
      <w:r>
        <w:t xml:space="preserve">“</w:t>
      </w:r>
      <w:r>
        <w:t xml:space="preserve">a supply of learning materials rather than a supply of training</w:t>
      </w:r>
      <w:r>
        <w:t xml:space="preserve">”</w:t>
      </w:r>
      <w:r>
        <w:t xml:space="preserve">, and non-interactive packages are excluded</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573"/>
        </w:numPr>
      </w:pPr>
      <w:r>
        <w:rPr>
          <w:b/>
          <w:bCs/>
        </w:rPr>
        <w:t xml:space="preserve">Not claimable: Hotel, meals and meeting room for a residential course.</w:t>
      </w:r>
      <w:r>
        <w:t xml:space="preserve"> </w:t>
      </w:r>
      <w:r>
        <w:t xml:space="preserve">The Department books bedrooms, meals and a meeting room directly with the hotel. These are</w:t>
      </w:r>
      <w:r>
        <w:t xml:space="preserve"> </w:t>
      </w:r>
      <w:r>
        <w:t xml:space="preserve">“</w:t>
      </w:r>
      <w:r>
        <w:t xml:space="preserve">separate supplies of accommodation, meals and room hire</w:t>
      </w:r>
      <w:r>
        <w:t xml:space="preserve">”</w:t>
      </w:r>
      <w:r>
        <w:t xml:space="preserve"> </w:t>
      </w:r>
      <w:r>
        <w:t xml:space="preserve">and are excluded, so only the trainer’s own fee can go under Heading 65</w:t>
      </w:r>
      <w:r>
        <w:t xml:space="preserve"> </w:t>
      </w:r>
      <w:r>
        <w:t xml:space="preserve">(</w:t>
      </w:r>
      <w:hyperlink w:anchor="ref-hmrc_vatgpb">
        <w:r>
          <w:rPr>
            <w:rStyle w:val="Hyperlink"/>
          </w:rPr>
          <w:t xml:space="preserve">HMRC, 2026n, sec. VATGPB11030</w:t>
        </w:r>
      </w:hyperlink>
      <w:r>
        <w:t xml:space="preserve">)</w:t>
      </w:r>
      <w:r>
        <w:t xml:space="preserve">. Hotel accommodation is also excluded from Heading 67</w:t>
      </w:r>
      <w:r>
        <w:t xml:space="preserve"> </w:t>
      </w:r>
      <w:r>
        <w:t xml:space="preserve">(</w:t>
      </w:r>
      <w:hyperlink w:anchor="ref-hmrc_vatgpb">
        <w:r>
          <w:rPr>
            <w:rStyle w:val="Hyperlink"/>
          </w:rPr>
          <w:t xml:space="preserve">HMRC, 2026n, sec. VATGPB11070</w:t>
        </w:r>
      </w:hyperlink>
      <w:r>
        <w:t xml:space="preserve">)</w:t>
      </w:r>
      <w:r>
        <w:t xml:space="preserve">. If a training company sells one all-in package instead, check whether it is a</w:t>
      </w:r>
      <w:r>
        <w:t xml:space="preserve"> </w:t>
      </w:r>
      <w:r>
        <w:rPr>
          <w:b/>
          <w:bCs/>
        </w:rPr>
        <w:t xml:space="preserve">single supply</w:t>
      </w:r>
      <w:r>
        <w:t xml:space="preserve"> </w:t>
      </w:r>
      <w:r>
        <w:t xml:space="preserve">(several elements taxed as one supply). Under VATGPB9720 a single supply’s</w:t>
      </w:r>
      <w:r>
        <w:t xml:space="preserve"> </w:t>
      </w:r>
      <w:r>
        <w:t xml:space="preserve">“</w:t>
      </w:r>
      <w:r>
        <w:t xml:space="preserve">predominant nature</w:t>
      </w:r>
      <w:r>
        <w:t xml:space="preserve">”</w:t>
      </w:r>
      <w:r>
        <w:t xml:space="preserve"> </w:t>
      </w:r>
      <w:r>
        <w:t xml:space="preserve">decides the heading, and</w:t>
      </w:r>
      <w:r>
        <w:t xml:space="preserve"> </w:t>
      </w:r>
      <w:r>
        <w:t xml:space="preserve">“</w:t>
      </w:r>
      <w:r>
        <w:t xml:space="preserve">you cannot carve out different elements</w:t>
      </w:r>
      <w:r>
        <w:t xml:space="preserve">”</w:t>
      </w:r>
      <w:r>
        <w:t xml:space="preserve"> </w:t>
      </w:r>
      <w:r>
        <w:t xml:space="preserve">(</w:t>
      </w:r>
      <w:hyperlink w:anchor="ref-hmrc_vatgpb">
        <w:r>
          <w:rPr>
            <w:rStyle w:val="Hyperlink"/>
          </w:rPr>
          <w:t xml:space="preserve">HMRC, 2026n, sec. VATGPB9720</w:t>
        </w:r>
      </w:hyperlink>
      <w:r>
        <w:t xml:space="preserve">)</w:t>
      </w:r>
      <w:r>
        <w:t xml:space="preserve">. If the training company buys in hotel rooms or transport and resells them as part of its package, the whole package falls within the</w:t>
      </w:r>
      <w:r>
        <w:t xml:space="preserve"> </w:t>
      </w:r>
      <w:r>
        <w:rPr>
          <w:b/>
          <w:bCs/>
        </w:rPr>
        <w:t xml:space="preserve">Tour Operators’ Margin Scheme (TOMS)</w:t>
      </w:r>
      <w:r>
        <w:t xml:space="preserve">, a special scheme for travel packages. No VAT invoice will be issued, so even the VAT on the tuition cannot be claimed under the TOMS rules in VAT Notice 709/5</w:t>
      </w:r>
      <w:r>
        <w:t xml:space="preserve"> </w:t>
      </w:r>
      <w:r>
        <w:t xml:space="preserve">(</w:t>
      </w:r>
      <w:hyperlink w:anchor="ref-hmrc_n7095">
        <w:r>
          <w:rPr>
            <w:rStyle w:val="Hyperlink"/>
          </w:rPr>
          <w:t xml:space="preserve">HMRC, 2024e</w:t>
        </w:r>
      </w:hyperlink>
      <w:r>
        <w:t xml:space="preserve">, paras. 2.13, 7.11, 4.19)</w:t>
      </w:r>
      <w:r>
        <w:t xml:space="preserve">.</w:t>
      </w:r>
    </w:p>
    <w:p>
      <w:pPr>
        <w:pStyle w:val="Compact"/>
        <w:numPr>
          <w:ilvl w:val="0"/>
          <w:numId w:val="1573"/>
        </w:numPr>
      </w:pPr>
      <w:r>
        <w:rPr>
          <w:b/>
          <w:bCs/>
        </w:rPr>
        <w:t xml:space="preserve">Not claimable: University or college course, and exam fees.</w:t>
      </w:r>
      <w:r>
        <w:t xml:space="preserve"> </w:t>
      </w:r>
      <w:r>
        <w:t xml:space="preserve">A short course bought from a university, a further education college or a qualifying non-profit body is exempt, so there is no VAT on the invoice to claim</w:t>
      </w:r>
      <w:r>
        <w:t xml:space="preserve"> </w:t>
      </w:r>
      <w:r>
        <w:t xml:space="preserve">(</w:t>
      </w:r>
      <w:hyperlink w:anchor="ref-hmrc_n70130">
        <w:r>
          <w:rPr>
            <w:rStyle w:val="Hyperlink"/>
          </w:rPr>
          <w:t xml:space="preserve">HMRC, 2025d</w:t>
        </w:r>
      </w:hyperlink>
      <w:r>
        <w:t xml:space="preserve">, paras. 4.1, 4.4)</w:t>
      </w:r>
      <w:r>
        <w:t xml:space="preserve">. Professional exam entry fees, for example for an accountancy qualification, are HMRC’s own example of an excluded cost and are</w:t>
      </w:r>
      <w:r>
        <w:t xml:space="preserve"> </w:t>
      </w:r>
      <w:r>
        <w:t xml:space="preserve">“</w:t>
      </w:r>
      <w:r>
        <w:t xml:space="preserve">likely to be exempt</w:t>
      </w:r>
      <w:r>
        <w:t xml:space="preserve">”</w:t>
      </w:r>
      <w:r>
        <w:t xml:space="preserve"> </w:t>
      </w:r>
      <w:r>
        <w:t xml:space="preserve">anyway</w:t>
      </w:r>
      <w:r>
        <w:t xml:space="preserve"> </w:t>
      </w:r>
      <w:r>
        <w:t xml:space="preserve">(</w:t>
      </w:r>
      <w:hyperlink w:anchor="ref-hmrc_vatgpb">
        <w:r>
          <w:rPr>
            <w:rStyle w:val="Hyperlink"/>
          </w:rPr>
          <w:t xml:space="preserve">HMRC, 2026n, sec. VATGPB11030</w:t>
        </w:r>
      </w:hyperlink>
      <w:r>
        <w:t xml:space="preserve">)</w:t>
      </w:r>
      <w:r>
        <w:t xml:space="preserve">. By contrast,</w:t>
      </w:r>
      <w:r>
        <w:t xml:space="preserve"> </w:t>
      </w:r>
      <w:r>
        <w:rPr>
          <w:i/>
          <w:iCs/>
        </w:rPr>
        <w:t xml:space="preserve">tuition</w:t>
      </w:r>
      <w:r>
        <w:t xml:space="preserve"> </w:t>
      </w:r>
      <w:r>
        <w:t xml:space="preserve">for that qualification from a commercial tutor who charges VAT can fall under Heading 65 if it passes the in-house test</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0"/>
          <w:numId w:val="1573"/>
        </w:numPr>
      </w:pPr>
      <w:r>
        <w:rPr>
          <w:b/>
          <w:bCs/>
        </w:rPr>
        <w:t xml:space="preserve">Not claimable: Training abroad charged with foreign VAT.</w:t>
      </w:r>
      <w:r>
        <w:t xml:space="preserve"> </w:t>
      </w:r>
      <w:r>
        <w:t xml:space="preserve">Staff attend a course in another country and the provider charges that country’s VAT. Foreign VAT is not UK VAT, and COS can only refund UK VAT (Value Added Tax Act 1994, ss. 1(1) and 41(3)).</w:t>
      </w:r>
    </w:p>
    <w:p>
      <w:pPr>
        <w:pStyle w:val="Compact"/>
        <w:numPr>
          <w:ilvl w:val="1"/>
          <w:numId w:val="1574"/>
        </w:numPr>
      </w:pPr>
      <w:r>
        <w:rPr>
          <w:b/>
          <w:bCs/>
        </w:rPr>
        <w:t xml:space="preserve">Claimable:</w:t>
      </w:r>
      <w:r>
        <w:t xml:space="preserve"> </w:t>
      </w:r>
      <w:r>
        <w:t xml:space="preserve">By contrast, training from an overseas provider that is not</w:t>
      </w:r>
      <w:r>
        <w:t xml:space="preserve"> </w:t>
      </w:r>
      <w:r>
        <w:t xml:space="preserve">“</w:t>
      </w:r>
      <w:r>
        <w:t xml:space="preserve">admission to an event</w:t>
      </w:r>
      <w:r>
        <w:t xml:space="preserve">”</w:t>
      </w:r>
      <w:r>
        <w:t xml:space="preserve"> </w:t>
      </w:r>
      <w:r>
        <w:t xml:space="preserve">(for example online training, or a longer course with ongoing attendance) is supplied in the UK under the general rule, because the Department counts as a business customer</w:t>
      </w:r>
      <w:r>
        <w:t xml:space="preserve"> </w:t>
      </w:r>
      <w:r>
        <w:t xml:space="preserve">(</w:t>
      </w:r>
      <w:hyperlink w:anchor="ref-hmrc_n741a">
        <w:r>
          <w:rPr>
            <w:rStyle w:val="Hyperlink"/>
          </w:rPr>
          <w:t xml:space="preserve">HMRC, 2022d</w:t>
        </w:r>
      </w:hyperlink>
      <w:r>
        <w:t xml:space="preserve">, paras. 2.4, 6.3, 9.3;</w:t>
      </w:r>
      <w:r>
        <w:t xml:space="preserve"> </w:t>
      </w:r>
      <w:hyperlink w:anchor="ref-hmrc_gdpef">
        <w:r>
          <w:rPr>
            <w:rStyle w:val="Hyperlink"/>
          </w:rPr>
          <w:t xml:space="preserve">HMRC, 2023c, sec. 7</w:t>
        </w:r>
      </w:hyperlink>
      <w:r>
        <w:t xml:space="preserve">)</w:t>
      </w:r>
      <w:r>
        <w:t xml:space="preserve">. The provider charges no UK VAT, so the Department must account for UK VAT itself under the</w:t>
      </w:r>
      <w:r>
        <w:t xml:space="preserve"> </w:t>
      </w:r>
      <w:r>
        <w:rPr>
          <w:b/>
          <w:bCs/>
        </w:rPr>
        <w:t xml:space="preserve">reverse charge</w:t>
      </w:r>
      <w:r>
        <w:t xml:space="preserve"> </w:t>
      </w:r>
      <w:r>
        <w:t xml:space="preserve">(Value Added Tax Act 1994, s. 8). This is where the customer, not the supplier, accounts for the VAT</w:t>
      </w:r>
      <w:r>
        <w:t xml:space="preserve"> </w:t>
      </w:r>
      <w:r>
        <w:t xml:space="preserve">(</w:t>
      </w:r>
      <w:hyperlink w:anchor="ref-hmrc_n741a">
        <w:r>
          <w:rPr>
            <w:rStyle w:val="Hyperlink"/>
          </w:rPr>
          <w:t xml:space="preserve">HMRC, 2022d, para. 5.2</w:t>
        </w:r>
      </w:hyperlink>
      <w:r>
        <w:t xml:space="preserve">)</w:t>
      </w:r>
      <w:r>
        <w:t xml:space="preserve">.</w:t>
      </w:r>
    </w:p>
    <w:p>
      <w:pPr>
        <w:pStyle w:val="Compact"/>
        <w:numPr>
          <w:ilvl w:val="1"/>
          <w:numId w:val="1574"/>
        </w:numPr>
      </w:pPr>
      <w:r>
        <w:t xml:space="preserve">HMRC’s government departments partial exemption framework says that where reverse-charge services relate to non-business activities,</w:t>
      </w:r>
      <w:r>
        <w:t xml:space="preserve"> </w:t>
      </w:r>
      <w:r>
        <w:t xml:space="preserve">“</w:t>
      </w:r>
      <w:r>
        <w:t xml:space="preserve">any proportion of VAT relating to COS should be dealt with under section 41(3)</w:t>
      </w:r>
      <w:r>
        <w:t xml:space="preserve">”</w:t>
      </w:r>
      <w:r>
        <w:t xml:space="preserve"> </w:t>
      </w:r>
      <w:r>
        <w:t xml:space="preserve">(</w:t>
      </w:r>
      <w:hyperlink w:anchor="ref-hmrc_gdpef">
        <w:r>
          <w:rPr>
            <w:rStyle w:val="Hyperlink"/>
          </w:rPr>
          <w:t xml:space="preserve">HMRC, 2023c, sec. 7</w:t>
        </w:r>
      </w:hyperlink>
      <w:r>
        <w:t xml:space="preserve">)</w:t>
      </w:r>
      <w:r>
        <w:t xml:space="preserve">. So if the training is within Heading 65 and used for non-business purposes, the reverse-charge VAT is refunded and the net cost is nil (see Part 6, Section 1, example (d)).</w:t>
      </w:r>
    </w:p>
    <w:p>
      <w:pPr>
        <w:pStyle w:val="Compact"/>
        <w:numPr>
          <w:ilvl w:val="1"/>
          <w:numId w:val="1574"/>
        </w:numPr>
      </w:pPr>
      <w:r>
        <w:t xml:space="preserve">Any foreign VAT the provider also charges is still a cost.</w:t>
      </w:r>
    </w:p>
    <w:p>
      <w:pPr>
        <w:pStyle w:val="Compact"/>
        <w:numPr>
          <w:ilvl w:val="0"/>
          <w:numId w:val="1573"/>
        </w:numPr>
      </w:pPr>
      <w:r>
        <w:rPr>
          <w:b/>
          <w:bCs/>
        </w:rPr>
        <w:t xml:space="preserve">Check first: Possibly: training officials of a partner government.</w:t>
      </w:r>
      <w:r>
        <w:t xml:space="preserve"> </w:t>
      </w:r>
      <w:r>
        <w:t xml:space="preserve">Under its own statutory remit, the Department pays a UK provider (charging UK VAT) to train officials of an overseas government as part of a capability-building programme. The cost comes from its own budget and nothing is recharged.</w:t>
      </w:r>
    </w:p>
    <w:p>
      <w:pPr>
        <w:pStyle w:val="Compact"/>
        <w:numPr>
          <w:ilvl w:val="1"/>
          <w:numId w:val="1575"/>
        </w:numPr>
      </w:pPr>
      <w:r>
        <w:t xml:space="preserve">HMRC accepts Heading 65 can apply to non-employees where the qualifying body</w:t>
      </w:r>
      <w:r>
        <w:t xml:space="preserve"> </w:t>
      </w:r>
      <w:r>
        <w:t xml:space="preserve">“</w:t>
      </w:r>
      <w:r>
        <w:t xml:space="preserve">acts under its own statutory remit to deliver training to those non-employees in a non-business capacity</w:t>
      </w:r>
      <w:r>
        <w:t xml:space="preserve">”</w:t>
      </w:r>
      <w:r>
        <w:t xml:space="preserve">, pays from its own budget and makes no recharge</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1"/>
          <w:numId w:val="1575"/>
        </w:numPr>
      </w:pPr>
      <w:r>
        <w:t xml:space="preserve">HMRC has not said how this applies to officials of an overseas government, or how the in-house test applies. Confirm with HMRC before claiming (see Part 6, Section 4).</w:t>
      </w:r>
    </w:p>
    <w:p>
      <w:pPr>
        <w:pStyle w:val="Compact"/>
        <w:numPr>
          <w:ilvl w:val="1"/>
          <w:numId w:val="1575"/>
        </w:numPr>
      </w:pPr>
      <w:r>
        <w:t xml:space="preserve">It is</w:t>
      </w:r>
      <w:r>
        <w:t xml:space="preserve"> </w:t>
      </w:r>
      <w:r>
        <w:rPr>
          <w:b/>
          <w:bCs/>
        </w:rPr>
        <w:t xml:space="preserve">Not claimable:</w:t>
      </w:r>
      <w:r>
        <w:t xml:space="preserve"> </w:t>
      </w:r>
      <w:r>
        <w:t xml:space="preserve">if the cost is recharged to the partner government or another party, because HMRC expects no recharge</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1"/>
          <w:numId w:val="1575"/>
        </w:numPr>
      </w:pPr>
      <w:r>
        <w:rPr>
          <w:b/>
          <w:bCs/>
        </w:rPr>
        <w:t xml:space="preserve">Who is the customer?</w:t>
      </w:r>
      <w:r>
        <w:t xml:space="preserve"> </w:t>
      </w:r>
      <w:r>
        <w:t xml:space="preserve">Establish this first. If the Department places the order, receives the service and pays, the supply is to the Department and Heading 65 may apply. If the provider delivers the training directly to the overseas government and the Department merely pays for it, HMRC may treat the overseas government as the recipient. It does this for FCDO-funded aid, where it says the department is making</w:t>
      </w:r>
      <w:r>
        <w:t xml:space="preserve"> </w:t>
      </w:r>
      <w:r>
        <w:t xml:space="preserve">“</w:t>
      </w:r>
      <w:r>
        <w:t xml:space="preserve">third party payments to the UK contractors, holding on account the money for the overseas government(s)</w:t>
      </w:r>
      <w:r>
        <w:t xml:space="preserve">”</w:t>
      </w:r>
      <w:r>
        <w:t xml:space="preserve"> </w:t>
      </w:r>
      <w:r>
        <w:t xml:space="preserve">(</w:t>
      </w:r>
      <w:hyperlink w:anchor="ref-hmrc_vatgpb">
        <w:r>
          <w:rPr>
            <w:rStyle w:val="Hyperlink"/>
          </w:rPr>
          <w:t xml:space="preserve">HMRC, 2026n, sec. VATGPB9500</w:t>
        </w:r>
      </w:hyperlink>
      <w:r>
        <w:t xml:space="preserve">)</w:t>
      </w:r>
      <w:r>
        <w:t xml:space="preserve">. The supply may then be outside the scope of UK VAT, or zero-rated, and there is no supply</w:t>
      </w:r>
      <w:r>
        <w:t xml:space="preserve"> </w:t>
      </w:r>
      <w:r>
        <w:t xml:space="preserve">“</w:t>
      </w:r>
      <w:r>
        <w:t xml:space="preserve">to</w:t>
      </w:r>
      <w:r>
        <w:t xml:space="preserve">”</w:t>
      </w:r>
      <w:r>
        <w:t xml:space="preserve"> </w:t>
      </w:r>
      <w:r>
        <w:t xml:space="preserve">the Department to claim under COS (Value Added Tax Act 1994, s. 41(3)).</w:t>
      </w:r>
    </w:p>
    <w:p>
      <w:pPr>
        <w:pStyle w:val="Compact"/>
        <w:numPr>
          <w:ilvl w:val="1"/>
          <w:numId w:val="1575"/>
        </w:numPr>
      </w:pPr>
      <w:r>
        <w:rPr>
          <w:b/>
          <w:bCs/>
        </w:rPr>
        <w:t xml:space="preserve">Where the overseas government is the customer.</w:t>
      </w:r>
      <w:r>
        <w:t xml:space="preserve"> </w:t>
      </w:r>
      <w:r>
        <w:t xml:space="preserve">Training supplied in the UK to an overseas government for its sovereign (non-business) activities, and not already exempt, can be zero-rated under an extra-statutory concession in VAT Notice 741A</w:t>
      </w:r>
      <w:r>
        <w:t xml:space="preserve"> </w:t>
      </w:r>
      <w:r>
        <w:t xml:space="preserve">(</w:t>
      </w:r>
      <w:hyperlink w:anchor="ref-hmrc_n741a">
        <w:r>
          <w:rPr>
            <w:rStyle w:val="Hyperlink"/>
          </w:rPr>
          <w:t xml:space="preserve">HMRC, 2022d</w:t>
        </w:r>
      </w:hyperlink>
      <w:r>
        <w:t xml:space="preserve">, paras. 15.5–15.8)</w:t>
      </w:r>
      <w:r>
        <w:t xml:space="preserve">. The provider must hold a written statement from that government, or its accredited representative, certifying that the trainees are employed in furtherance of its sovereign activities</w:t>
      </w:r>
      <w:r>
        <w:t xml:space="preserve"> </w:t>
      </w:r>
      <w:r>
        <w:t xml:space="preserve">(</w:t>
      </w:r>
      <w:hyperlink w:anchor="ref-hmrc_n741a">
        <w:r>
          <w:rPr>
            <w:rStyle w:val="Hyperlink"/>
          </w:rPr>
          <w:t xml:space="preserve">HMRC, 2022d, para. 15.6</w:t>
        </w:r>
      </w:hyperlink>
      <w:r>
        <w:t xml:space="preserve">)</w:t>
      </w:r>
      <w:r>
        <w:t xml:space="preserve">. The concession does not apply where the Department contracts for and receives the training</w:t>
      </w:r>
      <w:r>
        <w:t xml:space="preserve"> </w:t>
      </w:r>
      <w:r>
        <w:t xml:space="preserve">(</w:t>
      </w:r>
      <w:hyperlink w:anchor="ref-hmrc_n741a">
        <w:r>
          <w:rPr>
            <w:rStyle w:val="Hyperlink"/>
          </w:rPr>
          <w:t xml:space="preserve">HMRC, 2022d, para. 15.5</w:t>
        </w:r>
      </w:hyperlink>
      <w:r>
        <w:t xml:space="preserve">)</w:t>
      </w:r>
      <w:r>
        <w:t xml:space="preserve">. See Special regimes in Part 6, Section 4.</w:t>
      </w:r>
    </w:p>
    <w:p>
      <w:pPr>
        <w:pStyle w:val="Compact"/>
        <w:numPr>
          <w:ilvl w:val="0"/>
          <w:numId w:val="1573"/>
        </w:numPr>
      </w:pPr>
      <w:r>
        <w:rPr>
          <w:b/>
          <w:bCs/>
        </w:rPr>
        <w:t xml:space="preserve">Not claimable: Training for the sales team.</w:t>
      </w:r>
      <w:r>
        <w:t xml:space="preserve"> </w:t>
      </w:r>
      <w:r>
        <w:t xml:space="preserve">Sales training for the team that sells publications or data licences to overseas customers relates to a business activity. HMRC says not to use Heading 65 for this</w:t>
      </w:r>
      <w:r>
        <w:t xml:space="preserve"> </w:t>
      </w:r>
      <w:r>
        <w:t xml:space="preserve">(</w:t>
      </w:r>
      <w:hyperlink w:anchor="ref-hmrc_vatgpb">
        <w:r>
          <w:rPr>
            <w:rStyle w:val="Hyperlink"/>
          </w:rPr>
          <w:t xml:space="preserve">HMRC, 2026n, sec. VATGPB11030</w:t>
        </w:r>
      </w:hyperlink>
      <w:r>
        <w:t xml:space="preserve">)</w:t>
      </w:r>
      <w:r>
        <w:t xml:space="preserve">. Any reclaim goes through the normal input tax rules</w:t>
      </w:r>
      <w:r>
        <w:t xml:space="preserve"> </w:t>
      </w:r>
      <w:r>
        <w:t xml:space="preserve">(</w:t>
      </w:r>
      <w:hyperlink w:anchor="ref-hmrc_gdpef">
        <w:r>
          <w:rPr>
            <w:rStyle w:val="Hyperlink"/>
          </w:rPr>
          <w:t xml:space="preserve">HMRC, 2023c, sec. 3</w:t>
        </w:r>
      </w:hyperlink>
      <w:r>
        <w:t xml:space="preserve">)</w:t>
      </w:r>
      <w:r>
        <w:t xml:space="preserve">.</w:t>
      </w:r>
    </w:p>
    <w:p>
      <w:pPr>
        <w:pStyle w:val="FirstParagraph"/>
      </w:pPr>
      <w:r>
        <w:rPr>
          <w:b/>
          <w:bCs/>
        </w:rPr>
        <w:t xml:space="preserve">Source:</w:t>
      </w:r>
      <w:r>
        <w:t xml:space="preserve"> </w:t>
      </w:r>
      <w:r>
        <w:t xml:space="preserve">HMRC manual section VATGPB11030, page last updated 17 March 2023</w:t>
      </w:r>
      <w:r>
        <w:t xml:space="preserve"> </w:t>
      </w:r>
      <w:r>
        <w:t xml:space="preserve">(</w:t>
      </w:r>
      <w:hyperlink w:anchor="ref-hmrc_vatgpb">
        <w:r>
          <w:rPr>
            <w:rStyle w:val="Hyperlink"/>
          </w:rPr>
          <w:t xml:space="preserve">HMRC, 2026n, sec. VATGPB11030</w:t>
        </w:r>
      </w:hyperlink>
      <w:r>
        <w:t xml:space="preserve">)</w:t>
      </w:r>
      <w:r>
        <w:t xml:space="preserve">.</w:t>
      </w:r>
    </w:p>
    <w:bookmarkEnd w:id="322"/>
    <w:bookmarkStart w:id="323" w:name="X089f89baec36f35cb73c9ce081554fbea787d5e"/>
    <w:p>
      <w:pPr>
        <w:pStyle w:val="Heading3"/>
      </w:pPr>
      <w:r>
        <w:t xml:space="preserve">Heading 66: Transport research of the kind normally carried out for the Department for Transport</w:t>
      </w:r>
    </w:p>
    <w:p>
      <w:pPr>
        <w:pStyle w:val="FirstParagraph"/>
      </w:pPr>
      <w:r>
        <w:rPr>
          <w:b/>
          <w:bCs/>
        </w:rPr>
        <w:t xml:space="preserve">What it covers (HMRC’s description):</w:t>
      </w:r>
      <w:r>
        <w:t xml:space="preserve"> </w:t>
      </w:r>
      <w:r>
        <w:t xml:space="preserve">“</w:t>
      </w:r>
      <w:r>
        <w:t xml:space="preserve">This Heading allows recovery on transport research of the kind normally carried out for the Department for Transport.</w:t>
      </w:r>
      <w:r>
        <w:t xml:space="preserve">”</w:t>
      </w:r>
      <w:r>
        <w:t xml:space="preserve"> </w:t>
      </w:r>
      <w:r>
        <w:t xml:space="preserve">HMRC adds that</w:t>
      </w:r>
      <w:r>
        <w:t xml:space="preserve"> </w:t>
      </w:r>
      <w:r>
        <w:t xml:space="preserve">“</w:t>
      </w:r>
      <w:r>
        <w:t xml:space="preserve">departments in the devolved administrations which carry out functions delegated to them by the Department for Transport may recover VAT incurred on transport research under this Heading</w:t>
      </w:r>
      <w:r>
        <w:t xml:space="preserve">”</w:t>
      </w:r>
      <w:r>
        <w:t xml:space="preserve"> </w:t>
      </w:r>
      <w:r>
        <w:t xml:space="preserve">(</w:t>
      </w:r>
      <w:hyperlink w:anchor="ref-hmrc_vatgpb">
        <w:r>
          <w:rPr>
            <w:rStyle w:val="Hyperlink"/>
          </w:rPr>
          <w:t xml:space="preserve">HMRC, 2026n, sec. VATGPB11050</w:t>
        </w:r>
      </w:hyperlink>
      <w:r>
        <w:t xml:space="preserve">)</w:t>
      </w:r>
      <w:r>
        <w:t xml:space="preserve">. HMRC’s manual gives no further detail.</w:t>
      </w:r>
    </w:p>
    <w:p>
      <w:pPr>
        <w:pStyle w:val="BodyText"/>
      </w:pPr>
      <w:r>
        <w:t xml:space="preserve">Under paragraph 4 of the Direction this heading is restricted to the Department for Transport (and devolved departments exercising functions it has delegated to them), so it does not apply to the Department</w:t>
      </w:r>
      <w:r>
        <w:t xml:space="preserve"> </w:t>
      </w:r>
      <w:r>
        <w:t xml:space="preserve">(</w:t>
      </w:r>
      <w:hyperlink w:anchor="ref-gazette_2020">
        <w:r>
          <w:rPr>
            <w:rStyle w:val="Hyperlink"/>
          </w:rPr>
          <w:t xml:space="preserve">HM Treasury, 2020b, para. 4</w:t>
        </w:r>
      </w:hyperlink>
      <w:r>
        <w:t xml:space="preserve">;</w:t>
      </w:r>
      <w:r>
        <w:t xml:space="preserve"> </w:t>
      </w:r>
      <w:hyperlink w:anchor="ref-hmrc_vatgpb">
        <w:r>
          <w:rPr>
            <w:rStyle w:val="Hyperlink"/>
          </w:rPr>
          <w:t xml:space="preserve">HMRC, 2026n, sec. VATGPB11050</w:t>
        </w:r>
      </w:hyperlink>
      <w:r>
        <w:t xml:space="preserve">)</w:t>
      </w:r>
      <w:r>
        <w:t xml:space="preserve">.</w:t>
      </w:r>
    </w:p>
    <w:p>
      <w:pPr>
        <w:pStyle w:val="BodyText"/>
      </w:pPr>
      <w:r>
        <w:rPr>
          <w:b/>
          <w:bCs/>
        </w:rPr>
        <w:t xml:space="preserve">Examples for the Department:</w:t>
      </w:r>
    </w:p>
    <w:p>
      <w:pPr>
        <w:pStyle w:val="Compact"/>
        <w:numPr>
          <w:ilvl w:val="0"/>
          <w:numId w:val="1576"/>
        </w:numPr>
      </w:pPr>
      <w:r>
        <w:rPr>
          <w:b/>
          <w:bCs/>
        </w:rPr>
        <w:t xml:space="preserve">Claimable (generic):</w:t>
      </w:r>
      <w:r>
        <w:t xml:space="preserve"> </w:t>
      </w:r>
      <w:r>
        <w:t xml:space="preserve">The Department for Transport commissions a research firm to study the effect of a new road-safety measure on accident rates. This is transport research of the kind normally carried out for that department.</w:t>
      </w:r>
    </w:p>
    <w:p>
      <w:pPr>
        <w:pStyle w:val="Compact"/>
        <w:numPr>
          <w:ilvl w:val="0"/>
          <w:numId w:val="1576"/>
        </w:numPr>
      </w:pPr>
      <w:r>
        <w:rPr>
          <w:b/>
          <w:bCs/>
        </w:rPr>
        <w:t xml:space="preserve">Not claimable:</w:t>
      </w:r>
      <w:r>
        <w:t xml:space="preserve"> </w:t>
      </w:r>
      <w:r>
        <w:t xml:space="preserve">The Department commissions a study of its own staff’s overseas travel patterns to cut costs. This is not transport research of the kind done for the Department for Transport. Other headings may fit, depending on what is actually bought:</w:t>
      </w:r>
    </w:p>
    <w:p>
      <w:pPr>
        <w:pStyle w:val="Compact"/>
        <w:numPr>
          <w:ilvl w:val="1"/>
          <w:numId w:val="1577"/>
        </w:numPr>
      </w:pPr>
      <w:r>
        <w:t xml:space="preserve">If the contractor only advises and does not implement, consider Heading 52, which includes</w:t>
      </w:r>
      <w:r>
        <w:t xml:space="preserve"> </w:t>
      </w:r>
      <w:r>
        <w:t xml:space="preserve">“</w:t>
      </w:r>
      <w:r>
        <w:t xml:space="preserve">Hire of consultants to provide advice on efficiency issues</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1"/>
          <w:numId w:val="1577"/>
        </w:numPr>
      </w:pPr>
      <w:r>
        <w:t xml:space="preserve">If it involves genuinely original research (new surveys or interviews plus analysis), consider Heading 74</w:t>
      </w:r>
      <w:r>
        <w:t xml:space="preserve"> </w:t>
      </w:r>
      <w:r>
        <w:t xml:space="preserve">(</w:t>
      </w:r>
      <w:hyperlink w:anchor="ref-hmrc_vatgpb">
        <w:r>
          <w:rPr>
            <w:rStyle w:val="Hyperlink"/>
          </w:rPr>
          <w:t xml:space="preserve">HMRC, 2026n, sec. VATGPB11210</w:t>
        </w:r>
      </w:hyperlink>
      <w:r>
        <w:t xml:space="preserve">)</w:t>
      </w:r>
      <w:r>
        <w:t xml:space="preserve">.</w:t>
      </w:r>
    </w:p>
    <w:p>
      <w:pPr>
        <w:pStyle w:val="FirstParagraph"/>
      </w:pPr>
      <w:r>
        <w:rPr>
          <w:b/>
          <w:bCs/>
        </w:rPr>
        <w:t xml:space="preserve">Source:</w:t>
      </w:r>
      <w:r>
        <w:t xml:space="preserve"> </w:t>
      </w:r>
      <w:r>
        <w:t xml:space="preserve">HMRC manual section VATGPB11050, page last updated 7 January 2016</w:t>
      </w:r>
      <w:r>
        <w:t xml:space="preserve"> </w:t>
      </w:r>
      <w:r>
        <w:t xml:space="preserve">(</w:t>
      </w:r>
      <w:hyperlink w:anchor="ref-hmrc_vatgpb">
        <w:r>
          <w:rPr>
            <w:rStyle w:val="Hyperlink"/>
          </w:rPr>
          <w:t xml:space="preserve">HMRC, 2026n, sec. VATGPB11050</w:t>
        </w:r>
      </w:hyperlink>
      <w:r>
        <w:t xml:space="preserve">)</w:t>
      </w:r>
      <w:r>
        <w:t xml:space="preserve">.</w:t>
      </w:r>
    </w:p>
    <w:bookmarkEnd w:id="323"/>
    <w:bookmarkStart w:id="324" w:name="Xea8a2fca292e9a220f92f5bb20f095219792c08"/>
    <w:p>
      <w:pPr>
        <w:pStyle w:val="Heading3"/>
      </w:pPr>
      <w:r>
        <w:t xml:space="preserve">Heading 67: Travel services, excluding hotel accommodation and fares</w:t>
      </w:r>
    </w:p>
    <w:p>
      <w:pPr>
        <w:pStyle w:val="FirstParagraph"/>
      </w:pPr>
      <w:r>
        <w:rPr>
          <w:b/>
          <w:bCs/>
        </w:rPr>
        <w:t xml:space="preserve">What it covers (HMRC’s description):</w:t>
      </w:r>
      <w:r>
        <w:t xml:space="preserve"> </w:t>
      </w:r>
      <w:r>
        <w:t xml:space="preserve">“</w:t>
      </w:r>
      <w:r>
        <w:t xml:space="preserve">This Heading allows recovery on travel services but excludes hotel accommodation and fares</w:t>
      </w:r>
      <w:r>
        <w:t xml:space="preserve">”</w:t>
      </w:r>
      <w:r>
        <w:t xml:space="preserve"> </w:t>
      </w:r>
      <w:r>
        <w:t xml:space="preserve">(</w:t>
      </w:r>
      <w:hyperlink w:anchor="ref-hmrc_vatgpb">
        <w:r>
          <w:rPr>
            <w:rStyle w:val="Hyperlink"/>
          </w:rPr>
          <w:t xml:space="preserve">HMRC, 2026n, sec. VATGPB11070</w:t>
        </w:r>
      </w:hyperlink>
      <w:r>
        <w:t xml:space="preserve">)</w:t>
      </w:r>
      <w:r>
        <w:t xml:space="preserve">.</w:t>
      </w:r>
    </w:p>
    <w:p>
      <w:pPr>
        <w:pStyle w:val="Compact"/>
        <w:numPr>
          <w:ilvl w:val="0"/>
          <w:numId w:val="1578"/>
        </w:numPr>
      </w:pPr>
      <w:r>
        <w:t xml:space="preserve">On taxis and hire cars, HMRC says recovery</w:t>
      </w:r>
      <w:r>
        <w:t xml:space="preserve"> </w:t>
      </w:r>
      <w:r>
        <w:t xml:space="preserve">“</w:t>
      </w:r>
      <w:r>
        <w:t xml:space="preserve">depends on the arrangements with the provider and who is receiving the supplies, the government department/health authority or the individual</w:t>
      </w:r>
      <w:r>
        <w:t xml:space="preserve">”</w:t>
      </w:r>
      <w:r>
        <w:t xml:space="preserve"> </w:t>
      </w:r>
      <w:r>
        <w:t xml:space="preserve">(</w:t>
      </w:r>
      <w:hyperlink w:anchor="ref-hmrc_vatgpb">
        <w:r>
          <w:rPr>
            <w:rStyle w:val="Hyperlink"/>
          </w:rPr>
          <w:t xml:space="preserve">HMRC, 2026n, sec. VATGPB11070</w:t>
        </w:r>
      </w:hyperlink>
      <w:r>
        <w:t xml:space="preserve">)</w:t>
      </w:r>
      <w:r>
        <w:t xml:space="preserve">.</w:t>
      </w:r>
    </w:p>
    <w:p>
      <w:pPr>
        <w:pStyle w:val="Compact"/>
        <w:numPr>
          <w:ilvl w:val="0"/>
          <w:numId w:val="1578"/>
        </w:numPr>
      </w:pPr>
      <w:r>
        <w:t xml:space="preserve">HMRC’s manual gives no further detail beyond the lists below. For example, it does not explain how to treat an agency invoice that mixes the agency’s own fee with fares and hotel costs passed on. The heading’s title excludes hotel accommodation and fares in any case.</w:t>
      </w:r>
    </w:p>
    <w:p>
      <w:pPr>
        <w:pStyle w:val="FirstParagraph"/>
      </w:pPr>
      <w:r>
        <w:rPr>
          <w:b/>
          <w:bCs/>
        </w:rPr>
        <w:t xml:space="preserve">Includes:</w:t>
      </w:r>
    </w:p>
    <w:p>
      <w:pPr>
        <w:pStyle w:val="Compact"/>
        <w:numPr>
          <w:ilvl w:val="0"/>
          <w:numId w:val="1579"/>
        </w:numPr>
      </w:pPr>
      <w:r>
        <w:t xml:space="preserve">Travel arrangements provided by an external booking agency</w:t>
      </w:r>
    </w:p>
    <w:p>
      <w:pPr>
        <w:pStyle w:val="Compact"/>
        <w:numPr>
          <w:ilvl w:val="0"/>
          <w:numId w:val="1579"/>
        </w:numPr>
      </w:pPr>
      <w:r>
        <w:t xml:space="preserve">Charges for use of VIP lounges at airports and stations</w:t>
      </w:r>
    </w:p>
    <w:p>
      <w:pPr>
        <w:pStyle w:val="FirstParagraph"/>
      </w:pPr>
      <w:r>
        <w:rPr>
          <w:b/>
          <w:bCs/>
        </w:rPr>
        <w:t xml:space="preserve">Excludes:</w:t>
      </w:r>
    </w:p>
    <w:p>
      <w:pPr>
        <w:pStyle w:val="Compact"/>
        <w:numPr>
          <w:ilvl w:val="0"/>
          <w:numId w:val="1580"/>
        </w:numPr>
      </w:pPr>
      <w:r>
        <w:t xml:space="preserve">“</w:t>
      </w:r>
      <w:r>
        <w:t xml:space="preserve">Public transport fares as these are zero-rated</w:t>
      </w:r>
      <w:r>
        <w:t xml:space="preserve">”</w:t>
      </w:r>
    </w:p>
    <w:p>
      <w:pPr>
        <w:pStyle w:val="Compact"/>
        <w:numPr>
          <w:ilvl w:val="0"/>
          <w:numId w:val="1580"/>
        </w:numPr>
      </w:pPr>
      <w:r>
        <w:t xml:space="preserve">“</w:t>
      </w:r>
      <w:r>
        <w:t xml:space="preserve">VAT paid by third parties in respect of taxis and hire cars</w:t>
      </w:r>
      <w:r>
        <w:t xml:space="preserve">”</w:t>
      </w:r>
    </w:p>
    <w:p>
      <w:pPr>
        <w:pStyle w:val="FirstParagraph"/>
      </w:pPr>
      <w:r>
        <w:rPr>
          <w:b/>
          <w:bCs/>
        </w:rPr>
        <w:t xml:space="preserve">Examples for the Department:</w:t>
      </w:r>
    </w:p>
    <w:p>
      <w:pPr>
        <w:pStyle w:val="Compact"/>
        <w:numPr>
          <w:ilvl w:val="0"/>
          <w:numId w:val="1581"/>
        </w:numPr>
      </w:pPr>
      <w:r>
        <w:rPr>
          <w:b/>
          <w:bCs/>
        </w:rPr>
        <w:t xml:space="preserve">Claimable: Travel management company fees.</w:t>
      </w:r>
      <w:r>
        <w:t xml:space="preserve"> </w:t>
      </w:r>
      <w:r>
        <w:t xml:space="preserve">The Department’s contracted travel management company charges a booking or transaction fee plus UK VAT for arranging staff trips. This matches</w:t>
      </w:r>
      <w:r>
        <w:t xml:space="preserve"> </w:t>
      </w:r>
      <w:r>
        <w:t xml:space="preserve">“</w:t>
      </w:r>
      <w:r>
        <w:t xml:space="preserve">Travel arrangements provided by an external booking agency</w:t>
      </w:r>
      <w:r>
        <w:t xml:space="preserve">”</w:t>
      </w:r>
      <w:r>
        <w:t xml:space="preserve">.</w:t>
      </w:r>
    </w:p>
    <w:p>
      <w:pPr>
        <w:pStyle w:val="Compact"/>
        <w:numPr>
          <w:ilvl w:val="1"/>
          <w:numId w:val="1582"/>
        </w:numPr>
      </w:pPr>
      <w:r>
        <w:t xml:space="preserve">Only the VAT on the agency’s own fee counts, not on any fares or hotel costs it passes on</w:t>
      </w:r>
      <w:r>
        <w:t xml:space="preserve"> </w:t>
      </w:r>
      <w:r>
        <w:t xml:space="preserve">(</w:t>
      </w:r>
      <w:hyperlink w:anchor="ref-hmrc_vatgpb">
        <w:r>
          <w:rPr>
            <w:rStyle w:val="Hyperlink"/>
          </w:rPr>
          <w:t xml:space="preserve">HMRC, 2026n, sec. VATGPB11070</w:t>
        </w:r>
      </w:hyperlink>
      <w:r>
        <w:t xml:space="preserve">)</w:t>
      </w:r>
      <w:r>
        <w:t xml:space="preserve">.</w:t>
      </w:r>
    </w:p>
    <w:p>
      <w:pPr>
        <w:pStyle w:val="Compact"/>
        <w:numPr>
          <w:ilvl w:val="1"/>
          <w:numId w:val="1582"/>
        </w:numPr>
      </w:pPr>
      <w:r>
        <w:t xml:space="preserve">Fees for arranging international flights or overseas hotels are often zero-rated (Value Added Tax Act 1994, Sch. 8, Group 8, item 10 and Group 7, item 2(c))</w:t>
      </w:r>
      <w:r>
        <w:t xml:space="preserve"> </w:t>
      </w:r>
      <w:r>
        <w:t xml:space="preserve">(</w:t>
      </w:r>
      <w:hyperlink w:anchor="ref-hmrc_n7096">
        <w:r>
          <w:rPr>
            <w:rStyle w:val="Hyperlink"/>
          </w:rPr>
          <w:t xml:space="preserve">HMRC, 2020c, para. 3.6</w:t>
        </w:r>
      </w:hyperlink>
      <w:r>
        <w:t xml:space="preserve">;</w:t>
      </w:r>
      <w:r>
        <w:t xml:space="preserve"> </w:t>
      </w:r>
      <w:hyperlink w:anchor="ref-hmrc_n741a">
        <w:r>
          <w:rPr>
            <w:rStyle w:val="Hyperlink"/>
          </w:rPr>
          <w:t xml:space="preserve">2022d, para. 15.2</w:t>
        </w:r>
      </w:hyperlink>
      <w:r>
        <w:t xml:space="preserve">)</w:t>
      </w:r>
      <w:r>
        <w:t xml:space="preserve">. Only claim VAT actually shown on a valid VAT invoice.</w:t>
      </w:r>
    </w:p>
    <w:p>
      <w:pPr>
        <w:pStyle w:val="Compact"/>
        <w:numPr>
          <w:ilvl w:val="0"/>
          <w:numId w:val="1581"/>
        </w:numPr>
      </w:pPr>
      <w:r>
        <w:rPr>
          <w:b/>
          <w:bCs/>
        </w:rPr>
        <w:t xml:space="preserve">Claimable: Airport VIP suite.</w:t>
      </w:r>
      <w:r>
        <w:t xml:space="preserve"> </w:t>
      </w:r>
      <w:r>
        <w:t xml:space="preserve">The Department pays a UK airport, with UK VAT, for a VIP suite for a ministerial delegation leaving for an overseas summit. This matches</w:t>
      </w:r>
      <w:r>
        <w:t xml:space="preserve"> </w:t>
      </w:r>
      <w:r>
        <w:t xml:space="preserve">“</w:t>
      </w:r>
      <w:r>
        <w:t xml:space="preserve">Charges for use of VIP lounges at airports and stations</w:t>
      </w:r>
      <w:r>
        <w:t xml:space="preserve">”</w:t>
      </w:r>
      <w:r>
        <w:t xml:space="preserve">. A lounge at an overseas airport would charge foreign VAT, which cannot be claimed</w:t>
      </w:r>
      <w:r>
        <w:t xml:space="preserve"> </w:t>
      </w:r>
      <w:r>
        <w:t xml:space="preserve">(</w:t>
      </w:r>
      <w:hyperlink w:anchor="ref-hmrc_n741a">
        <w:r>
          <w:rPr>
            <w:rStyle w:val="Hyperlink"/>
          </w:rPr>
          <w:t xml:space="preserve">HMRC, 2022d, para. 7.4</w:t>
        </w:r>
      </w:hyperlink>
      <w:r>
        <w:t xml:space="preserve">)</w:t>
      </w:r>
      <w:r>
        <w:t xml:space="preserve">.</w:t>
      </w:r>
    </w:p>
    <w:p>
      <w:pPr>
        <w:pStyle w:val="Compact"/>
        <w:numPr>
          <w:ilvl w:val="0"/>
          <w:numId w:val="1581"/>
        </w:numPr>
      </w:pPr>
      <w:r>
        <w:rPr>
          <w:b/>
          <w:bCs/>
        </w:rPr>
        <w:t xml:space="preserve">Not claimable: Flights and train tickets.</w:t>
      </w:r>
      <w:r>
        <w:t xml:space="preserve"> </w:t>
      </w:r>
      <w:r>
        <w:t xml:space="preserve">“</w:t>
      </w:r>
      <w:r>
        <w:t xml:space="preserve">Fares</w:t>
      </w:r>
      <w:r>
        <w:t xml:space="preserve">”</w:t>
      </w:r>
      <w:r>
        <w:t xml:space="preserve"> </w:t>
      </w:r>
      <w:r>
        <w:t xml:space="preserve">are excluded by the heading’s title, and HMRC notes that public transport fares</w:t>
      </w:r>
      <w:r>
        <w:t xml:space="preserve"> </w:t>
      </w:r>
      <w:r>
        <w:t xml:space="preserve">“</w:t>
      </w:r>
      <w:r>
        <w:t xml:space="preserve">are zero-rated</w:t>
      </w:r>
      <w:r>
        <w:t xml:space="preserve">”</w:t>
      </w:r>
      <w:r>
        <w:t xml:space="preserve">, so there is no VAT to claim</w:t>
      </w:r>
      <w:r>
        <w:t xml:space="preserve"> </w:t>
      </w:r>
      <w:r>
        <w:t xml:space="preserve">(</w:t>
      </w:r>
      <w:hyperlink w:anchor="ref-hmrc_vatgpb">
        <w:r>
          <w:rPr>
            <w:rStyle w:val="Hyperlink"/>
          </w:rPr>
          <w:t xml:space="preserve">HMRC, 2026n, sec. VATGPB11070</w:t>
        </w:r>
      </w:hyperlink>
      <w:r>
        <w:t xml:space="preserve">)</w:t>
      </w:r>
      <w:r>
        <w:t xml:space="preserve">. Air Passenger Duty is a separate tax, not VAT (Finance Act 1994, s. 28).</w:t>
      </w:r>
    </w:p>
    <w:p>
      <w:pPr>
        <w:pStyle w:val="Compact"/>
        <w:numPr>
          <w:ilvl w:val="0"/>
          <w:numId w:val="1581"/>
        </w:numPr>
      </w:pPr>
      <w:r>
        <w:rPr>
          <w:b/>
          <w:bCs/>
        </w:rPr>
        <w:t xml:space="preserve">Not claimable: Hotels in the UK or abroad.</w:t>
      </w:r>
      <w:r>
        <w:t xml:space="preserve"> </w:t>
      </w:r>
      <w:r>
        <w:t xml:space="preserve">Hotel accommodation is excluded by the title</w:t>
      </w:r>
      <w:r>
        <w:t xml:space="preserve"> </w:t>
      </w:r>
      <w:r>
        <w:t xml:space="preserve">(</w:t>
      </w:r>
      <w:hyperlink w:anchor="ref-hmrc_vatgpb">
        <w:r>
          <w:rPr>
            <w:rStyle w:val="Hyperlink"/>
          </w:rPr>
          <w:t xml:space="preserve">HMRC, 2026n, sec. VATGPB11070</w:t>
        </w:r>
      </w:hyperlink>
      <w:r>
        <w:t xml:space="preserve">)</w:t>
      </w:r>
      <w:r>
        <w:t xml:space="preserve">. HMRC also excludes</w:t>
      </w:r>
      <w:r>
        <w:t xml:space="preserve"> </w:t>
      </w:r>
      <w:r>
        <w:t xml:space="preserve">“</w:t>
      </w:r>
      <w:r>
        <w:t xml:space="preserve">the hire of hotel accommodation on its own</w:t>
      </w:r>
      <w:r>
        <w:t xml:space="preserve">”</w:t>
      </w:r>
      <w:r>
        <w:t xml:space="preserve"> </w:t>
      </w:r>
      <w:r>
        <w:t xml:space="preserve">from Heading 15 (conference and exhibition services)</w:t>
      </w:r>
      <w:r>
        <w:t xml:space="preserve"> </w:t>
      </w:r>
      <w:r>
        <w:t xml:space="preserve">(</w:t>
      </w:r>
      <w:hyperlink w:anchor="ref-hmrc_vatgpb">
        <w:r>
          <w:rPr>
            <w:rStyle w:val="Hyperlink"/>
          </w:rPr>
          <w:t xml:space="preserve">HMRC, 2026n, sec. VATGPB10030</w:t>
        </w:r>
      </w:hyperlink>
      <w:r>
        <w:t xml:space="preserve">)</w:t>
      </w:r>
      <w:r>
        <w:t xml:space="preserve">. Overseas hotels charge their own country’s VAT anyway</w:t>
      </w:r>
      <w:r>
        <w:t xml:space="preserve"> </w:t>
      </w:r>
      <w:r>
        <w:t xml:space="preserve">(</w:t>
      </w:r>
      <w:hyperlink w:anchor="ref-hmrc_n741a">
        <w:r>
          <w:rPr>
            <w:rStyle w:val="Hyperlink"/>
          </w:rPr>
          <w:t xml:space="preserve">HMRC, 2022d, para. 7.4</w:t>
        </w:r>
      </w:hyperlink>
      <w:r>
        <w:t xml:space="preserve">)</w:t>
      </w:r>
      <w:r>
        <w:t xml:space="preserve">.</w:t>
      </w:r>
    </w:p>
    <w:p>
      <w:pPr>
        <w:pStyle w:val="Compact"/>
        <w:numPr>
          <w:ilvl w:val="0"/>
          <w:numId w:val="1581"/>
        </w:numPr>
      </w:pPr>
      <w:r>
        <w:rPr>
          <w:b/>
          <w:bCs/>
        </w:rPr>
        <w:t xml:space="preserve">Not claimable: Package bought from a tour operator.</w:t>
      </w:r>
      <w:r>
        <w:t xml:space="preserve"> </w:t>
      </w:r>
      <w:r>
        <w:t xml:space="preserve">If an agency sells a flight-plus-hotel package as principal under the</w:t>
      </w:r>
      <w:r>
        <w:t xml:space="preserve"> </w:t>
      </w:r>
      <w:r>
        <w:rPr>
          <w:b/>
          <w:bCs/>
        </w:rPr>
        <w:t xml:space="preserve">Tour Operators’ Margin Scheme (TOMS)</w:t>
      </w:r>
      <w:r>
        <w:t xml:space="preserve">, a special scheme for travel packages, the invoice will not show VAT and there is nothing to claim</w:t>
      </w:r>
      <w:r>
        <w:t xml:space="preserve"> </w:t>
      </w:r>
      <w:r>
        <w:t xml:space="preserve">(</w:t>
      </w:r>
      <w:hyperlink w:anchor="ref-hmrc_n7095">
        <w:r>
          <w:rPr>
            <w:rStyle w:val="Hyperlink"/>
          </w:rPr>
          <w:t xml:space="preserve">HMRC, 2024e, para. 4.19</w:t>
        </w:r>
      </w:hyperlink>
      <w:r>
        <w:t xml:space="preserve">)</w:t>
      </w:r>
      <w:r>
        <w:t xml:space="preserve">.</w:t>
      </w:r>
    </w:p>
    <w:p>
      <w:pPr>
        <w:pStyle w:val="Compact"/>
        <w:numPr>
          <w:ilvl w:val="0"/>
          <w:numId w:val="1581"/>
        </w:numPr>
      </w:pPr>
      <w:r>
        <w:rPr>
          <w:b/>
          <w:bCs/>
        </w:rPr>
        <w:t xml:space="preserve">Not claimable: Taxis and hire cars paid by staff.</w:t>
      </w:r>
      <w:r>
        <w:t xml:space="preserve"> </w:t>
      </w:r>
      <w:r>
        <w:t xml:space="preserve">An officer hails a taxi to the airport and claims the fare on expenses. This is</w:t>
      </w:r>
      <w:r>
        <w:t xml:space="preserve"> </w:t>
      </w:r>
      <w:r>
        <w:t xml:space="preserve">“</w:t>
      </w:r>
      <w:r>
        <w:t xml:space="preserve">VAT paid by third parties</w:t>
      </w:r>
      <w:r>
        <w:t xml:space="preserve">”</w:t>
      </w:r>
      <w:r>
        <w:t xml:space="preserve"> </w:t>
      </w:r>
      <w:r>
        <w:t xml:space="preserve">(</w:t>
      </w:r>
      <w:hyperlink w:anchor="ref-hmrc_vatgpb">
        <w:r>
          <w:rPr>
            <w:rStyle w:val="Hyperlink"/>
          </w:rPr>
          <w:t xml:space="preserve">HMRC, 2026n, sec. VATGPB11070</w:t>
        </w:r>
      </w:hyperlink>
      <w:r>
        <w:t xml:space="preserve">)</w:t>
      </w:r>
      <w:r>
        <w:t xml:space="preserve">, and Heading 47 also excludes</w:t>
      </w:r>
      <w:r>
        <w:t xml:space="preserve"> </w:t>
      </w:r>
      <w:r>
        <w:t xml:space="preserve">“</w:t>
      </w:r>
      <w:r>
        <w:t xml:space="preserve">staff members hailing cabs in the street</w:t>
      </w:r>
      <w:r>
        <w:t xml:space="preserve">”</w:t>
      </w:r>
      <w:r>
        <w:t xml:space="preserve"> </w:t>
      </w:r>
      <w:r>
        <w:t xml:space="preserve">(</w:t>
      </w:r>
      <w:hyperlink w:anchor="ref-hmrc_vatgpb">
        <w:r>
          <w:rPr>
            <w:rStyle w:val="Hyperlink"/>
          </w:rPr>
          <w:t xml:space="preserve">HMRC, 2026n, sec. VATGPB10670</w:t>
        </w:r>
      </w:hyperlink>
      <w:r>
        <w:t xml:space="preserve">)</w:t>
      </w:r>
      <w:r>
        <w:t xml:space="preserve">. Other headings cover some taxi and car costs:</w:t>
      </w:r>
    </w:p>
    <w:p>
      <w:pPr>
        <w:pStyle w:val="Compact"/>
        <w:numPr>
          <w:ilvl w:val="1"/>
          <w:numId w:val="1583"/>
        </w:numPr>
      </w:pPr>
      <w:r>
        <w:t xml:space="preserve">A contracted taxi account where the Department receives the tax invoice is considered under Heading 47 (passenger transport services)</w:t>
      </w:r>
      <w:r>
        <w:t xml:space="preserve"> </w:t>
      </w:r>
      <w:r>
        <w:t xml:space="preserve">(</w:t>
      </w:r>
      <w:hyperlink w:anchor="ref-hmrc_vatgpb">
        <w:r>
          <w:rPr>
            <w:rStyle w:val="Hyperlink"/>
          </w:rPr>
          <w:t xml:space="preserve">HMRC, 2026n, sec. VATGPB10670</w:t>
        </w:r>
      </w:hyperlink>
      <w:r>
        <w:t xml:space="preserve">)</w:t>
      </w:r>
      <w:r>
        <w:t xml:space="preserve">.</w:t>
      </w:r>
    </w:p>
    <w:p>
      <w:pPr>
        <w:pStyle w:val="Compact"/>
        <w:numPr>
          <w:ilvl w:val="1"/>
          <w:numId w:val="1583"/>
        </w:numPr>
      </w:pPr>
      <w:r>
        <w:t xml:space="preserve">Vehicle hire for more than 30 consecutive days that includes repair and maintenance is considered under Heading 26</w:t>
      </w:r>
      <w:r>
        <w:t xml:space="preserve"> </w:t>
      </w:r>
      <w:r>
        <w:t xml:space="preserve">(</w:t>
      </w:r>
      <w:hyperlink w:anchor="ref-hmrc_vatgpb">
        <w:r>
          <w:rPr>
            <w:rStyle w:val="Hyperlink"/>
          </w:rPr>
          <w:t xml:space="preserve">HMRC, 2026n, sec. VATGPB10250</w:t>
        </w:r>
      </w:hyperlink>
      <w:r>
        <w:t xml:space="preserve">)</w:t>
      </w:r>
      <w:r>
        <w:t xml:space="preserve">.</w:t>
      </w:r>
    </w:p>
    <w:p>
      <w:pPr>
        <w:pStyle w:val="Compact"/>
        <w:numPr>
          <w:ilvl w:val="0"/>
          <w:numId w:val="1581"/>
        </w:numPr>
      </w:pPr>
      <w:r>
        <w:rPr>
          <w:b/>
          <w:bCs/>
        </w:rPr>
        <w:t xml:space="preserve">Not claimable: Visas and travel insurance.</w:t>
      </w:r>
      <w:r>
        <w:t xml:space="preserve"> </w:t>
      </w:r>
      <w:r>
        <w:t xml:space="preserve">Visa fees paid to a foreign government are not UK VAT (Value Added Tax Act 1994, s. 1(1)). Travel insurance is exempt (Value Added Tax Act 1994, Sch. 9, Group 2, item 1)</w:t>
      </w:r>
      <w:r>
        <w:t xml:space="preserve"> </w:t>
      </w:r>
      <w:r>
        <w:t xml:space="preserve">(</w:t>
      </w:r>
      <w:hyperlink w:anchor="ref-hmrc_vat_rates">
        <w:r>
          <w:rPr>
            <w:rStyle w:val="Hyperlink"/>
          </w:rPr>
          <w:t xml:space="preserve">HMRC, 2026r, sec. 10</w:t>
        </w:r>
      </w:hyperlink>
      <w:r>
        <w:t xml:space="preserve">)</w:t>
      </w:r>
      <w:r>
        <w:t xml:space="preserve">, and Insurance Premium Tax is not VAT (Finance Act 1994, s. 48), so there is nothing to claim on either.</w:t>
      </w:r>
    </w:p>
    <w:p>
      <w:pPr>
        <w:pStyle w:val="Compact"/>
        <w:numPr>
          <w:ilvl w:val="0"/>
          <w:numId w:val="1581"/>
        </w:numPr>
      </w:pPr>
      <w:r>
        <w:rPr>
          <w:b/>
          <w:bCs/>
        </w:rPr>
        <w:t xml:space="preserve">Check first: Visa-agency handling fees: unconfirmed.</w:t>
      </w:r>
      <w:r>
        <w:t xml:space="preserve"> </w:t>
      </w:r>
      <w:r>
        <w:t xml:space="preserve">HMRC’s text does not mention them; check with HMRC before claiming an agent’s VAT-bearing fee under this heading.</w:t>
      </w:r>
    </w:p>
    <w:p>
      <w:pPr>
        <w:pStyle w:val="Compact"/>
        <w:numPr>
          <w:ilvl w:val="0"/>
          <w:numId w:val="1581"/>
        </w:numPr>
      </w:pPr>
      <w:r>
        <w:rPr>
          <w:b/>
          <w:bCs/>
        </w:rPr>
        <w:t xml:space="preserve">Not claimable: Other overseas-trip costs that are not</w:t>
      </w:r>
      <w:r>
        <w:rPr>
          <w:b/>
          <w:bCs/>
        </w:rPr>
        <w:t xml:space="preserve"> </w:t>
      </w:r>
      <w:r>
        <w:rPr>
          <w:b/>
          <w:bCs/>
        </w:rPr>
        <w:t xml:space="preserve">“</w:t>
      </w:r>
      <w:r>
        <w:rPr>
          <w:b/>
          <w:bCs/>
        </w:rPr>
        <w:t xml:space="preserve">travel services</w:t>
      </w:r>
      <w:r>
        <w:rPr>
          <w:b/>
          <w:bCs/>
        </w:rPr>
        <w:t xml:space="preserve">”</w:t>
      </w:r>
      <w:r>
        <w:rPr>
          <w:b/>
          <w:bCs/>
        </w:rPr>
        <w:t xml:space="preserve">.</w:t>
      </w:r>
      <w:r>
        <w:t xml:space="preserve"> </w:t>
      </w:r>
      <w:r>
        <w:t xml:space="preserve">These fall elsewhere or not at all:</w:t>
      </w:r>
    </w:p>
    <w:p>
      <w:pPr>
        <w:pStyle w:val="Compact"/>
        <w:numPr>
          <w:ilvl w:val="1"/>
          <w:numId w:val="1584"/>
        </w:numPr>
      </w:pPr>
      <w:r>
        <w:t xml:space="preserve">Overseas conference delegate fees often carry the host country’s VAT, which is foreign VAT and not claimable</w:t>
      </w:r>
      <w:r>
        <w:t xml:space="preserve"> </w:t>
      </w:r>
      <w:r>
        <w:t xml:space="preserve">(</w:t>
      </w:r>
      <w:hyperlink w:anchor="ref-hmrc_n741a">
        <w:r>
          <w:rPr>
            <w:rStyle w:val="Hyperlink"/>
          </w:rPr>
          <w:t xml:space="preserve">HMRC, 2022d</w:t>
        </w:r>
      </w:hyperlink>
      <w:r>
        <w:t xml:space="preserve">, paras. 9.2, 9.3)</w:t>
      </w:r>
      <w:r>
        <w:t xml:space="preserve">.</w:t>
      </w:r>
    </w:p>
    <w:p>
      <w:pPr>
        <w:pStyle w:val="Compact"/>
        <w:numPr>
          <w:ilvl w:val="1"/>
          <w:numId w:val="1584"/>
        </w:numPr>
      </w:pPr>
      <w:r>
        <w:t xml:space="preserve">Interpreters are considered under Heading 28 (interpretation and translation services)</w:t>
      </w:r>
      <w:r>
        <w:t xml:space="preserve"> </w:t>
      </w:r>
      <w:r>
        <w:t xml:space="preserve">(</w:t>
      </w:r>
      <w:hyperlink w:anchor="ref-hmrc_vatgpb">
        <w:r>
          <w:rPr>
            <w:rStyle w:val="Hyperlink"/>
          </w:rPr>
          <w:t xml:space="preserve">HMRC, 2026n, sec. VATGPB10290</w:t>
        </w:r>
      </w:hyperlink>
      <w:r>
        <w:t xml:space="preserve">)</w:t>
      </w:r>
      <w:r>
        <w:t xml:space="preserve">. An interpreter based abroad will not normally charge UK VAT. But if the Department engages and pays the interpreter, it must account for UK VAT under the reverse charge and can recover it under Heading 28 for non-business use, so the net cost is nil</w:t>
      </w:r>
      <w:r>
        <w:t xml:space="preserve"> </w:t>
      </w:r>
      <w:r>
        <w:t xml:space="preserve">(</w:t>
      </w:r>
      <w:hyperlink w:anchor="ref-hmrc_n741a">
        <w:r>
          <w:rPr>
            <w:rStyle w:val="Hyperlink"/>
          </w:rPr>
          <w:t xml:space="preserve">HMRC, 2022d, para. 6.3</w:t>
        </w:r>
      </w:hyperlink>
      <w:r>
        <w:t xml:space="preserve">;</w:t>
      </w:r>
      <w:r>
        <w:t xml:space="preserve"> </w:t>
      </w:r>
      <w:hyperlink w:anchor="ref-hmrc_gdpef">
        <w:r>
          <w:rPr>
            <w:rStyle w:val="Hyperlink"/>
          </w:rPr>
          <w:t xml:space="preserve">2023c, sec. 7</w:t>
        </w:r>
      </w:hyperlink>
      <w:r>
        <w:t xml:space="preserve">)</w:t>
      </w:r>
      <w:r>
        <w:t xml:space="preserve">. If an officer engages the interpreter personally and claims the cost on expenses, nothing can be claimed (Value Added Tax Act 1994, s. 41(3)).</w:t>
      </w:r>
    </w:p>
    <w:p>
      <w:pPr>
        <w:pStyle w:val="Compact"/>
        <w:numPr>
          <w:ilvl w:val="1"/>
          <w:numId w:val="1584"/>
        </w:numPr>
      </w:pPr>
      <w:r>
        <w:t xml:space="preserve">A removal company the Department commissions for a posting falls under Heading 57 (</w:t>
      </w:r>
      <w:r>
        <w:t xml:space="preserve">“</w:t>
      </w:r>
      <w:r>
        <w:t xml:space="preserve">staff relocation expenses where the department commissions the removal company</w:t>
      </w:r>
      <w:r>
        <w:t xml:space="preserve">”</w:t>
      </w:r>
      <w:r>
        <w:t xml:space="preserve">)</w:t>
      </w:r>
      <w:r>
        <w:t xml:space="preserve"> </w:t>
      </w:r>
      <w:r>
        <w:t xml:space="preserve">(</w:t>
      </w:r>
      <w:hyperlink w:anchor="ref-hmrc_vatgpb">
        <w:r>
          <w:rPr>
            <w:rStyle w:val="Hyperlink"/>
          </w:rPr>
          <w:t xml:space="preserve">HMRC, 2026n, sec. VATGPB10870</w:t>
        </w:r>
      </w:hyperlink>
      <w:r>
        <w:t xml:space="preserve">)</w:t>
      </w:r>
      <w:r>
        <w:t xml:space="preserve">. Removals to another country may be largely zero-rated (Value Added Tax Act 1994, Sch. 8, Group 8, items 5 and 11)</w:t>
      </w:r>
      <w:r>
        <w:t xml:space="preserve"> </w:t>
      </w:r>
      <w:r>
        <w:t xml:space="preserve">(</w:t>
      </w:r>
      <w:hyperlink w:anchor="ref-hmrc_vtrans">
        <w:r>
          <w:rPr>
            <w:rStyle w:val="Hyperlink"/>
          </w:rPr>
          <w:t xml:space="preserve">HMRC, 2023d, sec. VTRANS060200</w:t>
        </w:r>
      </w:hyperlink>
      <w:r>
        <w:t xml:space="preserve">)</w:t>
      </w:r>
      <w:r>
        <w:t xml:space="preserve">.</w:t>
      </w:r>
    </w:p>
    <w:p>
      <w:pPr>
        <w:pStyle w:val="Compact"/>
        <w:numPr>
          <w:ilvl w:val="1"/>
          <w:numId w:val="1584"/>
        </w:numPr>
      </w:pPr>
      <w:r>
        <w:t xml:space="preserve">Storage of the officer’s belongings falls under Heading 63.</w:t>
      </w:r>
    </w:p>
    <w:p>
      <w:pPr>
        <w:pStyle w:val="Compact"/>
        <w:numPr>
          <w:ilvl w:val="0"/>
          <w:numId w:val="1581"/>
        </w:numPr>
      </w:pPr>
      <w:r>
        <w:rPr>
          <w:b/>
          <w:bCs/>
        </w:rPr>
        <w:t xml:space="preserve">Not claimable: Sales trips.</w:t>
      </w:r>
      <w:r>
        <w:t xml:space="preserve"> </w:t>
      </w:r>
      <w:r>
        <w:t xml:space="preserve">Agency fees for a trip to sell surplus equipment or data licences to overseas customers relate to a business activity, so they are outside COS and go through the normal input tax rules</w:t>
      </w:r>
      <w:r>
        <w:t xml:space="preserve"> </w:t>
      </w:r>
      <w:r>
        <w:t xml:space="preserve">(</w:t>
      </w:r>
      <w:hyperlink w:anchor="ref-hmrc_gdpef">
        <w:r>
          <w:rPr>
            <w:rStyle w:val="Hyperlink"/>
          </w:rPr>
          <w:t xml:space="preserve">HMRC, 2023c, sec. 3</w:t>
        </w:r>
      </w:hyperlink>
      <w:r>
        <w:t xml:space="preserve">)</w:t>
      </w:r>
      <w:r>
        <w:t xml:space="preserve">. Where a trip serves both business and non-business purposes, use the Department’s business/non-business apportionment</w:t>
      </w:r>
      <w:r>
        <w:t xml:space="preserve"> </w:t>
      </w:r>
      <w:r>
        <w:t xml:space="preserve">(</w:t>
      </w:r>
      <w:hyperlink w:anchor="ref-hmrc_gdpef">
        <w:r>
          <w:rPr>
            <w:rStyle w:val="Hyperlink"/>
          </w:rPr>
          <w:t xml:space="preserve">HMRC, 2023c, sec. 5</w:t>
        </w:r>
      </w:hyperlink>
      <w:r>
        <w:t xml:space="preserve">)</w:t>
      </w:r>
      <w:r>
        <w:t xml:space="preserve">.</w:t>
      </w:r>
    </w:p>
    <w:p>
      <w:pPr>
        <w:pStyle w:val="FirstParagraph"/>
      </w:pPr>
      <w:r>
        <w:rPr>
          <w:b/>
          <w:bCs/>
        </w:rPr>
        <w:t xml:space="preserve">Source:</w:t>
      </w:r>
      <w:r>
        <w:t xml:space="preserve"> </w:t>
      </w:r>
      <w:r>
        <w:t xml:space="preserve">HMRC manual section VATGPB11070, page last updated 7 January 2016</w:t>
      </w:r>
      <w:r>
        <w:t xml:space="preserve"> </w:t>
      </w:r>
      <w:r>
        <w:t xml:space="preserve">(</w:t>
      </w:r>
      <w:hyperlink w:anchor="ref-hmrc_vatgpb">
        <w:r>
          <w:rPr>
            <w:rStyle w:val="Hyperlink"/>
          </w:rPr>
          <w:t xml:space="preserve">HMRC, 2026n, sec. VATGPB11070</w:t>
        </w:r>
      </w:hyperlink>
      <w:r>
        <w:t xml:space="preserve">)</w:t>
      </w:r>
      <w:r>
        <w:t xml:space="preserve">.</w:t>
      </w:r>
    </w:p>
    <w:bookmarkEnd w:id="324"/>
    <w:bookmarkStart w:id="325" w:name="Xf064fabee9ab908e5d52c4722105dce2b33849b"/>
    <w:p>
      <w:pPr>
        <w:pStyle w:val="Heading3"/>
      </w:pPr>
      <w:r>
        <w:t xml:space="preserve">Heading 68: Travel and transport surveys, including traffic census counts</w:t>
      </w:r>
    </w:p>
    <w:p>
      <w:pPr>
        <w:pStyle w:val="FirstParagraph"/>
      </w:pPr>
      <w:r>
        <w:rPr>
          <w:b/>
          <w:bCs/>
        </w:rPr>
        <w:t xml:space="preserve">What it covers (HMRC’s description):</w:t>
      </w:r>
      <w:r>
        <w:t xml:space="preserve"> </w:t>
      </w:r>
      <w:r>
        <w:t xml:space="preserve">“</w:t>
      </w:r>
      <w:r>
        <w:t xml:space="preserve">This Heading covers travel and transport surveys, including traffic census counts</w:t>
      </w:r>
      <w:r>
        <w:t xml:space="preserve">”</w:t>
      </w:r>
      <w:r>
        <w:t xml:space="preserve"> </w:t>
      </w:r>
      <w:r>
        <w:t xml:space="preserve">(</w:t>
      </w:r>
      <w:hyperlink w:anchor="ref-hmrc_vatgpb">
        <w:r>
          <w:rPr>
            <w:rStyle w:val="Hyperlink"/>
          </w:rPr>
          <w:t xml:space="preserve">HMRC, 2026n, sec. VATGPB11090</w:t>
        </w:r>
      </w:hyperlink>
      <w:r>
        <w:t xml:space="preserve">)</w:t>
      </w:r>
      <w:r>
        <w:t xml:space="preserve">. HMRC’s manual gives no further detail.</w:t>
      </w:r>
    </w:p>
    <w:p>
      <w:pPr>
        <w:pStyle w:val="BodyText"/>
      </w:pPr>
      <w:r>
        <w:rPr>
          <w:b/>
          <w:bCs/>
        </w:rPr>
        <w:t xml:space="preserve">Examples for the Department:</w:t>
      </w:r>
    </w:p>
    <w:p>
      <w:pPr>
        <w:pStyle w:val="Compact"/>
        <w:numPr>
          <w:ilvl w:val="0"/>
          <w:numId w:val="1585"/>
        </w:numPr>
      </w:pPr>
      <w:r>
        <w:rPr>
          <w:b/>
          <w:bCs/>
        </w:rPr>
        <w:t xml:space="preserve">Claimable:</w:t>
      </w:r>
      <w:r>
        <w:t xml:space="preserve"> </w:t>
      </w:r>
      <w:r>
        <w:t xml:space="preserve">A survey firm surveys how staff and visitors travel to the Department’s headquarters, to support a travel plan. HMRC gives only one sentence, so the plain wording</w:t>
      </w:r>
      <w:r>
        <w:t xml:space="preserve"> </w:t>
      </w:r>
      <w:r>
        <w:t xml:space="preserve">“</w:t>
      </w:r>
      <w:r>
        <w:t xml:space="preserve">travel and transport surveys</w:t>
      </w:r>
      <w:r>
        <w:t xml:space="preserve">”</w:t>
      </w:r>
      <w:r>
        <w:t xml:space="preserve"> </w:t>
      </w:r>
      <w:r>
        <w:t xml:space="preserve">is all there is to go on.</w:t>
      </w:r>
    </w:p>
    <w:p>
      <w:pPr>
        <w:pStyle w:val="Compact"/>
        <w:numPr>
          <w:ilvl w:val="0"/>
          <w:numId w:val="1585"/>
        </w:numPr>
      </w:pPr>
      <w:r>
        <w:rPr>
          <w:b/>
          <w:bCs/>
        </w:rPr>
        <w:t xml:space="preserve">Claimable (generic):</w:t>
      </w:r>
      <w:r>
        <w:t xml:space="preserve"> </w:t>
      </w:r>
      <w:r>
        <w:t xml:space="preserve">A contractor carries out a traffic count on an access road to one of the Department’s sites. This matches</w:t>
      </w:r>
      <w:r>
        <w:t xml:space="preserve"> </w:t>
      </w:r>
      <w:r>
        <w:t xml:space="preserve">“</w:t>
      </w:r>
      <w:r>
        <w:t xml:space="preserve">including traffic census counts</w:t>
      </w:r>
      <w:r>
        <w:t xml:space="preserve">”</w:t>
      </w:r>
      <w:r>
        <w:t xml:space="preserve">.</w:t>
      </w:r>
    </w:p>
    <w:p>
      <w:pPr>
        <w:pStyle w:val="Compact"/>
        <w:numPr>
          <w:ilvl w:val="0"/>
          <w:numId w:val="1585"/>
        </w:numPr>
      </w:pPr>
      <w:r>
        <w:rPr>
          <w:b/>
          <w:bCs/>
        </w:rPr>
        <w:t xml:space="preserve">Not claimable:</w:t>
      </w:r>
      <w:r>
        <w:t xml:space="preserve"> </w:t>
      </w:r>
      <w:r>
        <w:t xml:space="preserve">Buying automatic traffic-counting equipment. These are goods, not a survey service, and</w:t>
      </w:r>
      <w:r>
        <w:t xml:space="preserve"> </w:t>
      </w:r>
      <w:r>
        <w:t xml:space="preserve">“</w:t>
      </w:r>
      <w:r>
        <w:t xml:space="preserve">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w:t>
      </w:r>
    </w:p>
    <w:p>
      <w:pPr>
        <w:pStyle w:val="FirstParagraph"/>
      </w:pPr>
      <w:r>
        <w:rPr>
          <w:b/>
          <w:bCs/>
        </w:rPr>
        <w:t xml:space="preserve">Source:</w:t>
      </w:r>
      <w:r>
        <w:t xml:space="preserve"> </w:t>
      </w:r>
      <w:r>
        <w:t xml:space="preserve">HMRC manual section VATGPB11090, page last updated 7 January 2016</w:t>
      </w:r>
      <w:r>
        <w:t xml:space="preserve"> </w:t>
      </w:r>
      <w:r>
        <w:t xml:space="preserve">(</w:t>
      </w:r>
      <w:hyperlink w:anchor="ref-hmrc_vatgpb">
        <w:r>
          <w:rPr>
            <w:rStyle w:val="Hyperlink"/>
          </w:rPr>
          <w:t xml:space="preserve">HMRC, 2026n, sec. VATGPB11090</w:t>
        </w:r>
      </w:hyperlink>
      <w:r>
        <w:t xml:space="preserve">)</w:t>
      </w:r>
      <w:r>
        <w:t xml:space="preserve">.</w:t>
      </w:r>
    </w:p>
    <w:bookmarkEnd w:id="325"/>
    <w:bookmarkStart w:id="326" w:name="X84a8f7b30b908d0894bc8d51cd0fd2327b5c130"/>
    <w:p>
      <w:pPr>
        <w:pStyle w:val="Heading3"/>
      </w:pPr>
      <w:r>
        <w:t xml:space="preserve">Heading 69: Typing, secretarial, telephonist and clerical services</w:t>
      </w:r>
    </w:p>
    <w:p>
      <w:pPr>
        <w:pStyle w:val="FirstParagraph"/>
      </w:pPr>
      <w:r>
        <w:rPr>
          <w:b/>
          <w:bCs/>
        </w:rPr>
        <w:t xml:space="preserve">What it covers (HMRC’s description):</w:t>
      </w:r>
      <w:r>
        <w:t xml:space="preserve"> </w:t>
      </w:r>
      <w:r>
        <w:t xml:space="preserve">HMRC gives the full heading as:</w:t>
      </w:r>
      <w:r>
        <w:t xml:space="preserve"> </w:t>
      </w:r>
      <w:r>
        <w:t xml:space="preserve">“</w:t>
      </w:r>
      <w:r>
        <w:t xml:space="preserve">Typing, secretarial, telephonist and clerical services but excluding agreements which amount to no more than the provision of staff on a temporary basis</w:t>
      </w:r>
      <w:r>
        <w:t xml:space="preserve">”</w:t>
      </w:r>
      <w:r>
        <w:t xml:space="preserve"> </w:t>
      </w:r>
      <w:r>
        <w:t xml:space="preserve">(</w:t>
      </w:r>
      <w:hyperlink w:anchor="ref-hmrc_vatgpb">
        <w:r>
          <w:rPr>
            <w:rStyle w:val="Hyperlink"/>
          </w:rPr>
          <w:t xml:space="preserve">HMRC, 2026n, sec. VATGPB11110</w:t>
        </w:r>
      </w:hyperlink>
      <w:r>
        <w:t xml:space="preserve">)</w:t>
      </w:r>
      <w:r>
        <w:t xml:space="preserve">.</w:t>
      </w:r>
    </w:p>
    <w:p>
      <w:pPr>
        <w:pStyle w:val="Compact"/>
        <w:numPr>
          <w:ilvl w:val="0"/>
          <w:numId w:val="1586"/>
        </w:numPr>
      </w:pPr>
      <w:r>
        <w:t xml:space="preserve">The wording was changed</w:t>
      </w:r>
      <w:r>
        <w:t xml:space="preserve"> </w:t>
      </w:r>
      <w:r>
        <w:t xml:space="preserve">“</w:t>
      </w:r>
      <w:r>
        <w:t xml:space="preserve">for clarification purposes only as the words</w:t>
      </w:r>
      <w:r>
        <w:t xml:space="preserve"> </w:t>
      </w:r>
      <w:r>
        <w:t xml:space="preserve">‘</w:t>
      </w:r>
      <w:r>
        <w:t xml:space="preserve">including agency staff</w:t>
      </w:r>
      <w:r>
        <w:t xml:space="preserve">’</w:t>
      </w:r>
      <w:r>
        <w:t xml:space="preserve"> </w:t>
      </w:r>
      <w:r>
        <w:t xml:space="preserve">were causing confusion</w:t>
      </w:r>
      <w:r>
        <w:t xml:space="preserve">”</w:t>
      </w:r>
      <w:r>
        <w:t xml:space="preserve">, and</w:t>
      </w:r>
      <w:r>
        <w:t xml:space="preserve"> </w:t>
      </w:r>
      <w:r>
        <w:t xml:space="preserve">“</w:t>
      </w:r>
      <w:r>
        <w:t xml:space="preserve">the intended general scope of the heading has not changed</w:t>
      </w:r>
      <w:r>
        <w:t xml:space="preserve">”</w:t>
      </w:r>
      <w:r>
        <w:t xml:space="preserve">.</w:t>
      </w:r>
    </w:p>
    <w:p>
      <w:pPr>
        <w:pStyle w:val="Compact"/>
        <w:numPr>
          <w:ilvl w:val="0"/>
          <w:numId w:val="1586"/>
        </w:numPr>
      </w:pPr>
      <w:r>
        <w:t xml:space="preserve">The heading covers</w:t>
      </w:r>
      <w:r>
        <w:t xml:space="preserve"> </w:t>
      </w:r>
      <w:r>
        <w:t xml:space="preserve">“</w:t>
      </w:r>
      <w:r>
        <w:t xml:space="preserve">the outsourcing of typing, secretarial, telephonist and clerical service functions</w:t>
      </w:r>
      <w:r>
        <w:t xml:space="preserve">”</w:t>
      </w:r>
      <w:r>
        <w:t xml:space="preserve">.</w:t>
      </w:r>
    </w:p>
    <w:p>
      <w:pPr>
        <w:pStyle w:val="Compact"/>
        <w:numPr>
          <w:ilvl w:val="0"/>
          <w:numId w:val="1586"/>
        </w:numPr>
      </w:pPr>
      <w:r>
        <w:t xml:space="preserve">It</w:t>
      </w:r>
      <w:r>
        <w:t xml:space="preserve"> </w:t>
      </w:r>
      <w:r>
        <w:t xml:space="preserve">“</w:t>
      </w:r>
      <w:r>
        <w:t xml:space="preserve">does not include the hire of typists, secretaries, administration staff and agency staff – for example to fill short-term vacancies or supplement existing staff levels during busy periods</w:t>
      </w:r>
      <w:r>
        <w:t xml:space="preserve">”</w:t>
      </w:r>
      <w:r>
        <w:t xml:space="preserve">.</w:t>
      </w:r>
    </w:p>
    <w:p>
      <w:pPr>
        <w:pStyle w:val="FirstParagraph"/>
      </w:pPr>
      <w:r>
        <w:rPr>
          <w:b/>
          <w:bCs/>
        </w:rPr>
        <w:t xml:space="preserve">Includes:</w:t>
      </w:r>
    </w:p>
    <w:p>
      <w:pPr>
        <w:pStyle w:val="Compact"/>
        <w:numPr>
          <w:ilvl w:val="0"/>
          <w:numId w:val="1587"/>
        </w:numPr>
      </w:pPr>
      <w:r>
        <w:t xml:space="preserve">Provision of typing services by a word processing bureau</w:t>
      </w:r>
    </w:p>
    <w:p>
      <w:pPr>
        <w:pStyle w:val="Compact"/>
        <w:numPr>
          <w:ilvl w:val="0"/>
          <w:numId w:val="1587"/>
        </w:numPr>
      </w:pPr>
      <w:r>
        <w:t xml:space="preserve">Dictation services</w:t>
      </w:r>
    </w:p>
    <w:p>
      <w:pPr>
        <w:pStyle w:val="Compact"/>
        <w:numPr>
          <w:ilvl w:val="0"/>
          <w:numId w:val="1587"/>
        </w:numPr>
      </w:pPr>
      <w:r>
        <w:t xml:space="preserve">Transcription services</w:t>
      </w:r>
    </w:p>
    <w:p>
      <w:pPr>
        <w:pStyle w:val="FirstParagraph"/>
      </w:pPr>
      <w:r>
        <w:rPr>
          <w:b/>
          <w:bCs/>
        </w:rPr>
        <w:t xml:space="preserve">Excludes:</w:t>
      </w:r>
    </w:p>
    <w:p>
      <w:pPr>
        <w:pStyle w:val="Compact"/>
        <w:numPr>
          <w:ilvl w:val="0"/>
          <w:numId w:val="1588"/>
        </w:numPr>
      </w:pPr>
      <w:r>
        <w:t xml:space="preserve">Secondees (staff from another organisation working temporarily inside the Department)</w:t>
      </w:r>
    </w:p>
    <w:p>
      <w:pPr>
        <w:pStyle w:val="Compact"/>
        <w:numPr>
          <w:ilvl w:val="0"/>
          <w:numId w:val="1588"/>
        </w:numPr>
      </w:pPr>
      <w:r>
        <w:t xml:space="preserve">“</w:t>
      </w:r>
      <w:r>
        <w:t xml:space="preserve">Executive, managerial or other decision-making roles – the heading is limited to clerical roles, not consultancy services</w:t>
      </w:r>
      <w:r>
        <w:t xml:space="preserve">”</w:t>
      </w:r>
    </w:p>
    <w:p>
      <w:pPr>
        <w:pStyle w:val="Compact"/>
        <w:numPr>
          <w:ilvl w:val="0"/>
          <w:numId w:val="1588"/>
        </w:numPr>
      </w:pPr>
      <w:r>
        <w:t xml:space="preserve">Hire of telephones, telephone lines, switchboard equipment etc.</w:t>
      </w:r>
    </w:p>
    <w:p>
      <w:pPr>
        <w:pStyle w:val="Compact"/>
        <w:numPr>
          <w:ilvl w:val="0"/>
          <w:numId w:val="1588"/>
        </w:numPr>
      </w:pPr>
      <w:r>
        <w:t xml:space="preserve">The hire of agency staff</w:t>
      </w:r>
    </w:p>
    <w:p>
      <w:pPr>
        <w:pStyle w:val="FirstParagraph"/>
      </w:pPr>
      <w:r>
        <w:rPr>
          <w:b/>
          <w:bCs/>
        </w:rPr>
        <w:t xml:space="preserve">Examples for the Department:</w:t>
      </w:r>
    </w:p>
    <w:p>
      <w:pPr>
        <w:pStyle w:val="Compact"/>
        <w:numPr>
          <w:ilvl w:val="0"/>
          <w:numId w:val="1589"/>
        </w:numPr>
      </w:pPr>
      <w:r>
        <w:rPr>
          <w:b/>
          <w:bCs/>
        </w:rPr>
        <w:t xml:space="preserve">Claimable:</w:t>
      </w:r>
      <w:r>
        <w:t xml:space="preserve"> </w:t>
      </w:r>
      <w:r>
        <w:t xml:space="preserve">A transcription company turns recorded interviews with partner-government officials, from a capability-building programme, into written transcripts and charges VAT. This matches</w:t>
      </w:r>
      <w:r>
        <w:t xml:space="preserve"> </w:t>
      </w:r>
      <w:r>
        <w:t xml:space="preserve">“</w:t>
      </w:r>
      <w:r>
        <w:t xml:space="preserve">Transcription services</w:t>
      </w:r>
      <w:r>
        <w:t xml:space="preserve">”</w:t>
      </w:r>
      <w:r>
        <w:t xml:space="preserve">.</w:t>
      </w:r>
    </w:p>
    <w:p>
      <w:pPr>
        <w:pStyle w:val="Compact"/>
        <w:numPr>
          <w:ilvl w:val="0"/>
          <w:numId w:val="1589"/>
        </w:numPr>
      </w:pPr>
      <w:r>
        <w:rPr>
          <w:b/>
          <w:bCs/>
        </w:rPr>
        <w:t xml:space="preserve">Claimable:</w:t>
      </w:r>
      <w:r>
        <w:t xml:space="preserve"> </w:t>
      </w:r>
      <w:r>
        <w:t xml:space="preserve">A word-processing bureau types up and formats a large batch of internal reports under an outsourcing contract. This matches the</w:t>
      </w:r>
      <w:r>
        <w:t xml:space="preserve"> </w:t>
      </w:r>
      <w:r>
        <w:t xml:space="preserve">“</w:t>
      </w:r>
      <w:r>
        <w:t xml:space="preserve">typing services by a word processing bureau</w:t>
      </w:r>
      <w:r>
        <w:t xml:space="preserve">”</w:t>
      </w:r>
      <w:r>
        <w:t xml:space="preserve"> </w:t>
      </w:r>
      <w:r>
        <w:t xml:space="preserve">item.</w:t>
      </w:r>
    </w:p>
    <w:p>
      <w:pPr>
        <w:pStyle w:val="Compact"/>
        <w:numPr>
          <w:ilvl w:val="0"/>
          <w:numId w:val="1589"/>
        </w:numPr>
      </w:pPr>
      <w:r>
        <w:rPr>
          <w:b/>
          <w:bCs/>
        </w:rPr>
        <w:t xml:space="preserve">Not claimable:</w:t>
      </w:r>
      <w:r>
        <w:t xml:space="preserve"> </w:t>
      </w:r>
      <w:r>
        <w:t xml:space="preserve">An agency temp PA covers a maternity absence in the international team. This is</w:t>
      </w:r>
      <w:r>
        <w:t xml:space="preserve"> </w:t>
      </w:r>
      <w:r>
        <w:t xml:space="preserve">“</w:t>
      </w:r>
      <w:r>
        <w:t xml:space="preserve">the hire of agency staff</w:t>
      </w:r>
      <w:r>
        <w:t xml:space="preserve">”</w:t>
      </w:r>
      <w:r>
        <w:t xml:space="preserve">, which is an agreement for no more than</w:t>
      </w:r>
      <w:r>
        <w:t xml:space="preserve"> </w:t>
      </w:r>
      <w:r>
        <w:t xml:space="preserve">“</w:t>
      </w:r>
      <w:r>
        <w:t xml:space="preserve">the provision of staff on a temporary basis</w:t>
      </w:r>
      <w:r>
        <w:t xml:space="preserve">”</w:t>
      </w:r>
      <w:r>
        <w:t xml:space="preserve">.</w:t>
      </w:r>
    </w:p>
    <w:p>
      <w:pPr>
        <w:pStyle w:val="Compact"/>
        <w:numPr>
          <w:ilvl w:val="0"/>
          <w:numId w:val="1589"/>
        </w:numPr>
      </w:pPr>
      <w:r>
        <w:rPr>
          <w:b/>
          <w:bCs/>
        </w:rPr>
        <w:t xml:space="preserve">Not claimable:</w:t>
      </w:r>
      <w:r>
        <w:t xml:space="preserve"> </w:t>
      </w:r>
      <w:r>
        <w:t xml:space="preserve">Translating documents for an overseas partner government is not typing or clerical work. Look at Heading 28 (interpretation and translation services) instead</w:t>
      </w:r>
      <w:r>
        <w:t xml:space="preserve"> </w:t>
      </w:r>
      <w:r>
        <w:t xml:space="preserve">(</w:t>
      </w:r>
      <w:hyperlink w:anchor="ref-hmrc_vatgpb">
        <w:r>
          <w:rPr>
            <w:rStyle w:val="Hyperlink"/>
          </w:rPr>
          <w:t xml:space="preserve">HMRC, 2026n, sec. VATGPB10290</w:t>
        </w:r>
      </w:hyperlink>
      <w:r>
        <w:t xml:space="preserve">)</w:t>
      </w:r>
      <w:r>
        <w:t xml:space="preserve">.</w:t>
      </w:r>
    </w:p>
    <w:p>
      <w:pPr>
        <w:pStyle w:val="FirstParagraph"/>
      </w:pPr>
      <w:r>
        <w:rPr>
          <w:b/>
          <w:bCs/>
        </w:rPr>
        <w:t xml:space="preserve">Source:</w:t>
      </w:r>
      <w:r>
        <w:t xml:space="preserve"> </w:t>
      </w:r>
      <w:r>
        <w:t xml:space="preserve">HMRC manual section VATGPB11110, page last updated 12 March 2021</w:t>
      </w:r>
      <w:r>
        <w:t xml:space="preserve"> </w:t>
      </w:r>
      <w:r>
        <w:t xml:space="preserve">(</w:t>
      </w:r>
      <w:hyperlink w:anchor="ref-hmrc_vatgpb">
        <w:r>
          <w:rPr>
            <w:rStyle w:val="Hyperlink"/>
          </w:rPr>
          <w:t xml:space="preserve">HMRC, 2026n, sec. VATGPB11110</w:t>
        </w:r>
      </w:hyperlink>
      <w:r>
        <w:t xml:space="preserve">)</w:t>
      </w:r>
      <w:r>
        <w:t xml:space="preserve">.</w:t>
      </w:r>
    </w:p>
    <w:bookmarkEnd w:id="326"/>
    <w:bookmarkStart w:id="327" w:name="heading-70-waste-disposal-services"/>
    <w:p>
      <w:pPr>
        <w:pStyle w:val="Heading3"/>
      </w:pPr>
      <w:r>
        <w:t xml:space="preserve">Heading 70: Waste disposal services</w:t>
      </w:r>
    </w:p>
    <w:p>
      <w:pPr>
        <w:pStyle w:val="FirstParagraph"/>
      </w:pPr>
      <w:r>
        <w:rPr>
          <w:b/>
          <w:bCs/>
        </w:rPr>
        <w:t xml:space="preserve">What it covers (HMRC’s description):</w:t>
      </w:r>
      <w:r>
        <w:t xml:space="preserve"> </w:t>
      </w:r>
      <w:r>
        <w:t xml:space="preserve">“</w:t>
      </w:r>
      <w:r>
        <w:t xml:space="preserve">This Heading allows recovery on waste disposal services</w:t>
      </w:r>
      <w:r>
        <w:t xml:space="preserve">”</w:t>
      </w:r>
      <w:r>
        <w:t xml:space="preserve"> </w:t>
      </w:r>
      <w:r>
        <w:t xml:space="preserve">(</w:t>
      </w:r>
      <w:hyperlink w:anchor="ref-hmrc_vatgpb">
        <w:r>
          <w:rPr>
            <w:rStyle w:val="Hyperlink"/>
          </w:rPr>
          <w:t xml:space="preserve">HMRC, 2026n, sec. VATGPB11130</w:t>
        </w:r>
      </w:hyperlink>
      <w:r>
        <w:t xml:space="preserve">)</w:t>
      </w:r>
      <w:r>
        <w:t xml:space="preserve">.</w:t>
      </w:r>
    </w:p>
    <w:p>
      <w:pPr>
        <w:pStyle w:val="BodyText"/>
      </w:pPr>
      <w:r>
        <w:rPr>
          <w:b/>
          <w:bCs/>
        </w:rPr>
        <w:t xml:space="preserve">Includes:</w:t>
      </w:r>
      <w:r>
        <w:t xml:space="preserve"> </w:t>
      </w:r>
      <w:r>
        <w:t xml:space="preserve">Collection and waste disposal services such as:</w:t>
      </w:r>
    </w:p>
    <w:p>
      <w:pPr>
        <w:pStyle w:val="Compact"/>
        <w:numPr>
          <w:ilvl w:val="0"/>
          <w:numId w:val="1590"/>
        </w:numPr>
      </w:pPr>
      <w:r>
        <w:t xml:space="preserve">Refuse collection</w:t>
      </w:r>
    </w:p>
    <w:p>
      <w:pPr>
        <w:pStyle w:val="Compact"/>
        <w:numPr>
          <w:ilvl w:val="0"/>
          <w:numId w:val="1590"/>
        </w:numPr>
      </w:pPr>
      <w:r>
        <w:t xml:space="preserve">Trade waste</w:t>
      </w:r>
    </w:p>
    <w:p>
      <w:pPr>
        <w:pStyle w:val="Compact"/>
        <w:numPr>
          <w:ilvl w:val="0"/>
          <w:numId w:val="1590"/>
        </w:numPr>
      </w:pPr>
      <w:r>
        <w:t xml:space="preserve">Feminine hygiene services</w:t>
      </w:r>
    </w:p>
    <w:p>
      <w:pPr>
        <w:pStyle w:val="Compact"/>
        <w:numPr>
          <w:ilvl w:val="0"/>
          <w:numId w:val="1590"/>
        </w:numPr>
      </w:pPr>
      <w:r>
        <w:t xml:space="preserve">Clinical waste</w:t>
      </w:r>
    </w:p>
    <w:p>
      <w:pPr>
        <w:pStyle w:val="Compact"/>
        <w:numPr>
          <w:ilvl w:val="0"/>
          <w:numId w:val="1590"/>
        </w:numPr>
      </w:pPr>
      <w:r>
        <w:t xml:space="preserve">Recycling services</w:t>
      </w:r>
    </w:p>
    <w:p>
      <w:pPr>
        <w:pStyle w:val="Compact"/>
        <w:numPr>
          <w:ilvl w:val="0"/>
          <w:numId w:val="1590"/>
        </w:numPr>
      </w:pPr>
      <w:r>
        <w:t xml:space="preserve">Removal of ash, incineration services and sludge disposal</w:t>
      </w:r>
    </w:p>
    <w:p>
      <w:pPr>
        <w:pStyle w:val="Compact"/>
        <w:numPr>
          <w:ilvl w:val="0"/>
          <w:numId w:val="1590"/>
        </w:numPr>
      </w:pPr>
      <w:r>
        <w:t xml:space="preserve">The supply of incineration waste products, or for the use or hire of incineration facilities</w:t>
      </w:r>
    </w:p>
    <w:p>
      <w:pPr>
        <w:pStyle w:val="Compact"/>
        <w:numPr>
          <w:ilvl w:val="0"/>
          <w:numId w:val="1590"/>
        </w:numPr>
      </w:pPr>
      <w:r>
        <w:t xml:space="preserve">The removal, conveyance, treatment or disposal of the contents of cesspools, septic tanks or similar receptacles</w:t>
      </w:r>
    </w:p>
    <w:p>
      <w:pPr>
        <w:pStyle w:val="Compact"/>
        <w:numPr>
          <w:ilvl w:val="0"/>
          <w:numId w:val="1590"/>
        </w:numPr>
      </w:pPr>
      <w:r>
        <w:t xml:space="preserve">Hire of rubbish skips and wheelie bins, where full containers are exchanged for empty ones by an outside firm</w:t>
      </w:r>
    </w:p>
    <w:p>
      <w:pPr>
        <w:pStyle w:val="FirstParagraph"/>
      </w:pPr>
      <w:r>
        <w:rPr>
          <w:b/>
          <w:bCs/>
        </w:rPr>
        <w:t xml:space="preserve">Excludes:</w:t>
      </w:r>
    </w:p>
    <w:p>
      <w:pPr>
        <w:pStyle w:val="Compact"/>
        <w:numPr>
          <w:ilvl w:val="0"/>
          <w:numId w:val="1591"/>
        </w:numPr>
      </w:pPr>
      <w:r>
        <w:t xml:space="preserve">“</w:t>
      </w:r>
      <w:r>
        <w:t xml:space="preserve">Purchase of waste disposal equipment as this is a supply of goods</w:t>
      </w:r>
      <w:r>
        <w:t xml:space="preserve">”</w:t>
      </w:r>
    </w:p>
    <w:p>
      <w:pPr>
        <w:pStyle w:val="Compact"/>
        <w:numPr>
          <w:ilvl w:val="0"/>
          <w:numId w:val="1591"/>
        </w:numPr>
      </w:pPr>
      <w:r>
        <w:t xml:space="preserve">“</w:t>
      </w:r>
      <w:r>
        <w:t xml:space="preserve">Disposal of construction waste in the course of repair &amp; maintenance, which may be incorporated within Headings 35-37</w:t>
      </w:r>
      <w:r>
        <w:t xml:space="preserve">”</w:t>
      </w:r>
    </w:p>
    <w:p>
      <w:pPr>
        <w:pStyle w:val="FirstParagraph"/>
      </w:pPr>
      <w:r>
        <w:rPr>
          <w:b/>
          <w:bCs/>
        </w:rPr>
        <w:t xml:space="preserve">Examples for the Department:</w:t>
      </w:r>
    </w:p>
    <w:p>
      <w:pPr>
        <w:pStyle w:val="Compact"/>
        <w:numPr>
          <w:ilvl w:val="0"/>
          <w:numId w:val="1592"/>
        </w:numPr>
      </w:pPr>
      <w:r>
        <w:rPr>
          <w:b/>
          <w:bCs/>
        </w:rPr>
        <w:t xml:space="preserve">Claimable:</w:t>
      </w:r>
      <w:r>
        <w:t xml:space="preserve"> </w:t>
      </w:r>
      <w:r>
        <w:t xml:space="preserve">A contractor collects general waste and recycling from the Department’s headquarters and regional offices. This matches</w:t>
      </w:r>
      <w:r>
        <w:t xml:space="preserve"> </w:t>
      </w:r>
      <w:r>
        <w:t xml:space="preserve">“</w:t>
      </w:r>
      <w:r>
        <w:t xml:space="preserve">Refuse collection</w:t>
      </w:r>
      <w:r>
        <w:t xml:space="preserve">”</w:t>
      </w:r>
      <w:r>
        <w:t xml:space="preserve"> </w:t>
      </w:r>
      <w:r>
        <w:t xml:space="preserve">and</w:t>
      </w:r>
      <w:r>
        <w:t xml:space="preserve"> </w:t>
      </w:r>
      <w:r>
        <w:t xml:space="preserve">“</w:t>
      </w:r>
      <w:r>
        <w:t xml:space="preserve">Recycling services</w:t>
      </w:r>
      <w:r>
        <w:t xml:space="preserve">”</w:t>
      </w:r>
      <w:r>
        <w:t xml:space="preserve">.</w:t>
      </w:r>
    </w:p>
    <w:p>
      <w:pPr>
        <w:pStyle w:val="Compact"/>
        <w:numPr>
          <w:ilvl w:val="0"/>
          <w:numId w:val="1592"/>
        </w:numPr>
      </w:pPr>
      <w:r>
        <w:rPr>
          <w:b/>
          <w:bCs/>
        </w:rPr>
        <w:t xml:space="preserve">Claimable:</w:t>
      </w:r>
      <w:r>
        <w:t xml:space="preserve"> </w:t>
      </w:r>
      <w:r>
        <w:t xml:space="preserve">A washroom sanitary-bin service. This matches</w:t>
      </w:r>
      <w:r>
        <w:t xml:space="preserve"> </w:t>
      </w:r>
      <w:r>
        <w:t xml:space="preserve">“</w:t>
      </w:r>
      <w:r>
        <w:t xml:space="preserve">Feminine hygiene services</w:t>
      </w:r>
      <w:r>
        <w:t xml:space="preserve">”</w:t>
      </w:r>
      <w:r>
        <w:t xml:space="preserve">.</w:t>
      </w:r>
    </w:p>
    <w:p>
      <w:pPr>
        <w:pStyle w:val="Compact"/>
        <w:numPr>
          <w:ilvl w:val="0"/>
          <w:numId w:val="1592"/>
        </w:numPr>
      </w:pPr>
      <w:r>
        <w:rPr>
          <w:b/>
          <w:bCs/>
        </w:rPr>
        <w:t xml:space="preserve">Not claimable:</w:t>
      </w:r>
      <w:r>
        <w:t xml:space="preserve"> </w:t>
      </w:r>
      <w:r>
        <w:t xml:space="preserve">Buying wheelie bins or a cardboard baler outright is</w:t>
      </w:r>
      <w:r>
        <w:t xml:space="preserve"> </w:t>
      </w:r>
      <w:r>
        <w:t xml:space="preserve">“</w:t>
      </w:r>
      <w:r>
        <w:t xml:space="preserve">Purchase of waste disposal equipment</w:t>
      </w:r>
      <w:r>
        <w:t xml:space="preserve">”</w:t>
      </w:r>
      <w:r>
        <w:t xml:space="preserve">, which is a supply of goods. Hiring skips or bins that an outside firm swaps full for empty would qualify.</w:t>
      </w:r>
    </w:p>
    <w:p>
      <w:pPr>
        <w:pStyle w:val="Compact"/>
        <w:numPr>
          <w:ilvl w:val="0"/>
          <w:numId w:val="1592"/>
        </w:numPr>
      </w:pPr>
      <w:r>
        <w:rPr>
          <w:b/>
          <w:bCs/>
        </w:rPr>
        <w:t xml:space="preserve">Not claimable:</w:t>
      </w:r>
      <w:r>
        <w:t xml:space="preserve"> </w:t>
      </w:r>
      <w:r>
        <w:t xml:space="preserve">A builder removes rubble while repairing an office. This is construction waste in the course of repair and maintenance, so look at Headings 35–37 instead.</w:t>
      </w:r>
    </w:p>
    <w:p>
      <w:pPr>
        <w:pStyle w:val="FirstParagraph"/>
      </w:pPr>
      <w:r>
        <w:rPr>
          <w:b/>
          <w:bCs/>
        </w:rPr>
        <w:t xml:space="preserve">Source:</w:t>
      </w:r>
      <w:r>
        <w:t xml:space="preserve"> </w:t>
      </w:r>
      <w:r>
        <w:t xml:space="preserve">HMRC manual section VATGPB11130, page last updated 7 January 2016</w:t>
      </w:r>
      <w:r>
        <w:t xml:space="preserve"> </w:t>
      </w:r>
      <w:r>
        <w:t xml:space="preserve">(</w:t>
      </w:r>
      <w:hyperlink w:anchor="ref-hmrc_vatgpb">
        <w:r>
          <w:rPr>
            <w:rStyle w:val="Hyperlink"/>
          </w:rPr>
          <w:t xml:space="preserve">HMRC, 2026n, sec. VATGPB11130</w:t>
        </w:r>
      </w:hyperlink>
      <w:r>
        <w:t xml:space="preserve">)</w:t>
      </w:r>
      <w:r>
        <w:t xml:space="preserve">.</w:t>
      </w:r>
    </w:p>
    <w:bookmarkEnd w:id="327"/>
    <w:bookmarkStart w:id="328" w:name="heading-71-welfare-services"/>
    <w:p>
      <w:pPr>
        <w:pStyle w:val="Heading3"/>
      </w:pPr>
      <w:r>
        <w:t xml:space="preserve">Heading 71: Welfare services</w:t>
      </w:r>
    </w:p>
    <w:p>
      <w:pPr>
        <w:pStyle w:val="FirstParagraph"/>
      </w:pPr>
      <w:r>
        <w:rPr>
          <w:b/>
          <w:bCs/>
        </w:rPr>
        <w:t xml:space="preserve">What it covers (HMRC’s description):</w:t>
      </w:r>
      <w:r>
        <w:t xml:space="preserve"> </w:t>
      </w:r>
      <w:r>
        <w:t xml:space="preserve">“</w:t>
      </w:r>
      <w:r>
        <w:t xml:space="preserve">This Heading covers welfare services.</w:t>
      </w:r>
      <w:r>
        <w:t xml:space="preserve">”</w:t>
      </w:r>
      <w:r>
        <w:t xml:space="preserve"> </w:t>
      </w:r>
      <w:r>
        <w:t xml:space="preserve">HMRC adds:</w:t>
      </w:r>
      <w:r>
        <w:t xml:space="preserve"> </w:t>
      </w:r>
      <w:r>
        <w:t xml:space="preserve">“</w:t>
      </w:r>
      <w:r>
        <w:t xml:space="preserve">Many of these educational welfare services will be exempt from VAT so there will be no VAT to recover</w:t>
      </w:r>
      <w:r>
        <w:t xml:space="preserve">”</w:t>
      </w:r>
      <w:r>
        <w:t xml:space="preserve"> </w:t>
      </w:r>
      <w:r>
        <w:t xml:space="preserve">(</w:t>
      </w:r>
      <w:hyperlink w:anchor="ref-hmrc_vatgpb">
        <w:r>
          <w:rPr>
            <w:rStyle w:val="Hyperlink"/>
          </w:rPr>
          <w:t xml:space="preserve">HMRC, 2026n, sec. VATGPB11150</w:t>
        </w:r>
      </w:hyperlink>
      <w:r>
        <w:t xml:space="preserve">)</w:t>
      </w:r>
      <w:r>
        <w:t xml:space="preserve">.</w:t>
      </w:r>
    </w:p>
    <w:p>
      <w:pPr>
        <w:pStyle w:val="BodyText"/>
      </w:pPr>
      <w:r>
        <w:rPr>
          <w:b/>
          <w:bCs/>
        </w:rPr>
        <w:t xml:space="preserve">Includes:</w:t>
      </w:r>
    </w:p>
    <w:p>
      <w:pPr>
        <w:pStyle w:val="Compact"/>
        <w:numPr>
          <w:ilvl w:val="0"/>
          <w:numId w:val="1593"/>
        </w:numPr>
      </w:pPr>
      <w:r>
        <w:t xml:space="preserve">Staff support services</w:t>
      </w:r>
    </w:p>
    <w:p>
      <w:pPr>
        <w:pStyle w:val="Compact"/>
        <w:numPr>
          <w:ilvl w:val="0"/>
          <w:numId w:val="1593"/>
        </w:numPr>
      </w:pPr>
      <w:r>
        <w:t xml:space="preserve">“</w:t>
      </w:r>
      <w:r>
        <w:t xml:space="preserve">Counselling services provided to staff, for example in the aftermath of major incidents</w:t>
      </w:r>
      <w:r>
        <w:t xml:space="preserve">”</w:t>
      </w:r>
    </w:p>
    <w:p>
      <w:pPr>
        <w:pStyle w:val="Compact"/>
        <w:numPr>
          <w:ilvl w:val="0"/>
          <w:numId w:val="1593"/>
        </w:numPr>
      </w:pPr>
      <w:r>
        <w:t xml:space="preserve">“</w:t>
      </w:r>
      <w:r>
        <w:t xml:space="preserve">The provision of care, treatment or instruction designed to promote physical or mental well being</w:t>
      </w:r>
      <w:r>
        <w:t xml:space="preserve">”</w:t>
      </w:r>
      <w:r>
        <w:t xml:space="preserve">. This includes supplies to prison inmates and hospital in-patients.</w:t>
      </w:r>
    </w:p>
    <w:p>
      <w:pPr>
        <w:pStyle w:val="FirstParagraph"/>
      </w:pPr>
      <w:r>
        <w:rPr>
          <w:b/>
          <w:bCs/>
        </w:rPr>
        <w:t xml:space="preserve">Examples for the Department:</w:t>
      </w:r>
    </w:p>
    <w:p>
      <w:pPr>
        <w:pStyle w:val="Compact"/>
        <w:numPr>
          <w:ilvl w:val="0"/>
          <w:numId w:val="1594"/>
        </w:numPr>
      </w:pPr>
      <w:r>
        <w:rPr>
          <w:b/>
          <w:bCs/>
        </w:rPr>
        <w:t xml:space="preserve">Claimable:</w:t>
      </w:r>
      <w:r>
        <w:t xml:space="preserve"> </w:t>
      </w:r>
      <w:r>
        <w:t xml:space="preserve">An employee assistance programme gives staff a 24-hour support and counselling helpline, and the provider charges VAT. This matches</w:t>
      </w:r>
      <w:r>
        <w:t xml:space="preserve"> </w:t>
      </w:r>
      <w:r>
        <w:t xml:space="preserve">“</w:t>
      </w:r>
      <w:r>
        <w:t xml:space="preserve">Staff support services</w:t>
      </w:r>
      <w:r>
        <w:t xml:space="preserve">”</w:t>
      </w:r>
      <w:r>
        <w:t xml:space="preserve">.</w:t>
      </w:r>
    </w:p>
    <w:p>
      <w:pPr>
        <w:pStyle w:val="Compact"/>
        <w:numPr>
          <w:ilvl w:val="0"/>
          <w:numId w:val="1594"/>
        </w:numPr>
      </w:pPr>
      <w:r>
        <w:rPr>
          <w:b/>
          <w:bCs/>
        </w:rPr>
        <w:t xml:space="preserve">Claimable:</w:t>
      </w:r>
      <w:r>
        <w:t xml:space="preserve"> </w:t>
      </w:r>
      <w:r>
        <w:t xml:space="preserve">Staff evacuated from an overseas office after a serious security incident receive counselling from a contracted UK provider that charges UK VAT. This matches</w:t>
      </w:r>
      <w:r>
        <w:t xml:space="preserve"> </w:t>
      </w:r>
      <w:r>
        <w:t xml:space="preserve">“</w:t>
      </w:r>
      <w:r>
        <w:t xml:space="preserve">Counselling services provided to staff, for example in the aftermath of major incidents</w:t>
      </w:r>
      <w:r>
        <w:t xml:space="preserve">”</w:t>
      </w:r>
      <w:r>
        <w:t xml:space="preserve">. If a local provider in the overseas country does the counselling and charges that country’s VAT, that foreign VAT cannot be claimed (Value Added Tax Act 1994, ss. 1(1) and 41(3)). Separately, as a business customer the Department must account for UK VAT under the reverse charge; that VAT is refundable under this heading if the service qualifies and is used for non-business purposes</w:t>
      </w:r>
      <w:r>
        <w:t xml:space="preserve"> </w:t>
      </w:r>
      <w:r>
        <w:t xml:space="preserve">(</w:t>
      </w:r>
      <w:hyperlink w:anchor="ref-hmrc_n741a">
        <w:r>
          <w:rPr>
            <w:rStyle w:val="Hyperlink"/>
          </w:rPr>
          <w:t xml:space="preserve">HMRC, 2022d, para. 6.3</w:t>
        </w:r>
      </w:hyperlink>
      <w:r>
        <w:t xml:space="preserve">;</w:t>
      </w:r>
      <w:r>
        <w:t xml:space="preserve"> </w:t>
      </w:r>
      <w:hyperlink w:anchor="ref-hmrc_gdpef">
        <w:r>
          <w:rPr>
            <w:rStyle w:val="Hyperlink"/>
          </w:rPr>
          <w:t xml:space="preserve">2023c, sec. 7</w:t>
        </w:r>
      </w:hyperlink>
      <w:r>
        <w:t xml:space="preserve">)</w:t>
      </w:r>
      <w:r>
        <w:t xml:space="preserve">. Only the foreign VAT is a cost.</w:t>
      </w:r>
    </w:p>
    <w:p>
      <w:pPr>
        <w:pStyle w:val="Compact"/>
        <w:numPr>
          <w:ilvl w:val="0"/>
          <w:numId w:val="1594"/>
        </w:numPr>
      </w:pPr>
      <w:r>
        <w:rPr>
          <w:b/>
          <w:bCs/>
        </w:rPr>
        <w:t xml:space="preserve">Not claimable:</w:t>
      </w:r>
      <w:r>
        <w:t xml:space="preserve"> </w:t>
      </w:r>
      <w:r>
        <w:t xml:space="preserve">Counselling from a provider whose services are exempt, for example care by a registered health professional (Value Added Tax Act 1994, Sch. 9, Group 7, item 1). There is no VAT on the invoice to claim, and HMRC itself warns that many of these services are exempt</w:t>
      </w:r>
      <w:r>
        <w:t xml:space="preserve"> </w:t>
      </w:r>
      <w:r>
        <w:t xml:space="preserve">(</w:t>
      </w:r>
      <w:hyperlink w:anchor="ref-hmrc_vatgpb">
        <w:r>
          <w:rPr>
            <w:rStyle w:val="Hyperlink"/>
          </w:rPr>
          <w:t xml:space="preserve">HMRC, 2026n, sec. VATGPB11150</w:t>
        </w:r>
      </w:hyperlink>
      <w:r>
        <w:t xml:space="preserve">)</w:t>
      </w:r>
      <w:r>
        <w:t xml:space="preserve">.</w:t>
      </w:r>
    </w:p>
    <w:p>
      <w:pPr>
        <w:pStyle w:val="Compact"/>
        <w:numPr>
          <w:ilvl w:val="0"/>
          <w:numId w:val="1594"/>
        </w:numPr>
      </w:pPr>
      <w:r>
        <w:rPr>
          <w:b/>
          <w:bCs/>
        </w:rPr>
        <w:t xml:space="preserve">Not claimable:</w:t>
      </w:r>
      <w:r>
        <w:t xml:space="preserve"> </w:t>
      </w:r>
      <w:r>
        <w:t xml:space="preserve">Buying fitness equipment for an office wellbeing room. These are goods, not a welfare service, and</w:t>
      </w:r>
      <w:r>
        <w:t xml:space="preserve"> </w:t>
      </w:r>
      <w:r>
        <w:t xml:space="preserve">“</w:t>
      </w:r>
      <w:r>
        <w:t xml:space="preserve">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w:t>
      </w:r>
    </w:p>
    <w:p>
      <w:pPr>
        <w:pStyle w:val="FirstParagraph"/>
      </w:pPr>
      <w:r>
        <w:rPr>
          <w:b/>
          <w:bCs/>
        </w:rPr>
        <w:t xml:space="preserve">Source:</w:t>
      </w:r>
      <w:r>
        <w:t xml:space="preserve"> </w:t>
      </w:r>
      <w:r>
        <w:t xml:space="preserve">HMRC manual section VATGPB11150, page last updated 3 July 2017</w:t>
      </w:r>
      <w:r>
        <w:t xml:space="preserve"> </w:t>
      </w:r>
      <w:r>
        <w:t xml:space="preserve">(</w:t>
      </w:r>
      <w:hyperlink w:anchor="ref-hmrc_vatgpb">
        <w:r>
          <w:rPr>
            <w:rStyle w:val="Hyperlink"/>
          </w:rPr>
          <w:t xml:space="preserve">HMRC, 2026n, sec. VATGPB11150</w:t>
        </w:r>
      </w:hyperlink>
      <w:r>
        <w:t xml:space="preserve">)</w:t>
      </w:r>
      <w:r>
        <w:t xml:space="preserve">.</w:t>
      </w:r>
    </w:p>
    <w:bookmarkEnd w:id="328"/>
    <w:bookmarkStart w:id="329" w:name="X7ebde5f9c364d50375c2eeadbf637f3b315ce8f"/>
    <w:p>
      <w:pPr>
        <w:pStyle w:val="Heading3"/>
      </w:pPr>
      <w:r>
        <w:t xml:space="preserve">Heading 72: Career guidance, mentoring, counselling and other related services</w:t>
      </w:r>
    </w:p>
    <w:p>
      <w:pPr>
        <w:pStyle w:val="FirstParagraph"/>
      </w:pPr>
      <w:r>
        <w:rPr>
          <w:b/>
          <w:bCs/>
        </w:rPr>
        <w:t xml:space="preserve">What it covers (HMRC’s description):</w:t>
      </w:r>
      <w:r>
        <w:t xml:space="preserve"> </w:t>
      </w:r>
      <w:r>
        <w:t xml:space="preserve">HMRC gives the full heading as</w:t>
      </w:r>
      <w:r>
        <w:t xml:space="preserve"> </w:t>
      </w:r>
      <w:r>
        <w:t xml:space="preserve">(</w:t>
      </w:r>
      <w:hyperlink w:anchor="ref-hmrc_vatgpb">
        <w:r>
          <w:rPr>
            <w:rStyle w:val="Hyperlink"/>
          </w:rPr>
          <w:t xml:space="preserve">HMRC, 2026n, sec. VATGPB11170</w:t>
        </w:r>
      </w:hyperlink>
      <w:r>
        <w:t xml:space="preserve">)</w:t>
      </w:r>
      <w:r>
        <w:t xml:space="preserve">:</w:t>
      </w:r>
    </w:p>
    <w:p>
      <w:pPr>
        <w:pStyle w:val="BlockText"/>
      </w:pPr>
      <w:r>
        <w:t xml:space="preserve">“Services supplied solely for the purpose of duties imposed by, or powers provided pursuant to, welfare legislation enacted by Parliament and the devolved governments including but not limited to the Employment and Training Act 1973 and the Welfare Reform Acts of 2007 and 2012, and either:-</w:t>
      </w:r>
    </w:p>
    <w:p>
      <w:pPr>
        <w:pStyle w:val="BlockText"/>
        <w:numPr>
          <w:ilvl w:val="0"/>
          <w:numId w:val="1595"/>
        </w:numPr>
      </w:pPr>
      <w:r>
        <w:t xml:space="preserve">the benefit of those services is delivered directly to individuals to help them in seeking to obtain or retain employment, or to enhance their employment prospects either before or during employment, including but not limited to careers guidance, mentoring, counselling, training, skills assessment, medical services and assessments and occupational health assessments, employment programmes, work experience, work placement and business plan development; or</w:t>
      </w:r>
    </w:p>
    <w:p>
      <w:pPr>
        <w:pStyle w:val="BlockText"/>
        <w:numPr>
          <w:ilvl w:val="0"/>
          <w:numId w:val="1595"/>
        </w:numPr>
      </w:pPr>
      <w:r>
        <w:t xml:space="preserve">they provide direct support to claimants of benefits under the welfare legislation including but not limited to assistance with making claims, provision of medical services and assessments, occupational health assessments and other assessments and personal budgeting advice.”</w:t>
      </w:r>
    </w:p>
    <w:p>
      <w:pPr>
        <w:pStyle w:val="FirstParagraph"/>
      </w:pPr>
      <w:r>
        <w:t xml:space="preserve">HMRC adds that</w:t>
      </w:r>
      <w:r>
        <w:t xml:space="preserve"> </w:t>
      </w:r>
      <w:r>
        <w:t xml:space="preserve">“</w:t>
      </w:r>
      <w:r>
        <w:t xml:space="preserve">this also applies to the devolved governments and legislation enacted by them</w:t>
      </w:r>
      <w:r>
        <w:t xml:space="preserve">”</w:t>
      </w:r>
      <w:r>
        <w:t xml:space="preserve"> </w:t>
      </w:r>
      <w:r>
        <w:t xml:space="preserve">(</w:t>
      </w:r>
      <w:hyperlink w:anchor="ref-hmrc_vatgpb">
        <w:r>
          <w:rPr>
            <w:rStyle w:val="Hyperlink"/>
          </w:rPr>
          <w:t xml:space="preserve">HMRC, 2026n, sec. VATGPB11170</w:t>
        </w:r>
      </w:hyperlink>
      <w:r>
        <w:t xml:space="preserve">)</w:t>
      </w:r>
      <w:r>
        <w:t xml:space="preserve">. HMRC’s manual gives no further detail.</w:t>
      </w:r>
    </w:p>
    <w:p>
      <w:pPr>
        <w:pStyle w:val="BodyText"/>
      </w:pPr>
      <w:r>
        <w:t xml:space="preserve">This heading is aimed at departments that carry out duties under welfare legislation, such as employment support and benefits work. It is unlikely to apply to the Department.</w:t>
      </w:r>
    </w:p>
    <w:p>
      <w:pPr>
        <w:pStyle w:val="BodyText"/>
      </w:pPr>
      <w:r>
        <w:rPr>
          <w:b/>
          <w:bCs/>
        </w:rPr>
        <w:t xml:space="preserve">Examples for the Department:</w:t>
      </w:r>
    </w:p>
    <w:p>
      <w:pPr>
        <w:pStyle w:val="Compact"/>
        <w:numPr>
          <w:ilvl w:val="0"/>
          <w:numId w:val="1596"/>
        </w:numPr>
      </w:pPr>
      <w:r>
        <w:rPr>
          <w:b/>
          <w:bCs/>
        </w:rPr>
        <w:t xml:space="preserve">Claimable (generic):</w:t>
      </w:r>
      <w:r>
        <w:t xml:space="preserve"> </w:t>
      </w:r>
      <w:r>
        <w:t xml:space="preserve">A department with duties under the Welfare Reform Acts contracts a provider to run an employment programme for jobseekers, or to carry out claimants’ work-capability assessments. These services help individuals into work, or directly support benefit claimants, under welfare legislation.</w:t>
      </w:r>
    </w:p>
    <w:p>
      <w:pPr>
        <w:pStyle w:val="Compact"/>
        <w:numPr>
          <w:ilvl w:val="0"/>
          <w:numId w:val="1596"/>
        </w:numPr>
      </w:pPr>
      <w:r>
        <w:rPr>
          <w:b/>
          <w:bCs/>
        </w:rPr>
        <w:t xml:space="preserve">Not claimable:</w:t>
      </w:r>
      <w:r>
        <w:t xml:space="preserve"> </w:t>
      </w:r>
      <w:r>
        <w:t xml:space="preserve">The Department buys career coaching for its own staff. This is not supplied</w:t>
      </w:r>
      <w:r>
        <w:t xml:space="preserve"> </w:t>
      </w:r>
      <w:r>
        <w:t xml:space="preserve">“</w:t>
      </w:r>
      <w:r>
        <w:t xml:space="preserve">solely for the purpose of duties imposed by, or powers provided pursuant to, welfare legislation</w:t>
      </w:r>
      <w:r>
        <w:t xml:space="preserve">”</w:t>
      </w:r>
      <w:r>
        <w:t xml:space="preserve">, so Heading 72 does not apply</w:t>
      </w:r>
      <w:r>
        <w:t xml:space="preserve"> </w:t>
      </w:r>
      <w:r>
        <w:t xml:space="preserve">(</w:t>
      </w:r>
      <w:hyperlink w:anchor="ref-hmrc_vatgpb">
        <w:r>
          <w:rPr>
            <w:rStyle w:val="Hyperlink"/>
          </w:rPr>
          <w:t xml:space="preserve">HMRC, 2026n, sec. VATGPB11170</w:t>
        </w:r>
      </w:hyperlink>
      <w:r>
        <w:t xml:space="preserve">)</w:t>
      </w:r>
      <w:r>
        <w:t xml:space="preserve">. Consider whether another heading genuinely fits, for example Heading 65 if it is in substance training.</w:t>
      </w:r>
    </w:p>
    <w:p>
      <w:pPr>
        <w:pStyle w:val="FirstParagraph"/>
      </w:pPr>
      <w:r>
        <w:rPr>
          <w:b/>
          <w:bCs/>
        </w:rPr>
        <w:t xml:space="preserve">Source:</w:t>
      </w:r>
      <w:r>
        <w:t xml:space="preserve"> </w:t>
      </w:r>
      <w:r>
        <w:t xml:space="preserve">HMRC manual section VATGPB11170, page last updated 17 February 2021</w:t>
      </w:r>
      <w:r>
        <w:t xml:space="preserve"> </w:t>
      </w:r>
      <w:r>
        <w:t xml:space="preserve">(</w:t>
      </w:r>
      <w:hyperlink w:anchor="ref-hmrc_vatgpb">
        <w:r>
          <w:rPr>
            <w:rStyle w:val="Hyperlink"/>
          </w:rPr>
          <w:t xml:space="preserve">HMRC, 2026n, sec. VATGPB11170</w:t>
        </w:r>
      </w:hyperlink>
      <w:r>
        <w:t xml:space="preserve">)</w:t>
      </w:r>
      <w:r>
        <w:t xml:space="preserve">.</w:t>
      </w:r>
    </w:p>
    <w:bookmarkEnd w:id="329"/>
    <w:bookmarkStart w:id="330" w:name="heading-73-intentionally-left-blank"/>
    <w:p>
      <w:pPr>
        <w:pStyle w:val="Heading3"/>
      </w:pPr>
      <w:r>
        <w:t xml:space="preserve">Heading 73: [Intentionally left blank]</w:t>
      </w:r>
    </w:p>
    <w:p>
      <w:pPr>
        <w:pStyle w:val="FirstParagraph"/>
      </w:pPr>
      <w:r>
        <w:rPr>
          <w:b/>
          <w:bCs/>
        </w:rPr>
        <w:t xml:space="preserve">What it covers (HMRC’s description):</w:t>
      </w:r>
      <w:r>
        <w:t xml:space="preserve"> </w:t>
      </w:r>
      <w:r>
        <w:t xml:space="preserve">Nothing. HMRC says that, following the publication of a new Treasury Direction on 30 October 2020, the heading</w:t>
      </w:r>
      <w:r>
        <w:t xml:space="preserve"> </w:t>
      </w:r>
      <w:r>
        <w:t xml:space="preserve">“</w:t>
      </w:r>
      <w:r>
        <w:t xml:space="preserve">has been withdrawn</w:t>
      </w:r>
      <w:r>
        <w:t xml:space="preserve">”</w:t>
      </w:r>
      <w:r>
        <w:t xml:space="preserve"> </w:t>
      </w:r>
      <w:r>
        <w:t xml:space="preserve">(</w:t>
      </w:r>
      <w:hyperlink w:anchor="ref-gazette_2020">
        <w:r>
          <w:rPr>
            <w:rStyle w:val="Hyperlink"/>
          </w:rPr>
          <w:t xml:space="preserve">HM Treasury, 2020b</w:t>
        </w:r>
      </w:hyperlink>
      <w:r>
        <w:t xml:space="preserve">;</w:t>
      </w:r>
      <w:r>
        <w:t xml:space="preserve"> </w:t>
      </w:r>
      <w:hyperlink w:anchor="ref-hmrc_vatgpb">
        <w:r>
          <w:rPr>
            <w:rStyle w:val="Hyperlink"/>
          </w:rPr>
          <w:t xml:space="preserve">HMRC, 2026n, sec. VATGPB11190</w:t>
        </w:r>
      </w:hyperlink>
      <w:r>
        <w:t xml:space="preserve">)</w:t>
      </w:r>
      <w:r>
        <w:t xml:space="preserve">. The number is kept only for consistency, and nothing can be claimed under it</w:t>
      </w:r>
      <w:r>
        <w:t xml:space="preserve"> </w:t>
      </w:r>
      <w:r>
        <w:t xml:space="preserve">(</w:t>
      </w:r>
      <w:hyperlink w:anchor="ref-hmrc_vatgpb">
        <w:r>
          <w:rPr>
            <w:rStyle w:val="Hyperlink"/>
          </w:rPr>
          <w:t xml:space="preserve">HMRC, 2026n, sec. VATGPB11190</w:t>
        </w:r>
      </w:hyperlink>
      <w:r>
        <w:t xml:space="preserve">)</w:t>
      </w:r>
      <w:r>
        <w:t xml:space="preserve">.</w:t>
      </w:r>
    </w:p>
    <w:p>
      <w:pPr>
        <w:pStyle w:val="BodyText"/>
      </w:pPr>
      <w:r>
        <w:rPr>
          <w:b/>
          <w:bCs/>
        </w:rPr>
        <w:t xml:space="preserve">Source:</w:t>
      </w:r>
      <w:r>
        <w:t xml:space="preserve"> </w:t>
      </w:r>
      <w:r>
        <w:t xml:space="preserve">HMRC manual section VATGPB11190, page last updated 20 May 2021</w:t>
      </w:r>
      <w:r>
        <w:t xml:space="preserve"> </w:t>
      </w:r>
      <w:r>
        <w:t xml:space="preserve">(</w:t>
      </w:r>
      <w:hyperlink w:anchor="ref-hmrc_vatgpb">
        <w:r>
          <w:rPr>
            <w:rStyle w:val="Hyperlink"/>
          </w:rPr>
          <w:t xml:space="preserve">HMRC, 2026n, sec. VATGPB11190</w:t>
        </w:r>
      </w:hyperlink>
      <w:r>
        <w:t xml:space="preserve">)</w:t>
      </w:r>
      <w:r>
        <w:t xml:space="preserve">.</w:t>
      </w:r>
    </w:p>
    <w:bookmarkEnd w:id="330"/>
    <w:bookmarkStart w:id="331" w:name="X008bb8cc793f4519cdc854a25b1b1f6edefb6a3"/>
    <w:p>
      <w:pPr>
        <w:pStyle w:val="Heading3"/>
      </w:pPr>
      <w:r>
        <w:t xml:space="preserve">Heading 74: Original research undertaken to gain knowledge and understanding</w:t>
      </w:r>
    </w:p>
    <w:p>
      <w:pPr>
        <w:pStyle w:val="FirstParagraph"/>
      </w:pPr>
      <w:r>
        <w:rPr>
          <w:b/>
          <w:bCs/>
        </w:rPr>
        <w:t xml:space="preserve">What it covers (HMRC’s description):</w:t>
      </w:r>
      <w:r>
        <w:t xml:space="preserve"> </w:t>
      </w:r>
      <w:r>
        <w:t xml:space="preserve">HMRC says</w:t>
      </w:r>
      <w:r>
        <w:t xml:space="preserve"> </w:t>
      </w:r>
      <w:r>
        <w:t xml:space="preserve">“</w:t>
      </w:r>
      <w:r>
        <w:t xml:space="preserve">there is no general restriction under this Heading</w:t>
      </w:r>
      <w:r>
        <w:t xml:space="preserve">”</w:t>
      </w:r>
      <w:r>
        <w:t xml:space="preserve">, but interprets</w:t>
      </w:r>
      <w:r>
        <w:t xml:space="preserve"> </w:t>
      </w:r>
      <w:r>
        <w:t xml:space="preserve">“</w:t>
      </w:r>
      <w:r>
        <w:t xml:space="preserve">original research</w:t>
      </w:r>
      <w:r>
        <w:t xml:space="preserve">”</w:t>
      </w:r>
      <w:r>
        <w:t xml:space="preserve"> </w:t>
      </w:r>
      <w:r>
        <w:t xml:space="preserve">as research that</w:t>
      </w:r>
      <w:r>
        <w:t xml:space="preserve"> </w:t>
      </w:r>
      <w:r>
        <w:t xml:space="preserve">(</w:t>
      </w:r>
      <w:hyperlink w:anchor="ref-hmrc_vatgpb">
        <w:r>
          <w:rPr>
            <w:rStyle w:val="Hyperlink"/>
          </w:rPr>
          <w:t xml:space="preserve">HMRC, 2026n, sec. VATGPB11210</w:t>
        </w:r>
      </w:hyperlink>
      <w:r>
        <w:t xml:space="preserve">)</w:t>
      </w:r>
      <w:r>
        <w:t xml:space="preserve">:</w:t>
      </w:r>
    </w:p>
    <w:p>
      <w:pPr>
        <w:pStyle w:val="BlockText"/>
      </w:pPr>
      <w:r>
        <w:t xml:space="preserve">“a) Involves surveys, field tests or new research design thinking, interviews or observation conducted specifically in relation to the subject of the research (as opposed to merely collating existing data); and</w:t>
      </w:r>
    </w:p>
    <w:p>
      <w:pPr>
        <w:pStyle w:val="Compact"/>
        <w:numPr>
          <w:ilvl w:val="0"/>
          <w:numId w:val="1597"/>
        </w:numPr>
      </w:pPr>
      <w:r>
        <w:t xml:space="preserve">Extends to secondary data analysis, interpretation (which may include options and/or recommendations) or a systemic review of evidence (rather than mere data gathering and recording)”</w:t>
      </w:r>
    </w:p>
    <w:p>
      <w:pPr>
        <w:pStyle w:val="FirstParagraph"/>
      </w:pPr>
      <w:r>
        <w:t xml:space="preserve">HMRC’s manual gives no further detail.</w:t>
      </w:r>
    </w:p>
    <w:p>
      <w:pPr>
        <w:pStyle w:val="BodyText"/>
      </w:pPr>
      <w:r>
        <w:rPr>
          <w:b/>
          <w:bCs/>
        </w:rPr>
        <w:t xml:space="preserve">Examples for the Department:</w:t>
      </w:r>
    </w:p>
    <w:p>
      <w:pPr>
        <w:pStyle w:val="Compact"/>
        <w:numPr>
          <w:ilvl w:val="0"/>
          <w:numId w:val="1598"/>
        </w:numPr>
      </w:pPr>
      <w:r>
        <w:rPr>
          <w:b/>
          <w:bCs/>
        </w:rPr>
        <w:t xml:space="preserve">Claimable:</w:t>
      </w:r>
      <w:r>
        <w:t xml:space="preserve"> </w:t>
      </w:r>
      <w:r>
        <w:t xml:space="preserve">The Department commissions an independent evaluation of its capability-building programme with overseas governments. The researchers carry out new interviews and field surveys with partner officials, then analyse the results and make recommendations. This involves new fieldwork (part a) and goes on to analysis and interpretation (part b).</w:t>
      </w:r>
    </w:p>
    <w:p>
      <w:pPr>
        <w:pStyle w:val="Compact"/>
        <w:numPr>
          <w:ilvl w:val="0"/>
          <w:numId w:val="1598"/>
        </w:numPr>
      </w:pPr>
      <w:r>
        <w:rPr>
          <w:b/>
          <w:bCs/>
        </w:rPr>
        <w:t xml:space="preserve">Not claimable:</w:t>
      </w:r>
      <w:r>
        <w:t xml:space="preserve"> </w:t>
      </w:r>
      <w:r>
        <w:t xml:space="preserve">A contractor simply gathers existing published statistics on partner countries into a spreadsheet. This is</w:t>
      </w:r>
      <w:r>
        <w:t xml:space="preserve"> </w:t>
      </w:r>
      <w:r>
        <w:t xml:space="preserve">“</w:t>
      </w:r>
      <w:r>
        <w:t xml:space="preserve">merely collating existing data</w:t>
      </w:r>
      <w:r>
        <w:t xml:space="preserve">”</w:t>
      </w:r>
      <w:r>
        <w:t xml:space="preserve"> </w:t>
      </w:r>
      <w:r>
        <w:t xml:space="preserve">and</w:t>
      </w:r>
      <w:r>
        <w:t xml:space="preserve"> </w:t>
      </w:r>
      <w:r>
        <w:t xml:space="preserve">“</w:t>
      </w:r>
      <w:r>
        <w:t xml:space="preserve">mere data gathering and recording</w:t>
      </w:r>
      <w:r>
        <w:t xml:space="preserve">”</w:t>
      </w:r>
      <w:r>
        <w:t xml:space="preserve">.</w:t>
      </w:r>
    </w:p>
    <w:p>
      <w:pPr>
        <w:pStyle w:val="Compact"/>
        <w:numPr>
          <w:ilvl w:val="0"/>
          <w:numId w:val="1598"/>
        </w:numPr>
      </w:pPr>
      <w:r>
        <w:rPr>
          <w:b/>
          <w:bCs/>
        </w:rPr>
        <w:t xml:space="preserve">Not claimable:</w:t>
      </w:r>
      <w:r>
        <w:t xml:space="preserve"> </w:t>
      </w:r>
      <w:r>
        <w:t xml:space="preserve">Research to develop a data product that the Department sells under licence to overseas customers. The purpose is a business activity, so it is outside COS and goes through the normal input tax rules</w:t>
      </w:r>
      <w:r>
        <w:t xml:space="preserve"> </w:t>
      </w:r>
      <w:r>
        <w:t xml:space="preserve">(</w:t>
      </w:r>
      <w:hyperlink w:anchor="ref-hmrc_gdpef">
        <w:r>
          <w:rPr>
            <w:rStyle w:val="Hyperlink"/>
          </w:rPr>
          <w:t xml:space="preserve">HMRC, 2023c, sec. 3</w:t>
        </w:r>
      </w:hyperlink>
      <w:r>
        <w:t xml:space="preserve">)</w:t>
      </w:r>
      <w:r>
        <w:t xml:space="preserve">.</w:t>
      </w:r>
    </w:p>
    <w:p>
      <w:pPr>
        <w:pStyle w:val="FirstParagraph"/>
      </w:pPr>
      <w:r>
        <w:rPr>
          <w:b/>
          <w:bCs/>
        </w:rPr>
        <w:t xml:space="preserve">Source:</w:t>
      </w:r>
      <w:r>
        <w:t xml:space="preserve"> </w:t>
      </w:r>
      <w:r>
        <w:t xml:space="preserve">HMRC manual section VATGPB11210, page last updated 17 February 2021</w:t>
      </w:r>
      <w:r>
        <w:t xml:space="preserve"> </w:t>
      </w:r>
      <w:r>
        <w:t xml:space="preserve">(</w:t>
      </w:r>
      <w:hyperlink w:anchor="ref-hmrc_vatgpb">
        <w:r>
          <w:rPr>
            <w:rStyle w:val="Hyperlink"/>
          </w:rPr>
          <w:t xml:space="preserve">HMRC, 2026n, sec. VATGPB11210</w:t>
        </w:r>
      </w:hyperlink>
      <w:r>
        <w:t xml:space="preserve">)</w:t>
      </w:r>
      <w:r>
        <w:t xml:space="preserve">.</w:t>
      </w:r>
    </w:p>
    <w:bookmarkEnd w:id="331"/>
    <w:bookmarkStart w:id="332" w:name="X82983a1f7643d7ebea5d2ffa5fc55668dbe3558"/>
    <w:p>
      <w:pPr>
        <w:pStyle w:val="Heading3"/>
      </w:pPr>
      <w:r>
        <w:t xml:space="preserve">Heading 75: Inspection of woodland sites for approval of felling licence applications</w:t>
      </w:r>
    </w:p>
    <w:p>
      <w:pPr>
        <w:pStyle w:val="FirstParagraph"/>
      </w:pPr>
      <w:r>
        <w:rPr>
          <w:b/>
          <w:bCs/>
        </w:rPr>
        <w:t xml:space="preserve">What it covers (HMRC’s description):</w:t>
      </w:r>
      <w:r>
        <w:t xml:space="preserve"> </w:t>
      </w:r>
      <w:r>
        <w:t xml:space="preserve">HMRC gives the full heading as:</w:t>
      </w:r>
      <w:r>
        <w:t xml:space="preserve"> </w:t>
      </w:r>
      <w:r>
        <w:t xml:space="preserve">“</w:t>
      </w:r>
      <w:r>
        <w:t xml:space="preserve">Inspection of woodland sites for approval of felling licence applications and of timber imports/imports using timber packing to prevent entry of foreign tree pests and diseases</w:t>
      </w:r>
      <w:r>
        <w:t xml:space="preserve">”</w:t>
      </w:r>
      <w:r>
        <w:t xml:space="preserve"> </w:t>
      </w:r>
      <w:r>
        <w:t xml:space="preserve">(</w:t>
      </w:r>
      <w:hyperlink w:anchor="ref-hmrc_vatgpb">
        <w:r>
          <w:rPr>
            <w:rStyle w:val="Hyperlink"/>
          </w:rPr>
          <w:t xml:space="preserve">HMRC, 2026n, sec. VATGPB11230</w:t>
        </w:r>
      </w:hyperlink>
      <w:r>
        <w:t xml:space="preserve">)</w:t>
      </w:r>
      <w:r>
        <w:t xml:space="preserve">. HMRC’s manual gives no further detail.</w:t>
      </w:r>
    </w:p>
    <w:p>
      <w:pPr>
        <w:pStyle w:val="BodyText"/>
      </w:pPr>
      <w:r>
        <w:t xml:space="preserve">This heading is aimed at bodies responsible for forestry regulation and plant health controls on imports. It is unlikely to apply to the Department.</w:t>
      </w:r>
    </w:p>
    <w:p>
      <w:pPr>
        <w:pStyle w:val="BodyText"/>
      </w:pPr>
      <w:r>
        <w:rPr>
          <w:b/>
          <w:bCs/>
        </w:rPr>
        <w:t xml:space="preserve">Examples for the Department:</w:t>
      </w:r>
    </w:p>
    <w:p>
      <w:pPr>
        <w:pStyle w:val="Compact"/>
        <w:numPr>
          <w:ilvl w:val="0"/>
          <w:numId w:val="1599"/>
        </w:numPr>
      </w:pPr>
      <w:r>
        <w:rPr>
          <w:b/>
          <w:bCs/>
        </w:rPr>
        <w:t xml:space="preserve">Claimable (generic):</w:t>
      </w:r>
      <w:r>
        <w:t xml:space="preserve"> </w:t>
      </w:r>
      <w:r>
        <w:t xml:space="preserve">A forestry authority contracts out site inspections needed to decide felling licence applications, or inspections of imported timber packaging for pests. This is the wording of the heading.</w:t>
      </w:r>
    </w:p>
    <w:p>
      <w:pPr>
        <w:pStyle w:val="Compact"/>
        <w:numPr>
          <w:ilvl w:val="0"/>
          <w:numId w:val="1599"/>
        </w:numPr>
      </w:pPr>
      <w:r>
        <w:rPr>
          <w:b/>
          <w:bCs/>
        </w:rPr>
        <w:t xml:space="preserve">Not claimable:</w:t>
      </w:r>
      <w:r>
        <w:t xml:space="preserve"> </w:t>
      </w:r>
      <w:r>
        <w:t xml:space="preserve">The Department pays to have wooden pallets heat-treated and marked so that gifted equipment meets the destination country’s import rules. This is a service for the Department’s own</w:t>
      </w:r>
      <w:r>
        <w:t xml:space="preserve"> </w:t>
      </w:r>
      <w:r>
        <w:rPr>
          <w:i/>
          <w:iCs/>
        </w:rPr>
        <w:t xml:space="preserve">export</w:t>
      </w:r>
      <w:r>
        <w:t xml:space="preserve"> </w:t>
      </w:r>
      <w:r>
        <w:t xml:space="preserve">shipment, not an inspection of</w:t>
      </w:r>
      <w:r>
        <w:t xml:space="preserve"> </w:t>
      </w:r>
      <w:r>
        <w:rPr>
          <w:i/>
          <w:iCs/>
        </w:rPr>
        <w:t xml:space="preserve">imports</w:t>
      </w:r>
      <w:r>
        <w:t xml:space="preserve"> </w:t>
      </w:r>
      <w:r>
        <w:t xml:space="preserve">“</w:t>
      </w:r>
      <w:r>
        <w:t xml:space="preserve">to prevent entry of foreign tree pests and diseases</w:t>
      </w:r>
      <w:r>
        <w:t xml:space="preserve">”</w:t>
      </w:r>
      <w:r>
        <w:t xml:space="preserve">.</w:t>
      </w:r>
    </w:p>
    <w:p>
      <w:pPr>
        <w:pStyle w:val="FirstParagraph"/>
      </w:pPr>
      <w:r>
        <w:rPr>
          <w:b/>
          <w:bCs/>
        </w:rPr>
        <w:t xml:space="preserve">Source:</w:t>
      </w:r>
      <w:r>
        <w:t xml:space="preserve"> </w:t>
      </w:r>
      <w:r>
        <w:t xml:space="preserve">HMRC manual section VATGPB11230, page last updated 8 September 2020</w:t>
      </w:r>
      <w:r>
        <w:t xml:space="preserve"> </w:t>
      </w:r>
      <w:r>
        <w:t xml:space="preserve">(</w:t>
      </w:r>
      <w:hyperlink w:anchor="ref-hmrc_vatgpb">
        <w:r>
          <w:rPr>
            <w:rStyle w:val="Hyperlink"/>
          </w:rPr>
          <w:t xml:space="preserve">HMRC, 2026n, sec. VATGPB11230</w:t>
        </w:r>
      </w:hyperlink>
      <w:r>
        <w:t xml:space="preserve">)</w:t>
      </w:r>
      <w:r>
        <w:t xml:space="preserve">.</w:t>
      </w:r>
    </w:p>
    <w:bookmarkEnd w:id="332"/>
    <w:bookmarkStart w:id="333" w:name="X74af5e4386fc2013dd2d52a0e2e5c13c168d19b"/>
    <w:p>
      <w:pPr>
        <w:pStyle w:val="Heading3"/>
      </w:pPr>
      <w:r>
        <w:t xml:space="preserve">Heading 76: Probation Services delivered under section 3(2) of the Offender Management Act 2007</w:t>
      </w:r>
    </w:p>
    <w:p>
      <w:pPr>
        <w:pStyle w:val="FirstParagraph"/>
      </w:pPr>
      <w:r>
        <w:rPr>
          <w:i/>
          <w:iCs/>
        </w:rPr>
        <w:t xml:space="preserve">The Direction’s own wording is:</w:t>
      </w:r>
      <w:r>
        <w:rPr>
          <w:i/>
          <w:iCs/>
        </w:rPr>
        <w:t xml:space="preserve"> </w:t>
      </w:r>
      <w:r>
        <w:rPr>
          <w:i/>
          <w:iCs/>
        </w:rPr>
        <w:t xml:space="preserve">“</w:t>
      </w:r>
      <w:r>
        <w:rPr>
          <w:i/>
          <w:iCs/>
        </w:rPr>
        <w:t xml:space="preserve">Probation provision pursuant to section 3(2) of the Offender Management Act 2007</w:t>
      </w:r>
      <w:r>
        <w:rPr>
          <w:i/>
          <w:iCs/>
        </w:rPr>
        <w:t xml:space="preserve">”</w:t>
      </w:r>
      <w:r>
        <w:t xml:space="preserve"> </w:t>
      </w:r>
      <w:r>
        <w:t xml:space="preserve">(</w:t>
      </w:r>
      <w:hyperlink w:anchor="ref-gazette_2020">
        <w:r>
          <w:rPr>
            <w:rStyle w:val="Hyperlink"/>
          </w:rPr>
          <w:t xml:space="preserve">HM Treasury, 2020b</w:t>
        </w:r>
      </w:hyperlink>
      <w:r>
        <w:t xml:space="preserve">)</w:t>
      </w:r>
      <w:r>
        <w:t xml:space="preserve">.</w:t>
      </w:r>
    </w:p>
    <w:p>
      <w:pPr>
        <w:pStyle w:val="BodyText"/>
      </w:pPr>
      <w:r>
        <w:rPr>
          <w:b/>
          <w:bCs/>
        </w:rPr>
        <w:t xml:space="preserve">What it covers (HMRC’s description):</w:t>
      </w:r>
      <w:r>
        <w:t xml:space="preserve"> </w:t>
      </w:r>
      <w:r>
        <w:t xml:space="preserve">HMRC says only that</w:t>
      </w:r>
      <w:r>
        <w:t xml:space="preserve"> </w:t>
      </w:r>
      <w:r>
        <w:t xml:space="preserve">“</w:t>
      </w:r>
      <w:r>
        <w:t xml:space="preserve">the change to the heading simply reflected the changes in legislation which apply to probation services</w:t>
      </w:r>
      <w:r>
        <w:t xml:space="preserve">”</w:t>
      </w:r>
      <w:r>
        <w:t xml:space="preserve"> </w:t>
      </w:r>
      <w:r>
        <w:t xml:space="preserve">(</w:t>
      </w:r>
      <w:hyperlink w:anchor="ref-hmrc_vatgpb">
        <w:r>
          <w:rPr>
            <w:rStyle w:val="Hyperlink"/>
          </w:rPr>
          <w:t xml:space="preserve">HMRC, 2026n, sec. VATGPB11250</w:t>
        </w:r>
      </w:hyperlink>
      <w:r>
        <w:t xml:space="preserve">)</w:t>
      </w:r>
      <w:r>
        <w:t xml:space="preserve">. HMRC’s manual gives no further detail.</w:t>
      </w:r>
    </w:p>
    <w:p>
      <w:pPr>
        <w:pStyle w:val="BodyText"/>
      </w:pPr>
      <w:r>
        <w:t xml:space="preserve">This heading is aimed at the department responsible for probation services. It is unlikely to apply to the Department.</w:t>
      </w:r>
    </w:p>
    <w:p>
      <w:pPr>
        <w:pStyle w:val="BodyText"/>
      </w:pPr>
      <w:r>
        <w:rPr>
          <w:b/>
          <w:bCs/>
        </w:rPr>
        <w:t xml:space="preserve">Examples for the Department:</w:t>
      </w:r>
    </w:p>
    <w:p>
      <w:pPr>
        <w:pStyle w:val="Compact"/>
        <w:numPr>
          <w:ilvl w:val="0"/>
          <w:numId w:val="1600"/>
        </w:numPr>
      </w:pPr>
      <w:r>
        <w:rPr>
          <w:b/>
          <w:bCs/>
        </w:rPr>
        <w:t xml:space="preserve">Claimable (generic):</w:t>
      </w:r>
      <w:r>
        <w:t xml:space="preserve"> </w:t>
      </w:r>
      <w:r>
        <w:t xml:space="preserve">The justice department arranges with a contractor to deliver probation services under section 3(2) of the Offender Management Act 2007. This is the wording of the heading.</w:t>
      </w:r>
    </w:p>
    <w:p>
      <w:pPr>
        <w:pStyle w:val="Compact"/>
        <w:numPr>
          <w:ilvl w:val="0"/>
          <w:numId w:val="1600"/>
        </w:numPr>
      </w:pPr>
      <w:r>
        <w:rPr>
          <w:b/>
          <w:bCs/>
        </w:rPr>
        <w:t xml:space="preserve">Not claimable:</w:t>
      </w:r>
      <w:r>
        <w:t xml:space="preserve"> </w:t>
      </w:r>
      <w:r>
        <w:t xml:space="preserve">The Department’s own criminal record and security vetting checks on new staff are not probation services. HMRC lists</w:t>
      </w:r>
      <w:r>
        <w:t xml:space="preserve"> </w:t>
      </w:r>
      <w:r>
        <w:t xml:space="preserve">“</w:t>
      </w:r>
      <w:r>
        <w:t xml:space="preserve">security vetting checks undertaken on employees including Disclosure and Barring Service (DBS) checks</w:t>
      </w:r>
      <w:r>
        <w:t xml:space="preserve">”</w:t>
      </w:r>
      <w:r>
        <w:t xml:space="preserve"> </w:t>
      </w:r>
      <w:r>
        <w:t xml:space="preserve">under Heading 57</w:t>
      </w:r>
      <w:r>
        <w:t xml:space="preserve"> </w:t>
      </w:r>
      <w:r>
        <w:t xml:space="preserve">(</w:t>
      </w:r>
      <w:hyperlink w:anchor="ref-hmrc_vatgpb">
        <w:r>
          <w:rPr>
            <w:rStyle w:val="Hyperlink"/>
          </w:rPr>
          <w:t xml:space="preserve">HMRC, 2026n, sec. VATGPB10870</w:t>
        </w:r>
      </w:hyperlink>
      <w:r>
        <w:t xml:space="preserve">)</w:t>
      </w:r>
      <w:r>
        <w:t xml:space="preserve">.</w:t>
      </w:r>
    </w:p>
    <w:p>
      <w:pPr>
        <w:pStyle w:val="FirstParagraph"/>
      </w:pPr>
      <w:r>
        <w:rPr>
          <w:b/>
          <w:bCs/>
        </w:rPr>
        <w:t xml:space="preserve">Source:</w:t>
      </w:r>
      <w:r>
        <w:t xml:space="preserve"> </w:t>
      </w:r>
      <w:r>
        <w:t xml:space="preserve">HMRC manual section VATGPB11250, page last updated 17 February 2021</w:t>
      </w:r>
      <w:r>
        <w:t xml:space="preserve"> </w:t>
      </w:r>
      <w:r>
        <w:t xml:space="preserve">(</w:t>
      </w:r>
      <w:hyperlink w:anchor="ref-hmrc_vatgpb">
        <w:r>
          <w:rPr>
            <w:rStyle w:val="Hyperlink"/>
          </w:rPr>
          <w:t xml:space="preserve">HMRC, 2026n, sec. VATGPB11250</w:t>
        </w:r>
      </w:hyperlink>
      <w:r>
        <w:t xml:space="preserve">)</w:t>
      </w:r>
      <w:r>
        <w:t xml:space="preserve">.</w:t>
      </w:r>
    </w:p>
    <w:bookmarkEnd w:id="333"/>
    <w:bookmarkStart w:id="334" w:name="Xde138a78231914bb48c40d5a75fd16b050ebdf0"/>
    <w:p>
      <w:pPr>
        <w:pStyle w:val="Heading3"/>
      </w:pPr>
      <w:r>
        <w:t xml:space="preserve">Heading 77: Services commissioned by the DCMS of management and maintenance of the Royal Parks</w:t>
      </w:r>
    </w:p>
    <w:p>
      <w:pPr>
        <w:pStyle w:val="FirstParagraph"/>
      </w:pPr>
      <w:r>
        <w:rPr>
          <w:b/>
          <w:bCs/>
        </w:rPr>
        <w:t xml:space="preserve">What it covers (HMRC’s description):</w:t>
      </w:r>
      <w:r>
        <w:t xml:space="preserve"> </w:t>
      </w:r>
      <w:r>
        <w:t xml:space="preserve">HMRC gives the full heading as:</w:t>
      </w:r>
      <w:r>
        <w:t xml:space="preserve"> </w:t>
      </w:r>
      <w:r>
        <w:t xml:space="preserve">“</w:t>
      </w:r>
      <w:r>
        <w:t xml:space="preserve">Services, commissioned by the Department for Digital, Culture, Media, and Sport, of management and maintenance of the Royal Parks and of other lands provided for as part of that commission</w:t>
      </w:r>
      <w:r>
        <w:t xml:space="preserve">”</w:t>
      </w:r>
      <w:r>
        <w:t xml:space="preserve"> </w:t>
      </w:r>
      <w:r>
        <w:t xml:space="preserve">(</w:t>
      </w:r>
      <w:hyperlink w:anchor="ref-hmrc_vatgpb">
        <w:r>
          <w:rPr>
            <w:rStyle w:val="Hyperlink"/>
          </w:rPr>
          <w:t xml:space="preserve">HMRC, 2026n, sec. VATGPB11270</w:t>
        </w:r>
      </w:hyperlink>
      <w:r>
        <w:t xml:space="preserve">)</w:t>
      </w:r>
      <w:r>
        <w:t xml:space="preserve">. (The Gazette text of the Direction says</w:t>
      </w:r>
      <w:r>
        <w:t xml:space="preserve"> </w:t>
      </w:r>
      <w:r>
        <w:t xml:space="preserve">“</w:t>
      </w:r>
      <w:r>
        <w:t xml:space="preserve">Department for Culture, Media and Sport</w:t>
      </w:r>
      <w:r>
        <w:t xml:space="preserve">”</w:t>
      </w:r>
      <w:r>
        <w:t xml:space="preserve"> </w:t>
      </w:r>
      <w:r>
        <w:t xml:space="preserve">(</w:t>
      </w:r>
      <w:hyperlink w:anchor="ref-gazette_2020">
        <w:r>
          <w:rPr>
            <w:rStyle w:val="Hyperlink"/>
          </w:rPr>
          <w:t xml:space="preserve">HM Treasury, 2020b</w:t>
        </w:r>
      </w:hyperlink>
      <w:r>
        <w:t xml:space="preserve">)</w:t>
      </w:r>
      <w:r>
        <w:t xml:space="preserve">.) It covers services commissioned by</w:t>
      </w:r>
      <w:r>
        <w:t xml:space="preserve"> </w:t>
      </w:r>
      <w:r>
        <w:t xml:space="preserve">“</w:t>
      </w:r>
      <w:r>
        <w:t xml:space="preserve">the named department (or its successor)</w:t>
      </w:r>
      <w:r>
        <w:t xml:space="preserve">”</w:t>
      </w:r>
      <w:r>
        <w:t xml:space="preserve"> </w:t>
      </w:r>
      <w:r>
        <w:t xml:space="preserve">for managing and maintaining the Royal Parks and the other lands in that commission</w:t>
      </w:r>
      <w:r>
        <w:t xml:space="preserve"> </w:t>
      </w:r>
      <w:r>
        <w:t xml:space="preserve">(</w:t>
      </w:r>
      <w:hyperlink w:anchor="ref-hmrc_vatgpb">
        <w:r>
          <w:rPr>
            <w:rStyle w:val="Hyperlink"/>
          </w:rPr>
          <w:t xml:space="preserve">HMRC, 2026n, sec. VATGPB11270</w:t>
        </w:r>
      </w:hyperlink>
      <w:r>
        <w:t xml:space="preserve">)</w:t>
      </w:r>
      <w:r>
        <w:t xml:space="preserve">.</w:t>
      </w:r>
    </w:p>
    <w:p>
      <w:pPr>
        <w:pStyle w:val="BodyText"/>
      </w:pPr>
      <w:r>
        <w:t xml:space="preserve">This heading is aimed solely at DCMS (or its successor; the department has since been renamed the Department for Culture, Media and Sport: SI 2023/424, art. 2)</w:t>
      </w:r>
      <w:r>
        <w:t xml:space="preserve"> </w:t>
      </w:r>
      <w:r>
        <w:t xml:space="preserve">(</w:t>
      </w:r>
      <w:hyperlink w:anchor="ref-gazette_2020">
        <w:r>
          <w:rPr>
            <w:rStyle w:val="Hyperlink"/>
          </w:rPr>
          <w:t xml:space="preserve">HM Treasury, 2020b, para. 4</w:t>
        </w:r>
      </w:hyperlink>
      <w:r>
        <w:t xml:space="preserve">;</w:t>
      </w:r>
      <w:r>
        <w:t xml:space="preserve"> </w:t>
      </w:r>
      <w:hyperlink w:anchor="ref-hmrc_vatgpb">
        <w:r>
          <w:rPr>
            <w:rStyle w:val="Hyperlink"/>
          </w:rPr>
          <w:t xml:space="preserve">HMRC, 2026n, sec. VATGPB11270</w:t>
        </w:r>
      </w:hyperlink>
      <w:r>
        <w:t xml:space="preserve">)</w:t>
      </w:r>
      <w:r>
        <w:t xml:space="preserve">. It will not apply to the Department.</w:t>
      </w:r>
    </w:p>
    <w:p>
      <w:pPr>
        <w:pStyle w:val="BodyText"/>
      </w:pPr>
      <w:r>
        <w:rPr>
          <w:b/>
          <w:bCs/>
        </w:rPr>
        <w:t xml:space="preserve">Includes:</w:t>
      </w:r>
    </w:p>
    <w:p>
      <w:pPr>
        <w:pStyle w:val="Compact"/>
        <w:numPr>
          <w:ilvl w:val="0"/>
          <w:numId w:val="1601"/>
        </w:numPr>
      </w:pPr>
      <w:r>
        <w:t xml:space="preserve">Conserving and maintaining the natural and designed environment of the parks</w:t>
      </w:r>
    </w:p>
    <w:p>
      <w:pPr>
        <w:pStyle w:val="Compact"/>
        <w:numPr>
          <w:ilvl w:val="0"/>
          <w:numId w:val="1601"/>
        </w:numPr>
      </w:pPr>
      <w:r>
        <w:t xml:space="preserve">Managing, enhancing, and installing park features, including statues and flags</w:t>
      </w:r>
    </w:p>
    <w:p>
      <w:pPr>
        <w:pStyle w:val="Compact"/>
        <w:numPr>
          <w:ilvl w:val="0"/>
          <w:numId w:val="1601"/>
        </w:numPr>
      </w:pPr>
      <w:r>
        <w:t xml:space="preserve">Supporting the use of the parks for public recreational, leisure, education, and cultural activities</w:t>
      </w:r>
    </w:p>
    <w:p>
      <w:pPr>
        <w:pStyle w:val="Compact"/>
        <w:numPr>
          <w:ilvl w:val="0"/>
          <w:numId w:val="1601"/>
        </w:numPr>
      </w:pPr>
      <w:r>
        <w:t xml:space="preserve">Preparing for and delivering events and ceremonies at the parks</w:t>
      </w:r>
    </w:p>
    <w:p>
      <w:pPr>
        <w:pStyle w:val="Compact"/>
        <w:numPr>
          <w:ilvl w:val="0"/>
          <w:numId w:val="1601"/>
        </w:numPr>
      </w:pPr>
      <w:r>
        <w:t xml:space="preserve">Maintaining paving and roads on the estate (where they are not owned or managed by any other party, for example Transport for London (TfL))</w:t>
      </w:r>
    </w:p>
    <w:p>
      <w:pPr>
        <w:pStyle w:val="FirstParagraph"/>
      </w:pPr>
      <w:r>
        <w:rPr>
          <w:b/>
          <w:bCs/>
        </w:rPr>
        <w:t xml:space="preserve">Examples for the Department:</w:t>
      </w:r>
    </w:p>
    <w:p>
      <w:pPr>
        <w:pStyle w:val="Compact"/>
        <w:numPr>
          <w:ilvl w:val="0"/>
          <w:numId w:val="1602"/>
        </w:numPr>
      </w:pPr>
      <w:r>
        <w:rPr>
          <w:b/>
          <w:bCs/>
        </w:rPr>
        <w:t xml:space="preserve">Claimable (generic):</w:t>
      </w:r>
      <w:r>
        <w:t xml:space="preserve"> </w:t>
      </w:r>
      <w:r>
        <w:t xml:space="preserve">DCMS commissions a contractor to maintain paths, install flags and set up a ceremonial event in a Royal Park. These items are all on HMRC’s list.</w:t>
      </w:r>
    </w:p>
    <w:p>
      <w:pPr>
        <w:pStyle w:val="Compact"/>
        <w:numPr>
          <w:ilvl w:val="0"/>
          <w:numId w:val="1602"/>
        </w:numPr>
      </w:pPr>
      <w:r>
        <w:rPr>
          <w:b/>
          <w:bCs/>
        </w:rPr>
        <w:t xml:space="preserve">Not claimable:</w:t>
      </w:r>
      <w:r>
        <w:t xml:space="preserve"> </w:t>
      </w:r>
      <w:r>
        <w:t xml:space="preserve">Grounds maintenance at the Department’s own headquarters. It is not a Royal Park and not commissioned by DCMS. HMRC’s examples table for Headings 35 and 37 (VATGPB10435) lists</w:t>
      </w:r>
      <w:r>
        <w:t xml:space="preserve"> </w:t>
      </w:r>
      <w:r>
        <w:t xml:space="preserve">“</w:t>
      </w:r>
      <w:r>
        <w:t xml:space="preserve">maintenance of grounds and gardens adjacent buildings</w:t>
      </w:r>
      <w:r>
        <w:t xml:space="preserve">”</w:t>
      </w:r>
      <w:r>
        <w:t xml:space="preserve"> </w:t>
      </w:r>
      <w:r>
        <w:t xml:space="preserve">under Heading 35</w:t>
      </w:r>
      <w:r>
        <w:t xml:space="preserve"> </w:t>
      </w:r>
      <w:r>
        <w:t xml:space="preserve">(</w:t>
      </w:r>
      <w:hyperlink w:anchor="ref-hmrc_vatgpb">
        <w:r>
          <w:rPr>
            <w:rStyle w:val="Hyperlink"/>
          </w:rPr>
          <w:t xml:space="preserve">HMRC, 2026n, sec. VATGPB10435</w:t>
        </w:r>
      </w:hyperlink>
      <w:r>
        <w:t xml:space="preserve">)</w:t>
      </w:r>
      <w:r>
        <w:t xml:space="preserve">.</w:t>
      </w:r>
    </w:p>
    <w:p>
      <w:pPr>
        <w:pStyle w:val="FirstParagraph"/>
      </w:pPr>
      <w:r>
        <w:rPr>
          <w:b/>
          <w:bCs/>
        </w:rPr>
        <w:t xml:space="preserve">Source:</w:t>
      </w:r>
      <w:r>
        <w:t xml:space="preserve"> </w:t>
      </w:r>
      <w:r>
        <w:t xml:space="preserve">HMRC manual section VATGPB11270, page last updated 17 February 2021</w:t>
      </w:r>
      <w:r>
        <w:t xml:space="preserve"> </w:t>
      </w:r>
      <w:r>
        <w:t xml:space="preserve">(</w:t>
      </w:r>
      <w:hyperlink w:anchor="ref-hmrc_vatgpb">
        <w:r>
          <w:rPr>
            <w:rStyle w:val="Hyperlink"/>
          </w:rPr>
          <w:t xml:space="preserve">HMRC, 2026n, sec. VATGPB11270</w:t>
        </w:r>
      </w:hyperlink>
      <w:r>
        <w:t xml:space="preserve">)</w:t>
      </w:r>
      <w:r>
        <w:t xml:space="preserve">.</w:t>
      </w:r>
    </w:p>
    <w:bookmarkEnd w:id="334"/>
    <w:bookmarkStart w:id="335" w:name="X9e94d18207cca33ccfd6c84a2ee1f9549c244be"/>
    <w:p>
      <w:pPr>
        <w:pStyle w:val="Heading3"/>
      </w:pPr>
      <w:r>
        <w:t xml:space="preserve">Heading 78: Call centre and contact centre services</w:t>
      </w:r>
    </w:p>
    <w:p>
      <w:pPr>
        <w:pStyle w:val="FirstParagraph"/>
      </w:pPr>
      <w:r>
        <w:rPr>
          <w:b/>
          <w:bCs/>
        </w:rPr>
        <w:t xml:space="preserve">What it covers (HMRC’s description):</w:t>
      </w:r>
      <w:r>
        <w:t xml:space="preserve"> </w:t>
      </w:r>
      <w:r>
        <w:t xml:space="preserve">HMRC says the heading</w:t>
      </w:r>
      <w:r>
        <w:t xml:space="preserve"> </w:t>
      </w:r>
      <w:r>
        <w:t xml:space="preserve">“</w:t>
      </w:r>
      <w:r>
        <w:t xml:space="preserve">concerns the operation of contact centres that have direct dealings with external customers, and which include facilitating communication channels via telephony, email and/or web-based communications</w:t>
      </w:r>
      <w:r>
        <w:t xml:space="preserve">”</w:t>
      </w:r>
      <w:r>
        <w:t xml:space="preserve"> </w:t>
      </w:r>
      <w:r>
        <w:t xml:space="preserve">(</w:t>
      </w:r>
      <w:hyperlink w:anchor="ref-hmrc_vatgpb">
        <w:r>
          <w:rPr>
            <w:rStyle w:val="Hyperlink"/>
          </w:rPr>
          <w:t xml:space="preserve">HMRC, 2026n, sec. VATGPB11290</w:t>
        </w:r>
      </w:hyperlink>
      <w:r>
        <w:t xml:space="preserve">)</w:t>
      </w:r>
      <w:r>
        <w:t xml:space="preserve">. HMRC also notes that a contact centre operation using internet calling (VOIP) and videoconferencing</w:t>
      </w:r>
      <w:r>
        <w:t xml:space="preserve"> </w:t>
      </w:r>
      <w:r>
        <w:t xml:space="preserve">“</w:t>
      </w:r>
      <w:r>
        <w:t xml:space="preserve">is not a supply of those elements. They are ancillary to the main supply of a contact centre operation.</w:t>
      </w:r>
      <w:r>
        <w:t xml:space="preserve">”</w:t>
      </w:r>
      <w:r>
        <w:t xml:space="preserve"> </w:t>
      </w:r>
      <w:r>
        <w:t xml:space="preserve">In other words, they are part of one overall service.</w:t>
      </w:r>
    </w:p>
    <w:p>
      <w:pPr>
        <w:pStyle w:val="BodyText"/>
      </w:pPr>
      <w:r>
        <w:rPr>
          <w:b/>
          <w:bCs/>
        </w:rPr>
        <w:t xml:space="preserve">Includes:</w:t>
      </w:r>
    </w:p>
    <w:p>
      <w:pPr>
        <w:pStyle w:val="Compact"/>
        <w:numPr>
          <w:ilvl w:val="0"/>
          <w:numId w:val="1603"/>
        </w:numPr>
      </w:pPr>
      <w:r>
        <w:t xml:space="preserve">“</w:t>
      </w:r>
      <w:r>
        <w:t xml:space="preserve">All elements of contact centre operation when provided as part of a composite package</w:t>
      </w:r>
      <w:r>
        <w:t xml:space="preserve">”</w:t>
      </w:r>
      <w:r>
        <w:t xml:space="preserve">. A composite package is a single supply made up of several parts. HMRC says this</w:t>
      </w:r>
      <w:r>
        <w:t xml:space="preserve"> </w:t>
      </w:r>
      <w:r>
        <w:t xml:space="preserve">“</w:t>
      </w:r>
      <w:r>
        <w:t xml:space="preserve">would typically include large scale provision and maintenance of telephony, including Voice Over Internet Protocol (VOIP) and videoconferencing, and IT equipment alongside operatives who will handle the communications and undertake activities such as recording claims and maintaining records relating to communications</w:t>
      </w:r>
      <w:r>
        <w:t xml:space="preserve">”</w:t>
      </w:r>
      <w:r>
        <w:t xml:space="preserve">. The contractor may work from its own premises or from accommodation the department provides.</w:t>
      </w:r>
    </w:p>
    <w:p>
      <w:pPr>
        <w:pStyle w:val="Compact"/>
        <w:numPr>
          <w:ilvl w:val="0"/>
          <w:numId w:val="1603"/>
        </w:numPr>
      </w:pPr>
      <w:r>
        <w:t xml:space="preserve">“</w:t>
      </w:r>
      <w:r>
        <w:t xml:space="preserve">In so far as VAT is chargeable, VAT charged on the outsourced operation of the NHS 111 service.</w:t>
      </w:r>
      <w:r>
        <w:t xml:space="preserve">”</w:t>
      </w:r>
    </w:p>
    <w:p>
      <w:pPr>
        <w:pStyle w:val="FirstParagraph"/>
      </w:pPr>
      <w:r>
        <w:rPr>
          <w:b/>
          <w:bCs/>
        </w:rPr>
        <w:t xml:space="preserve">Excludes:</w:t>
      </w:r>
    </w:p>
    <w:p>
      <w:pPr>
        <w:pStyle w:val="Compact"/>
        <w:numPr>
          <w:ilvl w:val="0"/>
          <w:numId w:val="1604"/>
        </w:numPr>
      </w:pPr>
      <w:r>
        <w:t xml:space="preserve">Hire of equipment alone</w:t>
      </w:r>
    </w:p>
    <w:p>
      <w:pPr>
        <w:pStyle w:val="Compact"/>
        <w:numPr>
          <w:ilvl w:val="0"/>
          <w:numId w:val="1604"/>
        </w:numPr>
      </w:pPr>
      <w:r>
        <w:t xml:space="preserve">Supplies of telephony staff that are not part of a wider contact centre operation being provided</w:t>
      </w:r>
    </w:p>
    <w:p>
      <w:pPr>
        <w:pStyle w:val="Compact"/>
        <w:numPr>
          <w:ilvl w:val="0"/>
          <w:numId w:val="1604"/>
        </w:numPr>
      </w:pPr>
      <w:r>
        <w:t xml:space="preserve">“</w:t>
      </w:r>
      <w:r>
        <w:t xml:space="preserve">In-house contact centres for internal services, e.g. IT support, HR.</w:t>
      </w:r>
      <w:r>
        <w:t xml:space="preserve">”</w:t>
      </w:r>
      <w:r>
        <w:t xml:space="preserve"> </w:t>
      </w:r>
      <w:r>
        <w:t xml:space="preserve">HMRC adds that</w:t>
      </w:r>
      <w:r>
        <w:t xml:space="preserve"> </w:t>
      </w:r>
      <w:r>
        <w:t xml:space="preserve">“</w:t>
      </w:r>
      <w:r>
        <w:t xml:space="preserve">these may be recoverable under other headings if provided as part of the wider services listed</w:t>
      </w:r>
      <w:r>
        <w:t xml:space="preserve">”</w:t>
      </w:r>
      <w:r>
        <w:t xml:space="preserve">.</w:t>
      </w:r>
    </w:p>
    <w:p>
      <w:pPr>
        <w:pStyle w:val="FirstParagraph"/>
      </w:pPr>
      <w:r>
        <w:rPr>
          <w:b/>
          <w:bCs/>
        </w:rPr>
        <w:t xml:space="preserve">Examples for the Department:</w:t>
      </w:r>
    </w:p>
    <w:p>
      <w:pPr>
        <w:pStyle w:val="Compact"/>
        <w:numPr>
          <w:ilvl w:val="0"/>
          <w:numId w:val="1605"/>
        </w:numPr>
      </w:pPr>
      <w:r>
        <w:rPr>
          <w:b/>
          <w:bCs/>
        </w:rPr>
        <w:t xml:space="preserve">Claimable:</w:t>
      </w:r>
      <w:r>
        <w:t xml:space="preserve"> </w:t>
      </w:r>
      <w:r>
        <w:t xml:space="preserve">A contractor runs the Department’s public enquiry line, handling phone calls, emails and webchat from the public, and supplies the telephony, IT and call handlers as one package. This is a contact centre with</w:t>
      </w:r>
      <w:r>
        <w:t xml:space="preserve"> </w:t>
      </w:r>
      <w:r>
        <w:t xml:space="preserve">“</w:t>
      </w:r>
      <w:r>
        <w:t xml:space="preserve">direct dealings with external customers</w:t>
      </w:r>
      <w:r>
        <w:t xml:space="preserve">”</w:t>
      </w:r>
      <w:r>
        <w:t xml:space="preserve">, supplied as a composite package.</w:t>
      </w:r>
    </w:p>
    <w:p>
      <w:pPr>
        <w:pStyle w:val="Compact"/>
        <w:numPr>
          <w:ilvl w:val="0"/>
          <w:numId w:val="1605"/>
        </w:numPr>
      </w:pPr>
      <w:r>
        <w:rPr>
          <w:b/>
          <w:bCs/>
        </w:rPr>
        <w:t xml:space="preserve">Not claimable:</w:t>
      </w:r>
      <w:r>
        <w:t xml:space="preserve"> </w:t>
      </w:r>
      <w:r>
        <w:t xml:space="preserve">An outsourced IT helpdesk for the Department’s own staff is an internal-services contact centre, which is excluded. It may fit another heading; for example, HMRC’s Heading 14 guidance mentions helpdesk facilities as part of bespoke software aftercare</w:t>
      </w:r>
      <w:r>
        <w:t xml:space="preserve"> </w:t>
      </w:r>
      <w:r>
        <w:t xml:space="preserve">(</w:t>
      </w:r>
      <w:hyperlink w:anchor="ref-hmrc_vatgpb">
        <w:r>
          <w:rPr>
            <w:rStyle w:val="Hyperlink"/>
          </w:rPr>
          <w:t xml:space="preserve">HMRC, 2026n, sec. VATGPB10010</w:t>
        </w:r>
      </w:hyperlink>
      <w:r>
        <w:t xml:space="preserve">)</w:t>
      </w:r>
      <w:r>
        <w:t xml:space="preserve">.</w:t>
      </w:r>
    </w:p>
    <w:p>
      <w:pPr>
        <w:pStyle w:val="Compact"/>
        <w:numPr>
          <w:ilvl w:val="0"/>
          <w:numId w:val="1605"/>
        </w:numPr>
      </w:pPr>
      <w:r>
        <w:rPr>
          <w:b/>
          <w:bCs/>
        </w:rPr>
        <w:t xml:space="preserve">Not claimable:</w:t>
      </w:r>
      <w:r>
        <w:t xml:space="preserve"> </w:t>
      </w:r>
      <w:r>
        <w:t xml:space="preserve">Agency call handlers brought in to boost the Department’s in-house team during a busy period are</w:t>
      </w:r>
      <w:r>
        <w:t xml:space="preserve"> </w:t>
      </w:r>
      <w:r>
        <w:t xml:space="preserve">“</w:t>
      </w:r>
      <w:r>
        <w:t xml:space="preserve">telephony staff that are not part of a wider contact centre operation</w:t>
      </w:r>
      <w:r>
        <w:t xml:space="preserve">”</w:t>
      </w:r>
      <w:r>
        <w:t xml:space="preserve">.</w:t>
      </w:r>
    </w:p>
    <w:p>
      <w:pPr>
        <w:pStyle w:val="Compact"/>
        <w:numPr>
          <w:ilvl w:val="0"/>
          <w:numId w:val="1605"/>
        </w:numPr>
      </w:pPr>
      <w:r>
        <w:rPr>
          <w:b/>
          <w:bCs/>
        </w:rPr>
        <w:t xml:space="preserve">Not claimable:</w:t>
      </w:r>
      <w:r>
        <w:t xml:space="preserve"> </w:t>
      </w:r>
      <w:r>
        <w:t xml:space="preserve">An outsourced line that takes orders from overseas customers for the Department’s publications and data licences supports a business activity. It is outside COS and goes through the normal input tax rules</w:t>
      </w:r>
      <w:r>
        <w:t xml:space="preserve"> </w:t>
      </w:r>
      <w:r>
        <w:t xml:space="preserve">(</w:t>
      </w:r>
      <w:hyperlink w:anchor="ref-hmrc_gdpef">
        <w:r>
          <w:rPr>
            <w:rStyle w:val="Hyperlink"/>
          </w:rPr>
          <w:t xml:space="preserve">HMRC, 2023c, sec. 3</w:t>
        </w:r>
      </w:hyperlink>
      <w:r>
        <w:t xml:space="preserve">)</w:t>
      </w:r>
      <w:r>
        <w:t xml:space="preserve">.</w:t>
      </w:r>
    </w:p>
    <w:p>
      <w:pPr>
        <w:pStyle w:val="FirstParagraph"/>
      </w:pPr>
      <w:r>
        <w:rPr>
          <w:b/>
          <w:bCs/>
        </w:rPr>
        <w:t xml:space="preserve">Source:</w:t>
      </w:r>
      <w:r>
        <w:t xml:space="preserve"> </w:t>
      </w:r>
      <w:r>
        <w:t xml:space="preserve">HMRC manual section VATGPB11290, page last updated 8 July 2026</w:t>
      </w:r>
      <w:r>
        <w:t xml:space="preserve"> </w:t>
      </w:r>
      <w:r>
        <w:t xml:space="preserve">(</w:t>
      </w:r>
      <w:hyperlink w:anchor="ref-hmrc_vatgpb">
        <w:r>
          <w:rPr>
            <w:rStyle w:val="Hyperlink"/>
          </w:rPr>
          <w:t xml:space="preserve">HMRC, 2026n, sec. VATGPB11290</w:t>
        </w:r>
      </w:hyperlink>
      <w:r>
        <w:t xml:space="preserve">)</w:t>
      </w:r>
      <w:r>
        <w:t xml:space="preserve">.</w:t>
      </w:r>
    </w:p>
    <w:bookmarkEnd w:id="335"/>
    <w:bookmarkStart w:id="336" w:name="Xe60fc21c3c378a81627569e316774cf2c2a25a0"/>
    <w:p>
      <w:pPr>
        <w:pStyle w:val="Heading3"/>
      </w:pPr>
      <w:r>
        <w:t xml:space="preserve">Heading 79: Services provided by International Trade Advisors to the Department for International Trade</w:t>
      </w:r>
    </w:p>
    <w:p>
      <w:pPr>
        <w:pStyle w:val="FirstParagraph"/>
      </w:pPr>
      <w:r>
        <w:rPr>
          <w:b/>
          <w:bCs/>
        </w:rPr>
        <w:t xml:space="preserve">What it covers (HMRC’s description):</w:t>
      </w:r>
      <w:r>
        <w:t xml:space="preserve"> </w:t>
      </w:r>
      <w:r>
        <w:t xml:space="preserve">HMRC says the heading</w:t>
      </w:r>
      <w:r>
        <w:t xml:space="preserve"> </w:t>
      </w:r>
      <w:r>
        <w:t xml:space="preserve">“</w:t>
      </w:r>
      <w:r>
        <w:t xml:space="preserve">concerns services in relation to the support of UK exporters provided only to the Department for International Trade</w:t>
      </w:r>
      <w:r>
        <w:t xml:space="preserve">”</w:t>
      </w:r>
      <w:r>
        <w:t xml:space="preserve"> </w:t>
      </w:r>
      <w:r>
        <w:t xml:space="preserve">(</w:t>
      </w:r>
      <w:hyperlink w:anchor="ref-hmrc_vatgpb">
        <w:r>
          <w:rPr>
            <w:rStyle w:val="Hyperlink"/>
          </w:rPr>
          <w:t xml:space="preserve">HMRC, 2026n, sec. VATGPB11310</w:t>
        </w:r>
      </w:hyperlink>
      <w:r>
        <w:t xml:space="preserve">)</w:t>
      </w:r>
      <w:r>
        <w:t xml:space="preserve">. HMRC’s manual gives no further detail.</w:t>
      </w:r>
    </w:p>
    <w:p>
      <w:pPr>
        <w:pStyle w:val="BodyText"/>
      </w:pPr>
      <w:r>
        <w:t xml:space="preserve">This heading is aimed solely at the Department for International Trade</w:t>
      </w:r>
      <w:r>
        <w:t xml:space="preserve"> </w:t>
      </w:r>
      <w:r>
        <w:t xml:space="preserve">(</w:t>
      </w:r>
      <w:hyperlink w:anchor="ref-gazette_2020">
        <w:r>
          <w:rPr>
            <w:rStyle w:val="Hyperlink"/>
          </w:rPr>
          <w:t xml:space="preserve">HM Treasury, 2020b, para. 4</w:t>
        </w:r>
      </w:hyperlink>
      <w:r>
        <w:t xml:space="preserve">;</w:t>
      </w:r>
      <w:r>
        <w:t xml:space="preserve"> </w:t>
      </w:r>
      <w:hyperlink w:anchor="ref-hmrc_vatgpb">
        <w:r>
          <w:rPr>
            <w:rStyle w:val="Hyperlink"/>
          </w:rPr>
          <w:t xml:space="preserve">HMRC, 2026n, sec. VATGPB11310</w:t>
        </w:r>
      </w:hyperlink>
      <w:r>
        <w:t xml:space="preserve">)</w:t>
      </w:r>
      <w:r>
        <w:t xml:space="preserve">. It will not apply to the Department.</w:t>
      </w:r>
    </w:p>
    <w:p>
      <w:pPr>
        <w:pStyle w:val="Compact"/>
        <w:numPr>
          <w:ilvl w:val="0"/>
          <w:numId w:val="1606"/>
        </w:numPr>
      </w:pPr>
      <w:r>
        <w:t xml:space="preserve">HMRC’s page, last updated February 2021, still names that department</w:t>
      </w:r>
      <w:r>
        <w:t xml:space="preserve"> </w:t>
      </w:r>
      <w:r>
        <w:t xml:space="preserve">(</w:t>
      </w:r>
      <w:hyperlink w:anchor="ref-hmrc_vatgpb">
        <w:r>
          <w:rPr>
            <w:rStyle w:val="Hyperlink"/>
          </w:rPr>
          <w:t xml:space="preserve">HMRC, 2026n, sec. VATGPB11310</w:t>
        </w:r>
      </w:hyperlink>
      <w:r>
        <w:t xml:space="preserve">)</w:t>
      </w:r>
      <w:r>
        <w:t xml:space="preserve">. Its functions have since moved to the Department for Business and Trade (SI 2023/424, arts 2 and 12).</w:t>
      </w:r>
    </w:p>
    <w:p>
      <w:pPr>
        <w:pStyle w:val="Compact"/>
        <w:numPr>
          <w:ilvl w:val="0"/>
          <w:numId w:val="1606"/>
        </w:numPr>
      </w:pPr>
      <w:r>
        <w:t xml:space="preserve">HMRC’s page does not say whether the heading carries over to a successor.</w:t>
      </w:r>
    </w:p>
    <w:p>
      <w:pPr>
        <w:pStyle w:val="FirstParagraph"/>
      </w:pPr>
      <w:r>
        <w:rPr>
          <w:b/>
          <w:bCs/>
        </w:rPr>
        <w:t xml:space="preserve">Examples for the Department:</w:t>
      </w:r>
    </w:p>
    <w:p>
      <w:pPr>
        <w:pStyle w:val="Compact"/>
        <w:numPr>
          <w:ilvl w:val="0"/>
          <w:numId w:val="1607"/>
        </w:numPr>
      </w:pPr>
      <w:r>
        <w:rPr>
          <w:b/>
          <w:bCs/>
        </w:rPr>
        <w:t xml:space="preserve">Claimable (generic):</w:t>
      </w:r>
      <w:r>
        <w:t xml:space="preserve"> </w:t>
      </w:r>
      <w:r>
        <w:t xml:space="preserve">International Trade Advisors supply export-support services for UK exporters to the Department for International Trade. This is the wording of the heading.</w:t>
      </w:r>
    </w:p>
    <w:p>
      <w:pPr>
        <w:pStyle w:val="Compact"/>
        <w:numPr>
          <w:ilvl w:val="0"/>
          <w:numId w:val="1607"/>
        </w:numPr>
      </w:pPr>
      <w:r>
        <w:rPr>
          <w:b/>
          <w:bCs/>
        </w:rPr>
        <w:t xml:space="preserve">Not claimable:</w:t>
      </w:r>
      <w:r>
        <w:t xml:space="preserve"> </w:t>
      </w:r>
      <w:r>
        <w:t xml:space="preserve">The Department hires an export adviser to help it sell surplus equipment or data licences abroad. The heading covers services</w:t>
      </w:r>
      <w:r>
        <w:t xml:space="preserve"> </w:t>
      </w:r>
      <w:r>
        <w:t xml:space="preserve">“</w:t>
      </w:r>
      <w:r>
        <w:t xml:space="preserve">provided only to the Department for International Trade</w:t>
      </w:r>
      <w:r>
        <w:t xml:space="preserve">”</w:t>
      </w:r>
      <w:r>
        <w:t xml:space="preserve"> </w:t>
      </w:r>
      <w:r>
        <w:t xml:space="preserve">(</w:t>
      </w:r>
      <w:hyperlink w:anchor="ref-hmrc_vatgpb">
        <w:r>
          <w:rPr>
            <w:rStyle w:val="Hyperlink"/>
          </w:rPr>
          <w:t xml:space="preserve">HMRC, 2026n, sec. VATGPB11310</w:t>
        </w:r>
      </w:hyperlink>
      <w:r>
        <w:t xml:space="preserve">)</w:t>
      </w:r>
      <w:r>
        <w:t xml:space="preserve">. Selling abroad is also a business activity, so any VAT goes through the normal input tax rules</w:t>
      </w:r>
      <w:r>
        <w:t xml:space="preserve"> </w:t>
      </w:r>
      <w:r>
        <w:t xml:space="preserve">(</w:t>
      </w:r>
      <w:hyperlink w:anchor="ref-hmrc_gdpef">
        <w:r>
          <w:rPr>
            <w:rStyle w:val="Hyperlink"/>
          </w:rPr>
          <w:t xml:space="preserve">HMRC, 2023c, sec. 3</w:t>
        </w:r>
      </w:hyperlink>
      <w:r>
        <w:t xml:space="preserve">)</w:t>
      </w:r>
      <w:r>
        <w:t xml:space="preserve">.</w:t>
      </w:r>
    </w:p>
    <w:p>
      <w:pPr>
        <w:pStyle w:val="FirstParagraph"/>
      </w:pPr>
      <w:r>
        <w:rPr>
          <w:b/>
          <w:bCs/>
        </w:rPr>
        <w:t xml:space="preserve">Source:</w:t>
      </w:r>
      <w:r>
        <w:t xml:space="preserve"> </w:t>
      </w:r>
      <w:r>
        <w:t xml:space="preserve">HMRC manual section VATGPB11310, page last updated 17 February 2021</w:t>
      </w:r>
      <w:r>
        <w:t xml:space="preserve"> </w:t>
      </w:r>
      <w:r>
        <w:t xml:space="preserve">(</w:t>
      </w:r>
      <w:hyperlink w:anchor="ref-hmrc_vatgpb">
        <w:r>
          <w:rPr>
            <w:rStyle w:val="Hyperlink"/>
          </w:rPr>
          <w:t xml:space="preserve">HMRC, 2026n, sec. VATGPB11310</w:t>
        </w:r>
      </w:hyperlink>
      <w:r>
        <w:t xml:space="preserve">)</w:t>
      </w:r>
      <w:r>
        <w:t xml:space="preserve">.</w:t>
      </w:r>
    </w:p>
    <w:bookmarkEnd w:id="336"/>
    <w:bookmarkStart w:id="337" w:name="X14f6e8356fc4fbf81d5d239acd4eeb35469e3db"/>
    <w:p>
      <w:pPr>
        <w:pStyle w:val="Heading3"/>
      </w:pPr>
      <w:r>
        <w:t xml:space="preserve">Heading 80: Services of fire prevention and rescue services provided to the Ministry of Defence</w:t>
      </w:r>
    </w:p>
    <w:p>
      <w:pPr>
        <w:pStyle w:val="FirstParagraph"/>
      </w:pPr>
      <w:r>
        <w:rPr>
          <w:b/>
          <w:bCs/>
        </w:rPr>
        <w:t xml:space="preserve">What it covers (HMRC’s description):</w:t>
      </w:r>
      <w:r>
        <w:t xml:space="preserve"> </w:t>
      </w:r>
      <w:r>
        <w:t xml:space="preserve">HMRC says the heading</w:t>
      </w:r>
      <w:r>
        <w:t xml:space="preserve"> </w:t>
      </w:r>
      <w:r>
        <w:t xml:space="preserve">“</w:t>
      </w:r>
      <w:r>
        <w:t xml:space="preserve">concerns the provision of fire prevention, protection and rescue services to the Ministry of Defence in the UK and abroad</w:t>
      </w:r>
      <w:r>
        <w:t xml:space="preserve">”</w:t>
      </w:r>
      <w:r>
        <w:t xml:space="preserve"> </w:t>
      </w:r>
      <w:r>
        <w:t xml:space="preserve">(</w:t>
      </w:r>
      <w:hyperlink w:anchor="ref-hmrc_vatgpb">
        <w:r>
          <w:rPr>
            <w:rStyle w:val="Hyperlink"/>
          </w:rPr>
          <w:t xml:space="preserve">HMRC, 2026n, sec. VATGPB11330</w:t>
        </w:r>
      </w:hyperlink>
      <w:r>
        <w:t xml:space="preserve">)</w:t>
      </w:r>
      <w:r>
        <w:t xml:space="preserve">.</w:t>
      </w:r>
    </w:p>
    <w:p>
      <w:pPr>
        <w:pStyle w:val="BodyText"/>
      </w:pPr>
      <w:r>
        <w:t xml:space="preserve">This heading is aimed solely at the Ministry of Defence</w:t>
      </w:r>
      <w:r>
        <w:t xml:space="preserve"> </w:t>
      </w:r>
      <w:r>
        <w:t xml:space="preserve">(</w:t>
      </w:r>
      <w:hyperlink w:anchor="ref-gazette_2020">
        <w:r>
          <w:rPr>
            <w:rStyle w:val="Hyperlink"/>
          </w:rPr>
          <w:t xml:space="preserve">HM Treasury, 2020b, para. 4</w:t>
        </w:r>
      </w:hyperlink>
      <w:r>
        <w:t xml:space="preserve">;</w:t>
      </w:r>
      <w:r>
        <w:t xml:space="preserve"> </w:t>
      </w:r>
      <w:hyperlink w:anchor="ref-hmrc_vatgpb">
        <w:r>
          <w:rPr>
            <w:rStyle w:val="Hyperlink"/>
          </w:rPr>
          <w:t xml:space="preserve">HMRC, 2026n, sec. VATGPB11330</w:t>
        </w:r>
      </w:hyperlink>
      <w:r>
        <w:t xml:space="preserve">)</w:t>
      </w:r>
      <w:r>
        <w:t xml:space="preserve">. It will not apply to the Department.</w:t>
      </w:r>
    </w:p>
    <w:p>
      <w:pPr>
        <w:pStyle w:val="BodyText"/>
      </w:pPr>
      <w:r>
        <w:rPr>
          <w:b/>
          <w:bCs/>
        </w:rPr>
        <w:t xml:space="preserve">Includes:</w:t>
      </w:r>
    </w:p>
    <w:p>
      <w:pPr>
        <w:pStyle w:val="Compact"/>
        <w:numPr>
          <w:ilvl w:val="0"/>
          <w:numId w:val="1608"/>
        </w:numPr>
      </w:pPr>
      <w:r>
        <w:t xml:space="preserve">Fire risk management</w:t>
      </w:r>
    </w:p>
    <w:p>
      <w:pPr>
        <w:pStyle w:val="Compact"/>
        <w:numPr>
          <w:ilvl w:val="0"/>
          <w:numId w:val="1608"/>
        </w:numPr>
      </w:pPr>
      <w:r>
        <w:t xml:space="preserve">Protection of MoD assets and personnel</w:t>
      </w:r>
    </w:p>
    <w:p>
      <w:pPr>
        <w:pStyle w:val="Compact"/>
        <w:numPr>
          <w:ilvl w:val="0"/>
          <w:numId w:val="1608"/>
        </w:numPr>
      </w:pPr>
      <w:r>
        <w:t xml:space="preserve">Operational fire and rescue capability in support of military operations worldwide</w:t>
      </w:r>
    </w:p>
    <w:p>
      <w:pPr>
        <w:pStyle w:val="FirstParagraph"/>
      </w:pPr>
      <w:r>
        <w:rPr>
          <w:b/>
          <w:bCs/>
        </w:rPr>
        <w:t xml:space="preserve">Examples for the Department:</w:t>
      </w:r>
    </w:p>
    <w:p>
      <w:pPr>
        <w:pStyle w:val="Compact"/>
        <w:numPr>
          <w:ilvl w:val="0"/>
          <w:numId w:val="1609"/>
        </w:numPr>
      </w:pPr>
      <w:r>
        <w:rPr>
          <w:b/>
          <w:bCs/>
        </w:rPr>
        <w:t xml:space="preserve">Claimable (generic):</w:t>
      </w:r>
      <w:r>
        <w:t xml:space="preserve"> </w:t>
      </w:r>
      <w:r>
        <w:t xml:space="preserve">A contractor provides fire and rescue cover at a Ministry of Defence base, in the UK or overseas. This matches</w:t>
      </w:r>
      <w:r>
        <w:t xml:space="preserve"> </w:t>
      </w:r>
      <w:r>
        <w:t xml:space="preserve">“</w:t>
      </w:r>
      <w:r>
        <w:t xml:space="preserve">operational fire and rescue capability</w:t>
      </w:r>
      <w:r>
        <w:t xml:space="preserve">”</w:t>
      </w:r>
      <w:r>
        <w:t xml:space="preserve"> </w:t>
      </w:r>
      <w:r>
        <w:t xml:space="preserve">for the MoD.</w:t>
      </w:r>
    </w:p>
    <w:p>
      <w:pPr>
        <w:pStyle w:val="Compact"/>
        <w:numPr>
          <w:ilvl w:val="0"/>
          <w:numId w:val="1609"/>
        </w:numPr>
      </w:pPr>
      <w:r>
        <w:rPr>
          <w:b/>
          <w:bCs/>
        </w:rPr>
        <w:t xml:space="preserve">Not claimable:</w:t>
      </w:r>
      <w:r>
        <w:t xml:space="preserve"> </w:t>
      </w:r>
      <w:r>
        <w:t xml:space="preserve">The Department hires a contractor to carry out fire risk assessments at its own offices. This heading only covers services to the MoD</w:t>
      </w:r>
      <w:r>
        <w:t xml:space="preserve"> </w:t>
      </w:r>
      <w:r>
        <w:t xml:space="preserve">(</w:t>
      </w:r>
      <w:hyperlink w:anchor="ref-hmrc_vatgpb">
        <w:r>
          <w:rPr>
            <w:rStyle w:val="Hyperlink"/>
          </w:rPr>
          <w:t xml:space="preserve">HMRC, 2026n, sec. VATGPB11330</w:t>
        </w:r>
      </w:hyperlink>
      <w:r>
        <w:t xml:space="preserve">)</w:t>
      </w:r>
      <w:r>
        <w:t xml:space="preserve">, so check whether another heading genuinely fits.</w:t>
      </w:r>
    </w:p>
    <w:p>
      <w:pPr>
        <w:pStyle w:val="FirstParagraph"/>
      </w:pPr>
      <w:r>
        <w:rPr>
          <w:b/>
          <w:bCs/>
        </w:rPr>
        <w:t xml:space="preserve">Source:</w:t>
      </w:r>
      <w:r>
        <w:t xml:space="preserve"> </w:t>
      </w:r>
      <w:r>
        <w:t xml:space="preserve">HMRC manual section VATGPB11330, page last updated 17 February 2021</w:t>
      </w:r>
      <w:r>
        <w:t xml:space="preserve"> </w:t>
      </w:r>
      <w:r>
        <w:t xml:space="preserve">(</w:t>
      </w:r>
      <w:hyperlink w:anchor="ref-hmrc_vatgpb">
        <w:r>
          <w:rPr>
            <w:rStyle w:val="Hyperlink"/>
          </w:rPr>
          <w:t xml:space="preserve">HMRC, 2026n, sec. VATGPB11330</w:t>
        </w:r>
      </w:hyperlink>
      <w:r>
        <w:t xml:space="preserve">)</w:t>
      </w:r>
      <w:r>
        <w:t xml:space="preserve">.</w:t>
      </w:r>
    </w:p>
    <w:bookmarkEnd w:id="337"/>
    <w:bookmarkStart w:id="338" w:name="X10dd14313ab334d73aee5826351ad752f6cd3ee"/>
    <w:p>
      <w:pPr>
        <w:pStyle w:val="Heading3"/>
      </w:pPr>
      <w:r>
        <w:t xml:space="preserve">Heading 81: Secondment of staff accredited by the Government Commercial Development Centre from the Government Commercial Organisation</w:t>
      </w:r>
    </w:p>
    <w:p>
      <w:pPr>
        <w:pStyle w:val="FirstParagraph"/>
      </w:pPr>
      <w:r>
        <w:rPr>
          <w:b/>
          <w:bCs/>
        </w:rPr>
        <w:t xml:space="preserve">What it covers (HMRC’s description):</w:t>
      </w:r>
      <w:r>
        <w:t xml:space="preserve"> </w:t>
      </w:r>
      <w:r>
        <w:t xml:space="preserve">HMRC says the heading</w:t>
      </w:r>
      <w:r>
        <w:t xml:space="preserve"> </w:t>
      </w:r>
      <w:r>
        <w:t xml:space="preserve">“</w:t>
      </w:r>
      <w:r>
        <w:t xml:space="preserve">is confined to the secondment of accredited commercial specialists from the Government Commercial Organisation to government departments</w:t>
      </w:r>
      <w:r>
        <w:t xml:space="preserve">”</w:t>
      </w:r>
      <w:r>
        <w:t xml:space="preserve"> </w:t>
      </w:r>
      <w:r>
        <w:t xml:space="preserve">(</w:t>
      </w:r>
      <w:hyperlink w:anchor="ref-hmrc_vatgpb">
        <w:r>
          <w:rPr>
            <w:rStyle w:val="Hyperlink"/>
          </w:rPr>
          <w:t xml:space="preserve">HMRC, 2026n, sec. VATGPB11350</w:t>
        </w:r>
      </w:hyperlink>
      <w:r>
        <w:t xml:space="preserve">)</w:t>
      </w:r>
      <w:r>
        <w:t xml:space="preserve">. A secondment is where staff from another organisation work temporarily inside yours.</w:t>
      </w:r>
    </w:p>
    <w:p>
      <w:pPr>
        <w:pStyle w:val="Compact"/>
        <w:numPr>
          <w:ilvl w:val="0"/>
          <w:numId w:val="1610"/>
        </w:numPr>
      </w:pPr>
      <w:r>
        <w:rPr>
          <w:b/>
          <w:bCs/>
        </w:rPr>
        <w:t xml:space="preserve">Background.</w:t>
      </w:r>
      <w:r>
        <w:t xml:space="preserve"> </w:t>
      </w:r>
      <w:r>
        <w:t xml:space="preserve">After reviews of commercial capability, government decided to pool experts in commercial areas,</w:t>
      </w:r>
      <w:r>
        <w:t xml:space="preserve"> </w:t>
      </w:r>
      <w:r>
        <w:t xml:space="preserve">“</w:t>
      </w:r>
      <w:r>
        <w:t xml:space="preserve">such as procurement and contract management</w:t>
      </w:r>
      <w:r>
        <w:t xml:space="preserve">”</w:t>
      </w:r>
      <w:r>
        <w:t xml:space="preserve">, in the Government Commercial Organisation (GCO) within the Cabinet Office rather than within individual departments.</w:t>
      </w:r>
    </w:p>
    <w:p>
      <w:pPr>
        <w:pStyle w:val="Compact"/>
        <w:numPr>
          <w:ilvl w:val="0"/>
          <w:numId w:val="1610"/>
        </w:numPr>
      </w:pPr>
      <w:r>
        <w:rPr>
          <w:b/>
          <w:bCs/>
        </w:rPr>
        <w:t xml:space="preserve">Accreditation.</w:t>
      </w:r>
      <w:r>
        <w:t xml:space="preserve"> </w:t>
      </w:r>
      <w:r>
        <w:t xml:space="preserve">The GCO</w:t>
      </w:r>
      <w:r>
        <w:t xml:space="preserve"> </w:t>
      </w:r>
      <w:r>
        <w:t xml:space="preserve">“</w:t>
      </w:r>
      <w:r>
        <w:t xml:space="preserve">should be able to provide accreditation details when a new staff member is seconded</w:t>
      </w:r>
      <w:r>
        <w:t xml:space="preserve">”</w:t>
      </w:r>
      <w:r>
        <w:t xml:space="preserve">.</w:t>
      </w:r>
    </w:p>
    <w:p>
      <w:pPr>
        <w:pStyle w:val="Compact"/>
        <w:numPr>
          <w:ilvl w:val="0"/>
          <w:numId w:val="1610"/>
        </w:numPr>
      </w:pPr>
      <w:r>
        <w:rPr>
          <w:b/>
          <w:bCs/>
        </w:rPr>
        <w:t xml:space="preserve">Mixed teams.</w:t>
      </w:r>
      <w:r>
        <w:t xml:space="preserve"> </w:t>
      </w:r>
      <w:r>
        <w:t xml:space="preserve">If the GCO seconded a team of both accredited and unaccredited staff, which HMRC thinks unlikely, contact your Customer Compliance Manager (CCM, your named HMRC contact) or, if you do not have a CCM, HMRC’s Public Bodies Group for advice.</w:t>
      </w:r>
    </w:p>
    <w:p>
      <w:pPr>
        <w:pStyle w:val="Compact"/>
        <w:numPr>
          <w:ilvl w:val="0"/>
          <w:numId w:val="1610"/>
        </w:numPr>
      </w:pPr>
      <w:r>
        <w:rPr>
          <w:b/>
          <w:bCs/>
        </w:rPr>
        <w:t xml:space="preserve">General rule on secondments.</w:t>
      </w:r>
      <w:r>
        <w:t xml:space="preserve"> </w:t>
      </w:r>
      <w:r>
        <w:t xml:space="preserve">HMRC stresses the heading is</w:t>
      </w:r>
      <w:r>
        <w:t xml:space="preserve"> </w:t>
      </w:r>
      <w:r>
        <w:t xml:space="preserve">“</w:t>
      </w:r>
      <w:r>
        <w:t xml:space="preserve">confined to the very specific circumstances set out above</w:t>
      </w:r>
      <w:r>
        <w:t xml:space="preserve">”</w:t>
      </w:r>
      <w:r>
        <w:t xml:space="preserve">. It adds:</w:t>
      </w:r>
      <w:r>
        <w:t xml:space="preserve"> </w:t>
      </w:r>
      <w:r>
        <w:t xml:space="preserve">“</w:t>
      </w:r>
      <w:r>
        <w:t xml:space="preserve">VAT incurred on staff secondments are not generally recoverable under the COS refund scheme, because the purchase of staff is a case of buying in, not contracting out</w:t>
      </w:r>
      <w:r>
        <w:t xml:space="preserve">”</w:t>
      </w:r>
      <w:r>
        <w:t xml:space="preserve"> </w:t>
      </w:r>
      <w:r>
        <w:t xml:space="preserve">(</w:t>
      </w:r>
      <w:hyperlink w:anchor="ref-hmrc_vatgpb">
        <w:r>
          <w:rPr>
            <w:rStyle w:val="Hyperlink"/>
          </w:rPr>
          <w:t xml:space="preserve">HMRC, 2026n, sec. VATGPB11350</w:t>
        </w:r>
      </w:hyperlink>
      <w:r>
        <w:t xml:space="preserve">)</w:t>
      </w:r>
      <w:r>
        <w:t xml:space="preserve">.</w:t>
      </w:r>
    </w:p>
    <w:p>
      <w:pPr>
        <w:pStyle w:val="FirstParagraph"/>
      </w:pPr>
      <w:r>
        <w:rPr>
          <w:b/>
          <w:bCs/>
        </w:rPr>
        <w:t xml:space="preserve">Examples for the Department:</w:t>
      </w:r>
    </w:p>
    <w:p>
      <w:pPr>
        <w:pStyle w:val="Compact"/>
        <w:numPr>
          <w:ilvl w:val="0"/>
          <w:numId w:val="1611"/>
        </w:numPr>
      </w:pPr>
      <w:r>
        <w:rPr>
          <w:b/>
          <w:bCs/>
        </w:rPr>
        <w:t xml:space="preserve">Claimable:</w:t>
      </w:r>
      <w:r>
        <w:t xml:space="preserve"> </w:t>
      </w:r>
      <w:r>
        <w:t xml:space="preserve">The GCO seconds an accredited contract-management specialist to the Department to manage its logistics contract for shipping equipment to an overseas government, and VAT is charged. This is exactly the GCO secondment the heading describes. Keep the GCO’s accreditation details on file.</w:t>
      </w:r>
    </w:p>
    <w:p>
      <w:pPr>
        <w:pStyle w:val="Compact"/>
        <w:numPr>
          <w:ilvl w:val="0"/>
          <w:numId w:val="1611"/>
        </w:numPr>
      </w:pPr>
      <w:r>
        <w:rPr>
          <w:b/>
          <w:bCs/>
        </w:rPr>
        <w:t xml:space="preserve">Not claimable:</w:t>
      </w:r>
      <w:r>
        <w:t xml:space="preserve"> </w:t>
      </w:r>
      <w:r>
        <w:t xml:space="preserve">A procurement specialist seconded from a private consultancy, or supplied by an agency, is</w:t>
      </w:r>
      <w:r>
        <w:t xml:space="preserve"> </w:t>
      </w:r>
      <w:r>
        <w:t xml:space="preserve">“</w:t>
      </w:r>
      <w:r>
        <w:t xml:space="preserve">buying in, not contracting out</w:t>
      </w:r>
      <w:r>
        <w:t xml:space="preserve">”</w:t>
      </w:r>
      <w:r>
        <w:t xml:space="preserve"> </w:t>
      </w:r>
      <w:r>
        <w:t xml:space="preserve">(</w:t>
      </w:r>
      <w:hyperlink w:anchor="ref-hmrc_vatgpb">
        <w:r>
          <w:rPr>
            <w:rStyle w:val="Hyperlink"/>
          </w:rPr>
          <w:t xml:space="preserve">HMRC, 2026n, sec. VATGPB11350</w:t>
        </w:r>
      </w:hyperlink>
      <w:r>
        <w:t xml:space="preserve">)</w:t>
      </w:r>
      <w:r>
        <w:t xml:space="preserve">, and is not from the GCO. Heading 52 (professional advice) does not help either, because it excludes</w:t>
      </w:r>
      <w:r>
        <w:t xml:space="preserve"> </w:t>
      </w:r>
      <w:r>
        <w:t xml:space="preserve">“</w:t>
      </w:r>
      <w:r>
        <w:t xml:space="preserve">Staff secondments</w:t>
      </w:r>
      <w:r>
        <w:t xml:space="preserve">”</w:t>
      </w:r>
      <w:r>
        <w:t xml:space="preserve"> </w:t>
      </w:r>
      <w:r>
        <w:t xml:space="preserve">and</w:t>
      </w:r>
      <w:r>
        <w:t xml:space="preserve"> </w:t>
      </w:r>
      <w:r>
        <w:t xml:space="preserve">“</w:t>
      </w:r>
      <w:r>
        <w:t xml:space="preserve">The hire of a consultant to work as part of the Department</w:t>
      </w:r>
      <w:r>
        <w:t xml:space="preserve">”</w:t>
      </w:r>
      <w:r>
        <w:t xml:space="preserve"> </w:t>
      </w:r>
      <w:r>
        <w:t xml:space="preserve">(</w:t>
      </w:r>
      <w:hyperlink w:anchor="ref-hmrc_vatgpb">
        <w:r>
          <w:rPr>
            <w:rStyle w:val="Hyperlink"/>
          </w:rPr>
          <w:t xml:space="preserve">HMRC, 2026n, sec. VATGPB10770</w:t>
        </w:r>
      </w:hyperlink>
      <w:r>
        <w:t xml:space="preserve">)</w:t>
      </w:r>
      <w:r>
        <w:t xml:space="preserve">.</w:t>
      </w:r>
    </w:p>
    <w:p>
      <w:pPr>
        <w:pStyle w:val="Compact"/>
        <w:numPr>
          <w:ilvl w:val="0"/>
          <w:numId w:val="1611"/>
        </w:numPr>
      </w:pPr>
      <w:r>
        <w:rPr>
          <w:b/>
          <w:bCs/>
        </w:rPr>
        <w:t xml:space="preserve">Not claimable:</w:t>
      </w:r>
      <w:r>
        <w:t xml:space="preserve"> </w:t>
      </w:r>
      <w:r>
        <w:t xml:space="preserve">Do not claim on a GCO-seconded team that mixes accredited and unaccredited staff without advice. HMRC says to contact your Customer Compliance Manager or, if you do not have one, the Public Bodies Group first</w:t>
      </w:r>
      <w:r>
        <w:t xml:space="preserve"> </w:t>
      </w:r>
      <w:r>
        <w:t xml:space="preserve">(</w:t>
      </w:r>
      <w:hyperlink w:anchor="ref-hmrc_vatgpb">
        <w:r>
          <w:rPr>
            <w:rStyle w:val="Hyperlink"/>
          </w:rPr>
          <w:t xml:space="preserve">HMRC, 2026n, sec. VATGPB11350</w:t>
        </w:r>
      </w:hyperlink>
      <w:r>
        <w:t xml:space="preserve">)</w:t>
      </w:r>
      <w:r>
        <w:t xml:space="preserve">.</w:t>
      </w:r>
    </w:p>
    <w:p>
      <w:pPr>
        <w:pStyle w:val="FirstParagraph"/>
      </w:pPr>
      <w:r>
        <w:rPr>
          <w:b/>
          <w:bCs/>
        </w:rPr>
        <w:t xml:space="preserve">Source:</w:t>
      </w:r>
      <w:r>
        <w:t xml:space="preserve"> </w:t>
      </w:r>
      <w:r>
        <w:t xml:space="preserve">HMRC manual section VATGPB11350, page last updated 17 February 2021</w:t>
      </w:r>
      <w:r>
        <w:t xml:space="preserve"> </w:t>
      </w:r>
      <w:r>
        <w:t xml:space="preserve">(</w:t>
      </w:r>
      <w:hyperlink w:anchor="ref-hmrc_vatgpb">
        <w:r>
          <w:rPr>
            <w:rStyle w:val="Hyperlink"/>
          </w:rPr>
          <w:t xml:space="preserve">HMRC, 2026n, sec. VATGPB11350</w:t>
        </w:r>
      </w:hyperlink>
      <w:r>
        <w:t xml:space="preserve">)</w:t>
      </w:r>
      <w:r>
        <w:t xml:space="preserve">.</w:t>
      </w:r>
    </w:p>
    <w:bookmarkEnd w:id="338"/>
    <w:bookmarkStart w:id="339" w:name="X7db0cbd1dc7ef3b955d7a2ecd207d7d6accafc1"/>
    <w:p>
      <w:pPr>
        <w:pStyle w:val="Heading3"/>
      </w:pPr>
      <w:r>
        <w:t xml:space="preserve">Heading 82: Goods and services supplied to High Speed Two (HS2) Limited</w:t>
      </w:r>
    </w:p>
    <w:p>
      <w:pPr>
        <w:pStyle w:val="FirstParagraph"/>
      </w:pPr>
      <w:r>
        <w:rPr>
          <w:b/>
          <w:bCs/>
        </w:rPr>
        <w:t xml:space="preserve">What it covers (HMRC’s description):</w:t>
      </w:r>
      <w:r>
        <w:t xml:space="preserve"> </w:t>
      </w:r>
      <w:r>
        <w:t xml:space="preserve">HMRC says the heading covers</w:t>
      </w:r>
      <w:r>
        <w:t xml:space="preserve"> </w:t>
      </w:r>
      <w:r>
        <w:t xml:space="preserve">“</w:t>
      </w:r>
      <w:r>
        <w:t xml:space="preserve">the supply of goods and services to HS2 Ltd which are necessary for the purpose of the development and delivery of the HS2 high speed railway network</w:t>
      </w:r>
      <w:r>
        <w:t xml:space="preserve">”</w:t>
      </w:r>
      <w:r>
        <w:t xml:space="preserve"> </w:t>
      </w:r>
      <w:r>
        <w:t xml:space="preserve">(</w:t>
      </w:r>
      <w:hyperlink w:anchor="ref-hmrc_vatgpb">
        <w:r>
          <w:rPr>
            <w:rStyle w:val="Hyperlink"/>
          </w:rPr>
          <w:t xml:space="preserve">HMRC, 2026n, sec. VATGPB11370</w:t>
        </w:r>
      </w:hyperlink>
      <w:r>
        <w:t xml:space="preserve">)</w:t>
      </w:r>
      <w:r>
        <w:t xml:space="preserve">. HMRC stresses that</w:t>
      </w:r>
      <w:r>
        <w:t xml:space="preserve"> </w:t>
      </w:r>
      <w:r>
        <w:t xml:space="preserve">“</w:t>
      </w:r>
      <w:r>
        <w:t xml:space="preserve">the reference to</w:t>
      </w:r>
      <w:r>
        <w:t xml:space="preserve"> </w:t>
      </w:r>
      <w:r>
        <w:t xml:space="preserve">‘</w:t>
      </w:r>
      <w:r>
        <w:t xml:space="preserve">goods</w:t>
      </w:r>
      <w:r>
        <w:t xml:space="preserve">’</w:t>
      </w:r>
      <w:r>
        <w:t xml:space="preserve"> </w:t>
      </w:r>
      <w:r>
        <w:t xml:space="preserve">is specific only to this heading. 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w:t>
      </w:r>
    </w:p>
    <w:p>
      <w:pPr>
        <w:pStyle w:val="BodyText"/>
      </w:pPr>
      <w:r>
        <w:t xml:space="preserve">This heading is aimed solely at HS2 Ltd</w:t>
      </w:r>
      <w:r>
        <w:t xml:space="preserve"> </w:t>
      </w:r>
      <w:r>
        <w:t xml:space="preserve">(</w:t>
      </w:r>
      <w:hyperlink w:anchor="ref-hmrc_vatgpb">
        <w:r>
          <w:rPr>
            <w:rStyle w:val="Hyperlink"/>
          </w:rPr>
          <w:t xml:space="preserve">HMRC, 2026n, sec. VATGPB11370</w:t>
        </w:r>
      </w:hyperlink>
      <w:r>
        <w:t xml:space="preserve">)</w:t>
      </w:r>
      <w:r>
        <w:t xml:space="preserve">. It will not apply to the Department.</w:t>
      </w:r>
    </w:p>
    <w:p>
      <w:pPr>
        <w:pStyle w:val="BodyText"/>
      </w:pPr>
      <w:r>
        <w:rPr>
          <w:b/>
          <w:bCs/>
        </w:rPr>
        <w:t xml:space="preserve">Includes:</w:t>
      </w:r>
      <w:r>
        <w:t xml:space="preserve"> </w:t>
      </w:r>
      <w:r>
        <w:t xml:space="preserve">HMRC says the goods and services may be bought for purposes</w:t>
      </w:r>
      <w:r>
        <w:t xml:space="preserve"> </w:t>
      </w:r>
      <w:r>
        <w:t xml:space="preserve">“</w:t>
      </w:r>
      <w:r>
        <w:t xml:space="preserve">including, but not limited to</w:t>
      </w:r>
      <w:r>
        <w:t xml:space="preserve">”</w:t>
      </w:r>
      <w:r>
        <w:t xml:space="preserve">:</w:t>
      </w:r>
    </w:p>
    <w:p>
      <w:pPr>
        <w:pStyle w:val="Compact"/>
        <w:numPr>
          <w:ilvl w:val="0"/>
          <w:numId w:val="1612"/>
        </w:numPr>
      </w:pPr>
      <w:r>
        <w:t xml:space="preserve">assisting the Secretary of State in the procurement of land</w:t>
      </w:r>
    </w:p>
    <w:p>
      <w:pPr>
        <w:pStyle w:val="Compact"/>
        <w:numPr>
          <w:ilvl w:val="0"/>
          <w:numId w:val="1612"/>
        </w:numPr>
      </w:pPr>
      <w:r>
        <w:t xml:space="preserve">the preparation of land for the railway, for environmental works, for landscaping etc.</w:t>
      </w:r>
    </w:p>
    <w:p>
      <w:pPr>
        <w:pStyle w:val="Compact"/>
        <w:numPr>
          <w:ilvl w:val="0"/>
          <w:numId w:val="1612"/>
        </w:numPr>
      </w:pPr>
      <w:r>
        <w:t xml:space="preserve">laying the tracks and other necessary infrastructure</w:t>
      </w:r>
    </w:p>
    <w:p>
      <w:pPr>
        <w:pStyle w:val="Compact"/>
        <w:numPr>
          <w:ilvl w:val="0"/>
          <w:numId w:val="1612"/>
        </w:numPr>
      </w:pPr>
      <w:r>
        <w:t xml:space="preserve">building new stations and upgrading existing stations</w:t>
      </w:r>
    </w:p>
    <w:p>
      <w:pPr>
        <w:pStyle w:val="Compact"/>
        <w:numPr>
          <w:ilvl w:val="0"/>
          <w:numId w:val="1612"/>
        </w:numPr>
      </w:pPr>
      <w:r>
        <w:t xml:space="preserve">design, build, testing and acceptance of rolling stock</w:t>
      </w:r>
    </w:p>
    <w:p>
      <w:pPr>
        <w:pStyle w:val="Compact"/>
        <w:numPr>
          <w:ilvl w:val="0"/>
          <w:numId w:val="1612"/>
        </w:numPr>
      </w:pPr>
      <w:r>
        <w:t xml:space="preserve">rolling stock</w:t>
      </w:r>
    </w:p>
    <w:p>
      <w:pPr>
        <w:pStyle w:val="Compact"/>
        <w:numPr>
          <w:ilvl w:val="0"/>
          <w:numId w:val="1612"/>
        </w:numPr>
      </w:pPr>
      <w:r>
        <w:t xml:space="preserve">profiling of journey times</w:t>
      </w:r>
    </w:p>
    <w:p>
      <w:pPr>
        <w:pStyle w:val="Compact"/>
        <w:numPr>
          <w:ilvl w:val="0"/>
          <w:numId w:val="1612"/>
        </w:numPr>
      </w:pPr>
      <w:r>
        <w:t xml:space="preserve">IT infrastructure</w:t>
      </w:r>
    </w:p>
    <w:p>
      <w:pPr>
        <w:pStyle w:val="Compact"/>
        <w:numPr>
          <w:ilvl w:val="0"/>
          <w:numId w:val="1612"/>
        </w:numPr>
      </w:pPr>
      <w:r>
        <w:t xml:space="preserve">public information services</w:t>
      </w:r>
    </w:p>
    <w:p>
      <w:pPr>
        <w:pStyle w:val="Compact"/>
        <w:numPr>
          <w:ilvl w:val="0"/>
          <w:numId w:val="1612"/>
        </w:numPr>
      </w:pPr>
      <w:r>
        <w:t xml:space="preserve">security services</w:t>
      </w:r>
    </w:p>
    <w:p>
      <w:pPr>
        <w:pStyle w:val="FirstParagraph"/>
      </w:pPr>
      <w:r>
        <w:rPr>
          <w:b/>
          <w:bCs/>
        </w:rPr>
        <w:t xml:space="preserve">Examples for the Department:</w:t>
      </w:r>
    </w:p>
    <w:p>
      <w:pPr>
        <w:pStyle w:val="Compact"/>
        <w:numPr>
          <w:ilvl w:val="0"/>
          <w:numId w:val="1613"/>
        </w:numPr>
      </w:pPr>
      <w:r>
        <w:rPr>
          <w:b/>
          <w:bCs/>
        </w:rPr>
        <w:t xml:space="preserve">Claimable (generic):</w:t>
      </w:r>
      <w:r>
        <w:t xml:space="preserve"> </w:t>
      </w:r>
      <w:r>
        <w:t xml:space="preserve">HS2 Ltd buys rolling stock, or pays a contractor to lay track. These items are on HMRC’s list, and only this heading allows standalone supplies of goods (elsewhere, goods count only as an integral part of a qualifying service)</w:t>
      </w:r>
      <w:r>
        <w:t xml:space="preserve"> </w:t>
      </w:r>
      <w:r>
        <w:t xml:space="preserve">(</w:t>
      </w:r>
      <w:hyperlink w:anchor="ref-gazette_2020">
        <w:r>
          <w:rPr>
            <w:rStyle w:val="Hyperlink"/>
          </w:rPr>
          <w:t xml:space="preserve">HM Treasury, 2020b, para. 2(c)</w:t>
        </w:r>
      </w:hyperlink>
      <w:r>
        <w:t xml:space="preserve">;</w:t>
      </w:r>
      <w:r>
        <w:t xml:space="preserve"> </w:t>
      </w:r>
      <w:hyperlink w:anchor="ref-hmrc_vatgpb">
        <w:r>
          <w:rPr>
            <w:rStyle w:val="Hyperlink"/>
          </w:rPr>
          <w:t xml:space="preserve">HMRC, 2026n, sec. VATGPB11370</w:t>
        </w:r>
      </w:hyperlink>
      <w:r>
        <w:t xml:space="preserve">)</w:t>
      </w:r>
      <w:r>
        <w:t xml:space="preserve">.</w:t>
      </w:r>
    </w:p>
    <w:p>
      <w:pPr>
        <w:pStyle w:val="Compact"/>
        <w:numPr>
          <w:ilvl w:val="0"/>
          <w:numId w:val="1613"/>
        </w:numPr>
      </w:pPr>
      <w:r>
        <w:rPr>
          <w:b/>
          <w:bCs/>
        </w:rPr>
        <w:t xml:space="preserve">Not claimable:</w:t>
      </w:r>
      <w:r>
        <w:t xml:space="preserve"> </w:t>
      </w:r>
      <w:r>
        <w:t xml:space="preserve">The Department buys vehicles or IT equipment to give to an overseas government. These are goods, and</w:t>
      </w:r>
      <w:r>
        <w:t xml:space="preserve"> </w:t>
      </w:r>
      <w:r>
        <w:t xml:space="preserve">“</w:t>
      </w:r>
      <w:r>
        <w:t xml:space="preserve">a supply of goods is not recoverable elsewhere under the COS headings</w:t>
      </w:r>
      <w:r>
        <w:t xml:space="preserve">”</w:t>
      </w:r>
      <w:r>
        <w:t xml:space="preserve"> </w:t>
      </w:r>
      <w:r>
        <w:t xml:space="preserve">(</w:t>
      </w:r>
      <w:hyperlink w:anchor="ref-hmrc_vatgpb">
        <w:r>
          <w:rPr>
            <w:rStyle w:val="Hyperlink"/>
          </w:rPr>
          <w:t xml:space="preserve">HMRC, 2026n, sec. VATGPB11370</w:t>
        </w:r>
      </w:hyperlink>
      <w:r>
        <w:t xml:space="preserve">)</w:t>
      </w:r>
      <w:r>
        <w:t xml:space="preserve">. If the supplier ships the goods directly overseas, the supply may be zero-rated as an export anyway</w:t>
      </w:r>
      <w:r>
        <w:t xml:space="preserve"> </w:t>
      </w:r>
      <w:r>
        <w:t xml:space="preserve">(</w:t>
      </w:r>
      <w:hyperlink w:anchor="ref-hmrc_n703">
        <w:r>
          <w:rPr>
            <w:rStyle w:val="Hyperlink"/>
          </w:rPr>
          <w:t xml:space="preserve">HMRC, 2026p</w:t>
        </w:r>
      </w:hyperlink>
      <w:r>
        <w:t xml:space="preserve">, paras. 2.1, 4.12)</w:t>
      </w:r>
      <w:r>
        <w:t xml:space="preserve">.</w:t>
      </w:r>
    </w:p>
    <w:p>
      <w:pPr>
        <w:pStyle w:val="Compact"/>
        <w:numPr>
          <w:ilvl w:val="0"/>
          <w:numId w:val="1613"/>
        </w:numPr>
      </w:pPr>
      <w:r>
        <w:rPr>
          <w:b/>
          <w:bCs/>
        </w:rPr>
        <w:t xml:space="preserve">Not claimable:</w:t>
      </w:r>
      <w:r>
        <w:t xml:space="preserve"> </w:t>
      </w:r>
      <w:r>
        <w:t xml:space="preserve">The Department buys laptops for its own staff. For the same reason, this is a purchase of goods and is not recoverable under any COS heading</w:t>
      </w:r>
      <w:r>
        <w:t xml:space="preserve"> </w:t>
      </w:r>
      <w:r>
        <w:t xml:space="preserve">(</w:t>
      </w:r>
      <w:hyperlink w:anchor="ref-hmrc_vatgpb">
        <w:r>
          <w:rPr>
            <w:rStyle w:val="Hyperlink"/>
          </w:rPr>
          <w:t xml:space="preserve">HMRC, 2026n, sec. VATGPB11370</w:t>
        </w:r>
      </w:hyperlink>
      <w:r>
        <w:t xml:space="preserve">)</w:t>
      </w:r>
      <w:r>
        <w:t xml:space="preserve">.</w:t>
      </w:r>
    </w:p>
    <w:p>
      <w:pPr>
        <w:pStyle w:val="FirstParagraph"/>
      </w:pPr>
      <w:r>
        <w:rPr>
          <w:b/>
          <w:bCs/>
        </w:rPr>
        <w:t xml:space="preserve">Source:</w:t>
      </w:r>
      <w:r>
        <w:t xml:space="preserve"> </w:t>
      </w:r>
      <w:r>
        <w:t xml:space="preserve">HMRC manual section VATGPB11370, page last updated 17 February 2021</w:t>
      </w:r>
      <w:r>
        <w:t xml:space="preserve"> </w:t>
      </w:r>
      <w:r>
        <w:t xml:space="preserve">(</w:t>
      </w:r>
      <w:hyperlink w:anchor="ref-hmrc_vatgpb">
        <w:r>
          <w:rPr>
            <w:rStyle w:val="Hyperlink"/>
          </w:rPr>
          <w:t xml:space="preserve">HMRC, 2026n, sec. VATGPB11370</w:t>
        </w:r>
      </w:hyperlink>
      <w:r>
        <w:t xml:space="preserve">)</w:t>
      </w:r>
      <w:r>
        <w:t xml:space="preserve">.</w:t>
      </w:r>
    </w:p>
    <w:bookmarkEnd w:id="339"/>
    <w:bookmarkEnd w:id="340"/>
    <w:bookmarkStart w:id="341" w:name="appendix-a-glossary"/>
    <w:p>
      <w:pPr>
        <w:pStyle w:val="Heading2"/>
      </w:pPr>
      <w:r>
        <w:t xml:space="preserve">Appendix A: Glossary</w:t>
      </w:r>
    </w:p>
    <w:p>
      <w:pPr>
        <w:pStyle w:val="FirstParagraph"/>
      </w:pPr>
      <w:r>
        <w:t xml:space="preserve">The table below gives plain-English meanings of the terms as they are used in this guide, in alphabetical order.</w:t>
      </w:r>
    </w:p>
    <w:tbl>
      <w:tblPr>
        <w:tblStyle w:val="Table"/>
        <w:tblW w:w="9026" w:type="dxa"/>
        <w:jc w:val="left"/>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Layout w:type="fixed"/>
        <w:tblCellMar>
          <w:top w:w="60" w:type="dxa"/>
          <w:left w:w="100" w:type="dxa"/>
          <w:bottom w:w="60" w:type="dxa"/>
          <w:right w:w="100" w:type="dxa"/>
        </w:tblCellMar>
        <w:tblLook w:firstRow="1" w:lastRow="0" w:firstColumn="0" w:lastColumn="0" w:noHBand="0" w:noVBand="0" w:val="0020"/>
      </w:tblPr>
      <w:tblGrid>
        <w:gridCol w:w="1926"/>
        <w:gridCol w:w="7099"/>
      </w:tblGrid>
      <w:tr>
        <w:trPr>
          <w:tblHeader w:val="true"/>
          <w:cantSplit w:val="true"/>
        </w:trPr>
        <w:tc>
          <w:tcPr>
            <w:tcW w:w="1926" w:type="dxa"/>
            <w:shd w:val="clear" w:color="auto" w:fill="1B3A5C"/>
          </w:tcPr>
          <w:p>
            <w:pPr>
              <w:pStyle w:val="Compact"/>
              <w:spacing w:after="40" w:before="40"/>
              <w:jc w:val="left"/>
            </w:pPr>
            <w:r>
              <w:rPr>
                <w:rFonts w:ascii="Tahoma" w:hAnsi="Tahoma"/>
                <w:b/>
                <w:color w:val="FFFFFF"/>
                <w:sz w:val="22"/>
              </w:rPr>
              <w:t xml:space="preserve">Term</w:t>
            </w:r>
          </w:p>
        </w:tc>
        <w:tc>
          <w:tcPr>
            <w:tcW w:w="7099" w:type="dxa"/>
            <w:shd w:val="clear" w:color="auto" w:fill="1B3A5C"/>
          </w:tcPr>
          <w:p>
            <w:pPr>
              <w:pStyle w:val="Compact"/>
              <w:spacing w:after="40" w:before="40"/>
              <w:jc w:val="left"/>
            </w:pPr>
            <w:r>
              <w:rPr>
                <w:rFonts w:ascii="Tahoma" w:hAnsi="Tahoma"/>
                <w:b/>
                <w:color w:val="FFFFFF"/>
                <w:sz w:val="22"/>
              </w:rPr>
              <w:t xml:space="preserve">Meaning</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AME (Annually Managed Expenditure)</w:t>
            </w:r>
          </w:p>
        </w:tc>
        <w:tc>
          <w:tcPr>
            <w:tcW w:w="7099" w:type="dxa"/>
            <w:shd w:val="clear" w:color="auto" w:fill="EAF3FA"/>
          </w:tcPr>
          <w:p>
            <w:pPr>
              <w:pStyle w:val="Compact"/>
              <w:spacing w:after="40" w:before="40"/>
              <w:jc w:val="left"/>
            </w:pPr>
            <w:r>
              <w:rPr>
                <w:rFonts w:ascii="Tahoma" w:hAnsi="Tahoma"/>
                <w:sz w:val="22"/>
              </w:rPr>
              <w:t xml:space="preserve">Government spending that is demand-led and not controlled within departmental budgets. COS refunds are accounted for through AME, not through departments’ DEL budgets</w:t>
            </w:r>
            <w:r>
              <w:rPr>
                <w:rFonts w:ascii="Tahoma" w:hAnsi="Tahoma"/>
                <w:sz w:val="22"/>
              </w:rPr>
              <w:t xml:space="preserve"> </w:t>
            </w:r>
            <w:r>
              <w:rPr>
                <w:rFonts w:ascii="Tahoma" w:hAnsi="Tahoma"/>
                <w:sz w:val="22"/>
              </w:rPr>
              <w:t xml:space="preserve">(</w:t>
            </w:r>
            <w:hyperlink w:anchor="ref-hmt_s41_paper_2020">
              <w:r>
                <w:rPr>
                  <w:rStyle w:val="Hyperlink"/>
                </w:rPr>
                <w:t xml:space="preserve">HM Treasury, 2020a</w:t>
              </w:r>
            </w:hyperlink>
            <w:r>
              <w:rPr>
                <w:rFonts w:ascii="Tahoma" w:hAnsi="Tahoma"/>
                <w:sz w:val="22"/>
              </w:rPr>
              <w:t xml:space="preserve">, paras. 1.26 and 1.27)</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Apportionment</w:t>
            </w:r>
          </w:p>
        </w:tc>
        <w:tc>
          <w:tcPr>
            <w:tcW w:w="7099" w:type="dxa"/>
            <w:shd w:val="clear" w:color="auto" w:fill="FFFFFF"/>
          </w:tcPr>
          <w:p>
            <w:pPr>
              <w:pStyle w:val="Compact"/>
              <w:spacing w:after="40" w:before="40"/>
              <w:jc w:val="left"/>
            </w:pPr>
            <w:r>
              <w:rPr>
                <w:rFonts w:ascii="Tahoma" w:hAnsi="Tahoma"/>
                <w:sz w:val="22"/>
              </w:rPr>
              <w:t xml:space="preserve">Splitting the VAT on a cost between different uses, for example business and non-business, using a fair and reasonable method</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w:t>
            </w:r>
            <w:hyperlink w:anchor="ref-hmrc_n706">
              <w:r>
                <w:rPr>
                  <w:rStyle w:val="Hyperlink"/>
                </w:rPr>
                <w:t xml:space="preserve">2025h, para. 2.2</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Business activity</w:t>
            </w:r>
          </w:p>
        </w:tc>
        <w:tc>
          <w:tcPr>
            <w:tcW w:w="7099" w:type="dxa"/>
            <w:shd w:val="clear" w:color="auto" w:fill="FBEAF1"/>
          </w:tcPr>
          <w:p>
            <w:pPr>
              <w:pStyle w:val="Compact"/>
              <w:spacing w:after="40" w:before="40"/>
              <w:jc w:val="left"/>
            </w:pPr>
            <w:r>
              <w:rPr>
                <w:rFonts w:ascii="Tahoma" w:hAnsi="Tahoma"/>
                <w:sz w:val="22"/>
              </w:rPr>
              <w:t xml:space="preserve">An economic activity carried on for payment, such as selling surplus equipment, publications or data licences</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VAT on costs of taxable business activities is input tax</w:t>
            </w:r>
            <w:r>
              <w:rPr>
                <w:rFonts w:ascii="Tahoma" w:hAnsi="Tahoma"/>
                <w:sz w:val="22"/>
              </w:rPr>
              <w:t xml:space="preserve"> </w:t>
            </w:r>
            <w:r>
              <w:rPr>
                <w:rFonts w:ascii="Tahoma" w:hAnsi="Tahoma"/>
                <w:sz w:val="22"/>
              </w:rPr>
              <w:t xml:space="preserve">(</w:t>
            </w:r>
            <w:hyperlink w:anchor="ref-hmrc_n700">
              <w:r>
                <w:rPr>
                  <w:rStyle w:val="Hyperlink"/>
                </w:rPr>
                <w:t xml:space="preserve">HMRC, 2026o, para. 10.2</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Business-to-consumer (B2C)</w:t>
            </w:r>
          </w:p>
        </w:tc>
        <w:tc>
          <w:tcPr>
            <w:tcW w:w="7099" w:type="dxa"/>
            <w:shd w:val="clear" w:color="auto" w:fill="EAF3FA"/>
          </w:tcPr>
          <w:p>
            <w:pPr>
              <w:pStyle w:val="Compact"/>
              <w:spacing w:after="40" w:before="40"/>
              <w:jc w:val="left"/>
            </w:pPr>
            <w:r>
              <w:rPr>
                <w:rFonts w:ascii="Tahoma" w:hAnsi="Tahoma"/>
                <w:sz w:val="22"/>
              </w:rPr>
              <w:t xml:space="preserve">For the place of supply of services, a supply to a customer with no business activities, such as an overseas government that cannot show business activities (for example by giving a VAT number). Different place of supply rules apply from those for business customers (B2B).</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CCM (Customer Compliance Manager)</w:t>
            </w:r>
          </w:p>
        </w:tc>
        <w:tc>
          <w:tcPr>
            <w:tcW w:w="7099" w:type="dxa"/>
            <w:shd w:val="clear" w:color="auto" w:fill="FFFFFF"/>
          </w:tcPr>
          <w:p>
            <w:pPr>
              <w:pStyle w:val="Compact"/>
              <w:spacing w:after="40" w:before="40"/>
              <w:jc w:val="left"/>
            </w:pPr>
            <w:r>
              <w:rPr>
                <w:rFonts w:ascii="Tahoma" w:hAnsi="Tahoma"/>
                <w:sz w:val="22"/>
              </w:rPr>
              <w:t xml:space="preserve">The named HMRC contact for a large organisation, including government departments. Applications for new COS headings go through the CCM</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Certificate of status (VAT66)</w:t>
            </w:r>
          </w:p>
        </w:tc>
        <w:tc>
          <w:tcPr>
            <w:tcW w:w="7099" w:type="dxa"/>
            <w:shd w:val="clear" w:color="auto" w:fill="FBEAF1"/>
          </w:tcPr>
          <w:p>
            <w:pPr>
              <w:pStyle w:val="Compact"/>
              <w:spacing w:after="40" w:before="40"/>
              <w:jc w:val="left"/>
            </w:pPr>
            <w:r>
              <w:rPr>
                <w:rFonts w:ascii="Tahoma" w:hAnsi="Tahoma"/>
                <w:sz w:val="22"/>
              </w:rPr>
              <w:t xml:space="preserve">An HMRC certificate confirming that a business is registered for VAT in the UK. Foreign tax authorities may require one before refunding their VAT</w:t>
            </w:r>
            <w:r>
              <w:rPr>
                <w:rFonts w:ascii="Tahoma" w:hAnsi="Tahoma"/>
                <w:sz w:val="22"/>
              </w:rPr>
              <w:t xml:space="preserve"> </w:t>
            </w:r>
            <w:r>
              <w:rPr>
                <w:rFonts w:ascii="Tahoma" w:hAnsi="Tahoma"/>
                <w:sz w:val="22"/>
              </w:rPr>
              <w:t xml:space="preserve">(</w:t>
            </w:r>
            <w:hyperlink w:anchor="ref-hmrc_eu_refunds">
              <w:r>
                <w:rPr>
                  <w:rStyle w:val="Hyperlink"/>
                </w:rPr>
                <w:t xml:space="preserve">HMRC, 2020d</w:t>
              </w:r>
            </w:hyperlink>
            <w:r>
              <w:rPr>
                <w:rFonts w:ascii="Tahoma" w:hAnsi="Tahoma"/>
                <w:sz w:val="22"/>
              </w:rPr>
              <w:t xml:space="preserve">,</w:t>
            </w:r>
            <w:r>
              <w:rPr>
                <w:rFonts w:ascii="Tahoma" w:hAnsi="Tahoma"/>
                <w:sz w:val="22"/>
              </w:rPr>
              <w:t xml:space="preserve"> </w:t>
            </w:r>
            <w:hyperlink w:anchor="ref-hmrc_vat66">
              <w:r>
                <w:rPr>
                  <w:rStyle w:val="Hyperlink"/>
                </w:rPr>
                <w:t xml:space="preserve">2023b</w:t>
              </w:r>
            </w:hyperlink>
            <w:r>
              <w:rPr>
                <w:rFonts w:ascii="Tahoma" w:hAnsi="Tahoma"/>
                <w:sz w:val="22"/>
              </w:rPr>
              <w:t xml:space="preserve">)</w:t>
            </w:r>
            <w:r>
              <w:rPr>
                <w:rFonts w:ascii="Tahoma" w:hAnsi="Tahoma"/>
                <w:sz w:val="22"/>
              </w:rPr>
              <w:t xml:space="preserve">. HMRC’s guidance on it does not mention government departments</w:t>
            </w:r>
            <w:r>
              <w:rPr>
                <w:rFonts w:ascii="Tahoma" w:hAnsi="Tahoma"/>
                <w:sz w:val="22"/>
              </w:rPr>
              <w:t xml:space="preserve"> </w:t>
            </w:r>
            <w:r>
              <w:rPr>
                <w:rFonts w:ascii="Tahoma" w:hAnsi="Tahoma"/>
                <w:sz w:val="22"/>
              </w:rPr>
              <w:t xml:space="preserve">(</w:t>
            </w:r>
            <w:hyperlink w:anchor="ref-hmrc_vat66">
              <w:r>
                <w:rPr>
                  <w:rStyle w:val="Hyperlink"/>
                </w:rPr>
                <w:t xml:space="preserve">HMRC, 2023b</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Closely related goods</w:t>
            </w:r>
          </w:p>
        </w:tc>
        <w:tc>
          <w:tcPr>
            <w:tcW w:w="7099" w:type="dxa"/>
            <w:shd w:val="clear" w:color="auto" w:fill="EAF3FA"/>
          </w:tcPr>
          <w:p>
            <w:pPr>
              <w:pStyle w:val="Compact"/>
              <w:spacing w:after="40" w:before="40"/>
              <w:jc w:val="left"/>
            </w:pPr>
            <w:r>
              <w:rPr>
                <w:rFonts w:ascii="Tahoma" w:hAnsi="Tahoma"/>
                <w:sz w:val="22"/>
              </w:rPr>
              <w:t xml:space="preserve">Goods that come as part of a qualifying COS service, such as spare parts in a repair or paper in a print job</w:t>
            </w:r>
            <w:r>
              <w:rPr>
                <w:rFonts w:ascii="Tahoma" w:hAnsi="Tahoma"/>
                <w:sz w:val="22"/>
              </w:rPr>
              <w:t xml:space="preserve"> </w:t>
            </w:r>
            <w:r>
              <w:rPr>
                <w:rFonts w:ascii="Tahoma" w:hAnsi="Tahoma"/>
                <w:sz w:val="22"/>
              </w:rPr>
              <w:t xml:space="preserve">(</w:t>
            </w:r>
            <w:hyperlink w:anchor="ref-hmrc_vatgpb">
              <w:r>
                <w:rPr>
                  <w:rStyle w:val="Hyperlink"/>
                </w:rPr>
                <w:t xml:space="preserve">HMRC, 2026n</w:t>
              </w:r>
            </w:hyperlink>
            <w:r>
              <w:rPr>
                <w:rFonts w:ascii="Tahoma" w:hAnsi="Tahoma"/>
                <w:sz w:val="22"/>
              </w:rPr>
              <w:t xml:space="preserve">, secs. VATGPB10435 and VATGPB10950)</w:t>
            </w:r>
            <w:r>
              <w:rPr>
                <w:rFonts w:ascii="Tahoma" w:hAnsi="Tahoma"/>
                <w:sz w:val="22"/>
              </w:rPr>
              <w:t xml:space="preserve">. Paragraph 2(c) of the Direction covers them; standalone goods are not covered</w:t>
            </w:r>
            <w:r>
              <w:rPr>
                <w:rFonts w:ascii="Tahoma" w:hAnsi="Tahoma"/>
                <w:sz w:val="22"/>
              </w:rPr>
              <w:t xml:space="preserve"> </w:t>
            </w:r>
            <w:r>
              <w:rPr>
                <w:rFonts w:ascii="Tahoma" w:hAnsi="Tahoma"/>
                <w:sz w:val="22"/>
              </w:rPr>
              <w:t xml:space="preserve">(</w:t>
            </w:r>
            <w:hyperlink w:anchor="ref-gazette_2020">
              <w:r>
                <w:rPr>
                  <w:rStyle w:val="Hyperlink"/>
                </w:rPr>
                <w:t xml:space="preserve">HM Treasury, 2020b, para. 2(c)</w:t>
              </w:r>
            </w:hyperlink>
            <w:r>
              <w:rPr>
                <w:rFonts w:ascii="Tahoma" w:hAnsi="Tahoma"/>
                <w:sz w:val="22"/>
              </w:rPr>
              <w:t xml:space="preserve">;</w:t>
            </w:r>
            <w:r>
              <w:rPr>
                <w:rFonts w:ascii="Tahoma" w:hAnsi="Tahoma"/>
                <w:sz w:val="22"/>
              </w:rPr>
              <w:t xml:space="preserve"> </w:t>
            </w:r>
            <w:hyperlink w:anchor="ref-hmrc_vatgpb">
              <w:r>
                <w:rPr>
                  <w:rStyle w:val="Hyperlink"/>
                </w:rPr>
                <w:t xml:space="preserve">HMRC, 2026n, sec. VATGPB11370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Combined method</w:t>
            </w:r>
          </w:p>
        </w:tc>
        <w:tc>
          <w:tcPr>
            <w:tcW w:w="7099" w:type="dxa"/>
            <w:shd w:val="clear" w:color="auto" w:fill="FFFFFF"/>
          </w:tcPr>
          <w:p>
            <w:pPr>
              <w:pStyle w:val="Compact"/>
              <w:spacing w:after="40" w:before="40"/>
              <w:jc w:val="left"/>
            </w:pPr>
            <w:r>
              <w:rPr>
                <w:rFonts w:ascii="Tahoma" w:hAnsi="Tahoma"/>
                <w:sz w:val="22"/>
              </w:rPr>
              <w:t xml:space="preserve">A single HMRC-approved method that covers both the business/non-business split and partial exemption</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w:t>
            </w:r>
            <w:hyperlink w:anchor="ref-hmrc_n706">
              <w:r>
                <w:rPr>
                  <w:rStyle w:val="Hyperlink"/>
                </w:rPr>
                <w:t xml:space="preserve">2025h, para. 7.1</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Composite (single) supply</w:t>
            </w:r>
          </w:p>
        </w:tc>
        <w:tc>
          <w:tcPr>
            <w:tcW w:w="7099" w:type="dxa"/>
            <w:shd w:val="clear" w:color="auto" w:fill="FBEAF1"/>
          </w:tcPr>
          <w:p>
            <w:pPr>
              <w:pStyle w:val="Compact"/>
              <w:spacing w:after="40" w:before="40"/>
              <w:jc w:val="left"/>
            </w:pPr>
            <w:r>
              <w:rPr>
                <w:rFonts w:ascii="Tahoma" w:hAnsi="Tahoma"/>
                <w:sz w:val="22"/>
              </w:rPr>
              <w:t xml:space="preserve">A supply made up of several elements that together form one supply for VAT, judged by its predominant nature. COS treats it under one heading only; it cannot be split (except where HMRC requires a split: telephony within a Heading 14 IT contract, and mixed Heading 26 vehicle contracts)</w:t>
            </w:r>
            <w:r>
              <w:rPr>
                <w:rFonts w:ascii="Tahoma" w:hAnsi="Tahoma"/>
                <w:sz w:val="22"/>
              </w:rPr>
              <w:t xml:space="preserve"> </w:t>
            </w:r>
            <w:r>
              <w:rPr>
                <w:rFonts w:ascii="Tahoma" w:hAnsi="Tahoma"/>
                <w:sz w:val="22"/>
              </w:rPr>
              <w:t xml:space="preserve">(</w:t>
            </w:r>
            <w:hyperlink w:anchor="ref-hmrc_vatgpb">
              <w:r>
                <w:rPr>
                  <w:rStyle w:val="Hyperlink"/>
                </w:rPr>
                <w:t xml:space="preserve">HMRC, 2026n</w:t>
              </w:r>
            </w:hyperlink>
            <w:r>
              <w:rPr>
                <w:rFonts w:ascii="Tahoma" w:hAnsi="Tahoma"/>
                <w:sz w:val="22"/>
              </w:rPr>
              <w:t xml:space="preserve">, secs. VATGPB9720, VATGPB10010 and VATGPB10250)</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Consideration</w:t>
            </w:r>
          </w:p>
        </w:tc>
        <w:tc>
          <w:tcPr>
            <w:tcW w:w="7099" w:type="dxa"/>
            <w:shd w:val="clear" w:color="auto" w:fill="EAF3FA"/>
          </w:tcPr>
          <w:p>
            <w:pPr>
              <w:pStyle w:val="Compact"/>
              <w:spacing w:after="40" w:before="40"/>
              <w:jc w:val="left"/>
            </w:pPr>
            <w:r>
              <w:rPr>
                <w:rFonts w:ascii="Tahoma" w:hAnsi="Tahoma"/>
                <w:sz w:val="22"/>
              </w:rPr>
              <w:t xml:space="preserve">Everything received in return for a supply of goods or services, usually money but sometimes goods or services. It does not have to equal the value of what is supplied. Without consideration there is no supply for VAT purposes.</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Contracting Out Direction</w:t>
            </w:r>
          </w:p>
        </w:tc>
        <w:tc>
          <w:tcPr>
            <w:tcW w:w="7099" w:type="dxa"/>
            <w:shd w:val="clear" w:color="auto" w:fill="FFFFFF"/>
          </w:tcPr>
          <w:p>
            <w:pPr>
              <w:pStyle w:val="Compact"/>
              <w:spacing w:after="40" w:before="40"/>
              <w:jc w:val="left"/>
            </w:pPr>
            <w:r>
              <w:rPr>
                <w:rFonts w:ascii="Tahoma" w:hAnsi="Tahoma"/>
                <w:sz w:val="22"/>
              </w:rPr>
              <w:t xml:space="preserve">The Treasury Direction made under sections 41(3) and 33E of the Value Added Tax Act 1994 that lists the eligible bodies (List 1) and the eligible services (List 2). The current one came into operation on 1 September 2020 and was published in The London Gazette on 30 October 2020</w:t>
            </w:r>
            <w:r>
              <w:rPr>
                <w:rFonts w:ascii="Tahoma" w:hAnsi="Tahoma"/>
                <w:sz w:val="22"/>
              </w:rPr>
              <w:t xml:space="preserve"> </w:t>
            </w:r>
            <w:r>
              <w:rPr>
                <w:rFonts w:ascii="Tahoma" w:hAnsi="Tahoma"/>
                <w:sz w:val="22"/>
              </w:rPr>
              <w:t xml:space="preserve">(</w:t>
            </w:r>
            <w:hyperlink w:anchor="ref-gazette_2020">
              <w:r>
                <w:rPr>
                  <w:rStyle w:val="Hyperlink"/>
                </w:rPr>
                <w:t xml:space="preserve">HM Treasury, 2020b</w:t>
              </w:r>
            </w:hyperlink>
            <w:r>
              <w:rPr>
                <w:rFonts w:ascii="Tahoma" w:hAnsi="Tahoma"/>
                <w:sz w:val="22"/>
              </w:rPr>
              <w:t xml:space="preserve">;</w:t>
            </w:r>
            <w:r>
              <w:rPr>
                <w:rFonts w:ascii="Tahoma" w:hAnsi="Tahoma"/>
                <w:sz w:val="22"/>
              </w:rPr>
              <w:t xml:space="preserve"> </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COS (Contracted-Out Services)</w:t>
            </w:r>
          </w:p>
        </w:tc>
        <w:tc>
          <w:tcPr>
            <w:tcW w:w="7099" w:type="dxa"/>
            <w:shd w:val="clear" w:color="auto" w:fill="FBEAF1"/>
          </w:tcPr>
          <w:p>
            <w:pPr>
              <w:pStyle w:val="Compact"/>
              <w:spacing w:after="40" w:before="40"/>
              <w:jc w:val="left"/>
            </w:pPr>
            <w:r>
              <w:rPr>
                <w:rFonts w:ascii="Tahoma" w:hAnsi="Tahoma"/>
                <w:sz w:val="22"/>
              </w:rPr>
              <w:t xml:space="preserve">The services in List 2 of the Direction. VAT on them is refundable to eligible bodies under section 41(3) of the Value Added Tax Act 1994 when used for non-business purposes</w:t>
            </w:r>
            <w:r>
              <w:rPr>
                <w:rFonts w:ascii="Tahoma" w:hAnsi="Tahoma"/>
                <w:sz w:val="22"/>
              </w:rPr>
              <w:t xml:space="preserve"> </w:t>
            </w:r>
            <w:r>
              <w:rPr>
                <w:rFonts w:ascii="Tahoma" w:hAnsi="Tahoma"/>
                <w:sz w:val="22"/>
              </w:rPr>
              <w:t xml:space="preserve">(</w:t>
            </w:r>
            <w:hyperlink w:anchor="ref-gazette_2020">
              <w:r>
                <w:rPr>
                  <w:rStyle w:val="Hyperlink"/>
                </w:rPr>
                <w:t xml:space="preserve">HM Treasury, 2020b</w:t>
              </w:r>
            </w:hyperlink>
            <w:r>
              <w:rPr>
                <w:rFonts w:ascii="Tahoma" w:hAnsi="Tahoma"/>
                <w:sz w:val="22"/>
              </w:rPr>
              <w:t xml:space="preserve">;</w:t>
            </w:r>
            <w:r>
              <w:rPr>
                <w:rFonts w:ascii="Tahoma" w:hAnsi="Tahoma"/>
                <w:sz w:val="22"/>
              </w:rPr>
              <w:t xml:space="preserve"> </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COS heading</w:t>
            </w:r>
          </w:p>
        </w:tc>
        <w:tc>
          <w:tcPr>
            <w:tcW w:w="7099" w:type="dxa"/>
            <w:shd w:val="clear" w:color="auto" w:fill="EAF3FA"/>
          </w:tcPr>
          <w:p>
            <w:pPr>
              <w:pStyle w:val="Compact"/>
              <w:spacing w:after="40" w:before="40"/>
              <w:jc w:val="left"/>
            </w:pPr>
            <w:r>
              <w:rPr>
                <w:rFonts w:ascii="Tahoma" w:hAnsi="Tahoma"/>
                <w:sz w:val="22"/>
              </w:rPr>
              <w:t xml:space="preserve">One numbered entry (1 to 82) in List 2 of the Direction. Heading 73 is blank</w:t>
            </w:r>
            <w:r>
              <w:rPr>
                <w:rFonts w:ascii="Tahoma" w:hAnsi="Tahoma"/>
                <w:sz w:val="22"/>
              </w:rPr>
              <w:t xml:space="preserve"> </w:t>
            </w:r>
            <w:r>
              <w:rPr>
                <w:rFonts w:ascii="Tahoma" w:hAnsi="Tahoma"/>
                <w:sz w:val="22"/>
              </w:rPr>
              <w:t xml:space="preserve">(</w:t>
            </w:r>
            <w:hyperlink w:anchor="ref-gazette_2020">
              <w:r>
                <w:rPr>
                  <w:rStyle w:val="Hyperlink"/>
                </w:rPr>
                <w:t xml:space="preserve">HM Treasury, 2020b</w:t>
              </w:r>
            </w:hyperlink>
            <w:r>
              <w:rPr>
                <w:rFonts w:ascii="Tahoma" w:hAnsi="Tahoma"/>
                <w:sz w:val="22"/>
              </w:rPr>
              <w:t xml:space="preserve">;</w:t>
            </w:r>
            <w:r>
              <w:rPr>
                <w:rFonts w:ascii="Tahoma" w:hAnsi="Tahoma"/>
                <w:sz w:val="22"/>
              </w:rPr>
              <w:t xml:space="preserve"> </w:t>
            </w:r>
            <w:hyperlink w:anchor="ref-hmrc_vatgpb">
              <w:r>
                <w:rPr>
                  <w:rStyle w:val="Hyperlink"/>
                </w:rPr>
                <w:t xml:space="preserve">HMRC, 2026n, sec. VATGPB11190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DEL (Departmental Expenditure Limit)</w:t>
            </w:r>
          </w:p>
        </w:tc>
        <w:tc>
          <w:tcPr>
            <w:tcW w:w="7099" w:type="dxa"/>
            <w:shd w:val="clear" w:color="auto" w:fill="FFFFFF"/>
          </w:tcPr>
          <w:p>
            <w:pPr>
              <w:pStyle w:val="Compact"/>
              <w:spacing w:after="40" w:before="40"/>
              <w:jc w:val="left"/>
            </w:pPr>
            <w:r>
              <w:rPr>
                <w:rFonts w:ascii="Tahoma" w:hAnsi="Tahoma"/>
                <w:sz w:val="22"/>
              </w:rPr>
              <w:t xml:space="preserve">A department’s budget set by HM Treasury. DEL is set net of VAT that the department can recover</w:t>
            </w:r>
            <w:r>
              <w:rPr>
                <w:rFonts w:ascii="Tahoma" w:hAnsi="Tahoma"/>
                <w:sz w:val="22"/>
              </w:rPr>
              <w:t xml:space="preserve"> </w:t>
            </w:r>
            <w:r>
              <w:rPr>
                <w:rFonts w:ascii="Tahoma" w:hAnsi="Tahoma"/>
                <w:sz w:val="22"/>
              </w:rPr>
              <w:t xml:space="preserve">(</w:t>
            </w:r>
            <w:hyperlink w:anchor="ref-hmt_s41_paper_2020">
              <w:r>
                <w:rPr>
                  <w:rStyle w:val="Hyperlink"/>
                </w:rPr>
                <w:t xml:space="preserve">HM Treasury, 2020a</w:t>
              </w:r>
            </w:hyperlink>
            <w:r>
              <w:rPr>
                <w:rFonts w:ascii="Tahoma" w:hAnsi="Tahoma"/>
                <w:sz w:val="22"/>
              </w:rPr>
              <w:t xml:space="preserve">, paras. 1.25 and 1.26)</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De minimis</w:t>
            </w:r>
          </w:p>
        </w:tc>
        <w:tc>
          <w:tcPr>
            <w:tcW w:w="7099" w:type="dxa"/>
            <w:shd w:val="clear" w:color="auto" w:fill="FBEAF1"/>
          </w:tcPr>
          <w:p>
            <w:pPr>
              <w:pStyle w:val="Compact"/>
              <w:spacing w:after="40" w:before="40"/>
              <w:jc w:val="left"/>
            </w:pPr>
            <w:r>
              <w:rPr>
                <w:rFonts w:ascii="Tahoma" w:hAnsi="Tahoma"/>
                <w:sz w:val="22"/>
              </w:rPr>
              <w:t xml:space="preserve">In partial exemption, the limits below which exempt input tax can be treated as taxable and recovered in full. Under regulation 106 of the Value Added Tax Regulations 1995 (SI 1995/2518), exempt input tax must be no more than £625 a month on average and no more than half of all input tax</w:t>
            </w:r>
            <w:r>
              <w:rPr>
                <w:rFonts w:ascii="Tahoma" w:hAnsi="Tahoma"/>
                <w:sz w:val="22"/>
              </w:rPr>
              <w:t xml:space="preserve"> </w:t>
            </w:r>
            <w:r>
              <w:rPr>
                <w:rFonts w:ascii="Tahoma" w:hAnsi="Tahoma"/>
                <w:sz w:val="22"/>
              </w:rPr>
              <w:t xml:space="preserve">(</w:t>
            </w:r>
            <w:hyperlink w:anchor="ref-hmrc_n706">
              <w:r>
                <w:rPr>
                  <w:rStyle w:val="Hyperlink"/>
                </w:rPr>
                <w:t xml:space="preserve">HMRC, 2025h, para. 11.2</w:t>
              </w:r>
            </w:hyperlink>
            <w:r>
              <w:rPr>
                <w:rFonts w:ascii="Tahoma" w:hAnsi="Tahoma"/>
                <w:sz w:val="22"/>
              </w:rPr>
              <w:t xml:space="preserve">)</w:t>
            </w:r>
            <w:r>
              <w:rPr>
                <w:rFonts w:ascii="Tahoma" w:hAnsi="Tahoma"/>
                <w:sz w:val="22"/>
              </w:rPr>
              <w:t xml:space="preserve">. For a quarter, £625 × 3 = £1,875. For a government department the limits apply to the whole VAT registration, and they do not apply at all under a combined method</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There is no de minimis limit for non-business VAT</w:t>
            </w:r>
            <w:r>
              <w:rPr>
                <w:rFonts w:ascii="Tahoma" w:hAnsi="Tahoma"/>
                <w:sz w:val="22"/>
              </w:rPr>
              <w:t xml:space="preserve"> </w:t>
            </w:r>
            <w:r>
              <w:rPr>
                <w:rFonts w:ascii="Tahoma" w:hAnsi="Tahoma"/>
                <w:sz w:val="22"/>
              </w:rPr>
              <w:t xml:space="preserve">(</w:t>
            </w:r>
            <w:hyperlink w:anchor="ref-hmrc_n706">
              <w:r>
                <w:rPr>
                  <w:rStyle w:val="Hyperlink"/>
                </w:rPr>
                <w:t xml:space="preserve">HMRC, 2025h, para. 11.1</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Direct link</w:t>
            </w:r>
          </w:p>
        </w:tc>
        <w:tc>
          <w:tcPr>
            <w:tcW w:w="7099" w:type="dxa"/>
            <w:shd w:val="clear" w:color="auto" w:fill="EAF3FA"/>
          </w:tcPr>
          <w:p>
            <w:pPr>
              <w:pStyle w:val="Compact"/>
              <w:spacing w:after="40" w:before="40"/>
              <w:jc w:val="left"/>
            </w:pPr>
            <w:r>
              <w:rPr>
                <w:rFonts w:ascii="Tahoma" w:hAnsi="Tahoma"/>
                <w:sz w:val="22"/>
              </w:rPr>
              <w:t xml:space="preserve">The connection needed between a supply and a payment for the payment to count as consideration. The goods or services must be supplied in return for the payment under an agreement between the two parties. Donations, compulsory levies that benefit a whole sector and general public funding usually have no direct link.</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Disbursement</w:t>
            </w:r>
          </w:p>
        </w:tc>
        <w:tc>
          <w:tcPr>
            <w:tcW w:w="7099" w:type="dxa"/>
            <w:shd w:val="clear" w:color="auto" w:fill="FFFFFF"/>
          </w:tcPr>
          <w:p>
            <w:pPr>
              <w:pStyle w:val="Compact"/>
              <w:spacing w:after="40" w:before="40"/>
              <w:jc w:val="left"/>
            </w:pPr>
            <w:r>
              <w:rPr>
                <w:rFonts w:ascii="Tahoma" w:hAnsi="Tahoma"/>
                <w:sz w:val="22"/>
              </w:rPr>
              <w:t xml:space="preserve">A payment an agent makes on a client’s behalf that can be passed on without VAT, if the strict conditions in VAT Notice 700 are met</w:t>
            </w:r>
            <w:r>
              <w:rPr>
                <w:rFonts w:ascii="Tahoma" w:hAnsi="Tahoma"/>
                <w:sz w:val="22"/>
              </w:rPr>
              <w:t xml:space="preserve"> </w:t>
            </w:r>
            <w:r>
              <w:rPr>
                <w:rFonts w:ascii="Tahoma" w:hAnsi="Tahoma"/>
                <w:sz w:val="22"/>
              </w:rPr>
              <w:t xml:space="preserve">(</w:t>
            </w:r>
            <w:hyperlink w:anchor="ref-hmrc_n700">
              <w:r>
                <w:rPr>
                  <w:rStyle w:val="Hyperlink"/>
                </w:rPr>
                <w:t xml:space="preserve">HMRC, 2026o, para. 25.1.1</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Economic activity</w:t>
            </w:r>
          </w:p>
        </w:tc>
        <w:tc>
          <w:tcPr>
            <w:tcW w:w="7099" w:type="dxa"/>
            <w:shd w:val="clear" w:color="auto" w:fill="FBEAF1"/>
          </w:tcPr>
          <w:p>
            <w:pPr>
              <w:pStyle w:val="Compact"/>
              <w:spacing w:after="40" w:before="40"/>
              <w:jc w:val="left"/>
            </w:pPr>
            <w:r>
              <w:rPr>
                <w:rFonts w:ascii="Tahoma" w:hAnsi="Tahoma"/>
                <w:sz w:val="22"/>
              </w:rPr>
              <w:t xml:space="preserve">The term the EU VAT Directive uses for what UK law calls business: the activities of producers, traders and people supplying services, including exploiting property to obtain income on a continuing basis. In Wakefield College the Court of Appeal applied this test to decide whether an activity was business under the Value Added Tax Act 1994.</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Eligible body (education)</w:t>
            </w:r>
          </w:p>
        </w:tc>
        <w:tc>
          <w:tcPr>
            <w:tcW w:w="7099" w:type="dxa"/>
            <w:shd w:val="clear" w:color="auto" w:fill="EAF3FA"/>
          </w:tcPr>
          <w:p>
            <w:pPr>
              <w:pStyle w:val="Compact"/>
              <w:spacing w:after="40" w:before="40"/>
              <w:jc w:val="left"/>
            </w:pPr>
            <w:r>
              <w:rPr>
                <w:rFonts w:ascii="Tahoma" w:hAnsi="Tahoma"/>
                <w:sz w:val="22"/>
              </w:rPr>
              <w:t xml:space="preserve">A body whose education and vocational training is exempt from VAT under Schedule 9, Group 6 to the Value Added Tax Act 1994, for example a university, an FE college, a public body or a qualifying non-profit body</w:t>
            </w:r>
            <w:r>
              <w:rPr>
                <w:rFonts w:ascii="Tahoma" w:hAnsi="Tahoma"/>
                <w:sz w:val="22"/>
              </w:rPr>
              <w:t xml:space="preserve"> </w:t>
            </w:r>
            <w:r>
              <w:rPr>
                <w:rFonts w:ascii="Tahoma" w:hAnsi="Tahoma"/>
                <w:sz w:val="22"/>
              </w:rPr>
              <w:t xml:space="preserve">(</w:t>
            </w:r>
            <w:hyperlink w:anchor="ref-hmrc_n70130">
              <w:r>
                <w:rPr>
                  <w:rStyle w:val="Hyperlink"/>
                </w:rPr>
                <w:t xml:space="preserve">HMRC, 2025d, para. 4.1</w:t>
              </w:r>
            </w:hyperlink>
            <w:r>
              <w:rPr>
                <w:rFonts w:ascii="Tahoma" w:hAnsi="Tahoma"/>
                <w:sz w:val="22"/>
              </w:rPr>
              <w:t xml:space="preserve">)</w:t>
            </w:r>
            <w:r>
              <w:rPr>
                <w:rFonts w:ascii="Tahoma" w:hAnsi="Tahoma"/>
                <w:sz w:val="22"/>
              </w:rPr>
              <w:t xml:space="preserve">. Training from one carries no VAT to refund</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VATGPB11030</w:t>
              </w:r>
            </w:hyperlink>
            <w:r>
              <w:rPr>
                <w:rFonts w:ascii="Tahoma" w:hAnsi="Tahoma"/>
                <w:sz w:val="22"/>
              </w:rPr>
              <w:t xml:space="preserve">)</w:t>
            </w:r>
            <w:r>
              <w:rPr>
                <w:rFonts w:ascii="Tahoma" w:hAnsi="Tahoma"/>
                <w:sz w:val="22"/>
              </w:rPr>
              <w:t xml:space="preserve">. A government department is itself an eligible body, so training the Department sells is normally exempt</w:t>
            </w:r>
            <w:r>
              <w:rPr>
                <w:rFonts w:ascii="Tahoma" w:hAnsi="Tahoma"/>
                <w:sz w:val="22"/>
              </w:rPr>
              <w:t xml:space="preserve"> </w:t>
            </w:r>
            <w:r>
              <w:rPr>
                <w:rFonts w:ascii="Tahoma" w:hAnsi="Tahoma"/>
                <w:sz w:val="22"/>
              </w:rPr>
              <w:t xml:space="preserve">(</w:t>
            </w:r>
            <w:hyperlink w:anchor="ref-hmrc_n70130">
              <w:r>
                <w:rPr>
                  <w:rStyle w:val="Hyperlink"/>
                </w:rPr>
                <w:t xml:space="preserve">HMRC, 2025d</w:t>
              </w:r>
            </w:hyperlink>
            <w:r>
              <w:rPr>
                <w:rFonts w:ascii="Tahoma" w:hAnsi="Tahoma"/>
                <w:sz w:val="22"/>
              </w:rPr>
              <w:t xml:space="preserve">, paras. 4.1 and 4.4)</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Exempt supply</w:t>
            </w:r>
          </w:p>
        </w:tc>
        <w:tc>
          <w:tcPr>
            <w:tcW w:w="7099" w:type="dxa"/>
            <w:shd w:val="clear" w:color="auto" w:fill="FFFFFF"/>
          </w:tcPr>
          <w:p>
            <w:pPr>
              <w:pStyle w:val="Compact"/>
              <w:spacing w:after="40" w:before="40"/>
              <w:jc w:val="left"/>
            </w:pPr>
            <w:r>
              <w:rPr>
                <w:rFonts w:ascii="Tahoma" w:hAnsi="Tahoma"/>
                <w:sz w:val="22"/>
              </w:rPr>
              <w:t xml:space="preserve">A supply on which no VAT is charged and the supplier cannot normally recover its related input tax</w:t>
            </w:r>
            <w:r>
              <w:rPr>
                <w:rFonts w:ascii="Tahoma" w:hAnsi="Tahoma"/>
                <w:sz w:val="22"/>
              </w:rPr>
              <w:t xml:space="preserve"> </w:t>
            </w:r>
            <w:r>
              <w:rPr>
                <w:rFonts w:ascii="Tahoma" w:hAnsi="Tahoma"/>
                <w:sz w:val="22"/>
              </w:rPr>
              <w:t xml:space="preserve">(</w:t>
            </w:r>
            <w:hyperlink w:anchor="ref-hmrc_n700">
              <w:r>
                <w:rPr>
                  <w:rStyle w:val="Hyperlink"/>
                </w:rPr>
                <w:t xml:space="preserve">HMRC, 2026o, para. 3.6</w:t>
              </w:r>
            </w:hyperlink>
            <w:r>
              <w:rPr>
                <w:rFonts w:ascii="Tahoma" w:hAnsi="Tahoma"/>
                <w:sz w:val="22"/>
              </w:rPr>
              <w:t xml:space="preserve">)</w:t>
            </w:r>
            <w:r>
              <w:rPr>
                <w:rFonts w:ascii="Tahoma" w:hAnsi="Tahoma"/>
                <w:sz w:val="22"/>
              </w:rPr>
              <w:t xml:space="preserve">. Examples, listed in Schedule 9 to the Value Added Tax Act 1994 (section 31), are education by eligible bodies, insurance, and most land not opted to tax</w:t>
            </w:r>
            <w:r>
              <w:rPr>
                <w:rFonts w:ascii="Tahoma" w:hAnsi="Tahoma"/>
                <w:sz w:val="22"/>
              </w:rPr>
              <w:t xml:space="preserve"> </w:t>
            </w:r>
            <w:r>
              <w:rPr>
                <w:rFonts w:ascii="Tahoma" w:hAnsi="Tahoma"/>
                <w:sz w:val="22"/>
              </w:rPr>
              <w:t xml:space="preserve">(</w:t>
            </w:r>
            <w:hyperlink w:anchor="ref-hmrc_exemption">
              <w:r>
                <w:rPr>
                  <w:rStyle w:val="Hyperlink"/>
                </w:rPr>
                <w:t xml:space="preserve">HMRC, 2022a</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Export evidence</w:t>
            </w:r>
          </w:p>
        </w:tc>
        <w:tc>
          <w:tcPr>
            <w:tcW w:w="7099" w:type="dxa"/>
            <w:shd w:val="clear" w:color="auto" w:fill="FBEAF1"/>
          </w:tcPr>
          <w:p>
            <w:pPr>
              <w:pStyle w:val="Compact"/>
              <w:spacing w:after="40" w:before="40"/>
              <w:jc w:val="left"/>
            </w:pPr>
            <w:r>
              <w:rPr>
                <w:rFonts w:ascii="Tahoma" w:hAnsi="Tahoma"/>
                <w:sz w:val="22"/>
              </w:rPr>
              <w:t xml:space="preserve">Official or commercial proof that goods left the UK. It is needed to zero-rate an export under VAT Notice 703, and that paragraph of the notice has the force of law</w:t>
            </w:r>
            <w:r>
              <w:rPr>
                <w:rFonts w:ascii="Tahoma" w:hAnsi="Tahoma"/>
                <w:sz w:val="22"/>
              </w:rPr>
              <w:t xml:space="preserve"> </w:t>
            </w:r>
            <w:r>
              <w:rPr>
                <w:rFonts w:ascii="Tahoma" w:hAnsi="Tahoma"/>
                <w:sz w:val="22"/>
              </w:rPr>
              <w:t xml:space="preserve">(</w:t>
            </w:r>
            <w:hyperlink w:anchor="ref-hmrc_n703">
              <w:r>
                <w:rPr>
                  <w:rStyle w:val="Hyperlink"/>
                </w:rPr>
                <w:t xml:space="preserve">HMRC, 2026p, para. 3.3</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Financial year</w:t>
            </w:r>
          </w:p>
        </w:tc>
        <w:tc>
          <w:tcPr>
            <w:tcW w:w="7099" w:type="dxa"/>
            <w:shd w:val="clear" w:color="auto" w:fill="EAF3FA"/>
          </w:tcPr>
          <w:p>
            <w:pPr>
              <w:pStyle w:val="Compact"/>
              <w:spacing w:after="40" w:before="40"/>
              <w:jc w:val="left"/>
            </w:pPr>
            <w:r>
              <w:rPr>
                <w:rFonts w:ascii="Tahoma" w:hAnsi="Tahoma"/>
                <w:sz w:val="22"/>
              </w:rPr>
              <w:t xml:space="preserve">1 April to 31 March for central government</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VATGPB9650</w:t>
              </w:r>
            </w:hyperlink>
            <w:r>
              <w:rPr>
                <w:rFonts w:ascii="Tahoma" w:hAnsi="Tahoma"/>
                <w:sz w:val="22"/>
              </w:rPr>
              <w:t xml:space="preserve">)</w:t>
            </w:r>
            <w:r>
              <w:rPr>
                <w:rFonts w:ascii="Tahoma" w:hAnsi="Tahoma"/>
                <w:sz w:val="22"/>
              </w:rPr>
              <w:t xml:space="preserve">. COS VAT must be claimed in the financial year of the tax point, or by the June VAT return that follows</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Foreign VAT</w:t>
            </w:r>
          </w:p>
        </w:tc>
        <w:tc>
          <w:tcPr>
            <w:tcW w:w="7099" w:type="dxa"/>
            <w:shd w:val="clear" w:color="auto" w:fill="FFFFFF"/>
          </w:tcPr>
          <w:p>
            <w:pPr>
              <w:pStyle w:val="Compact"/>
              <w:spacing w:after="40" w:before="40"/>
              <w:jc w:val="left"/>
            </w:pPr>
            <w:r>
              <w:rPr>
                <w:rFonts w:ascii="Tahoma" w:hAnsi="Tahoma"/>
                <w:sz w:val="22"/>
              </w:rPr>
              <w:t xml:space="preserve">VAT or a similar tax charged under another country’s law. It is not</w:t>
            </w:r>
            <w:r>
              <w:rPr>
                <w:rFonts w:ascii="Tahoma" w:hAnsi="Tahoma"/>
                <w:sz w:val="22"/>
              </w:rPr>
              <w:t xml:space="preserve"> </w:t>
            </w:r>
            <w:r>
              <w:rPr>
                <w:rFonts w:ascii="Tahoma" w:hAnsi="Tahoma"/>
                <w:sz w:val="22"/>
              </w:rPr>
              <w:t xml:space="preserve">“</w:t>
            </w:r>
            <w:r>
              <w:rPr>
                <w:rFonts w:ascii="Tahoma" w:hAnsi="Tahoma"/>
                <w:sz w:val="22"/>
              </w:rPr>
              <w:t xml:space="preserve">VAT</w:t>
            </w:r>
            <w:r>
              <w:rPr>
                <w:rFonts w:ascii="Tahoma" w:hAnsi="Tahoma"/>
                <w:sz w:val="22"/>
              </w:rPr>
              <w:t xml:space="preserve">”</w:t>
            </w:r>
            <w:r>
              <w:rPr>
                <w:rFonts w:ascii="Tahoma" w:hAnsi="Tahoma"/>
                <w:sz w:val="22"/>
              </w:rPr>
              <w:t xml:space="preserve"> </w:t>
            </w:r>
            <w:r>
              <w:rPr>
                <w:rFonts w:ascii="Tahoma" w:hAnsi="Tahoma"/>
                <w:sz w:val="22"/>
              </w:rPr>
              <w:t xml:space="preserve">under the Value Added Tax Act 1994 (ss. 1 and 41(3)) and cannot be refunded through COS.</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Full Refund Model (FRM)</w:t>
            </w:r>
          </w:p>
        </w:tc>
        <w:tc>
          <w:tcPr>
            <w:tcW w:w="7099" w:type="dxa"/>
            <w:shd w:val="clear" w:color="auto" w:fill="FBEAF1"/>
          </w:tcPr>
          <w:p>
            <w:pPr>
              <w:pStyle w:val="Compact"/>
              <w:spacing w:after="40" w:before="40"/>
              <w:jc w:val="left"/>
            </w:pPr>
            <w:r>
              <w:rPr>
                <w:rFonts w:ascii="Tahoma" w:hAnsi="Tahoma"/>
                <w:sz w:val="22"/>
              </w:rPr>
              <w:t xml:space="preserve">A reform proposed by HM Treasury in 2020 to refund all non-business VAT on goods and services</w:t>
            </w:r>
            <w:r>
              <w:rPr>
                <w:rFonts w:ascii="Tahoma" w:hAnsi="Tahoma"/>
                <w:sz w:val="22"/>
              </w:rPr>
              <w:t xml:space="preserve"> </w:t>
            </w:r>
            <w:r>
              <w:rPr>
                <w:rFonts w:ascii="Tahoma" w:hAnsi="Tahoma"/>
                <w:sz w:val="22"/>
              </w:rPr>
              <w:t xml:space="preserve">(</w:t>
            </w:r>
            <w:hyperlink w:anchor="ref-hmt_s41_paper_2020">
              <w:r>
                <w:rPr>
                  <w:rStyle w:val="Hyperlink"/>
                </w:rPr>
                <w:t xml:space="preserve">HM Treasury, 2020a</w:t>
              </w:r>
            </w:hyperlink>
            <w:r>
              <w:rPr>
                <w:rFonts w:ascii="Tahoma" w:hAnsi="Tahoma"/>
                <w:sz w:val="22"/>
              </w:rPr>
              <w:t xml:space="preserve">)</w:t>
            </w:r>
            <w:r>
              <w:rPr>
                <w:rFonts w:ascii="Tahoma" w:hAnsi="Tahoma"/>
                <w:sz w:val="22"/>
              </w:rPr>
              <w:t xml:space="preserve">. The government’s July 2021 response kept it as the preferred option but made no final decision</w:t>
            </w:r>
            <w:r>
              <w:rPr>
                <w:rFonts w:ascii="Tahoma" w:hAnsi="Tahoma"/>
                <w:sz w:val="22"/>
              </w:rPr>
              <w:t xml:space="preserve"> </w:t>
            </w:r>
            <w:r>
              <w:rPr>
                <w:rFonts w:ascii="Tahoma" w:hAnsi="Tahoma"/>
                <w:sz w:val="22"/>
              </w:rPr>
              <w:t xml:space="preserve">(</w:t>
            </w:r>
            <w:hyperlink w:anchor="ref-hmt_s41_response_2021">
              <w:r>
                <w:rPr>
                  <w:rStyle w:val="Hyperlink"/>
                </w:rPr>
                <w:t xml:space="preserve">HM Treasury, 2021</w:t>
              </w:r>
            </w:hyperlink>
            <w:r>
              <w:rPr>
                <w:rFonts w:ascii="Tahoma" w:hAnsi="Tahoma"/>
                <w:sz w:val="22"/>
              </w:rPr>
              <w:t xml:space="preserve">)</w:t>
            </w:r>
            <w:r>
              <w:rPr>
                <w:rFonts w:ascii="Tahoma" w:hAnsi="Tahoma"/>
                <w:sz w:val="22"/>
              </w:rPr>
              <w:t xml:space="preserve">. No later decision was found.</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GD number</w:t>
            </w:r>
          </w:p>
        </w:tc>
        <w:tc>
          <w:tcPr>
            <w:tcW w:w="7099" w:type="dxa"/>
            <w:shd w:val="clear" w:color="auto" w:fill="EAF3FA"/>
          </w:tcPr>
          <w:p>
            <w:pPr>
              <w:pStyle w:val="Compact"/>
              <w:spacing w:after="40" w:before="40"/>
              <w:jc w:val="left"/>
            </w:pPr>
            <w:r>
              <w:rPr>
                <w:rFonts w:ascii="Tahoma" w:hAnsi="Tahoma"/>
                <w:sz w:val="22"/>
              </w:rPr>
              <w:t xml:space="preserve">The special VAT registration number series for government departments (GD followed by three digits). Departments also have a nine-digit number beginning 888 8</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VATGPB9400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Government-to-government (G2G) arrangement</w:t>
            </w:r>
          </w:p>
        </w:tc>
        <w:tc>
          <w:tcPr>
            <w:tcW w:w="7099" w:type="dxa"/>
            <w:shd w:val="clear" w:color="auto" w:fill="FFFFFF"/>
          </w:tcPr>
          <w:p>
            <w:pPr>
              <w:pStyle w:val="Compact"/>
              <w:spacing w:after="40" w:before="40"/>
              <w:jc w:val="left"/>
            </w:pPr>
            <w:r>
              <w:rPr>
                <w:rFonts w:ascii="Tahoma" w:hAnsi="Tahoma"/>
                <w:sz w:val="22"/>
              </w:rPr>
              <w:t xml:space="preserve">An arrangement in which one government supplies, or arranges the supply of, goods or services to another government. Its VAT treatment depends on who supplies what to whom, for what payment, and where the goods are.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Import VAT</w:t>
            </w:r>
          </w:p>
        </w:tc>
        <w:tc>
          <w:tcPr>
            <w:tcW w:w="7099" w:type="dxa"/>
            <w:shd w:val="clear" w:color="auto" w:fill="FBEAF1"/>
          </w:tcPr>
          <w:p>
            <w:pPr>
              <w:pStyle w:val="Compact"/>
              <w:spacing w:after="40" w:before="40"/>
              <w:jc w:val="left"/>
            </w:pPr>
            <w:r>
              <w:rPr>
                <w:rFonts w:ascii="Tahoma" w:hAnsi="Tahoma"/>
                <w:sz w:val="22"/>
              </w:rPr>
              <w:t xml:space="preserve">VAT charged when goods are imported into the UK from outside the UK, normally at the same rate as on a UK supply of the same goods</w:t>
            </w:r>
            <w:r>
              <w:rPr>
                <w:rFonts w:ascii="Tahoma" w:hAnsi="Tahoma"/>
                <w:sz w:val="22"/>
              </w:rPr>
              <w:t xml:space="preserve"> </w:t>
            </w:r>
            <w:r>
              <w:rPr>
                <w:rFonts w:ascii="Tahoma" w:hAnsi="Tahoma"/>
                <w:sz w:val="22"/>
              </w:rPr>
              <w:t xml:space="preserve">(</w:t>
            </w:r>
            <w:hyperlink w:anchor="ref-hmrc_n700">
              <w:r>
                <w:rPr>
                  <w:rStyle w:val="Hyperlink"/>
                </w:rPr>
                <w:t xml:space="preserve">HMRC, 2026o, para. 5.2</w:t>
              </w:r>
            </w:hyperlink>
            <w:r>
              <w:rPr>
                <w:rFonts w:ascii="Tahoma" w:hAnsi="Tahoma"/>
                <w:sz w:val="22"/>
              </w:rPr>
              <w:t xml:space="preserve">)</w:t>
            </w:r>
            <w:r>
              <w:rPr>
                <w:rFonts w:ascii="Tahoma" w:hAnsi="Tahoma"/>
                <w:sz w:val="22"/>
              </w:rPr>
              <w:t xml:space="preserve">. A VAT-registered importer reclaims it as input tax under the normal rules, through postponed VAT accounting or with its import VAT certificate (C79)</w:t>
            </w:r>
            <w:r>
              <w:rPr>
                <w:rFonts w:ascii="Tahoma" w:hAnsi="Tahoma"/>
                <w:sz w:val="22"/>
              </w:rPr>
              <w:t xml:space="preserve"> </w:t>
            </w:r>
            <w:r>
              <w:rPr>
                <w:rFonts w:ascii="Tahoma" w:hAnsi="Tahoma"/>
                <w:sz w:val="22"/>
              </w:rPr>
              <w:t xml:space="preserve">(</w:t>
            </w:r>
            <w:hyperlink w:anchor="ref-hmrc_pva">
              <w:r>
                <w:rPr>
                  <w:rStyle w:val="Hyperlink"/>
                </w:rPr>
                <w:t xml:space="preserve">HMRC, 2025c</w:t>
              </w:r>
            </w:hyperlink>
            <w:r>
              <w:rPr>
                <w:rFonts w:ascii="Tahoma" w:hAnsi="Tahoma"/>
                <w:sz w:val="22"/>
              </w:rPr>
              <w:t xml:space="preserve">;</w:t>
            </w:r>
            <w:r>
              <w:rPr>
                <w:rFonts w:ascii="Tahoma" w:hAnsi="Tahoma"/>
                <w:sz w:val="22"/>
              </w:rPr>
              <w:t xml:space="preserve"> </w:t>
            </w:r>
            <w:hyperlink w:anchor="ref-govuk_import_goods">
              <w:r>
                <w:rPr>
                  <w:rStyle w:val="Hyperlink"/>
                </w:rPr>
                <w:t xml:space="preserve">GOV.UK, 2026</w:t>
              </w:r>
            </w:hyperlink>
            <w:r>
              <w:rPr>
                <w:rFonts w:ascii="Tahoma" w:hAnsi="Tahoma"/>
                <w:sz w:val="22"/>
              </w:rPr>
              <w:t xml:space="preserve">)</w:t>
            </w:r>
            <w:r>
              <w:rPr>
                <w:rFonts w:ascii="Tahoma" w:hAnsi="Tahoma"/>
                <w:sz w:val="22"/>
              </w:rPr>
              <w:t xml:space="preserve">. Import VAT on goods used for non-business work is not refundable through COS, because standalone goods are not covered</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w:t>
            </w:r>
            <w:hyperlink w:anchor="ref-hmrc_vatgpb">
              <w:r>
                <w:rPr>
                  <w:rStyle w:val="Hyperlink"/>
                </w:rPr>
                <w:t xml:space="preserve">2026n, sec. VATGPB11370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In-house test</w:t>
            </w:r>
          </w:p>
        </w:tc>
        <w:tc>
          <w:tcPr>
            <w:tcW w:w="7099" w:type="dxa"/>
            <w:shd w:val="clear" w:color="auto" w:fill="EAF3FA"/>
          </w:tcPr>
          <w:p>
            <w:pPr>
              <w:pStyle w:val="Compact"/>
              <w:spacing w:after="40" w:before="40"/>
              <w:jc w:val="left"/>
            </w:pPr>
            <w:r>
              <w:rPr>
                <w:rFonts w:ascii="Tahoma" w:hAnsi="Tahoma"/>
                <w:sz w:val="22"/>
              </w:rPr>
              <w:t xml:space="preserve">HMRC’s test that a COS service should be of a kind that central government or the NHS has performed in-house. It is applied across the whole sector, not department by department</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Input tax</w:t>
            </w:r>
          </w:p>
        </w:tc>
        <w:tc>
          <w:tcPr>
            <w:tcW w:w="7099" w:type="dxa"/>
            <w:shd w:val="clear" w:color="auto" w:fill="FFFFFF"/>
          </w:tcPr>
          <w:p>
            <w:pPr>
              <w:pStyle w:val="Compact"/>
              <w:spacing w:after="40" w:before="40"/>
              <w:jc w:val="left"/>
            </w:pPr>
            <w:r>
              <w:rPr>
                <w:rFonts w:ascii="Tahoma" w:hAnsi="Tahoma"/>
                <w:sz w:val="22"/>
              </w:rPr>
              <w:t xml:space="preserve">VAT on purchases that a VAT-registered person can deduct because the purchases are used for taxable business supplies</w:t>
            </w:r>
            <w:r>
              <w:rPr>
                <w:rFonts w:ascii="Tahoma" w:hAnsi="Tahoma"/>
                <w:sz w:val="22"/>
              </w:rPr>
              <w:t xml:space="preserve"> </w:t>
            </w:r>
            <w:r>
              <w:rPr>
                <w:rFonts w:ascii="Tahoma" w:hAnsi="Tahoma"/>
                <w:sz w:val="22"/>
              </w:rPr>
              <w:t xml:space="preserve">(</w:t>
            </w:r>
            <w:hyperlink w:anchor="ref-hmrc_n700">
              <w:r>
                <w:rPr>
                  <w:rStyle w:val="Hyperlink"/>
                </w:rPr>
                <w:t xml:space="preserve">HMRC, 2026o</w:t>
              </w:r>
            </w:hyperlink>
            <w:r>
              <w:rPr>
                <w:rFonts w:ascii="Tahoma" w:hAnsi="Tahoma"/>
                <w:sz w:val="22"/>
              </w:rPr>
              <w:t xml:space="preserve">, paras. 10.1 and 10.2)</w:t>
            </w:r>
            <w:r>
              <w:rPr>
                <w:rFonts w:ascii="Tahoma" w:hAnsi="Tahoma"/>
                <w:sz w:val="22"/>
              </w:rPr>
              <w:t xml:space="preserve">. The rules are in sections 24 and 26 of the Value Added Tax Act 1994.</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Insurance Premium Tax (IPT)</w:t>
            </w:r>
          </w:p>
        </w:tc>
        <w:tc>
          <w:tcPr>
            <w:tcW w:w="7099" w:type="dxa"/>
            <w:shd w:val="clear" w:color="auto" w:fill="FBEAF1"/>
          </w:tcPr>
          <w:p>
            <w:pPr>
              <w:pStyle w:val="Compact"/>
              <w:spacing w:after="40" w:before="40"/>
              <w:jc w:val="left"/>
            </w:pPr>
            <w:r>
              <w:rPr>
                <w:rFonts w:ascii="Tahoma" w:hAnsi="Tahoma"/>
                <w:sz w:val="22"/>
              </w:rPr>
              <w:t xml:space="preserve">A separate tax on general insurance premiums. The standard rate is 12%, and a higher rate of 20% applies to some contracts, including all travel insurance</w:t>
            </w:r>
            <w:r>
              <w:rPr>
                <w:rFonts w:ascii="Tahoma" w:hAnsi="Tahoma"/>
                <w:sz w:val="22"/>
              </w:rPr>
              <w:t xml:space="preserve"> </w:t>
            </w:r>
            <w:r>
              <w:rPr>
                <w:rFonts w:ascii="Tahoma" w:hAnsi="Tahoma"/>
                <w:sz w:val="22"/>
              </w:rPr>
              <w:t xml:space="preserve">(</w:t>
            </w:r>
            <w:hyperlink w:anchor="ref-hmrc_ipt1">
              <w:r>
                <w:rPr>
                  <w:rStyle w:val="Hyperlink"/>
                </w:rPr>
                <w:t xml:space="preserve">HMRC, 2026j</w:t>
              </w:r>
            </w:hyperlink>
            <w:r>
              <w:rPr>
                <w:rFonts w:ascii="Tahoma" w:hAnsi="Tahoma"/>
                <w:sz w:val="22"/>
              </w:rPr>
              <w:t xml:space="preserve">, paras. 2.1 and 2.4.1)</w:t>
            </w:r>
            <w:r>
              <w:rPr>
                <w:rFonts w:ascii="Tahoma" w:hAnsi="Tahoma"/>
                <w:sz w:val="22"/>
              </w:rPr>
              <w:t xml:space="preserve">. For example, a £1,000 premium at the standard rate carries £120 IPT (£1,000 × 12%). IPT is not VAT: insurance is exempt from VAT, and unlike VAT, IPT cannot be recovered</w:t>
            </w:r>
            <w:r>
              <w:rPr>
                <w:rFonts w:ascii="Tahoma" w:hAnsi="Tahoma"/>
                <w:sz w:val="22"/>
              </w:rPr>
              <w:t xml:space="preserve"> </w:t>
            </w:r>
            <w:r>
              <w:rPr>
                <w:rFonts w:ascii="Tahoma" w:hAnsi="Tahoma"/>
                <w:sz w:val="22"/>
              </w:rPr>
              <w:t xml:space="preserve">(</w:t>
            </w:r>
            <w:hyperlink w:anchor="ref-hmrc_n70136">
              <w:r>
                <w:rPr>
                  <w:rStyle w:val="Hyperlink"/>
                </w:rPr>
                <w:t xml:space="preserve">HMRC, 2026i, para. 2.1</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International Collaboration Defence Project (ICDP)</w:t>
            </w:r>
          </w:p>
        </w:tc>
        <w:tc>
          <w:tcPr>
            <w:tcW w:w="7099" w:type="dxa"/>
            <w:shd w:val="clear" w:color="auto" w:fill="EAF3FA"/>
          </w:tcPr>
          <w:p>
            <w:pPr>
              <w:pStyle w:val="Compact"/>
              <w:spacing w:after="40" w:before="40"/>
              <w:jc w:val="left"/>
            </w:pPr>
            <w:r>
              <w:rPr>
                <w:rFonts w:ascii="Tahoma" w:hAnsi="Tahoma"/>
                <w:sz w:val="22"/>
              </w:rPr>
              <w:t xml:space="preserve">A defence project run under an arrangement between the UK Government and other governments, or a government-sponsored international body, for collaboration in research, development or production, which provides for relieving the project’s cost from taxation. Certain supplies to or by the body managing a listed project are zero-rated.</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Irrecoverable VAT</w:t>
            </w:r>
          </w:p>
        </w:tc>
        <w:tc>
          <w:tcPr>
            <w:tcW w:w="7099" w:type="dxa"/>
            <w:shd w:val="clear" w:color="auto" w:fill="FFFFFF"/>
          </w:tcPr>
          <w:p>
            <w:pPr>
              <w:pStyle w:val="Compact"/>
              <w:spacing w:after="40" w:before="40"/>
              <w:jc w:val="left"/>
            </w:pPr>
            <w:r>
              <w:rPr>
                <w:rFonts w:ascii="Tahoma" w:hAnsi="Tahoma"/>
                <w:sz w:val="22"/>
              </w:rPr>
              <w:t xml:space="preserve">VAT the Department cannot get back, so it is a real cost to its budget. Examples are VAT on goods or on unlisted services used for non-business work, exempt input tax above the de minimis limits, and blocked input tax such as VAT on business entertainment and certain cars</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w:t>
            </w:r>
            <w:hyperlink w:anchor="ref-hmrc_n706">
              <w:r>
                <w:rPr>
                  <w:rStyle w:val="Hyperlink"/>
                </w:rPr>
                <w:t xml:space="preserve">HMRC, 2025h</w:t>
              </w:r>
            </w:hyperlink>
            <w:r>
              <w:rPr>
                <w:rFonts w:ascii="Tahoma" w:hAnsi="Tahoma"/>
                <w:sz w:val="22"/>
              </w:rPr>
              <w:t xml:space="preserve">, paras. 2.4 and 11.2)</w:t>
            </w:r>
            <w:r>
              <w:rPr>
                <w:rFonts w:ascii="Tahoma" w:hAnsi="Tahoma"/>
                <w:sz w:val="22"/>
              </w:rPr>
              <w:t xml:space="preserve">. Foreign VAT is never refundable through COS (see Foreign VAT).</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Mixed-use VAT</w:t>
            </w:r>
          </w:p>
        </w:tc>
        <w:tc>
          <w:tcPr>
            <w:tcW w:w="7099" w:type="dxa"/>
            <w:shd w:val="clear" w:color="auto" w:fill="FBEAF1"/>
          </w:tcPr>
          <w:p>
            <w:pPr>
              <w:pStyle w:val="Compact"/>
              <w:spacing w:after="40" w:before="40"/>
              <w:jc w:val="left"/>
            </w:pPr>
            <w:r>
              <w:rPr>
                <w:rFonts w:ascii="Tahoma" w:hAnsi="Tahoma"/>
                <w:sz w:val="22"/>
              </w:rPr>
              <w:t xml:space="preserve">VAT on a cost used for both business and non-business activities, such as overheads. It must be apportioned</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Multiple supply</w:t>
            </w:r>
          </w:p>
        </w:tc>
        <w:tc>
          <w:tcPr>
            <w:tcW w:w="7099" w:type="dxa"/>
            <w:shd w:val="clear" w:color="auto" w:fill="EAF3FA"/>
          </w:tcPr>
          <w:p>
            <w:pPr>
              <w:pStyle w:val="Compact"/>
              <w:spacing w:after="40" w:before="40"/>
              <w:jc w:val="left"/>
            </w:pPr>
            <w:r>
              <w:rPr>
                <w:rFonts w:ascii="Tahoma" w:hAnsi="Tahoma"/>
                <w:sz w:val="22"/>
              </w:rPr>
              <w:t xml:space="preserve">Two or more separate supplies bought together. Each is tested separately against the COS headings</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Non-business activity</w:t>
            </w:r>
          </w:p>
        </w:tc>
        <w:tc>
          <w:tcPr>
            <w:tcW w:w="7099" w:type="dxa"/>
            <w:shd w:val="clear" w:color="auto" w:fill="FFFFFF"/>
          </w:tcPr>
          <w:p>
            <w:pPr>
              <w:pStyle w:val="Compact"/>
              <w:spacing w:after="40" w:before="40"/>
              <w:jc w:val="left"/>
            </w:pPr>
            <w:r>
              <w:rPr>
                <w:rFonts w:ascii="Tahoma" w:hAnsi="Tahoma"/>
                <w:sz w:val="22"/>
              </w:rPr>
              <w:t xml:space="preserve">An activity not carried on as an economic activity for payment, for example a department’s statutory work provided free of charge, or gifts to an overseas government</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w:t>
            </w:r>
            <w:hyperlink w:anchor="ref-hmrc_vatgpb">
              <w:r>
                <w:rPr>
                  <w:rStyle w:val="Hyperlink"/>
                </w:rPr>
                <w:t xml:space="preserve">2026n, sec. VATGPB3100</w:t>
              </w:r>
            </w:hyperlink>
            <w:r>
              <w:rPr>
                <w:rFonts w:ascii="Tahoma" w:hAnsi="Tahoma"/>
                <w:sz w:val="22"/>
              </w:rPr>
              <w:t xml:space="preserve">)</w:t>
            </w:r>
            <w:r>
              <w:rPr>
                <w:rFonts w:ascii="Tahoma" w:hAnsi="Tahoma"/>
                <w:sz w:val="22"/>
              </w:rPr>
              <w:t xml:space="preserve">. VAT on non-business costs is not input tax</w:t>
            </w:r>
            <w:r>
              <w:rPr>
                <w:rFonts w:ascii="Tahoma" w:hAnsi="Tahoma"/>
                <w:sz w:val="22"/>
              </w:rPr>
              <w:t xml:space="preserve"> </w:t>
            </w:r>
            <w:r>
              <w:rPr>
                <w:rFonts w:ascii="Tahoma" w:hAnsi="Tahoma"/>
                <w:sz w:val="22"/>
              </w:rPr>
              <w:t xml:space="preserve">(</w:t>
            </w:r>
            <w:hyperlink w:anchor="ref-hmrc_n706">
              <w:r>
                <w:rPr>
                  <w:rStyle w:val="Hyperlink"/>
                </w:rPr>
                <w:t xml:space="preserve">HMRC, 2025h, para. 2.2</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Output tax</w:t>
            </w:r>
          </w:p>
        </w:tc>
        <w:tc>
          <w:tcPr>
            <w:tcW w:w="7099" w:type="dxa"/>
            <w:shd w:val="clear" w:color="auto" w:fill="FBEAF1"/>
          </w:tcPr>
          <w:p>
            <w:pPr>
              <w:pStyle w:val="Compact"/>
              <w:spacing w:after="40" w:before="40"/>
              <w:jc w:val="left"/>
            </w:pPr>
            <w:r>
              <w:rPr>
                <w:rFonts w:ascii="Tahoma" w:hAnsi="Tahoma"/>
                <w:sz w:val="22"/>
              </w:rPr>
              <w:t xml:space="preserve">VAT a VAT-registered person must account for to HMRC on its supplies, including VAT it</w:t>
            </w:r>
            <w:r>
              <w:rPr>
                <w:rFonts w:ascii="Tahoma" w:hAnsi="Tahoma"/>
                <w:sz w:val="22"/>
              </w:rPr>
              <w:t xml:space="preserve"> </w:t>
            </w:r>
            <w:r>
              <w:rPr>
                <w:rFonts w:ascii="Tahoma" w:hAnsi="Tahoma"/>
                <w:sz w:val="22"/>
              </w:rPr>
              <w:t xml:space="preserve">“</w:t>
            </w:r>
            <w:r>
              <w:rPr>
                <w:rFonts w:ascii="Tahoma" w:hAnsi="Tahoma"/>
                <w:sz w:val="22"/>
              </w:rPr>
              <w:t xml:space="preserve">charges itself</w:t>
            </w:r>
            <w:r>
              <w:rPr>
                <w:rFonts w:ascii="Tahoma" w:hAnsi="Tahoma"/>
                <w:sz w:val="22"/>
              </w:rPr>
              <w:t xml:space="preserve">”</w:t>
            </w:r>
            <w:r>
              <w:rPr>
                <w:rFonts w:ascii="Tahoma" w:hAnsi="Tahoma"/>
                <w:sz w:val="22"/>
              </w:rPr>
              <w:t xml:space="preserve"> </w:t>
            </w:r>
            <w:r>
              <w:rPr>
                <w:rFonts w:ascii="Tahoma" w:hAnsi="Tahoma"/>
                <w:sz w:val="22"/>
              </w:rPr>
              <w:t xml:space="preserve">under the reverse charge</w:t>
            </w:r>
            <w:r>
              <w:rPr>
                <w:rFonts w:ascii="Tahoma" w:hAnsi="Tahoma"/>
                <w:sz w:val="22"/>
              </w:rPr>
              <w:t xml:space="preserve"> </w:t>
            </w:r>
            <w:r>
              <w:rPr>
                <w:rFonts w:ascii="Tahoma" w:hAnsi="Tahoma"/>
                <w:sz w:val="22"/>
              </w:rPr>
              <w:t xml:space="preserve">(</w:t>
            </w:r>
            <w:hyperlink w:anchor="ref-hmrc_n700">
              <w:r>
                <w:rPr>
                  <w:rStyle w:val="Hyperlink"/>
                </w:rPr>
                <w:t xml:space="preserve">HMRC, 2026o</w:t>
              </w:r>
            </w:hyperlink>
            <w:r>
              <w:rPr>
                <w:rFonts w:ascii="Tahoma" w:hAnsi="Tahoma"/>
                <w:sz w:val="22"/>
              </w:rPr>
              <w:t xml:space="preserve">, paras. 4.1 and 7.1;</w:t>
            </w:r>
            <w:r>
              <w:rPr>
                <w:rFonts w:ascii="Tahoma" w:hAnsi="Tahoma"/>
                <w:sz w:val="22"/>
              </w:rPr>
              <w:t xml:space="preserve"> </w:t>
            </w:r>
            <w:hyperlink w:anchor="ref-hmrc_n741a">
              <w:r>
                <w:rPr>
                  <w:rStyle w:val="Hyperlink"/>
                </w:rPr>
                <w:t xml:space="preserve">HMRC, 2022d, para. 5.2</w:t>
              </w:r>
            </w:hyperlink>
            <w:r>
              <w:rPr>
                <w:rFonts w:ascii="Tahoma" w:hAnsi="Tahoma"/>
                <w:sz w:val="22"/>
              </w:rPr>
              <w:t xml:space="preserve">)</w:t>
            </w:r>
            <w:r>
              <w:rPr>
                <w:rFonts w:ascii="Tahoma" w:hAnsi="Tahoma"/>
                <w:sz w:val="22"/>
              </w:rPr>
              <w:t xml:space="preserve">. Section 24 of the Value Added Tax Act 1994 defines it.</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Outside the scope</w:t>
            </w:r>
          </w:p>
        </w:tc>
        <w:tc>
          <w:tcPr>
            <w:tcW w:w="7099" w:type="dxa"/>
            <w:shd w:val="clear" w:color="auto" w:fill="EAF3FA"/>
          </w:tcPr>
          <w:p>
            <w:pPr>
              <w:pStyle w:val="Compact"/>
              <w:spacing w:after="40" w:before="40"/>
              <w:jc w:val="left"/>
            </w:pPr>
            <w:r>
              <w:rPr>
                <w:rFonts w:ascii="Tahoma" w:hAnsi="Tahoma"/>
                <w:sz w:val="22"/>
              </w:rPr>
              <w:t xml:space="preserve">A transaction not subject to UK VAT at all, for example a service supplied in another country under the place-of-supply rules</w:t>
            </w:r>
            <w:r>
              <w:rPr>
                <w:rFonts w:ascii="Tahoma" w:hAnsi="Tahoma"/>
                <w:sz w:val="22"/>
              </w:rPr>
              <w:t xml:space="preserve"> </w:t>
            </w:r>
            <w:r>
              <w:rPr>
                <w:rFonts w:ascii="Tahoma" w:hAnsi="Tahoma"/>
                <w:sz w:val="22"/>
              </w:rPr>
              <w:t xml:space="preserve">(</w:t>
            </w:r>
            <w:hyperlink w:anchor="ref-hmrc_n741a">
              <w:r>
                <w:rPr>
                  <w:rStyle w:val="Hyperlink"/>
                </w:rPr>
                <w:t xml:space="preserve">HMRC, 2022d, para. 2.1</w:t>
              </w:r>
            </w:hyperlink>
            <w:r>
              <w:rPr>
                <w:rFonts w:ascii="Tahoma" w:hAnsi="Tahoma"/>
                <w:sz w:val="22"/>
              </w:rPr>
              <w:t xml:space="preserve">;</w:t>
            </w:r>
            <w:r>
              <w:rPr>
                <w:rFonts w:ascii="Tahoma" w:hAnsi="Tahoma"/>
                <w:sz w:val="22"/>
              </w:rPr>
              <w:t xml:space="preserve"> </w:t>
            </w:r>
            <w:hyperlink w:anchor="ref-hmrc_n700">
              <w:r>
                <w:rPr>
                  <w:rStyle w:val="Hyperlink"/>
                </w:rPr>
                <w:t xml:space="preserve">2026o, para. 3.2</w:t>
              </w:r>
            </w:hyperlink>
            <w:r>
              <w:rPr>
                <w:rFonts w:ascii="Tahoma" w:hAnsi="Tahoma"/>
                <w:sz w:val="22"/>
              </w:rPr>
              <w:t xml:space="preserve">)</w:t>
            </w:r>
            <w:r>
              <w:rPr>
                <w:rFonts w:ascii="Tahoma" w:hAnsi="Tahoma"/>
                <w:sz w:val="22"/>
              </w:rPr>
              <w:t xml:space="preserve">. A department’s non-business activities are also outside the scope</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Partial exemption</w:t>
            </w:r>
          </w:p>
        </w:tc>
        <w:tc>
          <w:tcPr>
            <w:tcW w:w="7099" w:type="dxa"/>
            <w:shd w:val="clear" w:color="auto" w:fill="FFFFFF"/>
          </w:tcPr>
          <w:p>
            <w:pPr>
              <w:pStyle w:val="Compact"/>
              <w:spacing w:after="40" w:before="40"/>
              <w:jc w:val="left"/>
            </w:pPr>
            <w:r>
              <w:rPr>
                <w:rFonts w:ascii="Tahoma" w:hAnsi="Tahoma"/>
                <w:sz w:val="22"/>
              </w:rPr>
              <w:t xml:space="preserve">The rules restricting input tax recovery for a person that makes both taxable and exempt supplies</w:t>
            </w:r>
            <w:r>
              <w:rPr>
                <w:rFonts w:ascii="Tahoma" w:hAnsi="Tahoma"/>
                <w:sz w:val="22"/>
              </w:rPr>
              <w:t xml:space="preserve"> </w:t>
            </w:r>
            <w:r>
              <w:rPr>
                <w:rFonts w:ascii="Tahoma" w:hAnsi="Tahoma"/>
                <w:sz w:val="22"/>
              </w:rPr>
              <w:t xml:space="preserve">(</w:t>
            </w:r>
            <w:hyperlink w:anchor="ref-hmrc_n706">
              <w:r>
                <w:rPr>
                  <w:rStyle w:val="Hyperlink"/>
                </w:rPr>
                <w:t xml:space="preserve">HMRC, 2025h, para. 2.1</w:t>
              </w:r>
            </w:hyperlink>
            <w:r>
              <w:rPr>
                <w:rFonts w:ascii="Tahoma" w:hAnsi="Tahoma"/>
                <w:sz w:val="22"/>
              </w:rPr>
              <w:t xml:space="preserve">)</w:t>
            </w:r>
            <w:r>
              <w:rPr>
                <w:rFonts w:ascii="Tahoma" w:hAnsi="Tahoma"/>
                <w:sz w:val="22"/>
              </w:rPr>
              <w:t xml:space="preserve">. The standard method is the default; a department needs HMRC approval for a special or combined method</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PESM (partial exemption special method)</w:t>
            </w:r>
          </w:p>
        </w:tc>
        <w:tc>
          <w:tcPr>
            <w:tcW w:w="7099" w:type="dxa"/>
            <w:shd w:val="clear" w:color="auto" w:fill="FBEAF1"/>
          </w:tcPr>
          <w:p>
            <w:pPr>
              <w:pStyle w:val="Compact"/>
              <w:spacing w:after="40" w:before="40"/>
              <w:jc w:val="left"/>
            </w:pPr>
            <w:r>
              <w:rPr>
                <w:rFonts w:ascii="Tahoma" w:hAnsi="Tahoma"/>
                <w:sz w:val="22"/>
              </w:rPr>
              <w:t xml:space="preserve">An HMRC-approved alternative to the standard method of partial exemption</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w:t>
            </w:r>
            <w:hyperlink w:anchor="ref-hmrc_n706">
              <w:r>
                <w:rPr>
                  <w:rStyle w:val="Hyperlink"/>
                </w:rPr>
                <w:t xml:space="preserve">2025h, para. 6.1</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Place of supply</w:t>
            </w:r>
          </w:p>
        </w:tc>
        <w:tc>
          <w:tcPr>
            <w:tcW w:w="7099" w:type="dxa"/>
            <w:shd w:val="clear" w:color="auto" w:fill="EAF3FA"/>
          </w:tcPr>
          <w:p>
            <w:pPr>
              <w:pStyle w:val="Compact"/>
              <w:spacing w:after="40" w:before="40"/>
              <w:jc w:val="left"/>
            </w:pPr>
            <w:r>
              <w:rPr>
                <w:rFonts w:ascii="Tahoma" w:hAnsi="Tahoma"/>
                <w:sz w:val="22"/>
              </w:rPr>
              <w:t xml:space="preserve">The rules that decide which country’s VAT applies to a supply (Value Added Tax Act 1994, s. 7A). For business customers most services are taxed where the customer belongs (the</w:t>
            </w:r>
            <w:r>
              <w:rPr>
                <w:rFonts w:ascii="Tahoma" w:hAnsi="Tahoma"/>
                <w:sz w:val="22"/>
              </w:rPr>
              <w:t xml:space="preserve"> </w:t>
            </w:r>
            <w:r>
              <w:rPr>
                <w:rFonts w:ascii="Tahoma" w:hAnsi="Tahoma"/>
                <w:sz w:val="22"/>
              </w:rPr>
              <w:t xml:space="preserve">“</w:t>
            </w:r>
            <w:r>
              <w:rPr>
                <w:rFonts w:ascii="Tahoma" w:hAnsi="Tahoma"/>
                <w:sz w:val="22"/>
              </w:rPr>
              <w:t xml:space="preserve">general rule</w:t>
            </w:r>
            <w:r>
              <w:rPr>
                <w:rFonts w:ascii="Tahoma" w:hAnsi="Tahoma"/>
                <w:sz w:val="22"/>
              </w:rPr>
              <w:t xml:space="preserve">”</w:t>
            </w:r>
            <w:r>
              <w:rPr>
                <w:rFonts w:ascii="Tahoma" w:hAnsi="Tahoma"/>
                <w:sz w:val="22"/>
              </w:rPr>
              <w:t xml:space="preserve">). Hotels are taxed where the property is, and event admission where the event takes place</w:t>
            </w:r>
            <w:r>
              <w:rPr>
                <w:rFonts w:ascii="Tahoma" w:hAnsi="Tahoma"/>
                <w:sz w:val="22"/>
              </w:rPr>
              <w:t xml:space="preserve"> </w:t>
            </w:r>
            <w:r>
              <w:rPr>
                <w:rFonts w:ascii="Tahoma" w:hAnsi="Tahoma"/>
                <w:sz w:val="22"/>
              </w:rPr>
              <w:t xml:space="preserve">(</w:t>
            </w:r>
            <w:hyperlink w:anchor="ref-hmrc_n741a">
              <w:r>
                <w:rPr>
                  <w:rStyle w:val="Hyperlink"/>
                </w:rPr>
                <w:t xml:space="preserve">HMRC, 2022d</w:t>
              </w:r>
            </w:hyperlink>
            <w:r>
              <w:rPr>
                <w:rFonts w:ascii="Tahoma" w:hAnsi="Tahoma"/>
                <w:sz w:val="22"/>
              </w:rPr>
              <w:t xml:space="preserve">, paras. 2.1, 6.3, 7.1 and 9.2)</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Postponed VAT accounting (PVA)</w:t>
            </w:r>
          </w:p>
        </w:tc>
        <w:tc>
          <w:tcPr>
            <w:tcW w:w="7099" w:type="dxa"/>
            <w:shd w:val="clear" w:color="auto" w:fill="FFFFFF"/>
          </w:tcPr>
          <w:p>
            <w:pPr>
              <w:pStyle w:val="Compact"/>
              <w:spacing w:after="40" w:before="40"/>
              <w:jc w:val="left"/>
            </w:pPr>
            <w:r>
              <w:rPr>
                <w:rFonts w:ascii="Tahoma" w:hAnsi="Tahoma"/>
                <w:sz w:val="22"/>
              </w:rPr>
              <w:t xml:space="preserve">A way to declare and reclaim import VAT on the same VAT return, instead of paying it when the goods arrive and reclaiming it later</w:t>
            </w:r>
            <w:r>
              <w:rPr>
                <w:rFonts w:ascii="Tahoma" w:hAnsi="Tahoma"/>
                <w:sz w:val="22"/>
              </w:rPr>
              <w:t xml:space="preserve"> </w:t>
            </w:r>
            <w:r>
              <w:rPr>
                <w:rFonts w:ascii="Tahoma" w:hAnsi="Tahoma"/>
                <w:sz w:val="22"/>
              </w:rPr>
              <w:t xml:space="preserve">(</w:t>
            </w:r>
            <w:hyperlink w:anchor="ref-hmrc_pva">
              <w:r>
                <w:rPr>
                  <w:rStyle w:val="Hyperlink"/>
                </w:rPr>
                <w:t xml:space="preserve">HMRC, 2025c</w:t>
              </w:r>
            </w:hyperlink>
            <w:r>
              <w:rPr>
                <w:rFonts w:ascii="Tahoma" w:hAnsi="Tahoma"/>
                <w:sz w:val="22"/>
              </w:rPr>
              <w:t xml:space="preserve">)</w:t>
            </w:r>
            <w:r>
              <w:rPr>
                <w:rFonts w:ascii="Tahoma" w:hAnsi="Tahoma"/>
                <w:sz w:val="22"/>
              </w:rPr>
              <w:t xml:space="preserve">. The import VAT goes in Box 1 and the amount reclaimed in Box 4</w:t>
            </w:r>
            <w:r>
              <w:rPr>
                <w:rFonts w:ascii="Tahoma" w:hAnsi="Tahoma"/>
                <w:sz w:val="22"/>
              </w:rPr>
              <w:t xml:space="preserve"> </w:t>
            </w:r>
            <w:r>
              <w:rPr>
                <w:rFonts w:ascii="Tahoma" w:hAnsi="Tahoma"/>
                <w:sz w:val="22"/>
              </w:rPr>
              <w:t xml:space="preserve">(</w:t>
            </w:r>
            <w:hyperlink w:anchor="ref-hmrc_pva_return">
              <w:r>
                <w:rPr>
                  <w:rStyle w:val="Hyperlink"/>
                </w:rPr>
                <w:t xml:space="preserve">HMRC, 2023a</w:t>
              </w:r>
            </w:hyperlink>
            <w:r>
              <w:rPr>
                <w:rFonts w:ascii="Tahoma" w:hAnsi="Tahoma"/>
                <w:sz w:val="22"/>
              </w:rPr>
              <w:t xml:space="preserve">)</w:t>
            </w:r>
            <w:r>
              <w:rPr>
                <w:rFonts w:ascii="Tahoma" w:hAnsi="Tahoma"/>
                <w:sz w:val="22"/>
              </w:rPr>
              <w:t xml:space="preserve">. It covers goods imported into Great Britain from anywhere outside the UK, and into Northern Ireland from outside the UK and EU. The importer must be VAT-registered but needs no approval</w:t>
            </w:r>
            <w:r>
              <w:rPr>
                <w:rFonts w:ascii="Tahoma" w:hAnsi="Tahoma"/>
                <w:sz w:val="22"/>
              </w:rPr>
              <w:t xml:space="preserve"> </w:t>
            </w:r>
            <w:r>
              <w:rPr>
                <w:rFonts w:ascii="Tahoma" w:hAnsi="Tahoma"/>
                <w:sz w:val="22"/>
              </w:rPr>
              <w:t xml:space="preserve">(</w:t>
            </w:r>
            <w:hyperlink w:anchor="ref-hmrc_pva">
              <w:r>
                <w:rPr>
                  <w:rStyle w:val="Hyperlink"/>
                </w:rPr>
                <w:t xml:space="preserve">HMRC, 2025c</w:t>
              </w:r>
            </w:hyperlink>
            <w:r>
              <w:rPr>
                <w:rFonts w:ascii="Tahoma" w:hAnsi="Tahoma"/>
                <w:sz w:val="22"/>
              </w:rPr>
              <w:t xml:space="preserve">;</w:t>
            </w:r>
            <w:r>
              <w:rPr>
                <w:rFonts w:ascii="Tahoma" w:hAnsi="Tahoma"/>
                <w:sz w:val="22"/>
              </w:rPr>
              <w:t xml:space="preserve"> </w:t>
            </w:r>
            <w:hyperlink w:anchor="ref-hmrc_n700">
              <w:r>
                <w:rPr>
                  <w:rStyle w:val="Hyperlink"/>
                </w:rPr>
                <w:t xml:space="preserve">2026o, para. 19.2.4</w:t>
              </w:r>
            </w:hyperlink>
            <w:r>
              <w:rPr>
                <w:rFonts w:ascii="Tahoma" w:hAnsi="Tahoma"/>
                <w:sz w:val="22"/>
              </w:rPr>
              <w:t xml:space="preserve">)</w:t>
            </w:r>
            <w:r>
              <w:rPr>
                <w:rFonts w:ascii="Tahoma" w:hAnsi="Tahoma"/>
                <w:sz w:val="22"/>
              </w:rPr>
              <w:t xml:space="preserve">. The normal input tax rules still apply, so PVA does not make non-business import VAT recoverable</w:t>
            </w:r>
            <w:r>
              <w:rPr>
                <w:rFonts w:ascii="Tahoma" w:hAnsi="Tahoma"/>
                <w:sz w:val="22"/>
              </w:rPr>
              <w:t xml:space="preserve"> </w:t>
            </w:r>
            <w:r>
              <w:rPr>
                <w:rFonts w:ascii="Tahoma" w:hAnsi="Tahoma"/>
                <w:sz w:val="22"/>
              </w:rPr>
              <w:t xml:space="preserve">(</w:t>
            </w:r>
            <w:hyperlink w:anchor="ref-hmrc_pva_return">
              <w:r>
                <w:rPr>
                  <w:rStyle w:val="Hyperlink"/>
                </w:rPr>
                <w:t xml:space="preserve">HMRC, 2023a</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Public authority</w:t>
            </w:r>
          </w:p>
        </w:tc>
        <w:tc>
          <w:tcPr>
            <w:tcW w:w="7099" w:type="dxa"/>
            <w:shd w:val="clear" w:color="auto" w:fill="FBEAF1"/>
          </w:tcPr>
          <w:p>
            <w:pPr>
              <w:pStyle w:val="Compact"/>
              <w:spacing w:after="40" w:before="40"/>
              <w:jc w:val="left"/>
            </w:pPr>
            <w:r>
              <w:rPr>
                <w:rFonts w:ascii="Tahoma" w:hAnsi="Tahoma"/>
                <w:sz w:val="22"/>
              </w:rPr>
              <w:t xml:space="preserve">For section 41A of the Value Added Tax Act 1994, HMRC reads this as a body that is part of the UK’s public administration, such as a government department, local authority or non-departmental public body. Being publicly funded or regulated is not enough. Such a body is engaged as a public authority only when it acts under a special legal regime.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Recoverable VAT</w:t>
            </w:r>
          </w:p>
        </w:tc>
        <w:tc>
          <w:tcPr>
            <w:tcW w:w="7099" w:type="dxa"/>
            <w:shd w:val="clear" w:color="auto" w:fill="EAF3FA"/>
          </w:tcPr>
          <w:p>
            <w:pPr>
              <w:pStyle w:val="Compact"/>
              <w:spacing w:after="40" w:before="40"/>
              <w:jc w:val="left"/>
            </w:pPr>
            <w:r>
              <w:rPr>
                <w:rFonts w:ascii="Tahoma" w:hAnsi="Tahoma"/>
                <w:sz w:val="22"/>
              </w:rPr>
              <w:t xml:space="preserve">VAT the Department can get back from HMRC. There are two routes: input tax on costs of taxable business activities, deducted under the normal rules, and COS refunds under section 41(3) of the Value Added Tax Act 1994 on listed services used for non-business work</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 Both are claimed through the VAT return</w:t>
            </w:r>
            <w:r>
              <w:rPr>
                <w:rFonts w:ascii="Tahoma" w:hAnsi="Tahoma"/>
                <w:sz w:val="22"/>
              </w:rPr>
              <w:t xml:space="preserve"> </w:t>
            </w:r>
            <w:r>
              <w:rPr>
                <w:rFonts w:ascii="Tahoma" w:hAnsi="Tahoma"/>
                <w:sz w:val="22"/>
              </w:rPr>
              <w:t xml:space="preserve">(</w:t>
            </w:r>
            <w:hyperlink w:anchor="ref-hmt_s41_paper_2020">
              <w:r>
                <w:rPr>
                  <w:rStyle w:val="Hyperlink"/>
                </w:rPr>
                <w:t xml:space="preserve">HM Treasury, 2020a, para. 1.26</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Reduced rate (reduced-rated)</w:t>
            </w:r>
          </w:p>
        </w:tc>
        <w:tc>
          <w:tcPr>
            <w:tcW w:w="7099" w:type="dxa"/>
            <w:shd w:val="clear" w:color="auto" w:fill="FFFFFF"/>
          </w:tcPr>
          <w:p>
            <w:pPr>
              <w:pStyle w:val="Compact"/>
              <w:spacing w:after="40" w:before="40"/>
              <w:jc w:val="left"/>
            </w:pPr>
            <w:r>
              <w:rPr>
                <w:rFonts w:ascii="Tahoma" w:hAnsi="Tahoma"/>
                <w:sz w:val="22"/>
              </w:rPr>
              <w:t xml:space="preserve">A UK VAT rate of 5% for supplies listed in Schedule 7A to the Value Added Tax Act 1994 (s. 29A). Reduced-rated supplies are taxable, so the supplier can recover its input tax</w:t>
            </w:r>
            <w:r>
              <w:rPr>
                <w:rFonts w:ascii="Tahoma" w:hAnsi="Tahoma"/>
                <w:sz w:val="22"/>
              </w:rPr>
              <w:t xml:space="preserve"> </w:t>
            </w:r>
            <w:r>
              <w:rPr>
                <w:rFonts w:ascii="Tahoma" w:hAnsi="Tahoma"/>
                <w:sz w:val="22"/>
              </w:rPr>
              <w:t xml:space="preserve">(</w:t>
            </w:r>
            <w:hyperlink w:anchor="ref-hmrc_n700">
              <w:r>
                <w:rPr>
                  <w:rStyle w:val="Hyperlink"/>
                </w:rPr>
                <w:t xml:space="preserve">HMRC, 2026o, para. 3.4</w:t>
              </w:r>
            </w:hyperlink>
            <w:r>
              <w:rPr>
                <w:rFonts w:ascii="Tahoma" w:hAnsi="Tahoma"/>
                <w:sz w:val="22"/>
              </w:rPr>
              <w:t xml:space="preserve">)</w:t>
            </w:r>
            <w:r>
              <w:rPr>
                <w:rFonts w:ascii="Tahoma" w:hAnsi="Tahoma"/>
                <w:sz w:val="22"/>
              </w:rPr>
              <w:t xml:space="preserve">. For example, £1,000 × 5% = £50 VAT. The reduced rate for fuel and power covers domestic use and non-business use by a charity; other use is usually standard-rated</w:t>
            </w:r>
            <w:r>
              <w:rPr>
                <w:rFonts w:ascii="Tahoma" w:hAnsi="Tahoma"/>
                <w:sz w:val="22"/>
              </w:rPr>
              <w:t xml:space="preserve"> </w:t>
            </w:r>
            <w:r>
              <w:rPr>
                <w:rFonts w:ascii="Tahoma" w:hAnsi="Tahoma"/>
                <w:sz w:val="22"/>
              </w:rPr>
              <w:t xml:space="preserve">(</w:t>
            </w:r>
            <w:hyperlink w:anchor="ref-hmrc_vat_rates">
              <w:r>
                <w:rPr>
                  <w:rStyle w:val="Hyperlink"/>
                </w:rPr>
                <w:t xml:space="preserve">HMRC, 2026r</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Relevant business person</w:t>
            </w:r>
          </w:p>
        </w:tc>
        <w:tc>
          <w:tcPr>
            <w:tcW w:w="7099" w:type="dxa"/>
            <w:shd w:val="clear" w:color="auto" w:fill="FBEAF1"/>
          </w:tcPr>
          <w:p>
            <w:pPr>
              <w:pStyle w:val="Compact"/>
              <w:spacing w:after="40" w:before="40"/>
              <w:jc w:val="left"/>
            </w:pPr>
            <w:r>
              <w:rPr>
                <w:rFonts w:ascii="Tahoma" w:hAnsi="Tahoma"/>
                <w:sz w:val="22"/>
              </w:rPr>
              <w:t xml:space="preserve">As defined in section 7A(4) of the Value Added Tax Act 1994, a customer that carries on a business and does not receive the services wholly for private purposes</w:t>
            </w:r>
            <w:r>
              <w:rPr>
                <w:rFonts w:ascii="Tahoma" w:hAnsi="Tahoma"/>
                <w:sz w:val="22"/>
              </w:rPr>
              <w:t xml:space="preserve"> </w:t>
            </w:r>
            <w:r>
              <w:rPr>
                <w:rFonts w:ascii="Tahoma" w:hAnsi="Tahoma"/>
                <w:sz w:val="22"/>
              </w:rPr>
              <w:t xml:space="preserve">(</w:t>
            </w:r>
            <w:hyperlink w:anchor="ref-hmrc_vatposs">
              <w:r>
                <w:rPr>
                  <w:rStyle w:val="Hyperlink"/>
                </w:rPr>
                <w:t xml:space="preserve">HMRC, 2022j, sec. VATPOSS01350</w:t>
              </w:r>
            </w:hyperlink>
            <w:r>
              <w:rPr>
                <w:rFonts w:ascii="Tahoma" w:hAnsi="Tahoma"/>
                <w:sz w:val="22"/>
              </w:rPr>
              <w:t xml:space="preserve">)</w:t>
            </w:r>
            <w:r>
              <w:rPr>
                <w:rFonts w:ascii="Tahoma" w:hAnsi="Tahoma"/>
                <w:sz w:val="22"/>
              </w:rPr>
              <w:t xml:space="preserve">. A department with any business activity counts as one, so it is a business customer for place-of-supply rules even when buying for non-business work</w:t>
            </w:r>
            <w:r>
              <w:rPr>
                <w:rFonts w:ascii="Tahoma" w:hAnsi="Tahoma"/>
                <w:sz w:val="22"/>
              </w:rPr>
              <w:t xml:space="preserve"> </w:t>
            </w:r>
            <w:r>
              <w:rPr>
                <w:rFonts w:ascii="Tahoma" w:hAnsi="Tahoma"/>
                <w:sz w:val="22"/>
              </w:rPr>
              <w:t xml:space="preserve">(</w:t>
            </w:r>
            <w:hyperlink w:anchor="ref-hmrc_n741a">
              <w:r>
                <w:rPr>
                  <w:rStyle w:val="Hyperlink"/>
                </w:rPr>
                <w:t xml:space="preserve">HMRC, 2022d, para. 2.4</w:t>
              </w:r>
            </w:hyperlink>
            <w:r>
              <w:rPr>
                <w:rFonts w:ascii="Tahoma" w:hAnsi="Tahoma"/>
                <w:sz w:val="22"/>
              </w:rPr>
              <w:t xml:space="preserve">;</w:t>
            </w:r>
            <w:r>
              <w:rPr>
                <w:rFonts w:ascii="Tahoma" w:hAnsi="Tahoma"/>
                <w:sz w:val="22"/>
              </w:rPr>
              <w:t xml:space="preserve"> </w:t>
            </w:r>
            <w:hyperlink w:anchor="ref-hmrc_gdpef">
              <w:r>
                <w:rPr>
                  <w:rStyle w:val="Hyperlink"/>
                </w:rPr>
                <w:t xml:space="preserve">2023c</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Reverse charge</w:t>
            </w:r>
          </w:p>
        </w:tc>
        <w:tc>
          <w:tcPr>
            <w:tcW w:w="7099" w:type="dxa"/>
            <w:shd w:val="clear" w:color="auto" w:fill="EAF3FA"/>
          </w:tcPr>
          <w:p>
            <w:pPr>
              <w:pStyle w:val="Compact"/>
              <w:spacing w:after="40" w:before="40"/>
              <w:jc w:val="left"/>
            </w:pPr>
            <w:r>
              <w:rPr>
                <w:rFonts w:ascii="Tahoma" w:hAnsi="Tahoma"/>
                <w:sz w:val="22"/>
              </w:rPr>
              <w:t xml:space="preserve">For many services bought from overseas suppliers, the UK customer accounts for the UK VAT itself as output tax under section 8 of the Value Added Tax Act 1994</w:t>
            </w:r>
            <w:r>
              <w:rPr>
                <w:rFonts w:ascii="Tahoma" w:hAnsi="Tahoma"/>
                <w:sz w:val="22"/>
              </w:rPr>
              <w:t xml:space="preserve"> </w:t>
            </w:r>
            <w:r>
              <w:rPr>
                <w:rFonts w:ascii="Tahoma" w:hAnsi="Tahoma"/>
                <w:sz w:val="22"/>
              </w:rPr>
              <w:t xml:space="preserve">(</w:t>
            </w:r>
            <w:hyperlink w:anchor="ref-hmrc_n741a">
              <w:r>
                <w:rPr>
                  <w:rStyle w:val="Hyperlink"/>
                </w:rPr>
                <w:t xml:space="preserve">HMRC, 2022d</w:t>
              </w:r>
            </w:hyperlink>
            <w:r>
              <w:rPr>
                <w:rFonts w:ascii="Tahoma" w:hAnsi="Tahoma"/>
                <w:sz w:val="22"/>
              </w:rPr>
              <w:t xml:space="preserve">, paras. 5.1 and 5.2)</w:t>
            </w:r>
            <w:r>
              <w:rPr>
                <w:rFonts w:ascii="Tahoma" w:hAnsi="Tahoma"/>
                <w:sz w:val="22"/>
              </w:rPr>
              <w:t xml:space="preserve">. If the service is within a COS heading and used for non-business purposes, the same VAT is refunded under section 41(3), so the net cost is nil</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Section 33 body</w:t>
            </w:r>
          </w:p>
        </w:tc>
        <w:tc>
          <w:tcPr>
            <w:tcW w:w="7099" w:type="dxa"/>
            <w:shd w:val="clear" w:color="auto" w:fill="FFFFFF"/>
          </w:tcPr>
          <w:p>
            <w:pPr>
              <w:pStyle w:val="Compact"/>
              <w:spacing w:after="40" w:before="40"/>
              <w:jc w:val="left"/>
            </w:pPr>
            <w:r>
              <w:rPr>
                <w:rFonts w:ascii="Tahoma" w:hAnsi="Tahoma"/>
                <w:sz w:val="22"/>
              </w:rPr>
              <w:t xml:space="preserve">A local authority or similar body within section 33 of the Value Added Tax Act 1994. It can recover all non-business VAT, not just VAT on listed services</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VATGPB9340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Section 33E body</w:t>
            </w:r>
          </w:p>
        </w:tc>
        <w:tc>
          <w:tcPr>
            <w:tcW w:w="7099" w:type="dxa"/>
            <w:shd w:val="clear" w:color="auto" w:fill="FBEAF1"/>
          </w:tcPr>
          <w:p>
            <w:pPr>
              <w:pStyle w:val="Compact"/>
              <w:spacing w:after="40" w:before="40"/>
              <w:jc w:val="left"/>
            </w:pPr>
            <w:r>
              <w:rPr>
                <w:rFonts w:ascii="Tahoma" w:hAnsi="Tahoma"/>
                <w:sz w:val="22"/>
              </w:rPr>
              <w:t xml:space="preserve">A non-departmental or similar public body named in a Treasury order. Under section 33E of the Value Added Tax Act 1994 it can recover VAT on COS services only, within a statutory deadline</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VATGPB9650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Section 41(3) body</w:t>
            </w:r>
          </w:p>
        </w:tc>
        <w:tc>
          <w:tcPr>
            <w:tcW w:w="7099" w:type="dxa"/>
            <w:shd w:val="clear" w:color="auto" w:fill="EAF3FA"/>
          </w:tcPr>
          <w:p>
            <w:pPr>
              <w:pStyle w:val="Compact"/>
              <w:spacing w:after="40" w:before="40"/>
              <w:jc w:val="left"/>
            </w:pPr>
            <w:r>
              <w:rPr>
                <w:rFonts w:ascii="Tahoma" w:hAnsi="Tahoma"/>
                <w:sz w:val="22"/>
              </w:rPr>
              <w:t xml:space="preserve">A government department or health body within section 41(6) to (8) of the Value Added Tax Act 1994. It can claim COS refunds</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Section 41A</w:t>
            </w:r>
          </w:p>
        </w:tc>
        <w:tc>
          <w:tcPr>
            <w:tcW w:w="7099" w:type="dxa"/>
            <w:shd w:val="clear" w:color="auto" w:fill="FFFFFF"/>
          </w:tcPr>
          <w:p>
            <w:pPr>
              <w:pStyle w:val="Compact"/>
              <w:spacing w:after="40" w:before="40"/>
              <w:jc w:val="left"/>
            </w:pPr>
            <w:r>
              <w:rPr>
                <w:rFonts w:ascii="Tahoma" w:hAnsi="Tahoma"/>
                <w:sz w:val="22"/>
              </w:rPr>
              <w:t xml:space="preserve">The rule in section 41A of the Value Added Tax Act 1994 that treats public authority activities as non-business unless that would significantly distort competition, or the activity is on a statutory list (unless negligible in scale)</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VATGPB2100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Section 99</w:t>
            </w:r>
          </w:p>
        </w:tc>
        <w:tc>
          <w:tcPr>
            <w:tcW w:w="7099" w:type="dxa"/>
            <w:shd w:val="clear" w:color="auto" w:fill="FBEAF1"/>
          </w:tcPr>
          <w:p>
            <w:pPr>
              <w:pStyle w:val="Compact"/>
              <w:spacing w:after="40" w:before="40"/>
              <w:jc w:val="left"/>
            </w:pPr>
            <w:r>
              <w:rPr>
                <w:rFonts w:ascii="Tahoma" w:hAnsi="Tahoma"/>
                <w:sz w:val="22"/>
              </w:rPr>
              <w:t xml:space="preserve">The provision of the Value Added Tax Act 1994 under which Northern Ireland government departments recover non-business VAT. They are not subject to the Contracting Out Direction</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VATGPB9350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Shared services</w:t>
            </w:r>
          </w:p>
        </w:tc>
        <w:tc>
          <w:tcPr>
            <w:tcW w:w="7099" w:type="dxa"/>
            <w:shd w:val="clear" w:color="auto" w:fill="EAF3FA"/>
          </w:tcPr>
          <w:p>
            <w:pPr>
              <w:pStyle w:val="Compact"/>
              <w:spacing w:after="40" w:before="40"/>
              <w:jc w:val="left"/>
            </w:pPr>
            <w:r>
              <w:rPr>
                <w:rFonts w:ascii="Tahoma" w:hAnsi="Tahoma"/>
                <w:sz w:val="22"/>
              </w:rPr>
              <w:t xml:space="preserve">One public body providing services to others. VAT on a listed service received this way can be refunded</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Significant distortion of competition</w:t>
            </w:r>
          </w:p>
        </w:tc>
        <w:tc>
          <w:tcPr>
            <w:tcW w:w="7099" w:type="dxa"/>
            <w:shd w:val="clear" w:color="auto" w:fill="FFFFFF"/>
          </w:tcPr>
          <w:p>
            <w:pPr>
              <w:pStyle w:val="Compact"/>
              <w:spacing w:after="40" w:before="40"/>
              <w:jc w:val="left"/>
            </w:pPr>
            <w:r>
              <w:rPr>
                <w:rFonts w:ascii="Tahoma" w:hAnsi="Tahoma"/>
                <w:sz w:val="22"/>
              </w:rPr>
              <w:t xml:space="preserve">The test in section 41A(3) of the Value Added Tax Act 1994. A public body’s activity carried on under a special legal regime is still treated as business if not charging VAT on it would distort competition with private suppliers by more than a negligible amount. It is judged across the UK and counts real potential competitors, but not purely theoretical ones.</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Sovereign activity</w:t>
            </w:r>
          </w:p>
        </w:tc>
        <w:tc>
          <w:tcPr>
            <w:tcW w:w="7099" w:type="dxa"/>
            <w:shd w:val="clear" w:color="auto" w:fill="FBEAF1"/>
          </w:tcPr>
          <w:p>
            <w:pPr>
              <w:pStyle w:val="Compact"/>
              <w:spacing w:after="40" w:before="40"/>
              <w:jc w:val="left"/>
            </w:pPr>
            <w:r>
              <w:rPr>
                <w:rFonts w:ascii="Tahoma" w:hAnsi="Tahoma"/>
                <w:sz w:val="22"/>
              </w:rPr>
              <w:t xml:space="preserve">HMRC uses this term in VAT Notice 741A for an overseas government’s activities that are</w:t>
            </w:r>
            <w:r>
              <w:rPr>
                <w:rFonts w:ascii="Tahoma" w:hAnsi="Tahoma"/>
                <w:sz w:val="22"/>
              </w:rPr>
              <w:t xml:space="preserve"> </w:t>
            </w:r>
            <w:r>
              <w:rPr>
                <w:rFonts w:ascii="Tahoma" w:hAnsi="Tahoma"/>
                <w:sz w:val="22"/>
              </w:rPr>
              <w:t xml:space="preserve">‘</w:t>
            </w:r>
            <w:r>
              <w:rPr>
                <w:rFonts w:ascii="Tahoma" w:hAnsi="Tahoma"/>
                <w:sz w:val="22"/>
              </w:rPr>
              <w:t xml:space="preserve">not for business purposes</w:t>
            </w:r>
            <w:r>
              <w:rPr>
                <w:rFonts w:ascii="Tahoma" w:hAnsi="Tahoma"/>
                <w:sz w:val="22"/>
              </w:rPr>
              <w:t xml:space="preserve">’</w:t>
            </w:r>
            <w:r>
              <w:rPr>
                <w:rFonts w:ascii="Tahoma" w:hAnsi="Tahoma"/>
                <w:sz w:val="22"/>
              </w:rPr>
              <w:t xml:space="preserve">. For that notice, an overseas government includes members of its armed forces, police and emergency services.</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Special legal regime</w:t>
            </w:r>
          </w:p>
        </w:tc>
        <w:tc>
          <w:tcPr>
            <w:tcW w:w="7099" w:type="dxa"/>
            <w:shd w:val="clear" w:color="auto" w:fill="EAF3FA"/>
          </w:tcPr>
          <w:p>
            <w:pPr>
              <w:pStyle w:val="Compact"/>
              <w:spacing w:after="40" w:before="40"/>
              <w:jc w:val="left"/>
            </w:pPr>
            <w:r>
              <w:rPr>
                <w:rFonts w:ascii="Tahoma" w:hAnsi="Tahoma"/>
                <w:sz w:val="22"/>
              </w:rPr>
              <w:t xml:space="preserve">Rules of law with legal certainty, such as an Act or statutory instrument, that govern or materially affect how a public body must carry on an activity and that do not apply to private operators. Guidance, or a general power to carry on the activity, is not enough.</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Specified supplies</w:t>
            </w:r>
          </w:p>
        </w:tc>
        <w:tc>
          <w:tcPr>
            <w:tcW w:w="7099" w:type="dxa"/>
            <w:shd w:val="clear" w:color="auto" w:fill="FFFFFF"/>
          </w:tcPr>
          <w:p>
            <w:pPr>
              <w:pStyle w:val="Compact"/>
              <w:spacing w:after="40" w:before="40"/>
              <w:jc w:val="left"/>
            </w:pPr>
            <w:r>
              <w:rPr>
                <w:rFonts w:ascii="Tahoma" w:hAnsi="Tahoma"/>
                <w:sz w:val="22"/>
              </w:rPr>
              <w:t xml:space="preserve">Certain financial, insurance and export-related services supplied to non-UK customers. They would be exempt in the UK but carry a right to deduct input tax under section 26(2)(c) of the Value Added Tax Act 1994 and the Value Added Tax (Input Tax) (Specified Supplies) Order 1999 (SI 1999/3121)</w:t>
            </w:r>
            <w:r>
              <w:rPr>
                <w:rFonts w:ascii="Tahoma" w:hAnsi="Tahoma"/>
                <w:sz w:val="22"/>
              </w:rPr>
              <w:t xml:space="preserve"> </w:t>
            </w:r>
            <w:r>
              <w:rPr>
                <w:rFonts w:ascii="Tahoma" w:hAnsi="Tahoma"/>
                <w:sz w:val="22"/>
              </w:rPr>
              <w:t xml:space="preserve">(</w:t>
            </w:r>
            <w:hyperlink w:anchor="ref-hmrc_gdpef">
              <w:r>
                <w:rPr>
                  <w:rStyle w:val="Hyperlink"/>
                </w:rPr>
                <w:t xml:space="preserve">HMRC, 2023c</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Standard rate (standard-rated)</w:t>
            </w:r>
          </w:p>
        </w:tc>
        <w:tc>
          <w:tcPr>
            <w:tcW w:w="7099" w:type="dxa"/>
            <w:shd w:val="clear" w:color="auto" w:fill="FBEAF1"/>
          </w:tcPr>
          <w:p>
            <w:pPr>
              <w:pStyle w:val="Compact"/>
              <w:spacing w:after="40" w:before="40"/>
              <w:jc w:val="left"/>
            </w:pPr>
            <w:r>
              <w:rPr>
                <w:rFonts w:ascii="Tahoma" w:hAnsi="Tahoma"/>
                <w:sz w:val="22"/>
              </w:rPr>
              <w:t xml:space="preserve">The main UK VAT rate, set by section 2(1) of the Value Added Tax Act 1994 and 20% since 4 January 2011</w:t>
            </w:r>
            <w:r>
              <w:rPr>
                <w:rFonts w:ascii="Tahoma" w:hAnsi="Tahoma"/>
                <w:sz w:val="22"/>
              </w:rPr>
              <w:t xml:space="preserve"> </w:t>
            </w:r>
            <w:r>
              <w:rPr>
                <w:rFonts w:ascii="Tahoma" w:hAnsi="Tahoma"/>
                <w:sz w:val="22"/>
              </w:rPr>
              <w:t xml:space="preserve">(</w:t>
            </w:r>
            <w:hyperlink w:anchor="ref-hmrc_n700">
              <w:r>
                <w:rPr>
                  <w:rStyle w:val="Hyperlink"/>
                </w:rPr>
                <w:t xml:space="preserve">HMRC, 2026o, para. 3.3.1</w:t>
              </w:r>
            </w:hyperlink>
            <w:r>
              <w:rPr>
                <w:rFonts w:ascii="Tahoma" w:hAnsi="Tahoma"/>
                <w:sz w:val="22"/>
              </w:rPr>
              <w:t xml:space="preserve">)</w:t>
            </w:r>
            <w:r>
              <w:rPr>
                <w:rFonts w:ascii="Tahoma" w:hAnsi="Tahoma"/>
                <w:sz w:val="22"/>
              </w:rPr>
              <w:t xml:space="preserve">. Most taxable supplies are standard-rated; the reduced rate, zero rate and exemption apply only where the law says so</w:t>
            </w:r>
            <w:r>
              <w:rPr>
                <w:rFonts w:ascii="Tahoma" w:hAnsi="Tahoma"/>
                <w:sz w:val="22"/>
              </w:rPr>
              <w:t xml:space="preserve"> </w:t>
            </w:r>
            <w:r>
              <w:rPr>
                <w:rFonts w:ascii="Tahoma" w:hAnsi="Tahoma"/>
                <w:sz w:val="22"/>
              </w:rPr>
              <w:t xml:space="preserve">(</w:t>
            </w:r>
            <w:hyperlink w:anchor="ref-hmrc_n706">
              <w:r>
                <w:rPr>
                  <w:rStyle w:val="Hyperlink"/>
                </w:rPr>
                <w:t xml:space="preserve">HMRC, 2025h, para. 2.1</w:t>
              </w:r>
            </w:hyperlink>
            <w:r>
              <w:rPr>
                <w:rFonts w:ascii="Tahoma" w:hAnsi="Tahoma"/>
                <w:sz w:val="22"/>
              </w:rPr>
              <w:t xml:space="preserve">;</w:t>
            </w:r>
            <w:r>
              <w:rPr>
                <w:rFonts w:ascii="Tahoma" w:hAnsi="Tahoma"/>
                <w:sz w:val="22"/>
              </w:rPr>
              <w:t xml:space="preserve"> </w:t>
            </w:r>
            <w:hyperlink w:anchor="ref-hmrc_vat_rates">
              <w:r>
                <w:rPr>
                  <w:rStyle w:val="Hyperlink"/>
                </w:rPr>
                <w:t xml:space="preserve">2026r</w:t>
              </w:r>
            </w:hyperlink>
            <w:r>
              <w:rPr>
                <w:rFonts w:ascii="Tahoma" w:hAnsi="Tahoma"/>
                <w:sz w:val="22"/>
              </w:rPr>
              <w:t xml:space="preserve">)</w:t>
            </w:r>
            <w:r>
              <w:rPr>
                <w:rFonts w:ascii="Tahoma" w:hAnsi="Tahoma"/>
                <w:sz w:val="22"/>
              </w:rPr>
              <w:t xml:space="preserve">. For example, a £1,000 (net) purchase carries £200 VAT (£1,000 × 20%), so the total is £1,200.</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Supply of staff</w:t>
            </w:r>
          </w:p>
        </w:tc>
        <w:tc>
          <w:tcPr>
            <w:tcW w:w="7099" w:type="dxa"/>
            <w:shd w:val="clear" w:color="auto" w:fill="EAF3FA"/>
          </w:tcPr>
          <w:p>
            <w:pPr>
              <w:pStyle w:val="Compact"/>
              <w:spacing w:after="40" w:before="40"/>
              <w:jc w:val="left"/>
            </w:pPr>
            <w:r>
              <w:rPr>
                <w:rFonts w:ascii="Tahoma" w:hAnsi="Tahoma"/>
                <w:sz w:val="22"/>
              </w:rPr>
              <w:t xml:space="preserve">Providing workers who work under the customer’s control. It is excluded from most COS headings even when the work itself would be a listed service (exceptions include agency staff within a catering service, Heading 10; agency nursing staff, Heading 41; and accredited GCO secondments, Heading 81)</w:t>
            </w:r>
            <w:r>
              <w:rPr>
                <w:rFonts w:ascii="Tahoma" w:hAnsi="Tahoma"/>
                <w:sz w:val="22"/>
              </w:rPr>
              <w:t xml:space="preserve"> </w:t>
            </w:r>
            <w:r>
              <w:rPr>
                <w:rFonts w:ascii="Tahoma" w:hAnsi="Tahoma"/>
                <w:sz w:val="22"/>
              </w:rPr>
              <w:t xml:space="preserve">(</w:t>
            </w:r>
            <w:hyperlink w:anchor="ref-hmrc_vatgpb">
              <w:r>
                <w:rPr>
                  <w:rStyle w:val="Hyperlink"/>
                </w:rPr>
                <w:t xml:space="preserve">HMRC, 2026n</w:t>
              </w:r>
            </w:hyperlink>
            <w:r>
              <w:rPr>
                <w:rFonts w:ascii="Tahoma" w:hAnsi="Tahoma"/>
                <w:sz w:val="22"/>
              </w:rPr>
              <w:t xml:space="preserve">, secs. VATGPB9930, VATGPB10010, VATGPB10550 and VATGPB11350)</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Tax point</w:t>
            </w:r>
          </w:p>
        </w:tc>
        <w:tc>
          <w:tcPr>
            <w:tcW w:w="7099" w:type="dxa"/>
            <w:shd w:val="clear" w:color="auto" w:fill="FFFFFF"/>
          </w:tcPr>
          <w:p>
            <w:pPr>
              <w:pStyle w:val="Compact"/>
              <w:spacing w:after="40" w:before="40"/>
              <w:jc w:val="left"/>
            </w:pPr>
            <w:r>
              <w:rPr>
                <w:rFonts w:ascii="Tahoma" w:hAnsi="Tahoma"/>
                <w:sz w:val="22"/>
              </w:rPr>
              <w:t xml:space="preserve">The date a supply is treated as taking place for VAT. It is normally the invoice date, but continuous supplies may have a payment tax point. It decides which financial year a COS claim belongs to</w:t>
            </w:r>
            <w:r>
              <w:rPr>
                <w:rFonts w:ascii="Tahoma" w:hAnsi="Tahoma"/>
                <w:sz w:val="22"/>
              </w:rPr>
              <w:t xml:space="preserve"> </w:t>
            </w:r>
            <w:r>
              <w:rPr>
                <w:rFonts w:ascii="Tahoma" w:hAnsi="Tahoma"/>
                <w:sz w:val="22"/>
              </w:rPr>
              <w:t xml:space="preserve">(</w:t>
            </w:r>
            <w:hyperlink w:anchor="ref-hmrc_n700">
              <w:r>
                <w:rPr>
                  <w:rStyle w:val="Hyperlink"/>
                </w:rPr>
                <w:t xml:space="preserve">HMRC, 2026o</w:t>
              </w:r>
            </w:hyperlink>
            <w:r>
              <w:rPr>
                <w:rFonts w:ascii="Tahoma" w:hAnsi="Tahoma"/>
                <w:sz w:val="22"/>
              </w:rPr>
              <w:t xml:space="preserve">, paras. 14.1 and 14.3;</w:t>
            </w:r>
            <w:r>
              <w:rPr>
                <w:rFonts w:ascii="Tahoma" w:hAnsi="Tahoma"/>
                <w:sz w:val="22"/>
              </w:rPr>
              <w:t xml:space="preserve"> </w:t>
            </w:r>
            <w:hyperlink w:anchor="ref-hmrc_vatgpb">
              <w:r>
                <w:rPr>
                  <w:rStyle w:val="Hyperlink"/>
                </w:rPr>
                <w:t xml:space="preserve">HMRC, 2026n, sec. VATGPB9720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TOMS (Tour Operators’ Margin Scheme)</w:t>
            </w:r>
          </w:p>
        </w:tc>
        <w:tc>
          <w:tcPr>
            <w:tcW w:w="7099" w:type="dxa"/>
            <w:shd w:val="clear" w:color="auto" w:fill="FBEAF1"/>
          </w:tcPr>
          <w:p>
            <w:pPr>
              <w:pStyle w:val="Compact"/>
              <w:spacing w:after="40" w:before="40"/>
              <w:jc w:val="left"/>
            </w:pPr>
            <w:r>
              <w:rPr>
                <w:rFonts w:ascii="Tahoma" w:hAnsi="Tahoma"/>
                <w:sz w:val="22"/>
              </w:rPr>
              <w:t xml:space="preserve">A special scheme for travel bought in and resold as principal. This includes conference or training packages that bundle bought-in hotel rooms or transport. No VAT invoice is issued, so there is nothing to claim</w:t>
            </w:r>
            <w:r>
              <w:rPr>
                <w:rFonts w:ascii="Tahoma" w:hAnsi="Tahoma"/>
                <w:sz w:val="22"/>
              </w:rPr>
              <w:t xml:space="preserve"> </w:t>
            </w:r>
            <w:r>
              <w:rPr>
                <w:rFonts w:ascii="Tahoma" w:hAnsi="Tahoma"/>
                <w:sz w:val="22"/>
              </w:rPr>
              <w:t xml:space="preserve">(</w:t>
            </w:r>
            <w:hyperlink w:anchor="ref-hmrc_n7095">
              <w:r>
                <w:rPr>
                  <w:rStyle w:val="Hyperlink"/>
                </w:rPr>
                <w:t xml:space="preserve">HMRC, 2024e</w:t>
              </w:r>
            </w:hyperlink>
            <w:r>
              <w:rPr>
                <w:rFonts w:ascii="Tahoma" w:hAnsi="Tahoma"/>
                <w:sz w:val="22"/>
              </w:rPr>
              <w:t xml:space="preserve">, paras. 3.1, 4.19 and 7.13)</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Treasury Direction</w:t>
            </w:r>
          </w:p>
        </w:tc>
        <w:tc>
          <w:tcPr>
            <w:tcW w:w="7099" w:type="dxa"/>
            <w:shd w:val="clear" w:color="auto" w:fill="EAF3FA"/>
          </w:tcPr>
          <w:p>
            <w:pPr>
              <w:pStyle w:val="Compact"/>
              <w:spacing w:after="40" w:before="40"/>
              <w:jc w:val="left"/>
            </w:pPr>
            <w:r>
              <w:rPr>
                <w:rFonts w:ascii="Tahoma" w:hAnsi="Tahoma"/>
                <w:sz w:val="22"/>
              </w:rPr>
              <w:t xml:space="preserve">A formal instruction made by HM Treasury under a power in an Act and published in the Gazettes</w:t>
            </w:r>
            <w:r>
              <w:rPr>
                <w:rFonts w:ascii="Tahoma" w:hAnsi="Tahoma"/>
                <w:sz w:val="22"/>
              </w:rPr>
              <w:t xml:space="preserve"> </w:t>
            </w:r>
            <w:r>
              <w:rPr>
                <w:rFonts w:ascii="Tahoma" w:hAnsi="Tahoma"/>
                <w:sz w:val="22"/>
              </w:rPr>
              <w:t xml:space="preserve">(</w:t>
            </w:r>
            <w:hyperlink w:anchor="ref-hmrc_vatgpb">
              <w:r>
                <w:rPr>
                  <w:rStyle w:val="Hyperlink"/>
                </w:rPr>
                <w:t xml:space="preserve">HMRC, 2026n</w:t>
              </w:r>
            </w:hyperlink>
            <w:r>
              <w:rPr>
                <w:rFonts w:ascii="Tahoma" w:hAnsi="Tahoma"/>
                <w:sz w:val="22"/>
              </w:rPr>
              <w:t xml:space="preserve">, secs. VATGPB9340 and VATGPB9720)</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VAT 21 / VAT 126</w:t>
            </w:r>
          </w:p>
        </w:tc>
        <w:tc>
          <w:tcPr>
            <w:tcW w:w="7099" w:type="dxa"/>
            <w:shd w:val="clear" w:color="auto" w:fill="FFFFFF"/>
          </w:tcPr>
          <w:p>
            <w:pPr>
              <w:pStyle w:val="Compact"/>
              <w:spacing w:after="40" w:before="40"/>
              <w:jc w:val="left"/>
            </w:pPr>
            <w:r>
              <w:rPr>
                <w:rFonts w:ascii="Tahoma" w:hAnsi="Tahoma"/>
                <w:sz w:val="22"/>
              </w:rPr>
              <w:t xml:space="preserve">HMRC claim forms. HMRC’s manual mentions VAT 21 alongside the VAT return for government bodies. Unregistered section 33E bodies use VAT 126</w:t>
            </w:r>
            <w:r>
              <w:rPr>
                <w:rFonts w:ascii="Tahoma" w:hAnsi="Tahoma"/>
                <w:sz w:val="22"/>
              </w:rPr>
              <w:t xml:space="preserve"> </w:t>
            </w:r>
            <w:r>
              <w:rPr>
                <w:rFonts w:ascii="Tahoma" w:hAnsi="Tahoma"/>
                <w:sz w:val="22"/>
              </w:rPr>
              <w:t xml:space="preserve">(</w:t>
            </w:r>
            <w:hyperlink w:anchor="ref-hmrc_vatgpb">
              <w:r>
                <w:rPr>
                  <w:rStyle w:val="Hyperlink"/>
                </w:rPr>
                <w:t xml:space="preserve">HMRC, 2026n, sec. VATGPB9650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FBEAF1"/>
          </w:tcPr>
          <w:p>
            <w:pPr>
              <w:pStyle w:val="Compact"/>
              <w:spacing w:after="40" w:before="40"/>
              <w:jc w:val="left"/>
            </w:pPr>
            <w:r>
              <w:rPr>
                <w:rFonts w:ascii="Tahoma" w:hAnsi="Tahoma"/>
                <w:b/>
                <w:bCs/>
                <w:sz w:val="22"/>
              </w:rPr>
              <w:t xml:space="preserve">VAT invoice</w:t>
            </w:r>
          </w:p>
        </w:tc>
        <w:tc>
          <w:tcPr>
            <w:tcW w:w="7099" w:type="dxa"/>
            <w:shd w:val="clear" w:color="auto" w:fill="FBEAF1"/>
          </w:tcPr>
          <w:p>
            <w:pPr>
              <w:pStyle w:val="Compact"/>
              <w:spacing w:after="40" w:before="40"/>
              <w:jc w:val="left"/>
            </w:pPr>
            <w:r>
              <w:rPr>
                <w:rFonts w:ascii="Tahoma" w:hAnsi="Tahoma"/>
                <w:sz w:val="22"/>
              </w:rPr>
              <w:t xml:space="preserve">A supplier’s invoice showing the details VAT law requires</w:t>
            </w:r>
            <w:r>
              <w:rPr>
                <w:rFonts w:ascii="Tahoma" w:hAnsi="Tahoma"/>
                <w:sz w:val="22"/>
              </w:rPr>
              <w:t xml:space="preserve"> </w:t>
            </w:r>
            <w:r>
              <w:rPr>
                <w:rFonts w:ascii="Tahoma" w:hAnsi="Tahoma"/>
                <w:sz w:val="22"/>
              </w:rPr>
              <w:t xml:space="preserve">(</w:t>
            </w:r>
            <w:hyperlink w:anchor="ref-hmrc_n700">
              <w:r>
                <w:rPr>
                  <w:rStyle w:val="Hyperlink"/>
                </w:rPr>
                <w:t xml:space="preserve">HMRC, 2026o, para. 16.2.1</w:t>
              </w:r>
            </w:hyperlink>
            <w:r>
              <w:rPr>
                <w:rFonts w:ascii="Tahoma" w:hAnsi="Tahoma"/>
                <w:sz w:val="22"/>
              </w:rPr>
              <w:t xml:space="preserve">)</w:t>
            </w:r>
            <w:r>
              <w:rPr>
                <w:rFonts w:ascii="Tahoma" w:hAnsi="Tahoma"/>
                <w:sz w:val="22"/>
              </w:rPr>
              <w:t xml:space="preserve">. COS claims should be supported by a valid VAT invoice for a supply made to the Department</w:t>
            </w:r>
            <w:r>
              <w:rPr>
                <w:rFonts w:ascii="Tahoma" w:hAnsi="Tahoma"/>
                <w:sz w:val="22"/>
              </w:rPr>
              <w:t xml:space="preserve"> </w:t>
            </w:r>
            <w:r>
              <w:rPr>
                <w:rFonts w:ascii="Tahoma" w:hAnsi="Tahoma"/>
                <w:sz w:val="22"/>
              </w:rPr>
              <w:t xml:space="preserve">(</w:t>
            </w:r>
            <w:hyperlink w:anchor="ref-gazette_2020">
              <w:r>
                <w:rPr>
                  <w:rStyle w:val="Hyperlink"/>
                </w:rPr>
                <w:t xml:space="preserve">HM Treasury, 2020b</w:t>
              </w:r>
            </w:hyperlink>
            <w:r>
              <w:rPr>
                <w:rFonts w:ascii="Tahoma" w:hAnsi="Tahoma"/>
                <w:sz w:val="22"/>
              </w:rPr>
              <w:t xml:space="preserve">;</w:t>
            </w:r>
            <w:r>
              <w:rPr>
                <w:rFonts w:ascii="Tahoma" w:hAnsi="Tahoma"/>
                <w:sz w:val="22"/>
              </w:rPr>
              <w:t xml:space="preserve"> </w:t>
            </w:r>
            <w:hyperlink w:anchor="ref-hmrc_vatgpb">
              <w:r>
                <w:rPr>
                  <w:rStyle w:val="Hyperlink"/>
                </w:rPr>
                <w:t xml:space="preserve">HMRC, 2026n, sec. VATGPB10670</w:t>
              </w:r>
            </w:hyperlink>
            <w:r>
              <w:rPr>
                <w:rFonts w:ascii="Tahoma" w:hAnsi="Tahoma"/>
                <w:sz w:val="22"/>
              </w:rPr>
              <w:t xml:space="preserve">)</w:t>
            </w:r>
            <w:r>
              <w:rPr>
                <w:rFonts w:ascii="Tahoma" w:hAnsi="Tahoma"/>
                <w:sz w:val="22"/>
              </w:rPr>
              <w:t xml:space="preserve">.</w:t>
            </w:r>
          </w:p>
        </w:tc>
      </w:tr>
      <w:tr>
        <w:trPr>
          <w:cantSplit w:val="true"/>
        </w:trPr>
        <w:tc>
          <w:tcPr>
            <w:tcW w:w="1926" w:type="dxa"/>
            <w:shd w:val="clear" w:color="auto" w:fill="EAF3FA"/>
          </w:tcPr>
          <w:p>
            <w:pPr>
              <w:pStyle w:val="Compact"/>
              <w:spacing w:after="40" w:before="40"/>
              <w:jc w:val="left"/>
            </w:pPr>
            <w:r>
              <w:rPr>
                <w:rFonts w:ascii="Tahoma" w:hAnsi="Tahoma"/>
                <w:b/>
                <w:bCs/>
                <w:sz w:val="22"/>
              </w:rPr>
              <w:t xml:space="preserve">Windsor Framework</w:t>
            </w:r>
          </w:p>
        </w:tc>
        <w:tc>
          <w:tcPr>
            <w:tcW w:w="7099" w:type="dxa"/>
            <w:shd w:val="clear" w:color="auto" w:fill="EAF3FA"/>
          </w:tcPr>
          <w:p>
            <w:pPr>
              <w:pStyle w:val="Compact"/>
              <w:spacing w:after="40" w:before="40"/>
              <w:jc w:val="left"/>
            </w:pPr>
            <w:r>
              <w:rPr>
                <w:rFonts w:ascii="Tahoma" w:hAnsi="Tahoma"/>
                <w:sz w:val="22"/>
              </w:rPr>
              <w:t xml:space="preserve">The UK–EU arrangement under which Northern Ireland follows EU VAT rules for goods; the UK law for this is in Schedules 9ZA and 9ZD to the Value Added Tax Act 1994</w:t>
            </w:r>
            <w:r>
              <w:rPr>
                <w:rFonts w:ascii="Tahoma" w:hAnsi="Tahoma"/>
                <w:sz w:val="22"/>
              </w:rPr>
              <w:t xml:space="preserve"> </w:t>
            </w:r>
            <w:r>
              <w:rPr>
                <w:rFonts w:ascii="Tahoma" w:hAnsi="Tahoma"/>
                <w:sz w:val="22"/>
              </w:rPr>
              <w:t xml:space="preserve">(</w:t>
            </w:r>
            <w:hyperlink w:anchor="ref-hmrc_ni_eu">
              <w:r>
                <w:rPr>
                  <w:rStyle w:val="Hyperlink"/>
                </w:rPr>
                <w:t xml:space="preserve">HMRC, 2026q, para. 1.4</w:t>
              </w:r>
            </w:hyperlink>
            <w:r>
              <w:rPr>
                <w:rFonts w:ascii="Tahoma" w:hAnsi="Tahoma"/>
                <w:sz w:val="22"/>
              </w:rPr>
              <w:t xml:space="preserve">)</w:t>
            </w:r>
            <w:r>
              <w:rPr>
                <w:rFonts w:ascii="Tahoma" w:hAnsi="Tahoma"/>
                <w:sz w:val="22"/>
              </w:rPr>
              <w:t xml:space="preserve">. VAT on goods moving between Northern Ireland and the EU is not collected at the border: the supplier zero-rates the sale and a VAT-registered customer accounts for</w:t>
            </w:r>
            <w:r>
              <w:rPr>
                <w:rFonts w:ascii="Tahoma" w:hAnsi="Tahoma"/>
                <w:sz w:val="22"/>
              </w:rPr>
              <w:t xml:space="preserve"> </w:t>
            </w:r>
            <w:r>
              <w:rPr>
                <w:rFonts w:ascii="Tahoma" w:hAnsi="Tahoma"/>
                <w:sz w:val="22"/>
              </w:rPr>
              <w:t xml:space="preserve">“</w:t>
            </w:r>
            <w:r>
              <w:rPr>
                <w:rFonts w:ascii="Tahoma" w:hAnsi="Tahoma"/>
                <w:sz w:val="22"/>
              </w:rPr>
              <w:t xml:space="preserve">acquisition</w:t>
            </w:r>
            <w:r>
              <w:rPr>
                <w:rFonts w:ascii="Tahoma" w:hAnsi="Tahoma"/>
                <w:sz w:val="22"/>
              </w:rPr>
              <w:t xml:space="preserve">”</w:t>
            </w:r>
            <w:r>
              <w:rPr>
                <w:rFonts w:ascii="Tahoma" w:hAnsi="Tahoma"/>
                <w:sz w:val="22"/>
              </w:rPr>
              <w:t xml:space="preserve"> </w:t>
            </w:r>
            <w:r>
              <w:rPr>
                <w:rFonts w:ascii="Tahoma" w:hAnsi="Tahoma"/>
                <w:sz w:val="22"/>
              </w:rPr>
              <w:t xml:space="preserve">VAT on its own return</w:t>
            </w:r>
            <w:r>
              <w:rPr>
                <w:rFonts w:ascii="Tahoma" w:hAnsi="Tahoma"/>
                <w:sz w:val="22"/>
              </w:rPr>
              <w:t xml:space="preserve"> </w:t>
            </w:r>
            <w:r>
              <w:rPr>
                <w:rFonts w:ascii="Tahoma" w:hAnsi="Tahoma"/>
                <w:sz w:val="22"/>
              </w:rPr>
              <w:t xml:space="preserve">(</w:t>
            </w:r>
            <w:hyperlink w:anchor="ref-hmrc_ni_eu">
              <w:r>
                <w:rPr>
                  <w:rStyle w:val="Hyperlink"/>
                </w:rPr>
                <w:t xml:space="preserve">HMRC, 2026q</w:t>
              </w:r>
            </w:hyperlink>
            <w:r>
              <w:rPr>
                <w:rFonts w:ascii="Tahoma" w:hAnsi="Tahoma"/>
                <w:sz w:val="22"/>
              </w:rPr>
              <w:t xml:space="preserve">, paras. 2.4 and 3.1)</w:t>
            </w:r>
            <w:r>
              <w:rPr>
                <w:rFonts w:ascii="Tahoma" w:hAnsi="Tahoma"/>
                <w:sz w:val="22"/>
              </w:rPr>
              <w:t xml:space="preserve">.</w:t>
            </w:r>
          </w:p>
        </w:tc>
      </w:tr>
      <w:tr>
        <w:trPr>
          <w:cantSplit w:val="true"/>
        </w:trPr>
        <w:tc>
          <w:tcPr>
            <w:tcW w:w="1926" w:type="dxa"/>
            <w:shd w:val="clear" w:color="auto" w:fill="FFFFFF"/>
          </w:tcPr>
          <w:p>
            <w:pPr>
              <w:pStyle w:val="Compact"/>
              <w:spacing w:after="40" w:before="40"/>
              <w:jc w:val="left"/>
            </w:pPr>
            <w:r>
              <w:rPr>
                <w:rFonts w:ascii="Tahoma" w:hAnsi="Tahoma"/>
                <w:b/>
                <w:bCs/>
                <w:sz w:val="22"/>
              </w:rPr>
              <w:t xml:space="preserve">Zero rate (zero-rated)</w:t>
            </w:r>
          </w:p>
        </w:tc>
        <w:tc>
          <w:tcPr>
            <w:tcW w:w="7099" w:type="dxa"/>
            <w:shd w:val="clear" w:color="auto" w:fill="FFFFFF"/>
          </w:tcPr>
          <w:p>
            <w:pPr>
              <w:pStyle w:val="Compact"/>
              <w:spacing w:after="40" w:before="40"/>
              <w:jc w:val="left"/>
            </w:pPr>
            <w:r>
              <w:rPr>
                <w:rFonts w:ascii="Tahoma" w:hAnsi="Tahoma"/>
                <w:sz w:val="22"/>
              </w:rPr>
              <w:t xml:space="preserve">A taxable supply charged at 0%, such as international passenger transport or goods exported with evidence</w:t>
            </w:r>
            <w:r>
              <w:rPr>
                <w:rFonts w:ascii="Tahoma" w:hAnsi="Tahoma"/>
                <w:sz w:val="22"/>
              </w:rPr>
              <w:t xml:space="preserve"> </w:t>
            </w:r>
            <w:r>
              <w:rPr>
                <w:rFonts w:ascii="Tahoma" w:hAnsi="Tahoma"/>
                <w:sz w:val="22"/>
              </w:rPr>
              <w:t xml:space="preserve">(</w:t>
            </w:r>
            <w:hyperlink w:anchor="ref-hmrc_n744a">
              <w:r>
                <w:rPr>
                  <w:rStyle w:val="Hyperlink"/>
                </w:rPr>
                <w:t xml:space="preserve">HMRC, 2022g, para. 3.2</w:t>
              </w:r>
            </w:hyperlink>
            <w:r>
              <w:rPr>
                <w:rFonts w:ascii="Tahoma" w:hAnsi="Tahoma"/>
                <w:sz w:val="22"/>
              </w:rPr>
              <w:t xml:space="preserve">;</w:t>
            </w:r>
            <w:r>
              <w:rPr>
                <w:rFonts w:ascii="Tahoma" w:hAnsi="Tahoma"/>
                <w:sz w:val="22"/>
              </w:rPr>
              <w:t xml:space="preserve"> </w:t>
            </w:r>
            <w:hyperlink w:anchor="ref-hmrc_n703">
              <w:r>
                <w:rPr>
                  <w:rStyle w:val="Hyperlink"/>
                </w:rPr>
                <w:t xml:space="preserve">2026p, para. 3.3</w:t>
              </w:r>
            </w:hyperlink>
            <w:r>
              <w:rPr>
                <w:rFonts w:ascii="Tahoma" w:hAnsi="Tahoma"/>
                <w:sz w:val="22"/>
              </w:rPr>
              <w:t xml:space="preserve">)</w:t>
            </w:r>
            <w:r>
              <w:rPr>
                <w:rFonts w:ascii="Tahoma" w:hAnsi="Tahoma"/>
                <w:sz w:val="22"/>
              </w:rPr>
              <w:t xml:space="preserve">. Zero-rated supplies are listed in Schedule 8 to the Value Added Tax Act 1994 (section 30). For example, £1,000 × 0% = £0 VAT. There is no VAT to refund, but the supplier can recover its input tax</w:t>
            </w:r>
            <w:r>
              <w:rPr>
                <w:rFonts w:ascii="Tahoma" w:hAnsi="Tahoma"/>
                <w:sz w:val="22"/>
              </w:rPr>
              <w:t xml:space="preserve"> </w:t>
            </w:r>
            <w:r>
              <w:rPr>
                <w:rFonts w:ascii="Tahoma" w:hAnsi="Tahoma"/>
                <w:sz w:val="22"/>
              </w:rPr>
              <w:t xml:space="preserve">(</w:t>
            </w:r>
            <w:hyperlink w:anchor="ref-hmrc_n700">
              <w:r>
                <w:rPr>
                  <w:rStyle w:val="Hyperlink"/>
                </w:rPr>
                <w:t xml:space="preserve">HMRC, 2026o, para. 3.5</w:t>
              </w:r>
            </w:hyperlink>
            <w:r>
              <w:rPr>
                <w:rFonts w:ascii="Tahoma" w:hAnsi="Tahoma"/>
                <w:sz w:val="22"/>
              </w:rPr>
              <w:t xml:space="preserve">)</w:t>
            </w:r>
            <w:r>
              <w:rPr>
                <w:rFonts w:ascii="Tahoma" w:hAnsi="Tahoma"/>
                <w:sz w:val="22"/>
              </w:rPr>
              <w:t xml:space="preserve">.</w:t>
            </w:r>
          </w:p>
        </w:tc>
      </w:tr>
    </w:tbl>
    <w:bookmarkEnd w:id="341"/>
    <w:bookmarkStart w:id="342" w:name="X370c6c4e2891220b0018b7ecdf7867799eb5fd2"/>
    <w:p>
      <w:pPr>
        <w:pStyle w:val="Heading2"/>
      </w:pPr>
      <w:r>
        <w:t xml:space="preserve">Appendix B: Points this guide could not confirm</w:t>
      </w:r>
    </w:p>
    <w:p>
      <w:pPr>
        <w:pStyle w:val="FirstParagraph"/>
      </w:pPr>
      <w:r>
        <w:t xml:space="preserve">These are flagged in the text. Check them with HMRC before relying on them.</w:t>
      </w:r>
    </w:p>
    <w:p>
      <w:pPr>
        <w:pStyle w:val="Compact"/>
        <w:numPr>
          <w:ilvl w:val="0"/>
          <w:numId w:val="1614"/>
        </w:numPr>
      </w:pPr>
      <w:r>
        <w:rPr>
          <w:b/>
          <w:bCs/>
        </w:rPr>
        <w:t xml:space="preserve">Other editions of the 2020 Direction.</w:t>
      </w:r>
      <w:r>
        <w:t xml:space="preserve"> </w:t>
      </w:r>
      <w:r>
        <w:t xml:space="preserve">HMRC says Directions are published in the London, Edinburgh and Belfast Gazettes</w:t>
      </w:r>
      <w:r>
        <w:t xml:space="preserve"> </w:t>
      </w:r>
      <w:r>
        <w:t xml:space="preserve">(</w:t>
      </w:r>
      <w:hyperlink w:anchor="ref-hmrc_vatgpb">
        <w:r>
          <w:rPr>
            <w:rStyle w:val="Hyperlink"/>
          </w:rPr>
          <w:t xml:space="preserve">HMRC, 2026n, sec. VATGPB9340</w:t>
        </w:r>
      </w:hyperlink>
      <w:r>
        <w:t xml:space="preserve">)</w:t>
      </w:r>
      <w:r>
        <w:t xml:space="preserve">. Only the London Gazette notice (3665219) was found</w:t>
      </w:r>
      <w:r>
        <w:t xml:space="preserve"> </w:t>
      </w:r>
      <w:r>
        <w:t xml:space="preserve">(</w:t>
      </w:r>
      <w:hyperlink w:anchor="ref-gazette_2020">
        <w:r>
          <w:rPr>
            <w:rStyle w:val="Hyperlink"/>
          </w:rPr>
          <w:t xml:space="preserve">HM Treasury, 2020b</w:t>
        </w:r>
      </w:hyperlink>
      <w:r>
        <w:t xml:space="preserve">)</w:t>
      </w:r>
      <w:r>
        <w:t xml:space="preserve">.</w:t>
      </w:r>
    </w:p>
    <w:p>
      <w:pPr>
        <w:pStyle w:val="Compact"/>
        <w:numPr>
          <w:ilvl w:val="0"/>
          <w:numId w:val="1614"/>
        </w:numPr>
      </w:pPr>
      <w:r>
        <w:rPr>
          <w:b/>
          <w:bCs/>
        </w:rPr>
        <w:t xml:space="preserve">Later Directions.</w:t>
      </w:r>
      <w:r>
        <w:t xml:space="preserve"> </w:t>
      </w:r>
      <w:r>
        <w:t xml:space="preserve">No Direction or amendment after 30 October 2020 was found in a Gazette search or in HMRC’s change notes. A notice worded very differently could have been missed.</w:t>
      </w:r>
    </w:p>
    <w:p>
      <w:pPr>
        <w:pStyle w:val="Compact"/>
        <w:numPr>
          <w:ilvl w:val="0"/>
          <w:numId w:val="1614"/>
        </w:numPr>
      </w:pPr>
      <w:r>
        <w:rPr>
          <w:b/>
          <w:bCs/>
        </w:rPr>
        <w:t xml:space="preserve">Which headings are new.</w:t>
      </w:r>
      <w:r>
        <w:t xml:space="preserve"> </w:t>
      </w:r>
      <w:r>
        <w:t xml:space="preserve">HMRC says six headings were added by the 2020 Direction but does not say which</w:t>
      </w:r>
      <w:r>
        <w:t xml:space="preserve"> </w:t>
      </w:r>
      <w:r>
        <w:t xml:space="preserve">(</w:t>
      </w:r>
      <w:hyperlink w:anchor="ref-hmrc_vatgpb">
        <w:r>
          <w:rPr>
            <w:rStyle w:val="Hyperlink"/>
          </w:rPr>
          <w:t xml:space="preserve">HMRC, 2026n</w:t>
        </w:r>
      </w:hyperlink>
      <w:r>
        <w:t xml:space="preserve">, change note of 17 February 2021)</w:t>
      </w:r>
      <w:r>
        <w:t xml:space="preserve">.</w:t>
      </w:r>
    </w:p>
    <w:p>
      <w:pPr>
        <w:pStyle w:val="Compact"/>
        <w:numPr>
          <w:ilvl w:val="0"/>
          <w:numId w:val="1614"/>
        </w:numPr>
      </w:pPr>
      <w:r>
        <w:rPr>
          <w:b/>
          <w:bCs/>
        </w:rPr>
        <w:t xml:space="preserve">The</w:t>
      </w:r>
      <w:r>
        <w:rPr>
          <w:b/>
          <w:bCs/>
        </w:rPr>
        <w:t xml:space="preserve"> </w:t>
      </w:r>
      <w:r>
        <w:rPr>
          <w:b/>
          <w:bCs/>
        </w:rPr>
        <w:t xml:space="preserve">“</w:t>
      </w:r>
      <w:r>
        <w:rPr>
          <w:b/>
          <w:bCs/>
        </w:rPr>
        <w:t xml:space="preserve">June VAT return</w:t>
      </w:r>
      <w:r>
        <w:rPr>
          <w:b/>
          <w:bCs/>
        </w:rPr>
        <w:t xml:space="preserve">”</w:t>
      </w:r>
      <w:r>
        <w:rPr>
          <w:b/>
          <w:bCs/>
        </w:rPr>
        <w:t xml:space="preserve">.</w:t>
      </w:r>
      <w:r>
        <w:t xml:space="preserve"> </w:t>
      </w:r>
      <w:r>
        <w:t xml:space="preserve">HMRC does not define whether this is the return for the period ending in June or a return filed in June</w:t>
      </w:r>
      <w:r>
        <w:t xml:space="preserve"> </w:t>
      </w:r>
      <w:r>
        <w:t xml:space="preserve">(</w:t>
      </w:r>
      <w:hyperlink w:anchor="ref-hmrc_vatgpb">
        <w:r>
          <w:rPr>
            <w:rStyle w:val="Hyperlink"/>
          </w:rPr>
          <w:t xml:space="preserve">HMRC, 2026n, sec. VATGPB9720</w:t>
        </w:r>
      </w:hyperlink>
      <w:r>
        <w:t xml:space="preserve">)</w:t>
      </w:r>
      <w:r>
        <w:t xml:space="preserve">.</w:t>
      </w:r>
    </w:p>
    <w:p>
      <w:pPr>
        <w:pStyle w:val="Compact"/>
        <w:numPr>
          <w:ilvl w:val="0"/>
          <w:numId w:val="1614"/>
        </w:numPr>
      </w:pPr>
      <w:r>
        <w:rPr>
          <w:b/>
          <w:bCs/>
        </w:rPr>
        <w:t xml:space="preserve">Invoices addressed to the claiming body.</w:t>
      </w:r>
      <w:r>
        <w:t xml:space="preserve"> </w:t>
      </w:r>
      <w:r>
        <w:t xml:space="preserve">HMRC states this requirement in terms only for section 33 bodies</w:t>
      </w:r>
      <w:r>
        <w:t xml:space="preserve"> </w:t>
      </w:r>
      <w:r>
        <w:t xml:space="preserve">(</w:t>
      </w:r>
      <w:hyperlink w:anchor="ref-hmrc_vatgpb">
        <w:r>
          <w:rPr>
            <w:rStyle w:val="Hyperlink"/>
          </w:rPr>
          <w:t xml:space="preserve">HMRC, 2026n, sec. VATGPB4415</w:t>
        </w:r>
      </w:hyperlink>
      <w:r>
        <w:t xml:space="preserve">)</w:t>
      </w:r>
      <w:r>
        <w:t xml:space="preserve">.</w:t>
      </w:r>
    </w:p>
    <w:p>
      <w:pPr>
        <w:pStyle w:val="Compact"/>
        <w:numPr>
          <w:ilvl w:val="0"/>
          <w:numId w:val="1614"/>
        </w:numPr>
      </w:pPr>
      <w:r>
        <w:rPr>
          <w:b/>
          <w:bCs/>
        </w:rPr>
        <w:t xml:space="preserve">Foreign VAT.</w:t>
      </w:r>
      <w:r>
        <w:t xml:space="preserve"> </w:t>
      </w:r>
      <w:r>
        <w:t xml:space="preserve">That it is outside section 41(3) rests on the wording of the Act (Value Added Tax Act 1994, ss. 1 and 41(3)). No HMRC COS page addresses it.</w:t>
      </w:r>
    </w:p>
    <w:p>
      <w:pPr>
        <w:pStyle w:val="Compact"/>
        <w:numPr>
          <w:ilvl w:val="0"/>
          <w:numId w:val="1614"/>
        </w:numPr>
      </w:pPr>
      <w:r>
        <w:rPr>
          <w:b/>
          <w:bCs/>
        </w:rPr>
        <w:t xml:space="preserve">Specific purchases on which HMRC is silent:</w:t>
      </w:r>
    </w:p>
    <w:p>
      <w:pPr>
        <w:pStyle w:val="Compact"/>
        <w:numPr>
          <w:ilvl w:val="1"/>
          <w:numId w:val="1615"/>
        </w:numPr>
      </w:pPr>
      <w:r>
        <w:t xml:space="preserve">visa-handling fees under Heading 67</w:t>
      </w:r>
      <w:r>
        <w:t xml:space="preserve"> </w:t>
      </w:r>
      <w:r>
        <w:t xml:space="preserve">(</w:t>
      </w:r>
      <w:hyperlink w:anchor="ref-hmrc_vatgpb">
        <w:r>
          <w:rPr>
            <w:rStyle w:val="Hyperlink"/>
          </w:rPr>
          <w:t xml:space="preserve">HMRC, 2026n, sec. VATGPB11070</w:t>
        </w:r>
      </w:hyperlink>
      <w:r>
        <w:t xml:space="preserve">)</w:t>
      </w:r>
      <w:r>
        <w:t xml:space="preserve">;</w:t>
      </w:r>
    </w:p>
    <w:p>
      <w:pPr>
        <w:pStyle w:val="Compact"/>
        <w:numPr>
          <w:ilvl w:val="1"/>
          <w:numId w:val="1615"/>
        </w:numPr>
      </w:pPr>
      <w:r>
        <w:t xml:space="preserve">Heading 15 for conferences held abroad</w:t>
      </w:r>
      <w:r>
        <w:t xml:space="preserve"> </w:t>
      </w:r>
      <w:r>
        <w:t xml:space="preserve">(</w:t>
      </w:r>
      <w:hyperlink w:anchor="ref-hmrc_vatgpb">
        <w:r>
          <w:rPr>
            <w:rStyle w:val="Hyperlink"/>
          </w:rPr>
          <w:t xml:space="preserve">HMRC, 2026n, sec. VATGPB10030</w:t>
        </w:r>
      </w:hyperlink>
      <w:r>
        <w:t xml:space="preserve">)</w:t>
      </w:r>
      <w:r>
        <w:t xml:space="preserve">;</w:t>
      </w:r>
    </w:p>
    <w:p>
      <w:pPr>
        <w:pStyle w:val="Compact"/>
        <w:numPr>
          <w:ilvl w:val="1"/>
          <w:numId w:val="1615"/>
        </w:numPr>
      </w:pPr>
      <w:r>
        <w:t xml:space="preserve">the split of international removals between zero-rated elements (Value Added Tax Act 1994, Sch. 8, Group 8) and standard-rated elements</w:t>
      </w:r>
      <w:r>
        <w:t xml:space="preserve"> </w:t>
      </w:r>
      <w:r>
        <w:t xml:space="preserve">(</w:t>
      </w:r>
      <w:hyperlink w:anchor="ref-hmrc_vatgpb">
        <w:r>
          <w:rPr>
            <w:rStyle w:val="Hyperlink"/>
          </w:rPr>
          <w:t xml:space="preserve">HMRC, 2026n, sec. VATGPB10870</w:t>
        </w:r>
      </w:hyperlink>
      <w:r>
        <w:t xml:space="preserve">)</w:t>
      </w:r>
      <w:r>
        <w:t xml:space="preserve">;</w:t>
      </w:r>
    </w:p>
    <w:p>
      <w:pPr>
        <w:pStyle w:val="Compact"/>
        <w:numPr>
          <w:ilvl w:val="1"/>
          <w:numId w:val="1615"/>
        </w:numPr>
      </w:pPr>
      <w:r>
        <w:t xml:space="preserve">Heading 65 for training overseas officials</w:t>
      </w:r>
      <w:r>
        <w:t xml:space="preserve"> </w:t>
      </w:r>
      <w:r>
        <w:t xml:space="preserve">(</w:t>
      </w:r>
      <w:hyperlink w:anchor="ref-hmrc_vatgpb">
        <w:r>
          <w:rPr>
            <w:rStyle w:val="Hyperlink"/>
          </w:rPr>
          <w:t xml:space="preserve">HMRC, 2026n, sec. VATGPB11030</w:t>
        </w:r>
      </w:hyperlink>
      <w:r>
        <w:t xml:space="preserve">)</w:t>
      </w:r>
      <w:r>
        <w:t xml:space="preserve">;</w:t>
      </w:r>
    </w:p>
    <w:p>
      <w:pPr>
        <w:pStyle w:val="Compact"/>
        <w:numPr>
          <w:ilvl w:val="1"/>
          <w:numId w:val="1615"/>
        </w:numPr>
      </w:pPr>
      <w:r>
        <w:t xml:space="preserve">whether HMRC’s FCDO aid treatment, which treats the overseas government as the recipient, extends to other departments’ programmes</w:t>
      </w:r>
      <w:r>
        <w:t xml:space="preserve"> </w:t>
      </w:r>
      <w:r>
        <w:t xml:space="preserve">(</w:t>
      </w:r>
      <w:hyperlink w:anchor="ref-hmrc_vatgpb">
        <w:r>
          <w:rPr>
            <w:rStyle w:val="Hyperlink"/>
          </w:rPr>
          <w:t xml:space="preserve">HMRC, 2026n, sec. VATGPB9500</w:t>
        </w:r>
      </w:hyperlink>
      <w:r>
        <w:t xml:space="preserve">)</w:t>
      </w:r>
      <w:r>
        <w:t xml:space="preserve">;</w:t>
      </w:r>
    </w:p>
    <w:p>
      <w:pPr>
        <w:pStyle w:val="Compact"/>
        <w:numPr>
          <w:ilvl w:val="1"/>
          <w:numId w:val="1615"/>
        </w:numPr>
      </w:pPr>
      <w:r>
        <w:t xml:space="preserve">who Heading 22 (export intelligence services) is aimed at</w:t>
      </w:r>
      <w:r>
        <w:t xml:space="preserve"> </w:t>
      </w:r>
      <w:r>
        <w:t xml:space="preserve">(</w:t>
      </w:r>
      <w:hyperlink w:anchor="ref-hmrc_vatgpb">
        <w:r>
          <w:rPr>
            <w:rStyle w:val="Hyperlink"/>
          </w:rPr>
          <w:t xml:space="preserve">HMRC, 2026n, sec. VATGPB10170</w:t>
        </w:r>
      </w:hyperlink>
      <w:r>
        <w:t xml:space="preserve">)</w:t>
      </w:r>
      <w:r>
        <w:t xml:space="preserve">;</w:t>
      </w:r>
    </w:p>
    <w:p>
      <w:pPr>
        <w:pStyle w:val="Compact"/>
        <w:numPr>
          <w:ilvl w:val="1"/>
          <w:numId w:val="1615"/>
        </w:numPr>
      </w:pPr>
      <w:r>
        <w:t xml:space="preserve">how Heading 79 applies</w:t>
      </w:r>
      <w:r>
        <w:t xml:space="preserve"> </w:t>
      </w:r>
      <w:r>
        <w:t xml:space="preserve">(</w:t>
      </w:r>
      <w:hyperlink w:anchor="ref-hmrc_vatgpb">
        <w:r>
          <w:rPr>
            <w:rStyle w:val="Hyperlink"/>
          </w:rPr>
          <w:t xml:space="preserve">HMRC, 2026n, sec. VATGPB11310</w:t>
        </w:r>
      </w:hyperlink>
      <w:r>
        <w:t xml:space="preserve">)</w:t>
      </w:r>
      <w:r>
        <w:t xml:space="preserve"> </w:t>
      </w:r>
      <w:r>
        <w:t xml:space="preserve">after the Department for International Trade’s functions moved to the Department for Business and Trade (SI 2023/424, art. 12).</w:t>
      </w:r>
    </w:p>
    <w:p>
      <w:pPr>
        <w:pStyle w:val="Compact"/>
        <w:numPr>
          <w:ilvl w:val="0"/>
          <w:numId w:val="1614"/>
        </w:numPr>
      </w:pPr>
      <w:r>
        <w:rPr>
          <w:b/>
          <w:bCs/>
        </w:rPr>
        <w:t xml:space="preserve">Goods.</w:t>
      </w:r>
      <w:r>
        <w:t xml:space="preserve"> </w:t>
      </w:r>
      <w:r>
        <w:t xml:space="preserve">How paragraph 2(c) of the Direction (</w:t>
      </w:r>
      <w:r>
        <w:t xml:space="preserve">“</w:t>
      </w:r>
      <w:r>
        <w:t xml:space="preserve">goods closely related</w:t>
      </w:r>
      <w:r>
        <w:t xml:space="preserve">”</w:t>
      </w:r>
      <w:r>
        <w:t xml:space="preserve">) fits with HMRC’s statement that goods are recoverable only under Heading 82 is this guide’s reading, not HMRC’s</w:t>
      </w:r>
      <w:r>
        <w:t xml:space="preserve"> </w:t>
      </w:r>
      <w:r>
        <w:t xml:space="preserve">(</w:t>
      </w:r>
      <w:hyperlink w:anchor="ref-gazette_2020">
        <w:r>
          <w:rPr>
            <w:rStyle w:val="Hyperlink"/>
          </w:rPr>
          <w:t xml:space="preserve">HM Treasury, 2020b, para. 2(c)</w:t>
        </w:r>
      </w:hyperlink>
      <w:r>
        <w:t xml:space="preserve">;</w:t>
      </w:r>
      <w:r>
        <w:t xml:space="preserve"> </w:t>
      </w:r>
      <w:hyperlink w:anchor="ref-hmrc_vatgpb">
        <w:r>
          <w:rPr>
            <w:rStyle w:val="Hyperlink"/>
          </w:rPr>
          <w:t xml:space="preserve">HMRC, 2026n, sec. VATGPB11370</w:t>
        </w:r>
      </w:hyperlink>
      <w:r>
        <w:t xml:space="preserve">)</w:t>
      </w:r>
      <w:r>
        <w:t xml:space="preserve">.</w:t>
      </w:r>
    </w:p>
    <w:p>
      <w:pPr>
        <w:pStyle w:val="Compact"/>
        <w:numPr>
          <w:ilvl w:val="0"/>
          <w:numId w:val="1614"/>
        </w:numPr>
      </w:pPr>
      <w:r>
        <w:rPr>
          <w:b/>
          <w:bCs/>
        </w:rPr>
        <w:t xml:space="preserve">Full Refund Model.</w:t>
      </w:r>
      <w:r>
        <w:t xml:space="preserve"> </w:t>
      </w:r>
      <w:r>
        <w:t xml:space="preserve">No government decision after July 2021 was found</w:t>
      </w:r>
      <w:r>
        <w:t xml:space="preserve"> </w:t>
      </w:r>
      <w:r>
        <w:t xml:space="preserve">(</w:t>
      </w:r>
      <w:hyperlink w:anchor="ref-hmt_s41_response_2021">
        <w:r>
          <w:rPr>
            <w:rStyle w:val="Hyperlink"/>
          </w:rPr>
          <w:t xml:space="preserve">HM Treasury, 2021</w:t>
        </w:r>
      </w:hyperlink>
      <w:r>
        <w:t xml:space="preserve">)</w:t>
      </w:r>
      <w:r>
        <w:t xml:space="preserve">.</w:t>
      </w:r>
    </w:p>
    <w:p>
      <w:pPr>
        <w:pStyle w:val="Compact"/>
        <w:numPr>
          <w:ilvl w:val="0"/>
          <w:numId w:val="1614"/>
        </w:numPr>
      </w:pPr>
      <w:r>
        <w:rPr>
          <w:b/>
          <w:bCs/>
        </w:rPr>
        <w:t xml:space="preserve">Defence as non-business.</w:t>
      </w:r>
      <w:r>
        <w:t xml:space="preserve"> </w:t>
      </w:r>
      <w:r>
        <w:t xml:space="preserve">No HMRC manual page, notice or court judgment was found that names national defence as a non-business activity. Part 2’s conclusion applies HMRC’s general business test and its public body guidance</w:t>
      </w:r>
      <w:r>
        <w:t xml:space="preserve"> </w:t>
      </w:r>
      <w:r>
        <w:t xml:space="preserve">(</w:t>
      </w:r>
      <w:hyperlink w:anchor="ref-hmrc_vatbus">
        <w:r>
          <w:rPr>
            <w:rStyle w:val="Hyperlink"/>
          </w:rPr>
          <w:t xml:space="preserve">HMRC, 2024f, sec. VBNB30200</w:t>
        </w:r>
      </w:hyperlink>
      <w:r>
        <w:t xml:space="preserve">;</w:t>
      </w:r>
      <w:r>
        <w:t xml:space="preserve"> </w:t>
      </w:r>
      <w:hyperlink w:anchor="ref-hmrc_vatgpb">
        <w:r>
          <w:rPr>
            <w:rStyle w:val="Hyperlink"/>
          </w:rPr>
          <w:t xml:space="preserve">2026n, sec. VATGPB2200</w:t>
        </w:r>
      </w:hyperlink>
      <w:r>
        <w:t xml:space="preserve">)</w:t>
      </w:r>
      <w:r>
        <w:t xml:space="preserve">.</w:t>
      </w:r>
    </w:p>
    <w:p>
      <w:pPr>
        <w:pStyle w:val="Compact"/>
        <w:numPr>
          <w:ilvl w:val="0"/>
          <w:numId w:val="1614"/>
        </w:numPr>
      </w:pPr>
      <w:r>
        <w:rPr>
          <w:b/>
          <w:bCs/>
        </w:rPr>
        <w:t xml:space="preserve">Government-to-government (G2G) defence sales.</w:t>
      </w:r>
      <w:r>
        <w:t xml:space="preserve"> </w:t>
      </w:r>
      <w:r>
        <w:t xml:space="preserve">No published HMRC source was found on how a specific UK G2G defence arrangement is treated. Part 2 marks this</w:t>
      </w:r>
      <w:r>
        <w:t xml:space="preserve"> </w:t>
      </w:r>
      <w:r>
        <w:t xml:space="preserve">“</w:t>
      </w:r>
      <w:r>
        <w:t xml:space="preserve">Check first</w:t>
      </w:r>
      <w:r>
        <w:t xml:space="preserve">”</w:t>
      </w:r>
      <w:r>
        <w:t xml:space="preserve">.</w:t>
      </w:r>
    </w:p>
    <w:p>
      <w:pPr>
        <w:pStyle w:val="Compact"/>
        <w:numPr>
          <w:ilvl w:val="0"/>
          <w:numId w:val="1614"/>
        </w:numPr>
      </w:pPr>
      <w:r>
        <w:rPr>
          <w:b/>
          <w:bCs/>
        </w:rPr>
        <w:t xml:space="preserve">Contributions to joint international projects.</w:t>
      </w:r>
      <w:r>
        <w:t xml:space="preserve"> </w:t>
      </w:r>
      <w:r>
        <w:t xml:space="preserve">Whether a contribution is consideration for a supply depends on the agreement. Outside the ICDP zero-rating list, HMRC gives no general answer</w:t>
      </w:r>
      <w:r>
        <w:t xml:space="preserve"> </w:t>
      </w:r>
      <w:r>
        <w:t xml:space="preserve">(</w:t>
      </w:r>
      <w:hyperlink w:anchor="ref-hmrc_vatgpb">
        <w:r>
          <w:rPr>
            <w:rStyle w:val="Hyperlink"/>
          </w:rPr>
          <w:t xml:space="preserve">HMRC, 2026n, sec. VATGPB9500</w:t>
        </w:r>
      </w:hyperlink>
      <w:r>
        <w:t xml:space="preserve">)</w:t>
      </w:r>
      <w:r>
        <w:t xml:space="preserve">.</w:t>
      </w:r>
    </w:p>
    <w:p>
      <w:pPr>
        <w:pStyle w:val="Compact"/>
        <w:numPr>
          <w:ilvl w:val="0"/>
          <w:numId w:val="1614"/>
        </w:numPr>
      </w:pPr>
      <w:r>
        <w:rPr>
          <w:b/>
          <w:bCs/>
        </w:rPr>
        <w:t xml:space="preserve">Visiting forces.</w:t>
      </w:r>
      <w:r>
        <w:t xml:space="preserve"> </w:t>
      </w:r>
      <w:r>
        <w:t xml:space="preserve">VAT Notice 431 is written for VAT-registered businesses supplying visiting forces. It does not say whether a government department supplying a visiting force can use the relief</w:t>
      </w:r>
      <w:r>
        <w:t xml:space="preserve"> </w:t>
      </w:r>
      <w:r>
        <w:t xml:space="preserve">(</w:t>
      </w:r>
      <w:hyperlink w:anchor="ref-hmrc_n431">
        <w:r>
          <w:rPr>
            <w:rStyle w:val="Hyperlink"/>
          </w:rPr>
          <w:t xml:space="preserve">HMRC, 2020e</w:t>
        </w:r>
      </w:hyperlink>
      <w:r>
        <w:t xml:space="preserve">)</w:t>
      </w:r>
      <w:r>
        <w:t xml:space="preserve">.</w:t>
      </w:r>
    </w:p>
    <w:bookmarkEnd w:id="342"/>
    <w:bookmarkStart w:id="484" w:name="reference-list"/>
    <w:p>
      <w:pPr>
        <w:pStyle w:val="Heading2"/>
      </w:pPr>
      <w:r>
        <w:t xml:space="preserve">Reference list</w:t>
      </w:r>
    </w:p>
    <w:p>
      <w:pPr>
        <w:pStyle w:val="FirstParagraph"/>
      </w:pPr>
      <w:r>
        <w:t xml:space="preserve">All online sources were accessed on 9 October 2026. For GOV.UK pages the year is the year the page was last updated.</w:t>
      </w:r>
      <w:r>
        <w:t xml:space="preserve"> </w:t>
      </w:r>
      <w:r>
        <w:t xml:space="preserve">“</w:t>
      </w:r>
      <w:r>
        <w:t xml:space="preserve">HMRC</w:t>
      </w:r>
      <w:r>
        <w:t xml:space="preserve">”</w:t>
      </w:r>
      <w:r>
        <w:t xml:space="preserve"> </w:t>
      </w:r>
      <w:r>
        <w:t xml:space="preserve">is HM Revenue and Customs.</w:t>
      </w:r>
    </w:p>
    <w:bookmarkStart w:id="483" w:name="refs"/>
    <w:bookmarkStart w:id="344" w:name="ref-govuk_import_goods"/>
    <w:p>
      <w:pPr>
        <w:pStyle w:val="Bibliography"/>
      </w:pPr>
      <w:r>
        <w:t xml:space="preserve">GOV.UK (2026)</w:t>
      </w:r>
      <w:r>
        <w:t xml:space="preserve"> </w:t>
      </w:r>
      <w:r>
        <w:rPr>
          <w:i/>
          <w:iCs/>
        </w:rPr>
        <w:t xml:space="preserve">Import goods into the UK: step by step</w:t>
      </w:r>
      <w:r>
        <w:t xml:space="preserve">. Available at:</w:t>
      </w:r>
      <w:r>
        <w:t xml:space="preserve"> </w:t>
      </w:r>
      <w:hyperlink r:id="rId343">
        <w:r>
          <w:rPr>
            <w:rStyle w:val="Hyperlink"/>
          </w:rPr>
          <w:t xml:space="preserve">https://www.gov.uk/import-goods-into-uk</w:t>
        </w:r>
      </w:hyperlink>
      <w:r>
        <w:t xml:space="preserve"> </w:t>
      </w:r>
      <w:r>
        <w:t xml:space="preserve">(Accessed: 9 October 2026).</w:t>
      </w:r>
    </w:p>
    <w:bookmarkEnd w:id="344"/>
    <w:bookmarkStart w:id="346" w:name="ref-gazette_2008"/>
    <w:p>
      <w:pPr>
        <w:pStyle w:val="Bibliography"/>
      </w:pPr>
      <w:r>
        <w:t xml:space="preserve">HM Treasury (2008)</w:t>
      </w:r>
      <w:r>
        <w:t xml:space="preserve"> </w:t>
      </w:r>
      <w:r>
        <w:t xml:space="preserve">‘Value Added Tax: Treasury (Taxing) Directions under section 41 of the Value Added Tax Act 1994’</w:t>
      </w:r>
      <w:r>
        <w:t xml:space="preserve">,</w:t>
      </w:r>
      <w:r>
        <w:t xml:space="preserve"> </w:t>
      </w:r>
      <w:r>
        <w:rPr>
          <w:i/>
          <w:iCs/>
        </w:rPr>
        <w:t xml:space="preserve">The London Gazette</w:t>
      </w:r>
      <w:r>
        <w:t xml:space="preserve">, 10 November. Available at:</w:t>
      </w:r>
      <w:r>
        <w:t xml:space="preserve"> </w:t>
      </w:r>
      <w:hyperlink r:id="rId345">
        <w:r>
          <w:rPr>
            <w:rStyle w:val="Hyperlink"/>
          </w:rPr>
          <w:t xml:space="preserve">https://www.thegazette.co.uk/notice/L-58877-658006</w:t>
        </w:r>
      </w:hyperlink>
      <w:r>
        <w:t xml:space="preserve"> </w:t>
      </w:r>
      <w:r>
        <w:t xml:space="preserve">(Accessed: 9 October 2026).</w:t>
      </w:r>
    </w:p>
    <w:bookmarkEnd w:id="346"/>
    <w:bookmarkStart w:id="348" w:name="ref-hmt_s41_paper_2020"/>
    <w:p>
      <w:pPr>
        <w:pStyle w:val="Bibliography"/>
      </w:pPr>
      <w:r>
        <w:t xml:space="preserve">HM Treasury (2020a)</w:t>
      </w:r>
      <w:r>
        <w:t xml:space="preserve"> </w:t>
      </w:r>
      <w:r>
        <w:rPr>
          <w:i/>
          <w:iCs/>
        </w:rPr>
        <w:t xml:space="preserve">Section 41 policy paper</w:t>
      </w:r>
      <w:r>
        <w:t xml:space="preserve">. Available at:</w:t>
      </w:r>
      <w:r>
        <w:t xml:space="preserve"> </w:t>
      </w:r>
      <w:hyperlink r:id="rId347">
        <w:r>
          <w:rPr>
            <w:rStyle w:val="Hyperlink"/>
          </w:rPr>
          <w:t xml:space="preserve">https://assets.publishing.service.gov.uk/media/5f47b17d8fa8f5362a8277d0/20200824-_Section_41_Policy_Paper_for_publication_Aug_2020.pdf</w:t>
        </w:r>
      </w:hyperlink>
      <w:r>
        <w:t xml:space="preserve"> </w:t>
      </w:r>
      <w:r>
        <w:t xml:space="preserve">(Accessed: 9 October 2026).</w:t>
      </w:r>
    </w:p>
    <w:bookmarkEnd w:id="348"/>
    <w:bookmarkStart w:id="350" w:name="ref-gazette_2020"/>
    <w:p>
      <w:pPr>
        <w:pStyle w:val="Bibliography"/>
      </w:pPr>
      <w:r>
        <w:t xml:space="preserve">HM Treasury (2020b)</w:t>
      </w:r>
      <w:r>
        <w:t xml:space="preserve"> </w:t>
      </w:r>
      <w:r>
        <w:t xml:space="preserve">‘Value Added Tax: Treasury Direction under sections 33E and 41(3) of the Value Added Tax Act 1994’</w:t>
      </w:r>
      <w:r>
        <w:t xml:space="preserve">,</w:t>
      </w:r>
      <w:r>
        <w:t xml:space="preserve"> </w:t>
      </w:r>
      <w:r>
        <w:rPr>
          <w:i/>
          <w:iCs/>
        </w:rPr>
        <w:t xml:space="preserve">The London Gazette</w:t>
      </w:r>
      <w:r>
        <w:t xml:space="preserve">, 30 October. Available at:</w:t>
      </w:r>
      <w:r>
        <w:t xml:space="preserve"> </w:t>
      </w:r>
      <w:hyperlink r:id="rId349">
        <w:r>
          <w:rPr>
            <w:rStyle w:val="Hyperlink"/>
          </w:rPr>
          <w:t xml:space="preserve">https://www.thegazette.co.uk/notice/3665219</w:t>
        </w:r>
      </w:hyperlink>
      <w:r>
        <w:t xml:space="preserve"> </w:t>
      </w:r>
      <w:r>
        <w:t xml:space="preserve">(Accessed: 9 October 2026).</w:t>
      </w:r>
    </w:p>
    <w:bookmarkEnd w:id="350"/>
    <w:bookmarkStart w:id="352" w:name="ref-hmt_s41_response_2021"/>
    <w:p>
      <w:pPr>
        <w:pStyle w:val="Bibliography"/>
      </w:pPr>
      <w:r>
        <w:t xml:space="preserve">HM Treasury (2021)</w:t>
      </w:r>
      <w:r>
        <w:t xml:space="preserve"> </w:t>
      </w:r>
      <w:r>
        <w:rPr>
          <w:i/>
          <w:iCs/>
        </w:rPr>
        <w:t xml:space="preserve">VAT and the public sector: reform to VAT refund rules. Summary of responses</w:t>
      </w:r>
      <w:r>
        <w:t xml:space="preserve">. Available at:</w:t>
      </w:r>
      <w:r>
        <w:t xml:space="preserve"> </w:t>
      </w:r>
      <w:hyperlink r:id="rId351">
        <w:r>
          <w:rPr>
            <w:rStyle w:val="Hyperlink"/>
          </w:rPr>
          <w:t xml:space="preserve">https://assets.publishing.service.gov.uk/media/60f827c0e90e0764c9ee47af/210611_section_41_policy_paper_response_first_draft_v.16__002_.pdf</w:t>
        </w:r>
      </w:hyperlink>
      <w:r>
        <w:t xml:space="preserve"> </w:t>
      </w:r>
      <w:r>
        <w:t xml:space="preserve">(Accessed: 9 October 2026).</w:t>
      </w:r>
    </w:p>
    <w:bookmarkEnd w:id="352"/>
    <w:bookmarkStart w:id="354" w:name="ref-hmt_pfi_2023"/>
    <w:p>
      <w:pPr>
        <w:pStyle w:val="Bibliography"/>
      </w:pPr>
      <w:r>
        <w:t xml:space="preserve">HM Treasury (2023)</w:t>
      </w:r>
      <w:r>
        <w:t xml:space="preserve"> </w:t>
      </w:r>
      <w:r>
        <w:rPr>
          <w:i/>
          <w:iCs/>
        </w:rPr>
        <w:t xml:space="preserve">Private Finance Initiative and Private Finance 2 projects: 2019-21 summary data</w:t>
      </w:r>
      <w:r>
        <w:t xml:space="preserve">. Available at:</w:t>
      </w:r>
      <w:r>
        <w:t xml:space="preserve"> </w:t>
      </w:r>
      <w:hyperlink r:id="rId353">
        <w:r>
          <w:rPr>
            <w:rStyle w:val="Hyperlink"/>
          </w:rPr>
          <w:t xml:space="preserve">https://www.gov.uk/government/publications/private-finance-initiative-and-private-finance-2-projects-2019-21-summary-data</w:t>
        </w:r>
      </w:hyperlink>
      <w:r>
        <w:t xml:space="preserve"> </w:t>
      </w:r>
      <w:r>
        <w:t xml:space="preserve">(Accessed: 9 October 2026).</w:t>
      </w:r>
    </w:p>
    <w:bookmarkEnd w:id="354"/>
    <w:bookmarkStart w:id="356" w:name="ref-hmt_mpm"/>
    <w:p>
      <w:pPr>
        <w:pStyle w:val="Bibliography"/>
      </w:pPr>
      <w:r>
        <w:t xml:space="preserve">HM Treasury (2026)</w:t>
      </w:r>
      <w:r>
        <w:t xml:space="preserve"> </w:t>
      </w:r>
      <w:r>
        <w:rPr>
          <w:i/>
          <w:iCs/>
        </w:rPr>
        <w:t xml:space="preserve">Managing public money</w:t>
      </w:r>
      <w:r>
        <w:t xml:space="preserve">. Available at:</w:t>
      </w:r>
      <w:r>
        <w:t xml:space="preserve"> </w:t>
      </w:r>
      <w:hyperlink r:id="rId355">
        <w:r>
          <w:rPr>
            <w:rStyle w:val="Hyperlink"/>
          </w:rPr>
          <w:t xml:space="preserve">https://www.gov.uk/government/publications/managing-public-money</w:t>
        </w:r>
      </w:hyperlink>
      <w:r>
        <w:t xml:space="preserve"> </w:t>
      </w:r>
      <w:r>
        <w:t xml:space="preserve">(Accessed: 9 October 2026).</w:t>
      </w:r>
    </w:p>
    <w:bookmarkEnd w:id="356"/>
    <w:bookmarkStart w:id="358" w:name="ref-hmt_hmrc_s41_2020"/>
    <w:p>
      <w:pPr>
        <w:pStyle w:val="Bibliography"/>
      </w:pPr>
      <w:r>
        <w:t xml:space="preserve">HM Treasury and HMRC (2021)</w:t>
      </w:r>
      <w:r>
        <w:t xml:space="preserve"> </w:t>
      </w:r>
      <w:r>
        <w:rPr>
          <w:i/>
          <w:iCs/>
        </w:rPr>
        <w:t xml:space="preserve">VAT and the public sector: reform to VAT refund rules</w:t>
      </w:r>
      <w:r>
        <w:t xml:space="preserve">. Available at:</w:t>
      </w:r>
      <w:r>
        <w:t xml:space="preserve"> </w:t>
      </w:r>
      <w:hyperlink r:id="rId357">
        <w:r>
          <w:rPr>
            <w:rStyle w:val="Hyperlink"/>
          </w:rPr>
          <w:t xml:space="preserve">https://www.gov.uk/government/publications/vat-and-the-public-sector-reform-to-vat-refund-rules</w:t>
        </w:r>
      </w:hyperlink>
      <w:r>
        <w:t xml:space="preserve"> </w:t>
      </w:r>
      <w:r>
        <w:t xml:space="preserve">(Accessed: 9 October 2026).</w:t>
      </w:r>
    </w:p>
    <w:bookmarkEnd w:id="358"/>
    <w:bookmarkStart w:id="360" w:name="ref-hmrc_n70145"/>
    <w:p>
      <w:pPr>
        <w:pStyle w:val="Bibliography"/>
      </w:pPr>
      <w:r>
        <w:t xml:space="preserve">HMRC (2011)</w:t>
      </w:r>
      <w:r>
        <w:t xml:space="preserve"> </w:t>
      </w:r>
      <w:r>
        <w:rPr>
          <w:i/>
          <w:iCs/>
        </w:rPr>
        <w:t xml:space="preserve">Sport supplies that are VAT exempt (VAT Notice 701/45)</w:t>
      </w:r>
      <w:r>
        <w:t xml:space="preserve">. Available at:</w:t>
      </w:r>
      <w:r>
        <w:t xml:space="preserve"> </w:t>
      </w:r>
      <w:hyperlink r:id="rId359">
        <w:r>
          <w:rPr>
            <w:rStyle w:val="Hyperlink"/>
          </w:rPr>
          <w:t xml:space="preserve">https://www.gov.uk/guidance/sport-supplies-that-are-vat-exempt-notice-70145</w:t>
        </w:r>
      </w:hyperlink>
      <w:r>
        <w:t xml:space="preserve"> </w:t>
      </w:r>
      <w:r>
        <w:t xml:space="preserve">(Accessed: 9 October 2026).</w:t>
      </w:r>
    </w:p>
    <w:bookmarkEnd w:id="360"/>
    <w:bookmarkStart w:id="362" w:name="ref-hmrc_vat_rates_summary"/>
    <w:p>
      <w:pPr>
        <w:pStyle w:val="Bibliography"/>
      </w:pPr>
      <w:r>
        <w:t xml:space="preserve">HMRC (2014)</w:t>
      </w:r>
      <w:r>
        <w:t xml:space="preserve"> </w:t>
      </w:r>
      <w:r>
        <w:rPr>
          <w:i/>
          <w:iCs/>
        </w:rPr>
        <w:t xml:space="preserve">VAT rates</w:t>
      </w:r>
      <w:r>
        <w:t xml:space="preserve">. Available at:</w:t>
      </w:r>
      <w:r>
        <w:t xml:space="preserve"> </w:t>
      </w:r>
      <w:hyperlink r:id="rId361">
        <w:r>
          <w:rPr>
            <w:rStyle w:val="Hyperlink"/>
          </w:rPr>
          <w:t xml:space="preserve">https://www.gov.uk/vat-rates</w:t>
        </w:r>
      </w:hyperlink>
      <w:r>
        <w:t xml:space="preserve"> </w:t>
      </w:r>
      <w:r>
        <w:t xml:space="preserve">(Accessed: 9 October 2026).</w:t>
      </w:r>
    </w:p>
    <w:bookmarkEnd w:id="362"/>
    <w:bookmarkStart w:id="364" w:name="ref-hmrc_n742"/>
    <w:p>
      <w:pPr>
        <w:pStyle w:val="Bibliography"/>
      </w:pPr>
      <w:r>
        <w:t xml:space="preserve">HMRC (2020a)</w:t>
      </w:r>
      <w:r>
        <w:t xml:space="preserve"> </w:t>
      </w:r>
      <w:r>
        <w:rPr>
          <w:i/>
          <w:iCs/>
        </w:rPr>
        <w:t xml:space="preserve">Land and property (VAT Notice 742)</w:t>
      </w:r>
      <w:r>
        <w:t xml:space="preserve">. Available at:</w:t>
      </w:r>
      <w:r>
        <w:t xml:space="preserve"> </w:t>
      </w:r>
      <w:hyperlink r:id="rId363">
        <w:r>
          <w:rPr>
            <w:rStyle w:val="Hyperlink"/>
          </w:rPr>
          <w:t xml:space="preserve">https://www.gov.uk/guidance/vat-on-land-and-property-notice-742</w:t>
        </w:r>
      </w:hyperlink>
      <w:r>
        <w:t xml:space="preserve"> </w:t>
      </w:r>
      <w:r>
        <w:t xml:space="preserve">(Accessed: 9 October 2026).</w:t>
      </w:r>
    </w:p>
    <w:bookmarkEnd w:id="364"/>
    <w:bookmarkStart w:id="366" w:name="ref-hmrc_import_vat"/>
    <w:p>
      <w:pPr>
        <w:pStyle w:val="Bibliography"/>
      </w:pPr>
      <w:r>
        <w:t xml:space="preserve">HMRC (2020b)</w:t>
      </w:r>
      <w:r>
        <w:t xml:space="preserve"> </w:t>
      </w:r>
      <w:r>
        <w:rPr>
          <w:i/>
          <w:iCs/>
        </w:rPr>
        <w:t xml:space="preserve">Paying VAT on imports from outside the UK to Great Britain and from outside the EU to Northern Ireland</w:t>
      </w:r>
      <w:r>
        <w:t xml:space="preserve">. Available at:</w:t>
      </w:r>
      <w:r>
        <w:t xml:space="preserve"> </w:t>
      </w:r>
      <w:hyperlink r:id="rId365">
        <w:r>
          <w:rPr>
            <w:rStyle w:val="Hyperlink"/>
          </w:rPr>
          <w:t xml:space="preserve">https://www.gov.uk/guidance/vat-imports-acquisitions-and-purchases-from-abroad</w:t>
        </w:r>
      </w:hyperlink>
      <w:r>
        <w:t xml:space="preserve"> </w:t>
      </w:r>
      <w:r>
        <w:t xml:space="preserve">(Accessed: 9 October 2026).</w:t>
      </w:r>
    </w:p>
    <w:bookmarkEnd w:id="366"/>
    <w:bookmarkStart w:id="368" w:name="ref-hmrc_n7096"/>
    <w:p>
      <w:pPr>
        <w:pStyle w:val="Bibliography"/>
      </w:pPr>
      <w:r>
        <w:t xml:space="preserve">HMRC (2020c)</w:t>
      </w:r>
      <w:r>
        <w:t xml:space="preserve"> </w:t>
      </w:r>
      <w:r>
        <w:rPr>
          <w:i/>
          <w:iCs/>
        </w:rPr>
        <w:t xml:space="preserve">Travel agents and VAT (VAT Notice 709/6)</w:t>
      </w:r>
      <w:r>
        <w:t xml:space="preserve">. Available at:</w:t>
      </w:r>
      <w:r>
        <w:t xml:space="preserve"> </w:t>
      </w:r>
      <w:hyperlink r:id="rId367">
        <w:r>
          <w:rPr>
            <w:rStyle w:val="Hyperlink"/>
          </w:rPr>
          <w:t xml:space="preserve">https://www.gov.uk/guidance/travel-agents-and-vat-notice-7096</w:t>
        </w:r>
      </w:hyperlink>
      <w:r>
        <w:t xml:space="preserve"> </w:t>
      </w:r>
      <w:r>
        <w:t xml:space="preserve">(Accessed: 9 October 2026).</w:t>
      </w:r>
    </w:p>
    <w:bookmarkEnd w:id="368"/>
    <w:bookmarkStart w:id="370" w:name="ref-hmrc_eu_refunds"/>
    <w:p>
      <w:pPr>
        <w:pStyle w:val="Bibliography"/>
      </w:pPr>
      <w:r>
        <w:t xml:space="preserve">HMRC (2020d)</w:t>
      </w:r>
      <w:r>
        <w:t xml:space="preserve"> </w:t>
      </w:r>
      <w:r>
        <w:rPr>
          <w:i/>
          <w:iCs/>
        </w:rPr>
        <w:t xml:space="preserve">VAT refunds for UK businesses buying from other EU countries</w:t>
      </w:r>
      <w:r>
        <w:t xml:space="preserve">. Available at:</w:t>
      </w:r>
      <w:r>
        <w:t xml:space="preserve"> </w:t>
      </w:r>
      <w:hyperlink r:id="rId369">
        <w:r>
          <w:rPr>
            <w:rStyle w:val="Hyperlink"/>
          </w:rPr>
          <w:t xml:space="preserve">https://www.gov.uk/guidance/vat-refunds-for-uk-businesses-buying-from-other-eu-countries</w:t>
        </w:r>
      </w:hyperlink>
      <w:r>
        <w:t xml:space="preserve"> </w:t>
      </w:r>
      <w:r>
        <w:t xml:space="preserve">(Accessed: 9 October 2026).</w:t>
      </w:r>
    </w:p>
    <w:bookmarkEnd w:id="370"/>
    <w:bookmarkStart w:id="372" w:name="ref-hmrc_n431"/>
    <w:p>
      <w:pPr>
        <w:pStyle w:val="Bibliography"/>
      </w:pPr>
      <w:r>
        <w:t xml:space="preserve">HMRC (2020e)</w:t>
      </w:r>
      <w:r>
        <w:t xml:space="preserve"> </w:t>
      </w:r>
      <w:r>
        <w:rPr>
          <w:i/>
          <w:iCs/>
        </w:rPr>
        <w:t xml:space="preserve">VAT relief for suppliers to visiting forces (VAT Notice 431)</w:t>
      </w:r>
      <w:r>
        <w:t xml:space="preserve">. Available at:</w:t>
      </w:r>
      <w:r>
        <w:t xml:space="preserve"> </w:t>
      </w:r>
      <w:hyperlink r:id="rId371">
        <w:r>
          <w:rPr>
            <w:rStyle w:val="Hyperlink"/>
          </w:rPr>
          <w:t xml:space="preserve">https://www.gov.uk/guidance/vat-relief-for-suppliers-to-visiting-forces-notice-431</w:t>
        </w:r>
      </w:hyperlink>
      <w:r>
        <w:t xml:space="preserve"> </w:t>
      </w:r>
      <w:r>
        <w:t xml:space="preserve">(Accessed: 12 October 2026).</w:t>
      </w:r>
    </w:p>
    <w:bookmarkEnd w:id="372"/>
    <w:bookmarkStart w:id="374" w:name="ref-hmrc_n70110"/>
    <w:p>
      <w:pPr>
        <w:pStyle w:val="Bibliography"/>
      </w:pPr>
      <w:r>
        <w:t xml:space="preserve">HMRC (2020f)</w:t>
      </w:r>
      <w:r>
        <w:t xml:space="preserve"> </w:t>
      </w:r>
      <w:r>
        <w:rPr>
          <w:i/>
          <w:iCs/>
        </w:rPr>
        <w:t xml:space="preserve">Zero rating books and printed matter (VAT Notice 701/10)</w:t>
      </w:r>
      <w:r>
        <w:t xml:space="preserve">. Available at:</w:t>
      </w:r>
      <w:r>
        <w:t xml:space="preserve"> </w:t>
      </w:r>
      <w:hyperlink r:id="rId373">
        <w:r>
          <w:rPr>
            <w:rStyle w:val="Hyperlink"/>
          </w:rPr>
          <w:t xml:space="preserve">https://www.gov.uk/guidance/zero-rating-books-and-printed-matter-for-vat-notice-70110</w:t>
        </w:r>
      </w:hyperlink>
      <w:r>
        <w:t xml:space="preserve"> </w:t>
      </w:r>
      <w:r>
        <w:t xml:space="preserve">(Accessed: 9 October 2026).</w:t>
      </w:r>
    </w:p>
    <w:bookmarkEnd w:id="374"/>
    <w:bookmarkStart w:id="376" w:name="ref-hmrc_n744b"/>
    <w:p>
      <w:pPr>
        <w:pStyle w:val="Bibliography"/>
      </w:pPr>
      <w:r>
        <w:t xml:space="preserve">HMRC (2021a)</w:t>
      </w:r>
      <w:r>
        <w:t xml:space="preserve"> </w:t>
      </w:r>
      <w:r>
        <w:rPr>
          <w:i/>
          <w:iCs/>
        </w:rPr>
        <w:t xml:space="preserve">Freight transport and associated services (VAT Notice 744B)</w:t>
      </w:r>
      <w:r>
        <w:t xml:space="preserve">. Available at:</w:t>
      </w:r>
      <w:r>
        <w:t xml:space="preserve"> </w:t>
      </w:r>
      <w:hyperlink r:id="rId375">
        <w:r>
          <w:rPr>
            <w:rStyle w:val="Hyperlink"/>
          </w:rPr>
          <w:t xml:space="preserve">https://www.gov.uk/guidance/vat-on-freight-transport-and-associated-services-notice-744b</w:t>
        </w:r>
      </w:hyperlink>
      <w:r>
        <w:t xml:space="preserve"> </w:t>
      </w:r>
      <w:r>
        <w:t xml:space="preserve">(Accessed: 9 October 2026).</w:t>
      </w:r>
    </w:p>
    <w:bookmarkEnd w:id="376"/>
    <w:bookmarkStart w:id="378" w:name="ref-hmrc_vwass"/>
    <w:p>
      <w:pPr>
        <w:pStyle w:val="Bibliography"/>
      </w:pPr>
      <w:r>
        <w:t xml:space="preserve">HMRC (2021b)</w:t>
      </w:r>
      <w:r>
        <w:t xml:space="preserve"> </w:t>
      </w:r>
      <w:r>
        <w:rPr>
          <w:i/>
          <w:iCs/>
        </w:rPr>
        <w:t xml:space="preserve">VAT Water and Sewerage Services</w:t>
      </w:r>
      <w:r>
        <w:t xml:space="preserve">. Available at:</w:t>
      </w:r>
      <w:r>
        <w:t xml:space="preserve"> </w:t>
      </w:r>
      <w:hyperlink r:id="rId377">
        <w:r>
          <w:rPr>
            <w:rStyle w:val="Hyperlink"/>
          </w:rPr>
          <w:t xml:space="preserve">https://www.gov.uk/hmrc-internal-manuals/vat-water-and-sewerage-services</w:t>
        </w:r>
      </w:hyperlink>
      <w:r>
        <w:t xml:space="preserve"> </w:t>
      </w:r>
      <w:r>
        <w:t xml:space="preserve">(Accessed: 9 October 2026).</w:t>
      </w:r>
    </w:p>
    <w:bookmarkEnd w:id="378"/>
    <w:bookmarkStart w:id="380" w:name="ref-hmrc_exemption"/>
    <w:p>
      <w:pPr>
        <w:pStyle w:val="Bibliography"/>
      </w:pPr>
      <w:r>
        <w:t xml:space="preserve">HMRC (2022a)</w:t>
      </w:r>
      <w:r>
        <w:t xml:space="preserve"> </w:t>
      </w:r>
      <w:r>
        <w:rPr>
          <w:i/>
          <w:iCs/>
        </w:rPr>
        <w:t xml:space="preserve">Exemption and partial exemption from VAT</w:t>
      </w:r>
      <w:r>
        <w:t xml:space="preserve">. Available at:</w:t>
      </w:r>
      <w:r>
        <w:t xml:space="preserve"> </w:t>
      </w:r>
      <w:hyperlink r:id="rId379">
        <w:r>
          <w:rPr>
            <w:rStyle w:val="Hyperlink"/>
          </w:rPr>
          <w:t xml:space="preserve">https://www.gov.uk/guidance/vat-exemption-and-partial-exemption</w:t>
        </w:r>
      </w:hyperlink>
      <w:r>
        <w:t xml:space="preserve"> </w:t>
      </w:r>
      <w:r>
        <w:t xml:space="preserve">(Accessed: 9 October 2026).</w:t>
      </w:r>
    </w:p>
    <w:bookmarkEnd w:id="380"/>
    <w:bookmarkStart w:id="382" w:name="ref-hmrc_n7093"/>
    <w:p>
      <w:pPr>
        <w:pStyle w:val="Bibliography"/>
      </w:pPr>
      <w:r>
        <w:t xml:space="preserve">HMRC (2022b)</w:t>
      </w:r>
      <w:r>
        <w:t xml:space="preserve"> </w:t>
      </w:r>
      <w:r>
        <w:rPr>
          <w:i/>
          <w:iCs/>
        </w:rPr>
        <w:t xml:space="preserve">Hotels and holiday accommodation (VAT Notice 709/3)</w:t>
      </w:r>
      <w:r>
        <w:t xml:space="preserve">. Available at:</w:t>
      </w:r>
      <w:r>
        <w:t xml:space="preserve"> </w:t>
      </w:r>
      <w:hyperlink r:id="rId381">
        <w:r>
          <w:rPr>
            <w:rStyle w:val="Hyperlink"/>
          </w:rPr>
          <w:t xml:space="preserve">https://www.gov.uk/guidance/hotels-holiday-accommodation-and-vat-notice-7093</w:t>
        </w:r>
      </w:hyperlink>
      <w:r>
        <w:t xml:space="preserve"> </w:t>
      </w:r>
      <w:r>
        <w:t xml:space="preserve">(Accessed: 9 October 2026).</w:t>
      </w:r>
    </w:p>
    <w:bookmarkEnd w:id="382"/>
    <w:bookmarkStart w:id="384" w:name="ref-hmrc_nhspef"/>
    <w:p>
      <w:pPr>
        <w:pStyle w:val="Bibliography"/>
      </w:pPr>
      <w:r>
        <w:t xml:space="preserve">HMRC (2022c)</w:t>
      </w:r>
      <w:r>
        <w:t xml:space="preserve"> </w:t>
      </w:r>
      <w:r>
        <w:rPr>
          <w:i/>
          <w:iCs/>
        </w:rPr>
        <w:t xml:space="preserve">NHS bodies partial exemption framework</w:t>
      </w:r>
      <w:r>
        <w:t xml:space="preserve">. Available at:</w:t>
      </w:r>
      <w:r>
        <w:t xml:space="preserve"> </w:t>
      </w:r>
      <w:hyperlink r:id="rId383">
        <w:r>
          <w:rPr>
            <w:rStyle w:val="Hyperlink"/>
          </w:rPr>
          <w:t xml:space="preserve">https://www.gov.uk/guidance/nhs-bodies-partial-exemption-framework</w:t>
        </w:r>
      </w:hyperlink>
      <w:r>
        <w:t xml:space="preserve"> </w:t>
      </w:r>
      <w:r>
        <w:t xml:space="preserve">(Accessed: 9 October 2026).</w:t>
      </w:r>
    </w:p>
    <w:bookmarkEnd w:id="384"/>
    <w:bookmarkStart w:id="386" w:name="ref-hmrc_n741a"/>
    <w:p>
      <w:pPr>
        <w:pStyle w:val="Bibliography"/>
      </w:pPr>
      <w:r>
        <w:t xml:space="preserve">HMRC (2022d)</w:t>
      </w:r>
      <w:r>
        <w:t xml:space="preserve"> </w:t>
      </w:r>
      <w:r>
        <w:rPr>
          <w:i/>
          <w:iCs/>
        </w:rPr>
        <w:t xml:space="preserve">Place of supply of services (VAT Notice 741A)</w:t>
      </w:r>
      <w:r>
        <w:t xml:space="preserve">. Available at:</w:t>
      </w:r>
      <w:r>
        <w:t xml:space="preserve"> </w:t>
      </w:r>
      <w:hyperlink r:id="rId385">
        <w:r>
          <w:rPr>
            <w:rStyle w:val="Hyperlink"/>
          </w:rPr>
          <w:t xml:space="preserve">https://www.gov.uk/guidance/vat-place-of-supply-of-services-notice-741a</w:t>
        </w:r>
      </w:hyperlink>
      <w:r>
        <w:t xml:space="preserve"> </w:t>
      </w:r>
      <w:r>
        <w:t xml:space="preserve">(Accessed: 9 October 2026).</w:t>
      </w:r>
    </w:p>
    <w:bookmarkEnd w:id="386"/>
    <w:bookmarkStart w:id="388" w:name="ref-hmrc_n70024"/>
    <w:p>
      <w:pPr>
        <w:pStyle w:val="Bibliography"/>
      </w:pPr>
      <w:r>
        <w:t xml:space="preserve">HMRC (2022e)</w:t>
      </w:r>
      <w:r>
        <w:t xml:space="preserve"> </w:t>
      </w:r>
      <w:r>
        <w:rPr>
          <w:i/>
          <w:iCs/>
        </w:rPr>
        <w:t xml:space="preserve">Postage, delivery and direct marketing (VAT Notice 700/24)</w:t>
      </w:r>
      <w:r>
        <w:t xml:space="preserve">. Available at:</w:t>
      </w:r>
      <w:r>
        <w:t xml:space="preserve"> </w:t>
      </w:r>
      <w:hyperlink r:id="rId387">
        <w:r>
          <w:rPr>
            <w:rStyle w:val="Hyperlink"/>
          </w:rPr>
          <w:t xml:space="preserve">https://www.gov.uk/guidance/vat-on-postage-delivery-and-direct-marketing-notice-70024</w:t>
        </w:r>
      </w:hyperlink>
      <w:r>
        <w:t xml:space="preserve"> </w:t>
      </w:r>
      <w:r>
        <w:t xml:space="preserve">(Accessed: 9 October 2026).</w:t>
      </w:r>
    </w:p>
    <w:bookmarkEnd w:id="388"/>
    <w:bookmarkStart w:id="390" w:name="ref-hmrc_n70123"/>
    <w:p>
      <w:pPr>
        <w:pStyle w:val="Bibliography"/>
      </w:pPr>
      <w:r>
        <w:t xml:space="preserve">HMRC (2022f)</w:t>
      </w:r>
      <w:r>
        <w:t xml:space="preserve"> </w:t>
      </w:r>
      <w:r>
        <w:rPr>
          <w:i/>
          <w:iCs/>
        </w:rPr>
        <w:t xml:space="preserve">Protective equipment (VAT Notice 701/23)</w:t>
      </w:r>
      <w:r>
        <w:t xml:space="preserve">. Available at:</w:t>
      </w:r>
      <w:r>
        <w:t xml:space="preserve"> </w:t>
      </w:r>
      <w:hyperlink r:id="rId389">
        <w:r>
          <w:rPr>
            <w:rStyle w:val="Hyperlink"/>
          </w:rPr>
          <w:t xml:space="preserve">https://www.gov.uk/guidance/protective-equipment-and-vat-notice-70123</w:t>
        </w:r>
      </w:hyperlink>
      <w:r>
        <w:t xml:space="preserve"> </w:t>
      </w:r>
      <w:r>
        <w:t xml:space="preserve">(Accessed: 9 October 2026).</w:t>
      </w:r>
    </w:p>
    <w:bookmarkEnd w:id="390"/>
    <w:bookmarkStart w:id="392" w:name="ref-hmrc_n744a"/>
    <w:p>
      <w:pPr>
        <w:pStyle w:val="Bibliography"/>
      </w:pPr>
      <w:r>
        <w:t xml:space="preserve">HMRC (2022g)</w:t>
      </w:r>
      <w:r>
        <w:t xml:space="preserve"> </w:t>
      </w:r>
      <w:r>
        <w:rPr>
          <w:i/>
          <w:iCs/>
        </w:rPr>
        <w:t xml:space="preserve">The VAT treatment of passenger transport (VAT Notice 744A)</w:t>
      </w:r>
      <w:r>
        <w:t xml:space="preserve">. Available at:</w:t>
      </w:r>
      <w:r>
        <w:t xml:space="preserve"> </w:t>
      </w:r>
      <w:hyperlink r:id="rId391">
        <w:r>
          <w:rPr>
            <w:rStyle w:val="Hyperlink"/>
          </w:rPr>
          <w:t xml:space="preserve">https://www.gov.uk/guidance/the-vat-treatment-of-passenger-transport-notice-744a</w:t>
        </w:r>
      </w:hyperlink>
      <w:r>
        <w:t xml:space="preserve"> </w:t>
      </w:r>
      <w:r>
        <w:t xml:space="preserve">(Accessed: 9 October 2026).</w:t>
      </w:r>
    </w:p>
    <w:bookmarkEnd w:id="392"/>
    <w:bookmarkStart w:id="394" w:name="ref-hmrc_lvc_direct"/>
    <w:p>
      <w:pPr>
        <w:pStyle w:val="Bibliography"/>
      </w:pPr>
      <w:r>
        <w:t xml:space="preserve">HMRC (2022h)</w:t>
      </w:r>
      <w:r>
        <w:t xml:space="preserve"> </w:t>
      </w:r>
      <w:r>
        <w:rPr>
          <w:i/>
          <w:iCs/>
        </w:rPr>
        <w:t xml:space="preserve">VAT and overseas goods sold directly to customers in the UK</w:t>
      </w:r>
      <w:r>
        <w:t xml:space="preserve">. Available at:</w:t>
      </w:r>
      <w:r>
        <w:t xml:space="preserve"> </w:t>
      </w:r>
      <w:hyperlink r:id="rId393">
        <w:r>
          <w:rPr>
            <w:rStyle w:val="Hyperlink"/>
          </w:rPr>
          <w:t xml:space="preserve">https://www.gov.uk/guidance/vat-and-overseas-goods-sold-directly-to-customers-in-the-uk</w:t>
        </w:r>
      </w:hyperlink>
      <w:r>
        <w:t xml:space="preserve"> </w:t>
      </w:r>
      <w:r>
        <w:t xml:space="preserve">(Accessed: 9 October 2026).</w:t>
      </w:r>
    </w:p>
    <w:bookmarkEnd w:id="394"/>
    <w:bookmarkStart w:id="396" w:name="ref-hmrc_lvc_omp"/>
    <w:p>
      <w:pPr>
        <w:pStyle w:val="Bibliography"/>
      </w:pPr>
      <w:r>
        <w:t xml:space="preserve">HMRC (2022i)</w:t>
      </w:r>
      <w:r>
        <w:t xml:space="preserve"> </w:t>
      </w:r>
      <w:r>
        <w:rPr>
          <w:i/>
          <w:iCs/>
        </w:rPr>
        <w:t xml:space="preserve">VAT and overseas goods sold to customers in the UK using online marketplaces</w:t>
      </w:r>
      <w:r>
        <w:t xml:space="preserve">. Available at:</w:t>
      </w:r>
      <w:r>
        <w:t xml:space="preserve"> </w:t>
      </w:r>
      <w:hyperlink r:id="rId395">
        <w:r>
          <w:rPr>
            <w:rStyle w:val="Hyperlink"/>
          </w:rPr>
          <w:t xml:space="preserve">https://www.gov.uk/guidance/vat-and-overseas-goods-sold-to-customers-in-the-uk-using-online-marketplaces</w:t>
        </w:r>
      </w:hyperlink>
      <w:r>
        <w:t xml:space="preserve"> </w:t>
      </w:r>
      <w:r>
        <w:t xml:space="preserve">(Accessed: 9 October 2026).</w:t>
      </w:r>
    </w:p>
    <w:bookmarkEnd w:id="396"/>
    <w:bookmarkStart w:id="398" w:name="ref-hmrc_vatposs"/>
    <w:p>
      <w:pPr>
        <w:pStyle w:val="Bibliography"/>
      </w:pPr>
      <w:r>
        <w:t xml:space="preserve">HMRC (2022j)</w:t>
      </w:r>
      <w:r>
        <w:t xml:space="preserve"> </w:t>
      </w:r>
      <w:r>
        <w:rPr>
          <w:i/>
          <w:iCs/>
        </w:rPr>
        <w:t xml:space="preserve">VAT Place of Supply of Services</w:t>
      </w:r>
      <w:r>
        <w:t xml:space="preserve">. Available at:</w:t>
      </w:r>
      <w:r>
        <w:t xml:space="preserve"> </w:t>
      </w:r>
      <w:hyperlink r:id="rId397">
        <w:r>
          <w:rPr>
            <w:rStyle w:val="Hyperlink"/>
          </w:rPr>
          <w:t xml:space="preserve">https://www.gov.uk/hmrc-internal-manuals/vat-place-of-supply-services</w:t>
        </w:r>
      </w:hyperlink>
      <w:r>
        <w:t xml:space="preserve"> </w:t>
      </w:r>
      <w:r>
        <w:t xml:space="preserve">(Accessed: 9 October 2026).</w:t>
      </w:r>
    </w:p>
    <w:bookmarkEnd w:id="398"/>
    <w:bookmarkStart w:id="400" w:name="ref-hmrc_pva_return"/>
    <w:p>
      <w:pPr>
        <w:pStyle w:val="Bibliography"/>
      </w:pPr>
      <w:r>
        <w:t xml:space="preserve">HMRC (2023a)</w:t>
      </w:r>
      <w:r>
        <w:t xml:space="preserve"> </w:t>
      </w:r>
      <w:r>
        <w:rPr>
          <w:i/>
          <w:iCs/>
        </w:rPr>
        <w:t xml:space="preserve">Completing your VAT Return to account for import VAT</w:t>
      </w:r>
      <w:r>
        <w:t xml:space="preserve">. Available at:</w:t>
      </w:r>
      <w:r>
        <w:t xml:space="preserve"> </w:t>
      </w:r>
      <w:hyperlink r:id="rId399">
        <w:r>
          <w:rPr>
            <w:rStyle w:val="Hyperlink"/>
          </w:rPr>
          <w:t xml:space="preserve">https://www.gov.uk/guidance/complete-your-vat-return-to-account-for-import-vat</w:t>
        </w:r>
      </w:hyperlink>
      <w:r>
        <w:t xml:space="preserve"> </w:t>
      </w:r>
      <w:r>
        <w:t xml:space="preserve">(Accessed: 9 October 2026).</w:t>
      </w:r>
    </w:p>
    <w:bookmarkEnd w:id="400"/>
    <w:bookmarkStart w:id="402" w:name="ref-hmrc_vat66"/>
    <w:p>
      <w:pPr>
        <w:pStyle w:val="Bibliography"/>
      </w:pPr>
      <w:r>
        <w:t xml:space="preserve">HMRC (2023b)</w:t>
      </w:r>
      <w:r>
        <w:t xml:space="preserve"> </w:t>
      </w:r>
      <w:r>
        <w:rPr>
          <w:i/>
          <w:iCs/>
        </w:rPr>
        <w:t xml:space="preserve">Get confirmation from HMRC that you’re trading in the UK</w:t>
      </w:r>
      <w:r>
        <w:t xml:space="preserve">. Available at:</w:t>
      </w:r>
      <w:r>
        <w:t xml:space="preserve"> </w:t>
      </w:r>
      <w:hyperlink r:id="rId401">
        <w:r>
          <w:rPr>
            <w:rStyle w:val="Hyperlink"/>
          </w:rPr>
          <w:t xml:space="preserve">https://www.gov.uk/guidance/get-confirmation-from-hmrc-that-you-are-trading-in-the-uk</w:t>
        </w:r>
      </w:hyperlink>
      <w:r>
        <w:t xml:space="preserve"> </w:t>
      </w:r>
      <w:r>
        <w:t xml:space="preserve">(Accessed: 9 October 2026).</w:t>
      </w:r>
    </w:p>
    <w:bookmarkEnd w:id="402"/>
    <w:bookmarkStart w:id="404" w:name="ref-hmrc_gdpef"/>
    <w:p>
      <w:pPr>
        <w:pStyle w:val="Bibliography"/>
      </w:pPr>
      <w:r>
        <w:t xml:space="preserve">HMRC (2023c)</w:t>
      </w:r>
      <w:r>
        <w:t xml:space="preserve"> </w:t>
      </w:r>
      <w:r>
        <w:rPr>
          <w:i/>
          <w:iCs/>
        </w:rPr>
        <w:t xml:space="preserve">Government departments partial exemption framework</w:t>
      </w:r>
      <w:r>
        <w:t xml:space="preserve">. Available at:</w:t>
      </w:r>
      <w:r>
        <w:t xml:space="preserve"> </w:t>
      </w:r>
      <w:hyperlink r:id="rId403">
        <w:r>
          <w:rPr>
            <w:rStyle w:val="Hyperlink"/>
          </w:rPr>
          <w:t xml:space="preserve">https://www.gov.uk/guidance/government-departments-partial-exemption-framework</w:t>
        </w:r>
      </w:hyperlink>
      <w:r>
        <w:t xml:space="preserve"> </w:t>
      </w:r>
      <w:r>
        <w:t xml:space="preserve">(Accessed: 9 October 2026).</w:t>
      </w:r>
    </w:p>
    <w:bookmarkEnd w:id="404"/>
    <w:bookmarkStart w:id="406" w:name="ref-hmrc_vtrans"/>
    <w:p>
      <w:pPr>
        <w:pStyle w:val="Bibliography"/>
      </w:pPr>
      <w:r>
        <w:t xml:space="preserve">HMRC (2023d)</w:t>
      </w:r>
      <w:r>
        <w:t xml:space="preserve"> </w:t>
      </w:r>
      <w:r>
        <w:rPr>
          <w:i/>
          <w:iCs/>
        </w:rPr>
        <w:t xml:space="preserve">VAT Transport</w:t>
      </w:r>
      <w:r>
        <w:t xml:space="preserve">. Available at:</w:t>
      </w:r>
      <w:r>
        <w:t xml:space="preserve"> </w:t>
      </w:r>
      <w:hyperlink r:id="rId405">
        <w:r>
          <w:rPr>
            <w:rStyle w:val="Hyperlink"/>
          </w:rPr>
          <w:t xml:space="preserve">https://www.gov.uk/hmrc-internal-manuals/vat-transport</w:t>
        </w:r>
      </w:hyperlink>
      <w:r>
        <w:t xml:space="preserve"> </w:t>
      </w:r>
      <w:r>
        <w:t xml:space="preserve">(Accessed: 9 October 2026).</w:t>
      </w:r>
    </w:p>
    <w:bookmarkEnd w:id="406"/>
    <w:bookmarkStart w:id="408" w:name="ref-hmrc_pva_statement"/>
    <w:p>
      <w:pPr>
        <w:pStyle w:val="Bibliography"/>
      </w:pPr>
      <w:r>
        <w:t xml:space="preserve">HMRC (2024a)</w:t>
      </w:r>
      <w:r>
        <w:t xml:space="preserve"> </w:t>
      </w:r>
      <w:r>
        <w:rPr>
          <w:i/>
          <w:iCs/>
        </w:rPr>
        <w:t xml:space="preserve">Get your postponed import VAT statement</w:t>
      </w:r>
      <w:r>
        <w:t xml:space="preserve">. Available at:</w:t>
      </w:r>
      <w:r>
        <w:t xml:space="preserve"> </w:t>
      </w:r>
      <w:hyperlink r:id="rId407">
        <w:r>
          <w:rPr>
            <w:rStyle w:val="Hyperlink"/>
          </w:rPr>
          <w:t xml:space="preserve">https://www.gov.uk/guidance/get-your-postponed-import-vat-statement</w:t>
        </w:r>
      </w:hyperlink>
      <w:r>
        <w:t xml:space="preserve"> </w:t>
      </w:r>
      <w:r>
        <w:t xml:space="preserve">(Accessed: 9 October 2026).</w:t>
      </w:r>
    </w:p>
    <w:bookmarkEnd w:id="408"/>
    <w:bookmarkStart w:id="410" w:name="ref-hmrc_pay_import_duties"/>
    <w:p>
      <w:pPr>
        <w:pStyle w:val="Bibliography"/>
      </w:pPr>
      <w:r>
        <w:t xml:space="preserve">HMRC (2024b)</w:t>
      </w:r>
      <w:r>
        <w:t xml:space="preserve"> </w:t>
      </w:r>
      <w:r>
        <w:rPr>
          <w:i/>
          <w:iCs/>
        </w:rPr>
        <w:t xml:space="preserve">How to pay duties and VAT on imports from outside of the UK</w:t>
      </w:r>
      <w:r>
        <w:t xml:space="preserve">. Available at:</w:t>
      </w:r>
      <w:r>
        <w:t xml:space="preserve"> </w:t>
      </w:r>
      <w:hyperlink r:id="rId409">
        <w:r>
          <w:rPr>
            <w:rStyle w:val="Hyperlink"/>
          </w:rPr>
          <w:t xml:space="preserve">https://www.gov.uk/guidance/paying-vat-and-duties-on-imports</w:t>
        </w:r>
      </w:hyperlink>
      <w:r>
        <w:t xml:space="preserve"> </w:t>
      </w:r>
      <w:r>
        <w:t xml:space="preserve">(Accessed: 9 October 2026).</w:t>
      </w:r>
    </w:p>
    <w:bookmarkEnd w:id="410"/>
    <w:bookmarkStart w:id="412" w:name="ref-hmrc_n70064"/>
    <w:p>
      <w:pPr>
        <w:pStyle w:val="Bibliography"/>
      </w:pPr>
      <w:r>
        <w:t xml:space="preserve">HMRC (2024c)</w:t>
      </w:r>
      <w:r>
        <w:t xml:space="preserve"> </w:t>
      </w:r>
      <w:r>
        <w:rPr>
          <w:i/>
          <w:iCs/>
        </w:rPr>
        <w:t xml:space="preserve">Motoring expenses (VAT Notice 700/64)</w:t>
      </w:r>
      <w:r>
        <w:t xml:space="preserve">. Available at:</w:t>
      </w:r>
      <w:r>
        <w:t xml:space="preserve"> </w:t>
      </w:r>
      <w:hyperlink r:id="rId411">
        <w:r>
          <w:rPr>
            <w:rStyle w:val="Hyperlink"/>
          </w:rPr>
          <w:t xml:space="preserve">https://www.gov.uk/guidance/vat-on-motoring-expenses-notice-70064</w:t>
        </w:r>
      </w:hyperlink>
      <w:r>
        <w:t xml:space="preserve"> </w:t>
      </w:r>
      <w:r>
        <w:t xml:space="preserve">(Accessed: 9 October 2026).</w:t>
      </w:r>
    </w:p>
    <w:bookmarkEnd w:id="412"/>
    <w:bookmarkStart w:id="414" w:name="ref-hmrc_register_vat"/>
    <w:p>
      <w:pPr>
        <w:pStyle w:val="Bibliography"/>
      </w:pPr>
      <w:r>
        <w:t xml:space="preserve">HMRC (2024d)</w:t>
      </w:r>
      <w:r>
        <w:t xml:space="preserve"> </w:t>
      </w:r>
      <w:r>
        <w:rPr>
          <w:i/>
          <w:iCs/>
        </w:rPr>
        <w:t xml:space="preserve">Register for VAT</w:t>
      </w:r>
      <w:r>
        <w:t xml:space="preserve">. Available at:</w:t>
      </w:r>
      <w:r>
        <w:t xml:space="preserve"> </w:t>
      </w:r>
      <w:hyperlink r:id="rId413">
        <w:r>
          <w:rPr>
            <w:rStyle w:val="Hyperlink"/>
          </w:rPr>
          <w:t xml:space="preserve">https://www.gov.uk/register-for-vat</w:t>
        </w:r>
      </w:hyperlink>
      <w:r>
        <w:t xml:space="preserve"> </w:t>
      </w:r>
      <w:r>
        <w:t xml:space="preserve">(Accessed: 9 October 2026).</w:t>
      </w:r>
    </w:p>
    <w:bookmarkEnd w:id="414"/>
    <w:bookmarkStart w:id="416" w:name="ref-hmrc_n7095"/>
    <w:p>
      <w:pPr>
        <w:pStyle w:val="Bibliography"/>
      </w:pPr>
      <w:r>
        <w:t xml:space="preserve">HMRC (2024e)</w:t>
      </w:r>
      <w:r>
        <w:t xml:space="preserve"> </w:t>
      </w:r>
      <w:r>
        <w:rPr>
          <w:i/>
          <w:iCs/>
        </w:rPr>
        <w:t xml:space="preserve">Tour Operators’ Margin Scheme (VAT Notice 709/5)</w:t>
      </w:r>
      <w:r>
        <w:t xml:space="preserve">. Available at:</w:t>
      </w:r>
      <w:r>
        <w:t xml:space="preserve"> </w:t>
      </w:r>
      <w:hyperlink r:id="rId415">
        <w:r>
          <w:rPr>
            <w:rStyle w:val="Hyperlink"/>
          </w:rPr>
          <w:t xml:space="preserve">https://www.gov.uk/guidance/tour-operators-margin-scheme-for-vat-notice-7095</w:t>
        </w:r>
      </w:hyperlink>
      <w:r>
        <w:t xml:space="preserve"> </w:t>
      </w:r>
      <w:r>
        <w:t xml:space="preserve">(Accessed: 9 October 2026).</w:t>
      </w:r>
    </w:p>
    <w:bookmarkEnd w:id="416"/>
    <w:bookmarkStart w:id="418" w:name="ref-hmrc_vatbus"/>
    <w:p>
      <w:pPr>
        <w:pStyle w:val="Bibliography"/>
      </w:pPr>
      <w:r>
        <w:t xml:space="preserve">HMRC (2024f)</w:t>
      </w:r>
      <w:r>
        <w:t xml:space="preserve"> </w:t>
      </w:r>
      <w:r>
        <w:rPr>
          <w:i/>
          <w:iCs/>
        </w:rPr>
        <w:t xml:space="preserve">VAT Business/Non-Business Manual</w:t>
      </w:r>
      <w:r>
        <w:t xml:space="preserve">. Available at:</w:t>
      </w:r>
      <w:r>
        <w:t xml:space="preserve"> </w:t>
      </w:r>
      <w:hyperlink r:id="rId417">
        <w:r>
          <w:rPr>
            <w:rStyle w:val="Hyperlink"/>
          </w:rPr>
          <w:t xml:space="preserve">https://www.gov.uk/hmrc-internal-manuals/vat-business-non-business</w:t>
        </w:r>
      </w:hyperlink>
      <w:r>
        <w:t xml:space="preserve"> </w:t>
      </w:r>
      <w:r>
        <w:t xml:space="preserve">(Accessed: 12 October 2026).</w:t>
      </w:r>
    </w:p>
    <w:bookmarkEnd w:id="418"/>
    <w:bookmarkStart w:id="420" w:name="ref-hmrc_dda_apply"/>
    <w:p>
      <w:pPr>
        <w:pStyle w:val="Bibliography"/>
      </w:pPr>
      <w:r>
        <w:t xml:space="preserve">HMRC (2025a)</w:t>
      </w:r>
      <w:r>
        <w:t xml:space="preserve"> </w:t>
      </w:r>
      <w:r>
        <w:rPr>
          <w:i/>
          <w:iCs/>
        </w:rPr>
        <w:t xml:space="preserve">Apply for an account to defer duty payments when you import or release goods into Great Britain</w:t>
      </w:r>
      <w:r>
        <w:t xml:space="preserve">. Available at:</w:t>
      </w:r>
      <w:r>
        <w:t xml:space="preserve"> </w:t>
      </w:r>
      <w:hyperlink r:id="rId419">
        <w:r>
          <w:rPr>
            <w:rStyle w:val="Hyperlink"/>
          </w:rPr>
          <w:t xml:space="preserve">https://www.gov.uk/guidance/apply-for-an-account-to-defer-duty-payments-when-you-import-or-release-goods-into-great-britain</w:t>
        </w:r>
      </w:hyperlink>
      <w:r>
        <w:t xml:space="preserve"> </w:t>
      </w:r>
      <w:r>
        <w:t xml:space="preserve">(Accessed: 9 October 2026).</w:t>
      </w:r>
    </w:p>
    <w:bookmarkEnd w:id="420"/>
    <w:bookmarkStart w:id="422" w:name="ref-hmrc_n7016"/>
    <w:p>
      <w:pPr>
        <w:pStyle w:val="Bibliography"/>
      </w:pPr>
      <w:r>
        <w:t xml:space="preserve">HMRC (2025b)</w:t>
      </w:r>
      <w:r>
        <w:t xml:space="preserve"> </w:t>
      </w:r>
      <w:r>
        <w:rPr>
          <w:i/>
          <w:iCs/>
        </w:rPr>
        <w:t xml:space="preserve">Charity funded equipment for medical and veterinary uses (VAT Notice 701/6)</w:t>
      </w:r>
      <w:r>
        <w:t xml:space="preserve">. Available at:</w:t>
      </w:r>
      <w:r>
        <w:t xml:space="preserve"> </w:t>
      </w:r>
      <w:hyperlink r:id="rId421">
        <w:r>
          <w:rPr>
            <w:rStyle w:val="Hyperlink"/>
          </w:rPr>
          <w:t xml:space="preserve">https://www.gov.uk/guidance/charity-funded-equipment-for-medical-and-veterinary-uses-notice-7016</w:t>
        </w:r>
      </w:hyperlink>
      <w:r>
        <w:t xml:space="preserve"> </w:t>
      </w:r>
      <w:r>
        <w:t xml:space="preserve">(Accessed: 9 October 2026).</w:t>
      </w:r>
    </w:p>
    <w:bookmarkEnd w:id="422"/>
    <w:bookmarkStart w:id="424" w:name="ref-hmrc_pva"/>
    <w:p>
      <w:pPr>
        <w:pStyle w:val="Bibliography"/>
      </w:pPr>
      <w:r>
        <w:t xml:space="preserve">HMRC (2025c)</w:t>
      </w:r>
      <w:r>
        <w:t xml:space="preserve"> </w:t>
      </w:r>
      <w:r>
        <w:rPr>
          <w:i/>
          <w:iCs/>
        </w:rPr>
        <w:t xml:space="preserve">Check when you can account for import VAT on your VAT Return</w:t>
      </w:r>
      <w:r>
        <w:t xml:space="preserve">. Available at:</w:t>
      </w:r>
      <w:r>
        <w:t xml:space="preserve"> </w:t>
      </w:r>
      <w:hyperlink r:id="rId423">
        <w:r>
          <w:rPr>
            <w:rStyle w:val="Hyperlink"/>
          </w:rPr>
          <w:t xml:space="preserve">https://www.gov.uk/guidance/check-when-you-can-account-for-import-vat-on-your-vat-return</w:t>
        </w:r>
      </w:hyperlink>
      <w:r>
        <w:t xml:space="preserve"> </w:t>
      </w:r>
      <w:r>
        <w:t xml:space="preserve">(Accessed: 9 October 2026).</w:t>
      </w:r>
    </w:p>
    <w:bookmarkEnd w:id="424"/>
    <w:bookmarkStart w:id="426" w:name="ref-hmrc_n70130"/>
    <w:p>
      <w:pPr>
        <w:pStyle w:val="Bibliography"/>
      </w:pPr>
      <w:r>
        <w:t xml:space="preserve">HMRC (2025d)</w:t>
      </w:r>
      <w:r>
        <w:t xml:space="preserve"> </w:t>
      </w:r>
      <w:r>
        <w:rPr>
          <w:i/>
          <w:iCs/>
        </w:rPr>
        <w:t xml:space="preserve">Education and vocational training (VAT Notice 701/30)</w:t>
      </w:r>
      <w:r>
        <w:t xml:space="preserve">. Available at:</w:t>
      </w:r>
      <w:r>
        <w:t xml:space="preserve"> </w:t>
      </w:r>
      <w:hyperlink r:id="rId425">
        <w:r>
          <w:rPr>
            <w:rStyle w:val="Hyperlink"/>
          </w:rPr>
          <w:t xml:space="preserve">https://www.gov.uk/guidance/vat-on-education-and-vocational-training-notice-70130</w:t>
        </w:r>
      </w:hyperlink>
      <w:r>
        <w:t xml:space="preserve"> </w:t>
      </w:r>
      <w:r>
        <w:t xml:space="preserve">(Accessed: 9 October 2026).</w:t>
      </w:r>
    </w:p>
    <w:bookmarkEnd w:id="426"/>
    <w:bookmarkStart w:id="428" w:name="ref-hmrc_n70045"/>
    <w:p>
      <w:pPr>
        <w:pStyle w:val="Bibliography"/>
      </w:pPr>
      <w:r>
        <w:t xml:space="preserve">HMRC (2025e)</w:t>
      </w:r>
      <w:r>
        <w:t xml:space="preserve"> </w:t>
      </w:r>
      <w:r>
        <w:rPr>
          <w:i/>
          <w:iCs/>
        </w:rPr>
        <w:t xml:space="preserve">How to correct VAT errors and make adjustments or claims (VAT Notice 700/45)</w:t>
      </w:r>
      <w:r>
        <w:t xml:space="preserve">. Available at:</w:t>
      </w:r>
      <w:r>
        <w:t xml:space="preserve"> </w:t>
      </w:r>
      <w:hyperlink r:id="rId427">
        <w:r>
          <w:rPr>
            <w:rStyle w:val="Hyperlink"/>
          </w:rPr>
          <w:t xml:space="preserve">https://www.gov.uk/guidance/how-to-correct-vat-errors-and-make-adjustments-or-claims-vat-notice-70045</w:t>
        </w:r>
      </w:hyperlink>
      <w:r>
        <w:t xml:space="preserve"> </w:t>
      </w:r>
      <w:r>
        <w:t xml:space="preserve">(Accessed: 9 October 2026).</w:t>
      </w:r>
    </w:p>
    <w:bookmarkEnd w:id="428"/>
    <w:bookmarkStart w:id="430" w:name="ref-hmrc_n70012"/>
    <w:p>
      <w:pPr>
        <w:pStyle w:val="Bibliography"/>
      </w:pPr>
      <w:r>
        <w:t xml:space="preserve">HMRC (2025f)</w:t>
      </w:r>
      <w:r>
        <w:t xml:space="preserve"> </w:t>
      </w:r>
      <w:r>
        <w:rPr>
          <w:i/>
          <w:iCs/>
        </w:rPr>
        <w:t xml:space="preserve">How to fill in and submit your VAT Return (VAT Notice 700/12)</w:t>
      </w:r>
      <w:r>
        <w:t xml:space="preserve">. Available at:</w:t>
      </w:r>
      <w:r>
        <w:t xml:space="preserve"> </w:t>
      </w:r>
      <w:hyperlink r:id="rId429">
        <w:r>
          <w:rPr>
            <w:rStyle w:val="Hyperlink"/>
          </w:rPr>
          <w:t xml:space="preserve">https://www.gov.uk/guidance/how-to-fill-in-and-submit-your-vat-return-vat-notice-70012</w:t>
        </w:r>
      </w:hyperlink>
      <w:r>
        <w:t xml:space="preserve"> </w:t>
      </w:r>
      <w:r>
        <w:t xml:space="preserve">(Accessed: 9 October 2026).</w:t>
      </w:r>
    </w:p>
    <w:bookmarkEnd w:id="430"/>
    <w:bookmarkStart w:id="432" w:name="ref-hmrc_n749"/>
    <w:p>
      <w:pPr>
        <w:pStyle w:val="Bibliography"/>
      </w:pPr>
      <w:r>
        <w:t xml:space="preserve">HMRC (2025g)</w:t>
      </w:r>
      <w:r>
        <w:t xml:space="preserve"> </w:t>
      </w:r>
      <w:r>
        <w:rPr>
          <w:i/>
          <w:iCs/>
        </w:rPr>
        <w:t xml:space="preserve">Local authorities and similar bodies (VAT Notice 749)</w:t>
      </w:r>
      <w:r>
        <w:t xml:space="preserve">. Available at:</w:t>
      </w:r>
      <w:r>
        <w:t xml:space="preserve"> </w:t>
      </w:r>
      <w:hyperlink r:id="rId431">
        <w:r>
          <w:rPr>
            <w:rStyle w:val="Hyperlink"/>
          </w:rPr>
          <w:t xml:space="preserve">https://www.gov.uk/guidance/local-authorities-and-similar-bodies-notice-749</w:t>
        </w:r>
      </w:hyperlink>
      <w:r>
        <w:t xml:space="preserve"> </w:t>
      </w:r>
      <w:r>
        <w:t xml:space="preserve">(Accessed: 9 October 2026).</w:t>
      </w:r>
    </w:p>
    <w:bookmarkEnd w:id="432"/>
    <w:bookmarkStart w:id="434" w:name="ref-hmrc_n706"/>
    <w:p>
      <w:pPr>
        <w:pStyle w:val="Bibliography"/>
      </w:pPr>
      <w:r>
        <w:t xml:space="preserve">HMRC (2025h)</w:t>
      </w:r>
      <w:r>
        <w:t xml:space="preserve"> </w:t>
      </w:r>
      <w:r>
        <w:rPr>
          <w:i/>
          <w:iCs/>
        </w:rPr>
        <w:t xml:space="preserve">Partial exemption (VAT Notice 706)</w:t>
      </w:r>
      <w:r>
        <w:t xml:space="preserve">. Available at:</w:t>
      </w:r>
      <w:r>
        <w:t xml:space="preserve"> </w:t>
      </w:r>
      <w:hyperlink r:id="rId433">
        <w:r>
          <w:rPr>
            <w:rStyle w:val="Hyperlink"/>
          </w:rPr>
          <w:t xml:space="preserve">https://www.gov.uk/guidance/partial-exemption-vat-notice-706</w:t>
        </w:r>
      </w:hyperlink>
      <w:r>
        <w:t xml:space="preserve"> </w:t>
      </w:r>
      <w:r>
        <w:t xml:space="preserve">(Accessed: 9 October 2026).</w:t>
      </w:r>
    </w:p>
    <w:bookmarkEnd w:id="434"/>
    <w:bookmarkStart w:id="436" w:name="ref-hmrc_n7009"/>
    <w:p>
      <w:pPr>
        <w:pStyle w:val="Bibliography"/>
      </w:pPr>
      <w:r>
        <w:t xml:space="preserve">HMRC (2025i)</w:t>
      </w:r>
      <w:r>
        <w:t xml:space="preserve"> </w:t>
      </w:r>
      <w:r>
        <w:rPr>
          <w:i/>
          <w:iCs/>
        </w:rPr>
        <w:t xml:space="preserve">Transfer a business as a going concern (VAT Notice 700/9)</w:t>
      </w:r>
      <w:r>
        <w:t xml:space="preserve">. Available at:</w:t>
      </w:r>
      <w:r>
        <w:t xml:space="preserve"> </w:t>
      </w:r>
      <w:hyperlink r:id="rId435">
        <w:r>
          <w:rPr>
            <w:rStyle w:val="Hyperlink"/>
          </w:rPr>
          <w:t xml:space="preserve">https://www.gov.uk/guidance/transfer-a-business-as-a-going-concern-and-vat-notice-7009</w:t>
        </w:r>
      </w:hyperlink>
      <w:r>
        <w:t xml:space="preserve"> </w:t>
      </w:r>
      <w:r>
        <w:t xml:space="preserve">(Accessed: 9 October 2026).</w:t>
      </w:r>
    </w:p>
    <w:bookmarkEnd w:id="436"/>
    <w:bookmarkStart w:id="438" w:name="ref-hmrc_vatfin"/>
    <w:p>
      <w:pPr>
        <w:pStyle w:val="Bibliography"/>
      </w:pPr>
      <w:r>
        <w:t xml:space="preserve">HMRC (2025j)</w:t>
      </w:r>
      <w:r>
        <w:t xml:space="preserve"> </w:t>
      </w:r>
      <w:r>
        <w:rPr>
          <w:i/>
          <w:iCs/>
        </w:rPr>
        <w:t xml:space="preserve">VAT Finance Manual</w:t>
      </w:r>
      <w:r>
        <w:t xml:space="preserve">. Available at:</w:t>
      </w:r>
      <w:r>
        <w:t xml:space="preserve"> </w:t>
      </w:r>
      <w:hyperlink r:id="rId437">
        <w:r>
          <w:rPr>
            <w:rStyle w:val="Hyperlink"/>
          </w:rPr>
          <w:t xml:space="preserve">https://www.gov.uk/hmrc-internal-manuals/vat-finance-manual</w:t>
        </w:r>
      </w:hyperlink>
      <w:r>
        <w:t xml:space="preserve"> </w:t>
      </w:r>
      <w:r>
        <w:t xml:space="preserve">(Accessed: 9 October 2026).</w:t>
      </w:r>
    </w:p>
    <w:bookmarkEnd w:id="438"/>
    <w:bookmarkStart w:id="440" w:name="ref-hmrc_vatlp"/>
    <w:p>
      <w:pPr>
        <w:pStyle w:val="Bibliography"/>
      </w:pPr>
      <w:r>
        <w:t xml:space="preserve">HMRC (2025k)</w:t>
      </w:r>
      <w:r>
        <w:t xml:space="preserve"> </w:t>
      </w:r>
      <w:r>
        <w:rPr>
          <w:i/>
          <w:iCs/>
        </w:rPr>
        <w:t xml:space="preserve">VAT Land and Property</w:t>
      </w:r>
      <w:r>
        <w:t xml:space="preserve">. Available at:</w:t>
      </w:r>
      <w:r>
        <w:t xml:space="preserve"> </w:t>
      </w:r>
      <w:hyperlink r:id="rId439">
        <w:r>
          <w:rPr>
            <w:rStyle w:val="Hyperlink"/>
          </w:rPr>
          <w:t xml:space="preserve">https://www.gov.uk/hmrc-internal-manuals/vat-land-and-property</w:t>
        </w:r>
      </w:hyperlink>
      <w:r>
        <w:t xml:space="preserve"> </w:t>
      </w:r>
      <w:r>
        <w:t xml:space="preserve">(Accessed: 9 October 2026).</w:t>
      </w:r>
    </w:p>
    <w:bookmarkEnd w:id="440"/>
    <w:bookmarkStart w:id="442" w:name="ref-hmrc_vatsc"/>
    <w:p>
      <w:pPr>
        <w:pStyle w:val="Bibliography"/>
      </w:pPr>
      <w:r>
        <w:t xml:space="preserve">HMRC (2025l)</w:t>
      </w:r>
      <w:r>
        <w:t xml:space="preserve"> </w:t>
      </w:r>
      <w:r>
        <w:rPr>
          <w:i/>
          <w:iCs/>
        </w:rPr>
        <w:t xml:space="preserve">VAT Supply and Consideration</w:t>
      </w:r>
      <w:r>
        <w:t xml:space="preserve">. Available at:</w:t>
      </w:r>
      <w:r>
        <w:t xml:space="preserve"> </w:t>
      </w:r>
      <w:hyperlink r:id="rId441">
        <w:r>
          <w:rPr>
            <w:rStyle w:val="Hyperlink"/>
          </w:rPr>
          <w:t xml:space="preserve">https://www.gov.uk/hmrc-internal-manuals/vat-supply-and-consideration</w:t>
        </w:r>
      </w:hyperlink>
      <w:r>
        <w:t xml:space="preserve"> </w:t>
      </w:r>
      <w:r>
        <w:t xml:space="preserve">(Accessed: 9 October 2026).</w:t>
      </w:r>
    </w:p>
    <w:bookmarkEnd w:id="442"/>
    <w:bookmarkStart w:id="444" w:name="ref-hmrc_import_value"/>
    <w:p>
      <w:pPr>
        <w:pStyle w:val="Bibliography"/>
      </w:pPr>
      <w:r>
        <w:t xml:space="preserve">HMRC (2025m)</w:t>
      </w:r>
      <w:r>
        <w:t xml:space="preserve"> </w:t>
      </w:r>
      <w:r>
        <w:rPr>
          <w:i/>
          <w:iCs/>
        </w:rPr>
        <w:t xml:space="preserve">Working out the VAT value using the customs value of the imported goods</w:t>
      </w:r>
      <w:r>
        <w:t xml:space="preserve">. Available at:</w:t>
      </w:r>
      <w:r>
        <w:t xml:space="preserve"> </w:t>
      </w:r>
      <w:hyperlink r:id="rId443">
        <w:r>
          <w:rPr>
            <w:rStyle w:val="Hyperlink"/>
          </w:rPr>
          <w:t xml:space="preserve">https://www.gov.uk/guidance/working-out-the-vat-value-using-the-customs-value-of-the-imported-goods</w:t>
        </w:r>
      </w:hyperlink>
      <w:r>
        <w:t xml:space="preserve"> </w:t>
      </w:r>
      <w:r>
        <w:t xml:space="preserve">(Accessed: 9 October 2026).</w:t>
      </w:r>
    </w:p>
    <w:bookmarkEnd w:id="444"/>
    <w:bookmarkStart w:id="446" w:name="ref-hmrc_n708"/>
    <w:p>
      <w:pPr>
        <w:pStyle w:val="Bibliography"/>
      </w:pPr>
      <w:r>
        <w:t xml:space="preserve">HMRC (2026a)</w:t>
      </w:r>
      <w:r>
        <w:t xml:space="preserve"> </w:t>
      </w:r>
      <w:r>
        <w:rPr>
          <w:i/>
          <w:iCs/>
        </w:rPr>
        <w:t xml:space="preserve">Buildings and construction (VAT Notice 708)</w:t>
      </w:r>
      <w:r>
        <w:t xml:space="preserve">. Available at:</w:t>
      </w:r>
      <w:r>
        <w:t xml:space="preserve"> </w:t>
      </w:r>
      <w:hyperlink r:id="rId445">
        <w:r>
          <w:rPr>
            <w:rStyle w:val="Hyperlink"/>
          </w:rPr>
          <w:t xml:space="preserve">https://www.gov.uk/guidance/buildings-and-construction-vat-notice-708</w:t>
        </w:r>
      </w:hyperlink>
      <w:r>
        <w:t xml:space="preserve"> </w:t>
      </w:r>
      <w:r>
        <w:t xml:space="preserve">(Accessed: 9 October 2026).</w:t>
      </w:r>
    </w:p>
    <w:bookmarkEnd w:id="446"/>
    <w:bookmarkStart w:id="448" w:name="ref-hmrc_n70065"/>
    <w:p>
      <w:pPr>
        <w:pStyle w:val="Bibliography"/>
      </w:pPr>
      <w:r>
        <w:t xml:space="preserve">HMRC (2026b)</w:t>
      </w:r>
      <w:r>
        <w:t xml:space="preserve"> </w:t>
      </w:r>
      <w:r>
        <w:rPr>
          <w:i/>
          <w:iCs/>
        </w:rPr>
        <w:t xml:space="preserve">Business entertainment (VAT Notice 700/65)</w:t>
      </w:r>
      <w:r>
        <w:t xml:space="preserve">. Available at:</w:t>
      </w:r>
      <w:r>
        <w:t xml:space="preserve"> </w:t>
      </w:r>
      <w:hyperlink r:id="rId447">
        <w:r>
          <w:rPr>
            <w:rStyle w:val="Hyperlink"/>
          </w:rPr>
          <w:t xml:space="preserve">https://www.gov.uk/guidance/business-entertainment-and-vat-notice-70065</w:t>
        </w:r>
      </w:hyperlink>
      <w:r>
        <w:t xml:space="preserve"> </w:t>
      </w:r>
      <w:r>
        <w:t xml:space="preserve">(Accessed: 9 October 2026).</w:t>
      </w:r>
    </w:p>
    <w:bookmarkEnd w:id="448"/>
    <w:bookmarkStart w:id="450" w:name="ref-hmrc_n735"/>
    <w:p>
      <w:pPr>
        <w:pStyle w:val="Bibliography"/>
      </w:pPr>
      <w:r>
        <w:t xml:space="preserve">HMRC (2026c)</w:t>
      </w:r>
      <w:r>
        <w:t xml:space="preserve"> </w:t>
      </w:r>
      <w:r>
        <w:rPr>
          <w:i/>
          <w:iCs/>
        </w:rPr>
        <w:t xml:space="preserve">Domestic reverse charge procedure (VAT Notice 735)</w:t>
      </w:r>
      <w:r>
        <w:t xml:space="preserve">. Available at:</w:t>
      </w:r>
      <w:r>
        <w:t xml:space="preserve"> </w:t>
      </w:r>
      <w:hyperlink r:id="rId449">
        <w:r>
          <w:rPr>
            <w:rStyle w:val="Hyperlink"/>
          </w:rPr>
          <w:t xml:space="preserve">https://www.gov.uk/guidance/the-vat-domestic-reverse-charge-procedure-notice-735</w:t>
        </w:r>
      </w:hyperlink>
      <w:r>
        <w:t xml:space="preserve"> </w:t>
      </w:r>
      <w:r>
        <w:t xml:space="preserve">(Accessed: 9 October 2026).</w:t>
      </w:r>
    </w:p>
    <w:bookmarkEnd w:id="450"/>
    <w:bookmarkStart w:id="452" w:name="ref-hmrc_n70114"/>
    <w:p>
      <w:pPr>
        <w:pStyle w:val="Bibliography"/>
      </w:pPr>
      <w:r>
        <w:t xml:space="preserve">HMRC (2026d)</w:t>
      </w:r>
      <w:r>
        <w:t xml:space="preserve"> </w:t>
      </w:r>
      <w:r>
        <w:rPr>
          <w:i/>
          <w:iCs/>
        </w:rPr>
        <w:t xml:space="preserve">Food products (VAT Notice 701/14)</w:t>
      </w:r>
      <w:r>
        <w:t xml:space="preserve">. Available at:</w:t>
      </w:r>
      <w:r>
        <w:t xml:space="preserve"> </w:t>
      </w:r>
      <w:hyperlink r:id="rId451">
        <w:r>
          <w:rPr>
            <w:rStyle w:val="Hyperlink"/>
          </w:rPr>
          <w:t xml:space="preserve">https://www.gov.uk/guidance/food-products-and-vat-notice-70114</w:t>
        </w:r>
      </w:hyperlink>
      <w:r>
        <w:t xml:space="preserve"> </w:t>
      </w:r>
      <w:r>
        <w:t xml:space="preserve">(Accessed: 9 October 2026).</w:t>
      </w:r>
    </w:p>
    <w:bookmarkEnd w:id="452"/>
    <w:bookmarkStart w:id="454" w:name="ref-hmrc_n70119"/>
    <w:p>
      <w:pPr>
        <w:pStyle w:val="Bibliography"/>
      </w:pPr>
      <w:r>
        <w:t xml:space="preserve">HMRC (2026e)</w:t>
      </w:r>
      <w:r>
        <w:t xml:space="preserve"> </w:t>
      </w:r>
      <w:r>
        <w:rPr>
          <w:i/>
          <w:iCs/>
        </w:rPr>
        <w:t xml:space="preserve">Fuel and power (VAT Notice 701/19)</w:t>
      </w:r>
      <w:r>
        <w:t xml:space="preserve">. Available at:</w:t>
      </w:r>
      <w:r>
        <w:t xml:space="preserve"> </w:t>
      </w:r>
      <w:hyperlink r:id="rId453">
        <w:r>
          <w:rPr>
            <w:rStyle w:val="Hyperlink"/>
          </w:rPr>
          <w:t xml:space="preserve">https://www.gov.uk/guidance/vat-on-fuel-and-power-notice-70119</w:t>
        </w:r>
      </w:hyperlink>
      <w:r>
        <w:t xml:space="preserve"> </w:t>
      </w:r>
      <w:r>
        <w:t xml:space="preserve">(Accessed: 9 October 2026).</w:t>
      </w:r>
    </w:p>
    <w:bookmarkEnd w:id="454"/>
    <w:bookmarkStart w:id="456" w:name="ref-hmrc_c79"/>
    <w:p>
      <w:pPr>
        <w:pStyle w:val="Bibliography"/>
      </w:pPr>
      <w:r>
        <w:t xml:space="preserve">HMRC (2026f)</w:t>
      </w:r>
      <w:r>
        <w:t xml:space="preserve"> </w:t>
      </w:r>
      <w:r>
        <w:rPr>
          <w:i/>
          <w:iCs/>
        </w:rPr>
        <w:t xml:space="preserve">Get your import VAT certificate (C79)</w:t>
      </w:r>
      <w:r>
        <w:t xml:space="preserve">. Available at:</w:t>
      </w:r>
      <w:r>
        <w:t xml:space="preserve"> </w:t>
      </w:r>
      <w:hyperlink r:id="rId455">
        <w:r>
          <w:rPr>
            <w:rStyle w:val="Hyperlink"/>
          </w:rPr>
          <w:t xml:space="preserve">https://www.gov.uk/guidance/get-your-import-vat-certificates</w:t>
        </w:r>
      </w:hyperlink>
      <w:r>
        <w:t xml:space="preserve"> </w:t>
      </w:r>
      <w:r>
        <w:t xml:space="preserve">(Accessed: 9 October 2026).</w:t>
      </w:r>
    </w:p>
    <w:bookmarkEnd w:id="456"/>
    <w:bookmarkStart w:id="458" w:name="ref-hmrc_n70157"/>
    <w:p>
      <w:pPr>
        <w:pStyle w:val="Bibliography"/>
      </w:pPr>
      <w:r>
        <w:t xml:space="preserve">HMRC (2026g)</w:t>
      </w:r>
      <w:r>
        <w:t xml:space="preserve"> </w:t>
      </w:r>
      <w:r>
        <w:rPr>
          <w:i/>
          <w:iCs/>
        </w:rPr>
        <w:t xml:space="preserve">Health professionals and pharmaceutical products (VAT Notice 701/57)</w:t>
      </w:r>
      <w:r>
        <w:t xml:space="preserve">. Available at:</w:t>
      </w:r>
      <w:r>
        <w:t xml:space="preserve"> </w:t>
      </w:r>
      <w:hyperlink r:id="rId457">
        <w:r>
          <w:rPr>
            <w:rStyle w:val="Hyperlink"/>
          </w:rPr>
          <w:t xml:space="preserve">https://www.gov.uk/guidance/health-professionals-pharmaceutical-products-and-vat-notice-70157</w:t>
        </w:r>
      </w:hyperlink>
      <w:r>
        <w:t xml:space="preserve"> </w:t>
      </w:r>
      <w:r>
        <w:t xml:space="preserve">(Accessed: 9 October 2026).</w:t>
      </w:r>
    </w:p>
    <w:bookmarkEnd w:id="458"/>
    <w:bookmarkStart w:id="460" w:name="ref-hmrc_n7011"/>
    <w:p>
      <w:pPr>
        <w:pStyle w:val="Bibliography"/>
      </w:pPr>
      <w:r>
        <w:t xml:space="preserve">HMRC (2026h)</w:t>
      </w:r>
      <w:r>
        <w:t xml:space="preserve"> </w:t>
      </w:r>
      <w:r>
        <w:rPr>
          <w:i/>
          <w:iCs/>
        </w:rPr>
        <w:t xml:space="preserve">How VAT affects charities (VAT Notice 701/1)</w:t>
      </w:r>
      <w:r>
        <w:t xml:space="preserve">. Available at:</w:t>
      </w:r>
      <w:r>
        <w:t xml:space="preserve"> </w:t>
      </w:r>
      <w:hyperlink r:id="rId459">
        <w:r>
          <w:rPr>
            <w:rStyle w:val="Hyperlink"/>
          </w:rPr>
          <w:t xml:space="preserve">https://www.gov.uk/guidance/how-vat-affects-charities-notice-7011</w:t>
        </w:r>
      </w:hyperlink>
      <w:r>
        <w:t xml:space="preserve"> </w:t>
      </w:r>
      <w:r>
        <w:t xml:space="preserve">(Accessed: 9 October 2026).</w:t>
      </w:r>
    </w:p>
    <w:bookmarkEnd w:id="460"/>
    <w:bookmarkStart w:id="462" w:name="ref-hmrc_n70136"/>
    <w:p>
      <w:pPr>
        <w:pStyle w:val="Bibliography"/>
      </w:pPr>
      <w:r>
        <w:t xml:space="preserve">HMRC (2026i)</w:t>
      </w:r>
      <w:r>
        <w:t xml:space="preserve"> </w:t>
      </w:r>
      <w:r>
        <w:rPr>
          <w:i/>
          <w:iCs/>
        </w:rPr>
        <w:t xml:space="preserve">Insurance (VAT Notice 701/36)</w:t>
      </w:r>
      <w:r>
        <w:t xml:space="preserve">. Available at:</w:t>
      </w:r>
      <w:r>
        <w:t xml:space="preserve"> </w:t>
      </w:r>
      <w:hyperlink r:id="rId461">
        <w:r>
          <w:rPr>
            <w:rStyle w:val="Hyperlink"/>
          </w:rPr>
          <w:t xml:space="preserve">https://www.gov.uk/guidance/insurance-notice-70136</w:t>
        </w:r>
      </w:hyperlink>
      <w:r>
        <w:t xml:space="preserve"> </w:t>
      </w:r>
      <w:r>
        <w:t xml:space="preserve">(Accessed: 9 October 2026).</w:t>
      </w:r>
    </w:p>
    <w:bookmarkEnd w:id="462"/>
    <w:bookmarkStart w:id="464" w:name="ref-hmrc_ipt1"/>
    <w:p>
      <w:pPr>
        <w:pStyle w:val="Bibliography"/>
      </w:pPr>
      <w:r>
        <w:t xml:space="preserve">HMRC (2026j)</w:t>
      </w:r>
      <w:r>
        <w:t xml:space="preserve"> </w:t>
      </w:r>
      <w:r>
        <w:rPr>
          <w:i/>
          <w:iCs/>
        </w:rPr>
        <w:t xml:space="preserve">Notice IPT1: Insurance Premium Tax</w:t>
      </w:r>
      <w:r>
        <w:t xml:space="preserve">. Available at:</w:t>
      </w:r>
      <w:r>
        <w:t xml:space="preserve"> </w:t>
      </w:r>
      <w:hyperlink r:id="rId463">
        <w:r>
          <w:rPr>
            <w:rStyle w:val="Hyperlink"/>
          </w:rPr>
          <w:t xml:space="preserve">https://www.gov.uk/government/publications/notice-ipt-1-insurance-premium-tax/notice-ipt1-insurance-premium-tax</w:t>
        </w:r>
      </w:hyperlink>
      <w:r>
        <w:t xml:space="preserve"> </w:t>
      </w:r>
      <w:r>
        <w:t xml:space="preserve">(Accessed: 9 October 2026).</w:t>
      </w:r>
    </w:p>
    <w:bookmarkEnd w:id="464"/>
    <w:bookmarkStart w:id="466" w:name="ref-hmrc_n742a"/>
    <w:p>
      <w:pPr>
        <w:pStyle w:val="Bibliography"/>
      </w:pPr>
      <w:r>
        <w:t xml:space="preserve">HMRC (2026k)</w:t>
      </w:r>
      <w:r>
        <w:t xml:space="preserve"> </w:t>
      </w:r>
      <w:r>
        <w:rPr>
          <w:i/>
          <w:iCs/>
        </w:rPr>
        <w:t xml:space="preserve">Opting to tax land and buildings (VAT Notice 742A)</w:t>
      </w:r>
      <w:r>
        <w:t xml:space="preserve">. Available at:</w:t>
      </w:r>
      <w:r>
        <w:t xml:space="preserve"> </w:t>
      </w:r>
      <w:hyperlink r:id="rId465">
        <w:r>
          <w:rPr>
            <w:rStyle w:val="Hyperlink"/>
          </w:rPr>
          <w:t xml:space="preserve">https://www.gov.uk/guidance/opting-to-tax-land-and-buildings-notice-742a</w:t>
        </w:r>
      </w:hyperlink>
      <w:r>
        <w:t xml:space="preserve"> </w:t>
      </w:r>
      <w:r>
        <w:t xml:space="preserve">(Accessed: 9 October 2026).</w:t>
      </w:r>
    </w:p>
    <w:bookmarkEnd w:id="466"/>
    <w:bookmarkStart w:id="468" w:name="ref-hmrc_n723a"/>
    <w:p>
      <w:pPr>
        <w:pStyle w:val="Bibliography"/>
      </w:pPr>
      <w:r>
        <w:t xml:space="preserve">HMRC (2026l)</w:t>
      </w:r>
      <w:r>
        <w:t xml:space="preserve"> </w:t>
      </w:r>
      <w:r>
        <w:rPr>
          <w:i/>
          <w:iCs/>
        </w:rPr>
        <w:t xml:space="preserve">Refunds of UK VAT for non-UK businesses or EU VAT for UK businesses (VAT Notice 723A)</w:t>
      </w:r>
      <w:r>
        <w:t xml:space="preserve">. Available at:</w:t>
      </w:r>
      <w:r>
        <w:t xml:space="preserve"> </w:t>
      </w:r>
      <w:hyperlink r:id="rId467">
        <w:r>
          <w:rPr>
            <w:rStyle w:val="Hyperlink"/>
          </w:rPr>
          <w:t xml:space="preserve">https://www.gov.uk/guidance/refunds-of-uk-vat-for-non-uk-businesses-or-eu-vat-for-uk-businesses</w:t>
        </w:r>
      </w:hyperlink>
      <w:r>
        <w:t xml:space="preserve"> </w:t>
      </w:r>
      <w:r>
        <w:t xml:space="preserve">(Accessed: 9 October 2026).</w:t>
      </w:r>
    </w:p>
    <w:bookmarkEnd w:id="468"/>
    <w:bookmarkStart w:id="470" w:name="ref-hmrc_rcb5_2026"/>
    <w:p>
      <w:pPr>
        <w:pStyle w:val="Bibliography"/>
      </w:pPr>
      <w:r>
        <w:t xml:space="preserve">HMRC (2026m)</w:t>
      </w:r>
      <w:r>
        <w:t xml:space="preserve"> </w:t>
      </w:r>
      <w:r>
        <w:rPr>
          <w:i/>
          <w:iCs/>
        </w:rPr>
        <w:t xml:space="preserve">Revenue and Customs Brief 5 (2026): Temporary reduced rate of VAT for children’s meals, tickets and family attractions</w:t>
      </w:r>
      <w:r>
        <w:t xml:space="preserve">. Available at:</w:t>
      </w:r>
      <w:r>
        <w:t xml:space="preserve"> </w:t>
      </w:r>
      <w:hyperlink r:id="rId469">
        <w:r>
          <w:rPr>
            <w:rStyle w:val="Hyperlink"/>
          </w:rPr>
          <w:t xml:space="preserve">https://www.gov.uk/government/publications/revenue-and-customs-brief-5-2026-temporary-reduced-rate-of-vat-for-childrens-meals-tickets-and-family-attractions/temporary-reduced-rate-of-vat-for-childrens-meals-tickets-and-family-attractions</w:t>
        </w:r>
      </w:hyperlink>
      <w:r>
        <w:t xml:space="preserve"> </w:t>
      </w:r>
      <w:r>
        <w:t xml:space="preserve">(Accessed: 9 October 2026).</w:t>
      </w:r>
    </w:p>
    <w:bookmarkEnd w:id="470"/>
    <w:bookmarkStart w:id="472" w:name="ref-hmrc_vatgpb"/>
    <w:p>
      <w:pPr>
        <w:pStyle w:val="Bibliography"/>
      </w:pPr>
      <w:r>
        <w:t xml:space="preserve">HMRC (2026n)</w:t>
      </w:r>
      <w:r>
        <w:t xml:space="preserve"> </w:t>
      </w:r>
      <w:r>
        <w:rPr>
          <w:i/>
          <w:iCs/>
        </w:rPr>
        <w:t xml:space="preserve">VAT Government and Public Bodies</w:t>
      </w:r>
      <w:r>
        <w:t xml:space="preserve">. Available at:</w:t>
      </w:r>
      <w:r>
        <w:t xml:space="preserve"> </w:t>
      </w:r>
      <w:hyperlink r:id="rId471">
        <w:r>
          <w:rPr>
            <w:rStyle w:val="Hyperlink"/>
          </w:rPr>
          <w:t xml:space="preserve">https://www.gov.uk/hmrc-internal-manuals/vat-government-and-public-bodies</w:t>
        </w:r>
      </w:hyperlink>
      <w:r>
        <w:t xml:space="preserve"> </w:t>
      </w:r>
      <w:r>
        <w:t xml:space="preserve">(Accessed: 9 October 2026).</w:t>
      </w:r>
    </w:p>
    <w:bookmarkEnd w:id="472"/>
    <w:bookmarkStart w:id="474" w:name="ref-hmrc_n700"/>
    <w:p>
      <w:pPr>
        <w:pStyle w:val="Bibliography"/>
      </w:pPr>
      <w:r>
        <w:t xml:space="preserve">HMRC (2026o)</w:t>
      </w:r>
      <w:r>
        <w:t xml:space="preserve"> </w:t>
      </w:r>
      <w:r>
        <w:rPr>
          <w:i/>
          <w:iCs/>
        </w:rPr>
        <w:t xml:space="preserve">VAT guide (VAT Notice 700)</w:t>
      </w:r>
      <w:r>
        <w:t xml:space="preserve">. Available at:</w:t>
      </w:r>
      <w:r>
        <w:t xml:space="preserve"> </w:t>
      </w:r>
      <w:hyperlink r:id="rId473">
        <w:r>
          <w:rPr>
            <w:rStyle w:val="Hyperlink"/>
          </w:rPr>
          <w:t xml:space="preserve">https://www.gov.uk/guidance/vat-guide-notice-700</w:t>
        </w:r>
      </w:hyperlink>
      <w:r>
        <w:t xml:space="preserve"> </w:t>
      </w:r>
      <w:r>
        <w:t xml:space="preserve">(Accessed: 9 October 2026).</w:t>
      </w:r>
    </w:p>
    <w:bookmarkEnd w:id="474"/>
    <w:bookmarkStart w:id="476" w:name="ref-hmrc_n703"/>
    <w:p>
      <w:pPr>
        <w:pStyle w:val="Bibliography"/>
      </w:pPr>
      <w:r>
        <w:t xml:space="preserve">HMRC (2026p)</w:t>
      </w:r>
      <w:r>
        <w:t xml:space="preserve"> </w:t>
      </w:r>
      <w:r>
        <w:rPr>
          <w:i/>
          <w:iCs/>
        </w:rPr>
        <w:t xml:space="preserve">VAT on goods exported from the UK (VAT Notice 703)</w:t>
      </w:r>
      <w:r>
        <w:t xml:space="preserve">. Available at:</w:t>
      </w:r>
      <w:r>
        <w:t xml:space="preserve"> </w:t>
      </w:r>
      <w:hyperlink r:id="rId475">
        <w:r>
          <w:rPr>
            <w:rStyle w:val="Hyperlink"/>
          </w:rPr>
          <w:t xml:space="preserve">https://www.gov.uk/guidance/vat-on-goods-exported-from-the-uk-notice-703</w:t>
        </w:r>
      </w:hyperlink>
      <w:r>
        <w:t xml:space="preserve"> </w:t>
      </w:r>
      <w:r>
        <w:t xml:space="preserve">(Accessed: 9 October 2026).</w:t>
      </w:r>
    </w:p>
    <w:bookmarkEnd w:id="476"/>
    <w:bookmarkStart w:id="478" w:name="ref-hmrc_ni_eu"/>
    <w:p>
      <w:pPr>
        <w:pStyle w:val="Bibliography"/>
      </w:pPr>
      <w:r>
        <w:t xml:space="preserve">HMRC (2026q)</w:t>
      </w:r>
      <w:r>
        <w:t xml:space="preserve"> </w:t>
      </w:r>
      <w:r>
        <w:rPr>
          <w:i/>
          <w:iCs/>
        </w:rPr>
        <w:t xml:space="preserve">VAT on movements of goods between Northern Ireland and the EU</w:t>
      </w:r>
      <w:r>
        <w:t xml:space="preserve">. Available at:</w:t>
      </w:r>
      <w:r>
        <w:t xml:space="preserve"> </w:t>
      </w:r>
      <w:hyperlink r:id="rId477">
        <w:r>
          <w:rPr>
            <w:rStyle w:val="Hyperlink"/>
          </w:rPr>
          <w:t xml:space="preserve">https://www.gov.uk/guidance/vat-on-movements-of-goods-between-northern-ireland-and-the-eu</w:t>
        </w:r>
      </w:hyperlink>
      <w:r>
        <w:t xml:space="preserve"> </w:t>
      </w:r>
      <w:r>
        <w:t xml:space="preserve">(Accessed: 9 October 2026).</w:t>
      </w:r>
    </w:p>
    <w:bookmarkEnd w:id="478"/>
    <w:bookmarkStart w:id="480" w:name="ref-hmrc_vat_rates"/>
    <w:p>
      <w:pPr>
        <w:pStyle w:val="Bibliography"/>
      </w:pPr>
      <w:r>
        <w:t xml:space="preserve">HMRC (2026r)</w:t>
      </w:r>
      <w:r>
        <w:t xml:space="preserve"> </w:t>
      </w:r>
      <w:r>
        <w:rPr>
          <w:i/>
          <w:iCs/>
        </w:rPr>
        <w:t xml:space="preserve">VAT rates on different goods and services</w:t>
      </w:r>
      <w:r>
        <w:t xml:space="preserve">. Available at:</w:t>
      </w:r>
      <w:r>
        <w:t xml:space="preserve"> </w:t>
      </w:r>
      <w:hyperlink r:id="rId479">
        <w:r>
          <w:rPr>
            <w:rStyle w:val="Hyperlink"/>
          </w:rPr>
          <w:t xml:space="preserve">https://www.gov.uk/guidance/vat-rates-on-different-goods-and-services</w:t>
        </w:r>
      </w:hyperlink>
      <w:r>
        <w:t xml:space="preserve"> </w:t>
      </w:r>
      <w:r>
        <w:t xml:space="preserve">(Accessed: 9 October 2026).</w:t>
      </w:r>
    </w:p>
    <w:bookmarkEnd w:id="480"/>
    <w:bookmarkStart w:id="482" w:name="ref-hfma_nhs_charities"/>
    <w:p>
      <w:pPr>
        <w:pStyle w:val="Bibliography"/>
      </w:pPr>
      <w:r>
        <w:t xml:space="preserve">Paterson, D. (2024)</w:t>
      </w:r>
      <w:r>
        <w:t xml:space="preserve"> </w:t>
      </w:r>
      <w:r>
        <w:rPr>
          <w:i/>
          <w:iCs/>
        </w:rPr>
        <w:t xml:space="preserve">NHS charities and VAT</w:t>
      </w:r>
      <w:r>
        <w:t xml:space="preserve">. Available at:</w:t>
      </w:r>
      <w:r>
        <w:t xml:space="preserve"> </w:t>
      </w:r>
      <w:hyperlink r:id="rId481">
        <w:r>
          <w:rPr>
            <w:rStyle w:val="Hyperlink"/>
          </w:rPr>
          <w:t xml:space="preserve">https://www.hfma.org.uk/publications/nhs-charities-and-vat</w:t>
        </w:r>
      </w:hyperlink>
      <w:r>
        <w:t xml:space="preserve"> </w:t>
      </w:r>
      <w:r>
        <w:t xml:space="preserve">(Accessed: 9 October 2026).</w:t>
      </w:r>
    </w:p>
    <w:bookmarkEnd w:id="482"/>
    <w:bookmarkEnd w:id="483"/>
    <w:bookmarkEnd w:id="484"/>
    <w:bookmarkStart w:id="485" w:name="legislation"/>
    <w:p>
      <w:pPr>
        <w:pStyle w:val="Heading2"/>
      </w:pPr>
      <w:r>
        <w:t xml:space="preserve">Legislation</w:t>
      </w:r>
    </w:p>
    <w:p>
      <w:pPr>
        <w:pStyle w:val="FirstParagraph"/>
      </w:pPr>
      <w:r>
        <w:t xml:space="preserve">Acts of Parliament, statutory instruments and EU legislation referred to in this guide, cited in the Cite Them Right style.</w:t>
      </w:r>
    </w:p>
    <w:p>
      <w:pPr>
        <w:pStyle w:val="Compact"/>
        <w:numPr>
          <w:ilvl w:val="0"/>
          <w:numId w:val="1616"/>
        </w:numPr>
      </w:pPr>
      <w:r>
        <w:t xml:space="preserve">Children Act 1989, c. 41. Available at: https://www.legislation.gov.uk/ukpga/1989/41 (Accessed: 9 October 2026).</w:t>
      </w:r>
    </w:p>
    <w:p>
      <w:pPr>
        <w:pStyle w:val="Compact"/>
        <w:numPr>
          <w:ilvl w:val="0"/>
          <w:numId w:val="1616"/>
        </w:numPr>
      </w:pPr>
      <w:r>
        <w:t xml:space="preserve">Council Directive 2006/112/EC of 28 November 2006 on the common system of value added tax. Available at: https://www.legislation.gov.uk/eudr/2006/112/contents (Accessed: 12 October 2026).</w:t>
      </w:r>
    </w:p>
    <w:p>
      <w:pPr>
        <w:pStyle w:val="Compact"/>
        <w:numPr>
          <w:ilvl w:val="0"/>
          <w:numId w:val="1616"/>
        </w:numPr>
      </w:pPr>
      <w:r>
        <w:t xml:space="preserve">Employment and Training Act 1973, c. 50. Available at: https://www.legislation.gov.uk/ukpga/1973/50 (Accessed: 9 October 2026).</w:t>
      </w:r>
    </w:p>
    <w:p>
      <w:pPr>
        <w:pStyle w:val="Compact"/>
        <w:numPr>
          <w:ilvl w:val="0"/>
          <w:numId w:val="1616"/>
        </w:numPr>
      </w:pPr>
      <w:r>
        <w:t xml:space="preserve">Equality Act 2010, c. 15. Available at: https://www.legislation.gov.uk/ukpga/2010/15 (Accessed: 9 October 2026).</w:t>
      </w:r>
    </w:p>
    <w:p>
      <w:pPr>
        <w:pStyle w:val="Compact"/>
        <w:numPr>
          <w:ilvl w:val="0"/>
          <w:numId w:val="1616"/>
        </w:numPr>
      </w:pPr>
      <w:r>
        <w:t xml:space="preserve">Finance Act 1994, c. 9. Available at: https://www.legislation.gov.uk/ukpga/1994/9 (Accessed: 9 October 2026).</w:t>
      </w:r>
    </w:p>
    <w:p>
      <w:pPr>
        <w:pStyle w:val="Compact"/>
        <w:numPr>
          <w:ilvl w:val="0"/>
          <w:numId w:val="1616"/>
        </w:numPr>
      </w:pPr>
      <w:r>
        <w:t xml:space="preserve">Finance Act 2012, c. 14. Available at: https://www.legislation.gov.uk/ukpga/2012/14 (Accessed: 9 October 2026).</w:t>
      </w:r>
    </w:p>
    <w:p>
      <w:pPr>
        <w:pStyle w:val="Compact"/>
        <w:numPr>
          <w:ilvl w:val="0"/>
          <w:numId w:val="1616"/>
        </w:numPr>
      </w:pPr>
      <w:r>
        <w:t xml:space="preserve">Finance Act 2016, c. 24. Available at: https://www.legislation.gov.uk/ukpga/2016/24 (Accessed: 9 October 2026).</w:t>
      </w:r>
    </w:p>
    <w:p>
      <w:pPr>
        <w:pStyle w:val="Compact"/>
        <w:numPr>
          <w:ilvl w:val="0"/>
          <w:numId w:val="1616"/>
        </w:numPr>
      </w:pPr>
      <w:r>
        <w:t xml:space="preserve">Health and Care Act 2022, c. 31. Available at: https://www.legislation.gov.uk/ukpga/2022/31 (Accessed: 9 October 2026).</w:t>
      </w:r>
    </w:p>
    <w:p>
      <w:pPr>
        <w:pStyle w:val="Compact"/>
        <w:numPr>
          <w:ilvl w:val="0"/>
          <w:numId w:val="1616"/>
        </w:numPr>
      </w:pPr>
      <w:r>
        <w:t xml:space="preserve">The Health and Social Care Information Centre (Transfer of Functions, Abolition and Transitional Provisions) Regulations 2023 (SI 2023/98). Available at: https://www.legislation.gov.uk/uksi/2023/98 (Accessed: 9 October 2026).</w:t>
      </w:r>
    </w:p>
    <w:p>
      <w:pPr>
        <w:pStyle w:val="Compact"/>
        <w:numPr>
          <w:ilvl w:val="0"/>
          <w:numId w:val="1616"/>
        </w:numPr>
      </w:pPr>
      <w:r>
        <w:t xml:space="preserve">The Health Education England (Transfer of Functions, Abolition and Transitional Provisions) Regulations 2023 (SI 2023/368). Available at: https://www.legislation.gov.uk/uksi/2023/368 (Accessed: 9 October 2026).</w:t>
      </w:r>
    </w:p>
    <w:p>
      <w:pPr>
        <w:pStyle w:val="Compact"/>
        <w:numPr>
          <w:ilvl w:val="0"/>
          <w:numId w:val="1616"/>
        </w:numPr>
      </w:pPr>
      <w:r>
        <w:t xml:space="preserve">Highways Act 1980, c. 66. Available at: https://www.legislation.gov.uk/ukpga/1980/66 (Accessed: 9 October 2026).</w:t>
      </w:r>
    </w:p>
    <w:p>
      <w:pPr>
        <w:pStyle w:val="Compact"/>
        <w:numPr>
          <w:ilvl w:val="0"/>
          <w:numId w:val="1616"/>
        </w:numPr>
      </w:pPr>
      <w:r>
        <w:t xml:space="preserve">Infrastructure Act 2015, c. 7. Available at: https://www.legislation.gov.uk/ukpga/2015/7 (Accessed: 9 October 2026).</w:t>
      </w:r>
    </w:p>
    <w:p>
      <w:pPr>
        <w:pStyle w:val="Compact"/>
        <w:numPr>
          <w:ilvl w:val="0"/>
          <w:numId w:val="1616"/>
        </w:numPr>
      </w:pPr>
      <w:r>
        <w:t xml:space="preserve">Institute for Apprenticeships and Technical Education (Transfer of Functions etc) Act 2025, c. 14. Available at: https://www.legislation.gov.uk/ukpga/2025/14 (Accessed: 9 October 2026).</w:t>
      </w:r>
    </w:p>
    <w:p>
      <w:pPr>
        <w:pStyle w:val="Compact"/>
        <w:numPr>
          <w:ilvl w:val="0"/>
          <w:numId w:val="1616"/>
        </w:numPr>
      </w:pPr>
      <w:r>
        <w:t xml:space="preserve">National Health Service and Community Care Act 1990, c. 19. Available at: https://www.legislation.gov.uk/ukpga/1990/19 (Accessed: 9 October 2026).</w:t>
      </w:r>
    </w:p>
    <w:p>
      <w:pPr>
        <w:pStyle w:val="Compact"/>
        <w:numPr>
          <w:ilvl w:val="0"/>
          <w:numId w:val="1616"/>
        </w:numPr>
      </w:pPr>
      <w:r>
        <w:t xml:space="preserve">Offender Management Act 2007, c. 21. Available at: https://www.legislation.gov.uk/ukpga/2007/21 (Accessed: 9 October 2026).</w:t>
      </w:r>
    </w:p>
    <w:p>
      <w:pPr>
        <w:pStyle w:val="Compact"/>
        <w:numPr>
          <w:ilvl w:val="0"/>
          <w:numId w:val="1616"/>
        </w:numPr>
      </w:pPr>
      <w:r>
        <w:t xml:space="preserve">Race Relations Act 1976, c. 74. Available at: https://www.legislation.gov.uk/ukpga/1976/74 (Accessed: 9 October 2026).</w:t>
      </w:r>
    </w:p>
    <w:p>
      <w:pPr>
        <w:pStyle w:val="Compact"/>
        <w:numPr>
          <w:ilvl w:val="0"/>
          <w:numId w:val="1616"/>
        </w:numPr>
      </w:pPr>
      <w:r>
        <w:t xml:space="preserve">The Secretaries of State for Energy Security and Net Zero, for Science, Innovation and Technology, for Business and Trade, and for Culture, Media and Sport and the Transfer of Functions (National Security and Investment Act 2021 etc) Order 2023 (SI 2023/424). Available at: https://www.legislation.gov.uk/uksi/2023/424 (Accessed: 9 October 2026).</w:t>
      </w:r>
    </w:p>
    <w:p>
      <w:pPr>
        <w:pStyle w:val="Compact"/>
        <w:numPr>
          <w:ilvl w:val="0"/>
          <w:numId w:val="1616"/>
        </w:numPr>
      </w:pPr>
      <w:r>
        <w:t xml:space="preserve">Thirteenth Council Directive 86/560/EEC of 17 November 1986 on the harmonization of the laws of the Member States relating to turnover taxes – Arrangements for the refund of value added tax to taxable persons not established in Community territory. Available at: https://www.legislation.gov.uk/eudr/1986/560/contents (Accessed: 9 October 2026).</w:t>
      </w:r>
    </w:p>
    <w:p>
      <w:pPr>
        <w:pStyle w:val="Compact"/>
        <w:numPr>
          <w:ilvl w:val="0"/>
          <w:numId w:val="1616"/>
        </w:numPr>
      </w:pPr>
      <w:r>
        <w:t xml:space="preserve">The Value Added Tax (Input Tax) (Specified Supplies) Order 1999 (SI 1999/3121). Available at: https://www.legislation.gov.uk/uksi/1999/3121 (Accessed: 9 October 2026).</w:t>
      </w:r>
    </w:p>
    <w:p>
      <w:pPr>
        <w:pStyle w:val="Compact"/>
        <w:numPr>
          <w:ilvl w:val="0"/>
          <w:numId w:val="1616"/>
        </w:numPr>
      </w:pPr>
      <w:r>
        <w:t xml:space="preserve">The Value Added Tax (Input Tax) Order 1992 (SI 1992/3222). Available at: https://www.legislation.gov.uk/uksi/1992/3222 (Accessed: 9 October 2026).</w:t>
      </w:r>
    </w:p>
    <w:p>
      <w:pPr>
        <w:pStyle w:val="Compact"/>
        <w:numPr>
          <w:ilvl w:val="0"/>
          <w:numId w:val="1616"/>
        </w:numPr>
      </w:pPr>
      <w:r>
        <w:t xml:space="preserve">The Value Added Tax (Special Provisions) Order 1995 (SI 1995/1268). Available at: https://www.legislation.gov.uk/uksi/1995/1268 (Accessed: 9 October 2026).</w:t>
      </w:r>
    </w:p>
    <w:p>
      <w:pPr>
        <w:pStyle w:val="Compact"/>
        <w:numPr>
          <w:ilvl w:val="0"/>
          <w:numId w:val="1616"/>
        </w:numPr>
      </w:pPr>
      <w:r>
        <w:t xml:space="preserve">Value Added Tax Act 1994, c. 23. Available at: https://www.legislation.gov.uk/ukpga/1994/23 (Accessed: 9 October 2026).</w:t>
      </w:r>
    </w:p>
    <w:p>
      <w:pPr>
        <w:pStyle w:val="Compact"/>
        <w:numPr>
          <w:ilvl w:val="0"/>
          <w:numId w:val="1616"/>
        </w:numPr>
      </w:pPr>
      <w:r>
        <w:t xml:space="preserve">The Value Added Tax Regulations 1995 (SI 1995/2518). Available at: https://www.legislation.gov.uk/uksi/1995/2518 (Accessed: 9 October 2026).</w:t>
      </w:r>
    </w:p>
    <w:p>
      <w:pPr>
        <w:pStyle w:val="Compact"/>
        <w:numPr>
          <w:ilvl w:val="0"/>
          <w:numId w:val="1616"/>
        </w:numPr>
      </w:pPr>
      <w:r>
        <w:t xml:space="preserve">Welfare Reform Act 2007, c. 5. Available at: https://www.legislation.gov.uk/ukpga/2007/5 (Accessed: 9 October 2026).</w:t>
      </w:r>
    </w:p>
    <w:p>
      <w:pPr>
        <w:pStyle w:val="Compact"/>
        <w:numPr>
          <w:ilvl w:val="0"/>
          <w:numId w:val="1616"/>
        </w:numPr>
      </w:pPr>
      <w:r>
        <w:t xml:space="preserve">Welfare Reform Act 2012, c. 5. Available at: https://www.legislation.gov.uk/ukpga/2012/5 (Accessed: 9 October 2026).</w:t>
      </w:r>
    </w:p>
    <w:p>
      <w:pPr>
        <w:pStyle w:val="Compact"/>
        <w:numPr>
          <w:ilvl w:val="0"/>
          <w:numId w:val="1616"/>
        </w:numPr>
      </w:pPr>
      <w:r>
        <w:t xml:space="preserve">Wireless Telegraphy Act 2006, c. 36. Available at: https://www.legislation.gov.uk/ukpga/2006/36 (Accessed: 9 October 2026).</w:t>
      </w:r>
    </w:p>
    <w:bookmarkEnd w:id="485"/>
    <w:bookmarkStart w:id="486" w:name="cases"/>
    <w:p>
      <w:pPr>
        <w:pStyle w:val="Heading2"/>
      </w:pPr>
      <w:r>
        <w:t xml:space="preserve">Cases</w:t>
      </w:r>
    </w:p>
    <w:p>
      <w:pPr>
        <w:pStyle w:val="FirstParagraph"/>
      </w:pPr>
      <w:r>
        <w:t xml:space="preserve">Court and tribunal decisions referred to in this guide, cited in the Cite Them Right style.</w:t>
      </w:r>
    </w:p>
    <w:p>
      <w:pPr>
        <w:pStyle w:val="Compact"/>
        <w:numPr>
          <w:ilvl w:val="0"/>
          <w:numId w:val="1617"/>
        </w:numPr>
      </w:pPr>
      <w:r>
        <w:t xml:space="preserve">Apple and Pear Development Council v Customs and Excise Commissioners [1988] STC 221. Available at: https://www.gov.uk/hmrc-internal-manuals/vat-supply-and-consideration/vatsc05100 (Accessed: 12 October 2026).</w:t>
      </w:r>
    </w:p>
    <w:p>
      <w:pPr>
        <w:pStyle w:val="Compact"/>
        <w:numPr>
          <w:ilvl w:val="0"/>
          <w:numId w:val="1617"/>
        </w:numPr>
      </w:pPr>
      <w:r>
        <w:t xml:space="preserve">Northumbria Healthcare NHS Foundation Trust v Commissioners for His Majesty’s Revenue and Customs [2025] UKSC 37. Available at: https://caselaw.nationalarchives.gov.uk/uksc/2025/37 (Accessed: 12 October 2026).</w:t>
      </w:r>
    </w:p>
    <w:p>
      <w:pPr>
        <w:pStyle w:val="Compact"/>
        <w:numPr>
          <w:ilvl w:val="0"/>
          <w:numId w:val="1617"/>
        </w:numPr>
      </w:pPr>
      <w:r>
        <w:t xml:space="preserve">Tolsma (Case C-16/93) [1994] STC 509. Available at: https://www.gov.uk/hmrc-internal-manuals/vat-supply-and-consideration/vatsc06110 (Accessed: 12 October 2026).</w:t>
      </w:r>
    </w:p>
    <w:p>
      <w:pPr>
        <w:pStyle w:val="Compact"/>
        <w:numPr>
          <w:ilvl w:val="0"/>
          <w:numId w:val="1617"/>
        </w:numPr>
      </w:pPr>
      <w:r>
        <w:t xml:space="preserve">Wakefield College v Revenue and Customs Commissioners [2018] EWCA Civ 952. Available at: https://caselaw.nationalarchives.gov.uk/ewca/civ/2018/952 (Accessed: 12 October 2026).</w:t>
      </w:r>
    </w:p>
    <w:bookmarkEnd w:id="486"/>
    <w:sectPr>
      <w:footerReference w:type="default" r:id="rId9"/>
      <w:pgSz w:h="16838" w:w="11906"/>
      <w:pgMar w:bottom="1440" w:left="1440" w:right="1440" w:top="1440"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sz w:val="20"/>
      </w:rPr>
    </w:r>
    <w:r>
      <w:rPr>
        <w:rFonts w:ascii="Tahoma" w:hAnsi="Tahoma"/>
        <w:sz w:val="20"/>
      </w:rPr>
      <w:t xml:space="preserve">Page </w:t>
    </w:r>
    <w:r>
      <w:rPr>
        <w:rFonts w:ascii="Tahoma" w:hAnsi="Tahoma"/>
        <w:sz w:val="20"/>
      </w:rPr>
      <w:fldChar w:fldCharType="begin"/>
    </w:r>
    <w:r>
      <w:rPr>
        <w:rFonts w:ascii="Tahoma" w:hAnsi="Tahoma"/>
        <w:sz w:val="20"/>
      </w:rPr>
      <w:instrText xml:space="preserve"> PAGE </w:instrText>
    </w:r>
    <w:r>
      <w:rPr>
        <w:rFonts w:ascii="Tahoma" w:hAnsi="Tahoma"/>
        <w:sz w:val="20"/>
      </w:rPr>
      <w:fldChar w:fldCharType="end"/>
    </w:r>
    <w:r>
      <w:rPr>
        <w:rFonts w:ascii="Tahoma" w:hAnsi="Tahoma"/>
        <w:sz w:val="20"/>
      </w:rPr>
      <w:t xml:space="preserve"> of </w:t>
    </w:r>
    <w:r>
      <w:rPr>
        <w:rFonts w:ascii="Tahoma" w:hAnsi="Tahoma"/>
        <w:sz w:val="20"/>
      </w:rPr>
      <w:fldChar w:fldCharType="begin"/>
    </w:r>
    <w:r>
      <w:rPr>
        <w:rFonts w:ascii="Tahoma" w:hAnsi="Tahoma"/>
        <w:sz w:val="20"/>
      </w:rPr>
      <w:instrText xml:space="preserve"> NUMPAGES </w:instrText>
    </w:r>
    <w:r>
      <w:rPr>
        <w:rFonts w:ascii="Tahoma" w:hAnsi="Tahoma"/>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22">
    <w:nsid w:val="00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2">
    <w:abstractNumId w:val="991"/>
  </w:num>
  <w:num w:numId="15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6">
    <w:abstractNumId w:val="991"/>
  </w:num>
  <w:num w:numId="159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cs="Tahoma" w:eastAsia="Tahoma" w:hAnsi="Tahoma"/>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jc w:val="left"/>
    </w:pPr>
    <w:rPr>
      <w:rFonts w:ascii="Tahoma" w:cs="Tahoma" w:eastAsia="Tahoma" w:hAnsi="Tahoma"/>
      <w:i w:val="0"/>
      <w:color w:val="1F1F1F"/>
      <w:sz w:val="24"/>
      <w:lang w:val="en-GB"/>
    </w:rPr>
  </w:style>
  <w:style w:styleId="BodyText" w:type="paragraph">
    <w:name w:val="Body Text"/>
    <w:basedOn w:val="Normal"/>
    <w:link w:val="BodyTextChar"/>
    <w:qFormat/>
    <w:pPr>
      <w:spacing w:after="160" w:before="0" w:line="276" w:lineRule="auto"/>
      <w:jc w:val="left"/>
    </w:pPr>
    <w:rPr>
      <w:rFonts w:ascii="Tahoma" w:cs="Tahoma" w:eastAsia="Tahoma" w:hAnsi="Tahoma"/>
      <w:i w:val="0"/>
      <w:color w:val="1F1F1F"/>
      <w:sz w:val="24"/>
      <w:lang w:val="en-GB"/>
    </w:rPr>
  </w:style>
  <w:style w:customStyle="1" w:styleId="FirstParagraph" w:type="paragraph">
    <w:name w:val="First Paragraph"/>
    <w:basedOn w:val="BodyText"/>
    <w:next w:val="BodyText"/>
    <w:qFormat/>
    <w:pPr>
      <w:spacing w:after="160" w:before="0" w:line="276" w:lineRule="auto"/>
      <w:jc w:val="left"/>
    </w:pPr>
    <w:rPr>
      <w:rFonts w:ascii="Tahoma" w:cs="Tahoma" w:eastAsia="Tahoma" w:hAnsi="Tahoma"/>
      <w:i w:val="0"/>
      <w:color w:val="1F1F1F"/>
      <w:sz w:val="24"/>
      <w:lang w:val="en-GB"/>
    </w:rPr>
  </w:style>
  <w:style w:customStyle="1" w:styleId="Compact" w:type="paragraph">
    <w:name w:val="Compact"/>
    <w:basedOn w:val="BodyText"/>
    <w:qFormat/>
    <w:pPr>
      <w:spacing w:after="60" w:before="0" w:line="276" w:lineRule="auto"/>
      <w:jc w:val="left"/>
    </w:pPr>
    <w:rPr>
      <w:rFonts w:ascii="Tahoma" w:cs="Tahoma" w:eastAsia="Tahoma" w:hAnsi="Tahoma"/>
      <w:i w:val="0"/>
      <w:color w:val="1F1F1F"/>
      <w:sz w:val="24"/>
      <w:lang w:val="en-GB"/>
    </w:rPr>
  </w:style>
  <w:style w:styleId="Title" w:type="paragraph">
    <w:name w:val="Title"/>
    <w:basedOn w:val="Normal"/>
    <w:next w:val="BodyText"/>
    <w:qFormat/>
    <w:pPr>
      <w:keepNext/>
      <w:keepLines/>
      <w:spacing w:after="120" w:before="240"/>
      <w:jc w:val="left"/>
    </w:pPr>
    <w:rPr>
      <w:rFonts w:ascii="Tahoma" w:cs="Tahoma" w:eastAsia="Tahoma" w:hAnsi="Tahoma"/>
      <w:b/>
      <w:bCs/>
      <w:i w:val="0"/>
      <w:color w:val="1B3A5C"/>
      <w:sz w:val="48"/>
      <w:szCs w:val="36"/>
      <w:lang w:val="en-GB"/>
    </w:rPr>
  </w:style>
  <w:style w:styleId="Subtitle" w:type="paragraph">
    <w:name w:val="Subtitle"/>
    <w:basedOn w:val="Title"/>
    <w:next w:val="BodyText"/>
    <w:qFormat/>
    <w:pPr>
      <w:keepNext/>
      <w:keepLines/>
      <w:spacing w:after="120" w:before="240"/>
      <w:jc w:val="left"/>
    </w:pPr>
    <w:rPr>
      <w:rFonts w:ascii="Tahoma" w:cs="Tahoma" w:eastAsia="Tahoma" w:hAnsi="Tahoma"/>
      <w:b w:val="0"/>
      <w:i w:val="0"/>
      <w:color w:val="5B2A4E"/>
      <w:sz w:val="28"/>
      <w:szCs w:val="30"/>
      <w:lang w:val="en-GB"/>
    </w:rPr>
  </w:style>
  <w:style w:customStyle="1" w:styleId="Author" w:type="paragraph">
    <w:name w:val="Author"/>
    <w:next w:val="BodyText"/>
    <w:qFormat/>
    <w:pPr>
      <w:keepNext/>
      <w:keepLines/>
      <w:spacing w:after="120" w:before="240"/>
      <w:jc w:val="left"/>
    </w:pPr>
    <w:rPr>
      <w:rFonts w:ascii="Tahoma" w:cs="Tahoma" w:eastAsia="Tahoma" w:hAnsi="Tahoma"/>
      <w:b w:val="0"/>
      <w:i w:val="0"/>
      <w:color w:val="1F1F1F"/>
      <w:sz w:val="24"/>
      <w:lang w:val="en-GB"/>
    </w:rPr>
  </w:style>
  <w:style w:styleId="Date" w:type="paragraph">
    <w:name w:val="Date"/>
    <w:next w:val="BodyText"/>
    <w:qFormat/>
    <w:pPr>
      <w:keepNext/>
      <w:keepLines/>
      <w:spacing w:after="120" w:before="240"/>
      <w:jc w:val="left"/>
    </w:pPr>
    <w:rPr>
      <w:rFonts w:ascii="Tahoma" w:cs="Tahoma" w:eastAsia="Tahoma" w:hAnsi="Tahoma"/>
      <w:b w:val="0"/>
      <w:i w:val="0"/>
      <w:color w:val="1F1F1F"/>
      <w:sz w:val="24"/>
      <w:lang w:val="en-GB"/>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60" w:before="0" w:line="276" w:lineRule="auto"/>
      <w:ind w:hanging="567" w:left="567"/>
      <w:jc w:val="left"/>
    </w:pPr>
    <w:rPr>
      <w:rFonts w:ascii="Tahoma" w:cs="Tahoma" w:eastAsia="Tahoma" w:hAnsi="Tahoma"/>
      <w:i w:val="0"/>
      <w:color w:val="1F1F1F"/>
      <w:sz w:val="24"/>
      <w:lang w:val="en-GB"/>
    </w:rPr>
  </w:style>
  <w:style w:styleId="Heading1" w:type="paragraph">
    <w:name w:val="Heading 1"/>
    <w:basedOn w:val="Normal"/>
    <w:next w:val="BodyText"/>
    <w:uiPriority w:val="9"/>
    <w:qFormat/>
    <w:pPr>
      <w:keepNext/>
      <w:keepLines/>
      <w:spacing w:after="120" w:before="360"/>
      <w:jc w:val="left"/>
      <w:outlineLvl w:val="0"/>
    </w:pPr>
    <w:rPr>
      <w:rFonts w:ascii="Tahoma" w:cs="Tahoma" w:eastAsia="Tahoma" w:hAnsi="Tahoma"/>
      <w:b/>
      <w:bCs/>
      <w:i w:val="0"/>
      <w:color w:val="1B3A5C"/>
      <w:sz w:val="40"/>
      <w:szCs w:val="32"/>
      <w:lang w:val="en-GB"/>
    </w:rPr>
  </w:style>
  <w:style w:styleId="Heading2" w:type="paragraph">
    <w:name w:val="Heading 2"/>
    <w:basedOn w:val="Normal"/>
    <w:next w:val="BodyText"/>
    <w:uiPriority w:val="9"/>
    <w:unhideWhenUsed/>
    <w:qFormat/>
    <w:pPr>
      <w:keepNext/>
      <w:keepLines/>
      <w:spacing w:after="120" w:before="240"/>
      <w:jc w:val="left"/>
      <w:outlineLvl w:val="1"/>
    </w:pPr>
    <w:rPr>
      <w:rFonts w:ascii="Tahoma" w:cs="Tahoma" w:eastAsia="Tahoma" w:hAnsi="Tahoma"/>
      <w:b/>
      <w:bCs/>
      <w:i w:val="0"/>
      <w:color w:val="1B3A5C"/>
      <w:sz w:val="32"/>
      <w:szCs w:val="28"/>
      <w:lang w:val="en-GB"/>
    </w:rPr>
  </w:style>
  <w:style w:styleId="Heading3" w:type="paragraph">
    <w:name w:val="Heading 3"/>
    <w:basedOn w:val="Normal"/>
    <w:next w:val="BodyText"/>
    <w:uiPriority w:val="9"/>
    <w:unhideWhenUsed/>
    <w:qFormat/>
    <w:pPr>
      <w:keepNext/>
      <w:keepLines/>
      <w:spacing w:after="120" w:before="240"/>
      <w:jc w:val="left"/>
      <w:outlineLvl w:val="2"/>
    </w:pPr>
    <w:rPr>
      <w:rFonts w:ascii="Tahoma" w:cs="Tahoma" w:eastAsia="Tahoma" w:hAnsi="Tahoma"/>
      <w:b/>
      <w:bCs/>
      <w:i w:val="0"/>
      <w:color w:val="5B2A4E"/>
      <w:sz w:val="28"/>
      <w:szCs w:val="24"/>
      <w:lang w:val="en-GB"/>
    </w:rPr>
  </w:style>
  <w:style w:styleId="Heading4" w:type="paragraph">
    <w:name w:val="Heading 4"/>
    <w:basedOn w:val="Normal"/>
    <w:next w:val="BodyText"/>
    <w:uiPriority w:val="9"/>
    <w:unhideWhenUsed/>
    <w:qFormat/>
    <w:pPr>
      <w:keepNext/>
      <w:keepLines/>
      <w:spacing w:after="120" w:before="240"/>
      <w:jc w:val="left"/>
      <w:outlineLvl w:val="3"/>
    </w:pPr>
    <w:rPr>
      <w:rFonts w:ascii="Tahoma" w:cs="Tahoma" w:eastAsia="Tahoma" w:hAnsi="Tahoma"/>
      <w:b/>
      <w:bCs/>
      <w:i w:val="0"/>
      <w:color w:val="1B3A5C"/>
      <w:sz w:val="25"/>
      <w:szCs w:val="24"/>
      <w:lang w:val="en-GB"/>
    </w:rPr>
  </w:style>
  <w:style w:styleId="Heading5" w:type="paragraph">
    <w:name w:val="Heading 5"/>
    <w:basedOn w:val="Normal"/>
    <w:next w:val="BodyText"/>
    <w:uiPriority w:val="9"/>
    <w:unhideWhenUsed/>
    <w:qFormat/>
    <w:pPr>
      <w:keepNext/>
      <w:keepLines/>
      <w:spacing w:after="120" w:before="240"/>
      <w:jc w:val="left"/>
      <w:outlineLvl w:val="4"/>
    </w:pPr>
    <w:rPr>
      <w:rFonts w:ascii="Tahoma" w:cs="Tahoma" w:eastAsia="Tahoma" w:hAnsi="Tahoma"/>
      <w:b/>
      <w:i w:val="0"/>
      <w:iCs/>
      <w:color w:val="1F1F1F"/>
      <w:sz w:val="24"/>
      <w:szCs w:val="24"/>
      <w:lang w:val="en-GB"/>
    </w:rPr>
  </w:style>
  <w:style w:styleId="Heading6" w:type="paragraph">
    <w:name w:val="Heading 6"/>
    <w:basedOn w:val="Normal"/>
    <w:next w:val="BodyText"/>
    <w:uiPriority w:val="9"/>
    <w:unhideWhenUsed/>
    <w:qFormat/>
    <w:pPr>
      <w:keepNext/>
      <w:keepLines/>
      <w:spacing w:after="120" w:before="240"/>
      <w:jc w:val="left"/>
      <w:outlineLvl w:val="5"/>
    </w:pPr>
    <w:rPr>
      <w:rFonts w:ascii="Tahoma" w:cs="Tahoma" w:eastAsia="Tahoma" w:hAnsi="Tahoma"/>
      <w:b/>
      <w:i w:val="0"/>
      <w:color w:val="1F1F1F"/>
      <w:sz w:val="24"/>
      <w:szCs w:val="24"/>
      <w:lang w:val="en-GB"/>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D9668A" w:space="8" w:sz="24" w:val="single"/>
      </w:pBdr>
      <w:shd w:color="auto" w:fill="FBEFF3" w:val="clear"/>
      <w:spacing w:after="160" w:before="0" w:line="276" w:lineRule="auto"/>
      <w:ind w:firstLine="0" w:left="227" w:right="113"/>
      <w:jc w:val="left"/>
    </w:pPr>
    <w:rPr>
      <w:rFonts w:ascii="Tahoma" w:cs="Tahoma" w:eastAsia="Tahoma" w:hAnsi="Tahoma"/>
      <w:i w:val="0"/>
      <w:color w:val="1F1F1F"/>
      <w:sz w:val="24"/>
      <w:lang w:val="en-GB"/>
    </w:rPr>
  </w:style>
  <w:style w:styleId="FootnoteText" w:type="paragraph">
    <w:name w:val="Footnote Text"/>
    <w:basedOn w:val="Normal"/>
    <w:next w:val="FootnoteText"/>
    <w:uiPriority w:val="9"/>
    <w:unhideWhenUsed/>
    <w:qFormat/>
    <w:pPr>
      <w:spacing w:after="160" w:before="0" w:line="276" w:lineRule="auto"/>
      <w:jc w:val="left"/>
    </w:pPr>
    <w:rPr>
      <w:rFonts w:ascii="Tahoma" w:cs="Tahoma" w:eastAsia="Tahoma" w:hAnsi="Tahoma"/>
      <w:i w:val="0"/>
      <w:color w:val="1F1F1F"/>
      <w:sz w:val="24"/>
      <w:lang w:val="en-GB"/>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160" w:before="0" w:line="276" w:lineRule="auto"/>
      <w:jc w:val="left"/>
    </w:pPr>
    <w:rPr>
      <w:rFonts w:ascii="Tahoma" w:cs="Tahoma" w:eastAsia="Tahoma" w:hAnsi="Tahoma"/>
      <w:b/>
      <w:i w:val="0"/>
      <w:color w:val="1F1F1F"/>
      <w:sz w:val="24"/>
      <w:lang w:val="en-GB"/>
    </w:rPr>
  </w:style>
  <w:style w:customStyle="1" w:styleId="Definition" w:type="paragraph">
    <w:name w:val="Definition"/>
    <w:basedOn w:val="Normal"/>
    <w:pPr>
      <w:spacing w:after="160" w:before="0" w:line="276" w:lineRule="auto"/>
      <w:jc w:val="left"/>
    </w:pPr>
    <w:rPr>
      <w:rFonts w:ascii="Tahoma" w:cs="Tahoma" w:eastAsia="Tahoma" w:hAnsi="Tahoma"/>
      <w:i w:val="0"/>
      <w:color w:val="1F1F1F"/>
      <w:sz w:val="24"/>
      <w:lang w:val="en-GB"/>
    </w:rPr>
  </w:style>
  <w:style w:styleId="Caption" w:type="paragraph">
    <w:name w:val="Caption"/>
    <w:basedOn w:val="Normal"/>
    <w:link w:val="BodyTextChar"/>
    <w:pPr>
      <w:spacing w:after="160" w:before="0" w:line="276" w:lineRule="auto"/>
      <w:jc w:val="left"/>
    </w:pPr>
    <w:rPr>
      <w:rFonts w:ascii="Tahoma" w:cs="Tahoma" w:eastAsia="Tahoma" w:hAnsi="Tahoma"/>
      <w:i w:val="0"/>
      <w:color w:val="1F1F1F"/>
      <w:sz w:val="24"/>
      <w:lang w:val="en-GB"/>
    </w:rPr>
  </w:style>
  <w:style w:customStyle="1" w:styleId="TableCaption" w:type="paragraph">
    <w:name w:val="Table Caption"/>
    <w:basedOn w:val="Caption"/>
    <w:pPr>
      <w:keepNext/>
      <w:spacing w:after="160" w:before="0" w:line="276" w:lineRule="auto"/>
      <w:jc w:val="left"/>
    </w:pPr>
    <w:rPr>
      <w:rFonts w:ascii="Tahoma" w:cs="Tahoma" w:eastAsia="Tahoma" w:hAnsi="Tahoma"/>
      <w:i w:val="0"/>
      <w:color w:val="1F1F1F"/>
      <w:sz w:val="24"/>
      <w:lang w:val="en-GB"/>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ahoma" w:cs="Tahoma" w:eastAsia="Tahoma" w:hAnsi="Tahoma"/>
      <w:color w:val="1F5C99"/>
      <w:u w:val="single"/>
      <w:lang w:val="en-GB"/>
    </w:rPr>
  </w:style>
  <w:style w:styleId="TOCHeading" w:type="paragraph">
    <w:name w:val="TOC Heading"/>
    <w:basedOn w:val="Heading1"/>
    <w:next w:val="BodyText"/>
    <w:uiPriority w:val="39"/>
    <w:unhideWhenUsed/>
    <w:qFormat/>
    <w:pPr>
      <w:keepNext/>
      <w:spacing w:after="120" w:before="240" w:line="259" w:lineRule="auto"/>
      <w:jc w:val="left"/>
      <w:outlineLvl w:val="9"/>
    </w:pPr>
    <w:rPr>
      <w:rFonts w:ascii="Tahoma" w:cs="Tahoma" w:eastAsia="Tahoma" w:hAnsi="Tahoma"/>
      <w:b/>
      <w:bCs w:val="0"/>
      <w:i w:val="0"/>
      <w:color w:val="1B3A5C"/>
      <w:sz w:val="32"/>
      <w:lang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7" Type="http://schemas.openxmlformats.org/officeDocument/2006/relationships/hyperlink" Target="https://assets.publishing.service.gov.uk/media/5f47b17d8fa8f5362a8277d0/20200824-_Section_41_Policy_Paper_for_publication_Aug_2020.pdf" TargetMode="External"/><Relationship Id="rId351" Type="http://schemas.openxmlformats.org/officeDocument/2006/relationships/hyperlink" Target="https://assets.publishing.service.gov.uk/media/60f827c0e90e0764c9ee47af/210611_section_41_policy_paper_response_first_draft_v.16__002_.pdf" TargetMode="External"/><Relationship Id="rId355" Type="http://schemas.openxmlformats.org/officeDocument/2006/relationships/hyperlink" Target="https://www.gov.uk/government/publications/managing-public-money" TargetMode="External"/><Relationship Id="rId463" Type="http://schemas.openxmlformats.org/officeDocument/2006/relationships/hyperlink" Target="https://www.gov.uk/government/publications/notice-ipt-1-insurance-premium-tax/notice-ipt1-insurance-premium-tax" TargetMode="External"/><Relationship Id="rId353" Type="http://schemas.openxmlformats.org/officeDocument/2006/relationships/hyperlink" Target="https://www.gov.uk/government/publications/private-finance-initiative-and-private-finance-2-projects-2019-21-summary-data" TargetMode="External"/><Relationship Id="rId469" Type="http://schemas.openxmlformats.org/officeDocument/2006/relationships/hyperlink" Target="https://www.gov.uk/government/publications/revenue-and-customs-brief-5-2026-temporary-reduced-rate-of-vat-for-childrens-meals-tickets-and-family-attractions/temporary-reduced-rate-of-vat-for-childrens-meals-tickets-and-family-attractions" TargetMode="External"/><Relationship Id="rId357" Type="http://schemas.openxmlformats.org/officeDocument/2006/relationships/hyperlink" Target="https://www.gov.uk/government/publications/vat-and-the-public-sector-reform-to-vat-refund-rules" TargetMode="External"/><Relationship Id="rId419" Type="http://schemas.openxmlformats.org/officeDocument/2006/relationships/hyperlink" Target="https://www.gov.uk/guidance/apply-for-an-account-to-defer-duty-payments-when-you-import-or-release-goods-into-great-britain" TargetMode="External"/><Relationship Id="rId445" Type="http://schemas.openxmlformats.org/officeDocument/2006/relationships/hyperlink" Target="https://www.gov.uk/guidance/buildings-and-construction-vat-notice-708" TargetMode="External"/><Relationship Id="rId447" Type="http://schemas.openxmlformats.org/officeDocument/2006/relationships/hyperlink" Target="https://www.gov.uk/guidance/business-entertainment-and-vat-notice-70065" TargetMode="External"/><Relationship Id="rId421" Type="http://schemas.openxmlformats.org/officeDocument/2006/relationships/hyperlink" Target="https://www.gov.uk/guidance/charity-funded-equipment-for-medical-and-veterinary-uses-notice-7016" TargetMode="External"/><Relationship Id="rId423" Type="http://schemas.openxmlformats.org/officeDocument/2006/relationships/hyperlink" Target="https://www.gov.uk/guidance/check-when-you-can-account-for-import-vat-on-your-vat-return" TargetMode="External"/><Relationship Id="rId399" Type="http://schemas.openxmlformats.org/officeDocument/2006/relationships/hyperlink" Target="https://www.gov.uk/guidance/complete-your-vat-return-to-account-for-import-vat" TargetMode="External"/><Relationship Id="rId451" Type="http://schemas.openxmlformats.org/officeDocument/2006/relationships/hyperlink" Target="https://www.gov.uk/guidance/food-products-and-vat-notice-70114" TargetMode="External"/><Relationship Id="rId401" Type="http://schemas.openxmlformats.org/officeDocument/2006/relationships/hyperlink" Target="https://www.gov.uk/guidance/get-confirmation-from-hmrc-that-you-are-trading-in-the-uk" TargetMode="External"/><Relationship Id="rId455" Type="http://schemas.openxmlformats.org/officeDocument/2006/relationships/hyperlink" Target="https://www.gov.uk/guidance/get-your-import-vat-certificates" TargetMode="External"/><Relationship Id="rId407" Type="http://schemas.openxmlformats.org/officeDocument/2006/relationships/hyperlink" Target="https://www.gov.uk/guidance/get-your-postponed-import-vat-statement" TargetMode="External"/><Relationship Id="rId403" Type="http://schemas.openxmlformats.org/officeDocument/2006/relationships/hyperlink" Target="https://www.gov.uk/guidance/government-departments-partial-exemption-framework" TargetMode="External"/><Relationship Id="rId457" Type="http://schemas.openxmlformats.org/officeDocument/2006/relationships/hyperlink" Target="https://www.gov.uk/guidance/health-professionals-pharmaceutical-products-and-vat-notice-70157" TargetMode="External"/><Relationship Id="rId381" Type="http://schemas.openxmlformats.org/officeDocument/2006/relationships/hyperlink" Target="https://www.gov.uk/guidance/hotels-holiday-accommodation-and-vat-notice-7093" TargetMode="External"/><Relationship Id="rId427" Type="http://schemas.openxmlformats.org/officeDocument/2006/relationships/hyperlink" Target="https://www.gov.uk/guidance/how-to-correct-vat-errors-and-make-adjustments-or-claims-vat-notice-70045" TargetMode="External"/><Relationship Id="rId429" Type="http://schemas.openxmlformats.org/officeDocument/2006/relationships/hyperlink" Target="https://www.gov.uk/guidance/how-to-fill-in-and-submit-your-vat-return-vat-notice-70012" TargetMode="External"/><Relationship Id="rId459" Type="http://schemas.openxmlformats.org/officeDocument/2006/relationships/hyperlink" Target="https://www.gov.uk/guidance/how-vat-affects-charities-notice-7011" TargetMode="External"/><Relationship Id="rId461" Type="http://schemas.openxmlformats.org/officeDocument/2006/relationships/hyperlink" Target="https://www.gov.uk/guidance/insurance-notice-70136" TargetMode="External"/><Relationship Id="rId431" Type="http://schemas.openxmlformats.org/officeDocument/2006/relationships/hyperlink" Target="https://www.gov.uk/guidance/local-authorities-and-similar-bodies-notice-749" TargetMode="External"/><Relationship Id="rId383" Type="http://schemas.openxmlformats.org/officeDocument/2006/relationships/hyperlink" Target="https://www.gov.uk/guidance/nhs-bodies-partial-exemption-framework" TargetMode="External"/><Relationship Id="rId465" Type="http://schemas.openxmlformats.org/officeDocument/2006/relationships/hyperlink" Target="https://www.gov.uk/guidance/opting-to-tax-land-and-buildings-notice-742a" TargetMode="External"/><Relationship Id="rId433" Type="http://schemas.openxmlformats.org/officeDocument/2006/relationships/hyperlink" Target="https://www.gov.uk/guidance/partial-exemption-vat-notice-706" TargetMode="External"/><Relationship Id="rId409" Type="http://schemas.openxmlformats.org/officeDocument/2006/relationships/hyperlink" Target="https://www.gov.uk/guidance/paying-vat-and-duties-on-imports" TargetMode="External"/><Relationship Id="rId389" Type="http://schemas.openxmlformats.org/officeDocument/2006/relationships/hyperlink" Target="https://www.gov.uk/guidance/protective-equipment-and-vat-notice-70123" TargetMode="External"/><Relationship Id="rId467" Type="http://schemas.openxmlformats.org/officeDocument/2006/relationships/hyperlink" Target="https://www.gov.uk/guidance/refunds-of-uk-vat-for-non-uk-businesses-or-eu-vat-for-uk-businesses" TargetMode="External"/><Relationship Id="rId359" Type="http://schemas.openxmlformats.org/officeDocument/2006/relationships/hyperlink" Target="https://www.gov.uk/guidance/sport-supplies-that-are-vat-exempt-notice-70145" TargetMode="External"/><Relationship Id="rId449" Type="http://schemas.openxmlformats.org/officeDocument/2006/relationships/hyperlink" Target="https://www.gov.uk/guidance/the-vat-domestic-reverse-charge-procedure-notice-735" TargetMode="External"/><Relationship Id="rId391" Type="http://schemas.openxmlformats.org/officeDocument/2006/relationships/hyperlink" Target="https://www.gov.uk/guidance/the-vat-treatment-of-passenger-transport-notice-744a" TargetMode="External"/><Relationship Id="rId415" Type="http://schemas.openxmlformats.org/officeDocument/2006/relationships/hyperlink" Target="https://www.gov.uk/guidance/tour-operators-margin-scheme-for-vat-notice-7095" TargetMode="External"/><Relationship Id="rId435" Type="http://schemas.openxmlformats.org/officeDocument/2006/relationships/hyperlink" Target="https://www.gov.uk/guidance/transfer-a-business-as-a-going-concern-and-vat-notice-7009" TargetMode="External"/><Relationship Id="rId367" Type="http://schemas.openxmlformats.org/officeDocument/2006/relationships/hyperlink" Target="https://www.gov.uk/guidance/travel-agents-and-vat-notice-7096" TargetMode="External"/><Relationship Id="rId393" Type="http://schemas.openxmlformats.org/officeDocument/2006/relationships/hyperlink" Target="https://www.gov.uk/guidance/vat-and-overseas-goods-sold-directly-to-customers-in-the-uk" TargetMode="External"/><Relationship Id="rId395" Type="http://schemas.openxmlformats.org/officeDocument/2006/relationships/hyperlink" Target="https://www.gov.uk/guidance/vat-and-overseas-goods-sold-to-customers-in-the-uk-using-online-marketplaces" TargetMode="External"/><Relationship Id="rId379" Type="http://schemas.openxmlformats.org/officeDocument/2006/relationships/hyperlink" Target="https://www.gov.uk/guidance/vat-exemption-and-partial-exemption" TargetMode="External"/><Relationship Id="rId473" Type="http://schemas.openxmlformats.org/officeDocument/2006/relationships/hyperlink" Target="https://www.gov.uk/guidance/vat-guide-notice-700" TargetMode="External"/><Relationship Id="rId365" Type="http://schemas.openxmlformats.org/officeDocument/2006/relationships/hyperlink" Target="https://www.gov.uk/guidance/vat-imports-acquisitions-and-purchases-from-abroad" TargetMode="External"/><Relationship Id="rId425" Type="http://schemas.openxmlformats.org/officeDocument/2006/relationships/hyperlink" Target="https://www.gov.uk/guidance/vat-on-education-and-vocational-training-notice-70130" TargetMode="External"/><Relationship Id="rId375" Type="http://schemas.openxmlformats.org/officeDocument/2006/relationships/hyperlink" Target="https://www.gov.uk/guidance/vat-on-freight-transport-and-associated-services-notice-744b" TargetMode="External"/><Relationship Id="rId453" Type="http://schemas.openxmlformats.org/officeDocument/2006/relationships/hyperlink" Target="https://www.gov.uk/guidance/vat-on-fuel-and-power-notice-70119" TargetMode="External"/><Relationship Id="rId475" Type="http://schemas.openxmlformats.org/officeDocument/2006/relationships/hyperlink" Target="https://www.gov.uk/guidance/vat-on-goods-exported-from-the-uk-notice-703" TargetMode="External"/><Relationship Id="rId363" Type="http://schemas.openxmlformats.org/officeDocument/2006/relationships/hyperlink" Target="https://www.gov.uk/guidance/vat-on-land-and-property-notice-742" TargetMode="External"/><Relationship Id="rId411" Type="http://schemas.openxmlformats.org/officeDocument/2006/relationships/hyperlink" Target="https://www.gov.uk/guidance/vat-on-motoring-expenses-notice-70064" TargetMode="External"/><Relationship Id="rId477" Type="http://schemas.openxmlformats.org/officeDocument/2006/relationships/hyperlink" Target="https://www.gov.uk/guidance/vat-on-movements-of-goods-between-northern-ireland-and-the-eu" TargetMode="External"/><Relationship Id="rId387" Type="http://schemas.openxmlformats.org/officeDocument/2006/relationships/hyperlink" Target="https://www.gov.uk/guidance/vat-on-postage-delivery-and-direct-marketing-notice-70024" TargetMode="External"/><Relationship Id="rId385" Type="http://schemas.openxmlformats.org/officeDocument/2006/relationships/hyperlink" Target="https://www.gov.uk/guidance/vat-place-of-supply-of-services-notice-741a" TargetMode="External"/><Relationship Id="rId479" Type="http://schemas.openxmlformats.org/officeDocument/2006/relationships/hyperlink" Target="https://www.gov.uk/guidance/vat-rates-on-different-goods-and-services" TargetMode="External"/><Relationship Id="rId369" Type="http://schemas.openxmlformats.org/officeDocument/2006/relationships/hyperlink" Target="https://www.gov.uk/guidance/vat-refunds-for-uk-businesses-buying-from-other-eu-countries" TargetMode="External"/><Relationship Id="rId371" Type="http://schemas.openxmlformats.org/officeDocument/2006/relationships/hyperlink" Target="https://www.gov.uk/guidance/vat-relief-for-suppliers-to-visiting-forces-notice-431" TargetMode="External"/><Relationship Id="rId443" Type="http://schemas.openxmlformats.org/officeDocument/2006/relationships/hyperlink" Target="https://www.gov.uk/guidance/working-out-the-vat-value-using-the-customs-value-of-the-imported-goods" TargetMode="External"/><Relationship Id="rId373" Type="http://schemas.openxmlformats.org/officeDocument/2006/relationships/hyperlink" Target="https://www.gov.uk/guidance/zero-rating-books-and-printed-matter-for-vat-notice-70110" TargetMode="External"/><Relationship Id="rId417" Type="http://schemas.openxmlformats.org/officeDocument/2006/relationships/hyperlink" Target="https://www.gov.uk/hmrc-internal-manuals/vat-business-non-business" TargetMode="External"/><Relationship Id="rId437" Type="http://schemas.openxmlformats.org/officeDocument/2006/relationships/hyperlink" Target="https://www.gov.uk/hmrc-internal-manuals/vat-finance-manual" TargetMode="External"/><Relationship Id="rId471" Type="http://schemas.openxmlformats.org/officeDocument/2006/relationships/hyperlink" Target="https://www.gov.uk/hmrc-internal-manuals/vat-government-and-public-bodies" TargetMode="External"/><Relationship Id="rId439" Type="http://schemas.openxmlformats.org/officeDocument/2006/relationships/hyperlink" Target="https://www.gov.uk/hmrc-internal-manuals/vat-land-and-property" TargetMode="External"/><Relationship Id="rId397" Type="http://schemas.openxmlformats.org/officeDocument/2006/relationships/hyperlink" Target="https://www.gov.uk/hmrc-internal-manuals/vat-place-of-supply-services" TargetMode="External"/><Relationship Id="rId441" Type="http://schemas.openxmlformats.org/officeDocument/2006/relationships/hyperlink" Target="https://www.gov.uk/hmrc-internal-manuals/vat-supply-and-consideration" TargetMode="External"/><Relationship Id="rId405" Type="http://schemas.openxmlformats.org/officeDocument/2006/relationships/hyperlink" Target="https://www.gov.uk/hmrc-internal-manuals/vat-transport" TargetMode="External"/><Relationship Id="rId377" Type="http://schemas.openxmlformats.org/officeDocument/2006/relationships/hyperlink" Target="https://www.gov.uk/hmrc-internal-manuals/vat-water-and-sewerage-services" TargetMode="External"/><Relationship Id="rId343" Type="http://schemas.openxmlformats.org/officeDocument/2006/relationships/hyperlink" Target="https://www.gov.uk/import-goods-into-uk" TargetMode="External"/><Relationship Id="rId413" Type="http://schemas.openxmlformats.org/officeDocument/2006/relationships/hyperlink" Target="https://www.gov.uk/register-for-vat" TargetMode="External"/><Relationship Id="rId361" Type="http://schemas.openxmlformats.org/officeDocument/2006/relationships/hyperlink" Target="https://www.gov.uk/vat-rates" TargetMode="External"/><Relationship Id="rId481" Type="http://schemas.openxmlformats.org/officeDocument/2006/relationships/hyperlink" Target="https://www.hfma.org.uk/publications/nhs-charities-and-vat" TargetMode="External"/><Relationship Id="rId349" Type="http://schemas.openxmlformats.org/officeDocument/2006/relationships/hyperlink" Target="https://www.thegazette.co.uk/notice/3665219" TargetMode="External"/><Relationship Id="rId345" Type="http://schemas.openxmlformats.org/officeDocument/2006/relationships/hyperlink" Target="https://www.thegazette.co.uk/notice/L-58877-658006"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47" Type="http://schemas.openxmlformats.org/officeDocument/2006/relationships/hyperlink" Target="https://assets.publishing.service.gov.uk/media/5f47b17d8fa8f5362a8277d0/20200824-_Section_41_Policy_Paper_for_publication_Aug_2020.pdf" TargetMode="External"/><Relationship Id="rId351" Type="http://schemas.openxmlformats.org/officeDocument/2006/relationships/hyperlink" Target="https://assets.publishing.service.gov.uk/media/60f827c0e90e0764c9ee47af/210611_section_41_policy_paper_response_first_draft_v.16__002_.pdf" TargetMode="External"/><Relationship Id="rId355" Type="http://schemas.openxmlformats.org/officeDocument/2006/relationships/hyperlink" Target="https://www.gov.uk/government/publications/managing-public-money" TargetMode="External"/><Relationship Id="rId463" Type="http://schemas.openxmlformats.org/officeDocument/2006/relationships/hyperlink" Target="https://www.gov.uk/government/publications/notice-ipt-1-insurance-premium-tax/notice-ipt1-insurance-premium-tax" TargetMode="External"/><Relationship Id="rId353" Type="http://schemas.openxmlformats.org/officeDocument/2006/relationships/hyperlink" Target="https://www.gov.uk/government/publications/private-finance-initiative-and-private-finance-2-projects-2019-21-summary-data" TargetMode="External"/><Relationship Id="rId469" Type="http://schemas.openxmlformats.org/officeDocument/2006/relationships/hyperlink" Target="https://www.gov.uk/government/publications/revenue-and-customs-brief-5-2026-temporary-reduced-rate-of-vat-for-childrens-meals-tickets-and-family-attractions/temporary-reduced-rate-of-vat-for-childrens-meals-tickets-and-family-attractions" TargetMode="External"/><Relationship Id="rId357" Type="http://schemas.openxmlformats.org/officeDocument/2006/relationships/hyperlink" Target="https://www.gov.uk/government/publications/vat-and-the-public-sector-reform-to-vat-refund-rules" TargetMode="External"/><Relationship Id="rId419" Type="http://schemas.openxmlformats.org/officeDocument/2006/relationships/hyperlink" Target="https://www.gov.uk/guidance/apply-for-an-account-to-defer-duty-payments-when-you-import-or-release-goods-into-great-britain" TargetMode="External"/><Relationship Id="rId445" Type="http://schemas.openxmlformats.org/officeDocument/2006/relationships/hyperlink" Target="https://www.gov.uk/guidance/buildings-and-construction-vat-notice-708" TargetMode="External"/><Relationship Id="rId447" Type="http://schemas.openxmlformats.org/officeDocument/2006/relationships/hyperlink" Target="https://www.gov.uk/guidance/business-entertainment-and-vat-notice-70065" TargetMode="External"/><Relationship Id="rId421" Type="http://schemas.openxmlformats.org/officeDocument/2006/relationships/hyperlink" Target="https://www.gov.uk/guidance/charity-funded-equipment-for-medical-and-veterinary-uses-notice-7016" TargetMode="External"/><Relationship Id="rId423" Type="http://schemas.openxmlformats.org/officeDocument/2006/relationships/hyperlink" Target="https://www.gov.uk/guidance/check-when-you-can-account-for-import-vat-on-your-vat-return" TargetMode="External"/><Relationship Id="rId399" Type="http://schemas.openxmlformats.org/officeDocument/2006/relationships/hyperlink" Target="https://www.gov.uk/guidance/complete-your-vat-return-to-account-for-import-vat" TargetMode="External"/><Relationship Id="rId451" Type="http://schemas.openxmlformats.org/officeDocument/2006/relationships/hyperlink" Target="https://www.gov.uk/guidance/food-products-and-vat-notice-70114" TargetMode="External"/><Relationship Id="rId401" Type="http://schemas.openxmlformats.org/officeDocument/2006/relationships/hyperlink" Target="https://www.gov.uk/guidance/get-confirmation-from-hmrc-that-you-are-trading-in-the-uk" TargetMode="External"/><Relationship Id="rId455" Type="http://schemas.openxmlformats.org/officeDocument/2006/relationships/hyperlink" Target="https://www.gov.uk/guidance/get-your-import-vat-certificates" TargetMode="External"/><Relationship Id="rId407" Type="http://schemas.openxmlformats.org/officeDocument/2006/relationships/hyperlink" Target="https://www.gov.uk/guidance/get-your-postponed-import-vat-statement" TargetMode="External"/><Relationship Id="rId403" Type="http://schemas.openxmlformats.org/officeDocument/2006/relationships/hyperlink" Target="https://www.gov.uk/guidance/government-departments-partial-exemption-framework" TargetMode="External"/><Relationship Id="rId457" Type="http://schemas.openxmlformats.org/officeDocument/2006/relationships/hyperlink" Target="https://www.gov.uk/guidance/health-professionals-pharmaceutical-products-and-vat-notice-70157" TargetMode="External"/><Relationship Id="rId381" Type="http://schemas.openxmlformats.org/officeDocument/2006/relationships/hyperlink" Target="https://www.gov.uk/guidance/hotels-holiday-accommodation-and-vat-notice-7093" TargetMode="External"/><Relationship Id="rId427" Type="http://schemas.openxmlformats.org/officeDocument/2006/relationships/hyperlink" Target="https://www.gov.uk/guidance/how-to-correct-vat-errors-and-make-adjustments-or-claims-vat-notice-70045" TargetMode="External"/><Relationship Id="rId429" Type="http://schemas.openxmlformats.org/officeDocument/2006/relationships/hyperlink" Target="https://www.gov.uk/guidance/how-to-fill-in-and-submit-your-vat-return-vat-notice-70012" TargetMode="External"/><Relationship Id="rId459" Type="http://schemas.openxmlformats.org/officeDocument/2006/relationships/hyperlink" Target="https://www.gov.uk/guidance/how-vat-affects-charities-notice-7011" TargetMode="External"/><Relationship Id="rId461" Type="http://schemas.openxmlformats.org/officeDocument/2006/relationships/hyperlink" Target="https://www.gov.uk/guidance/insurance-notice-70136" TargetMode="External"/><Relationship Id="rId431" Type="http://schemas.openxmlformats.org/officeDocument/2006/relationships/hyperlink" Target="https://www.gov.uk/guidance/local-authorities-and-similar-bodies-notice-749" TargetMode="External"/><Relationship Id="rId383" Type="http://schemas.openxmlformats.org/officeDocument/2006/relationships/hyperlink" Target="https://www.gov.uk/guidance/nhs-bodies-partial-exemption-framework" TargetMode="External"/><Relationship Id="rId465" Type="http://schemas.openxmlformats.org/officeDocument/2006/relationships/hyperlink" Target="https://www.gov.uk/guidance/opting-to-tax-land-and-buildings-notice-742a" TargetMode="External"/><Relationship Id="rId433" Type="http://schemas.openxmlformats.org/officeDocument/2006/relationships/hyperlink" Target="https://www.gov.uk/guidance/partial-exemption-vat-notice-706" TargetMode="External"/><Relationship Id="rId409" Type="http://schemas.openxmlformats.org/officeDocument/2006/relationships/hyperlink" Target="https://www.gov.uk/guidance/paying-vat-and-duties-on-imports" TargetMode="External"/><Relationship Id="rId389" Type="http://schemas.openxmlformats.org/officeDocument/2006/relationships/hyperlink" Target="https://www.gov.uk/guidance/protective-equipment-and-vat-notice-70123" TargetMode="External"/><Relationship Id="rId467" Type="http://schemas.openxmlformats.org/officeDocument/2006/relationships/hyperlink" Target="https://www.gov.uk/guidance/refunds-of-uk-vat-for-non-uk-businesses-or-eu-vat-for-uk-businesses" TargetMode="External"/><Relationship Id="rId359" Type="http://schemas.openxmlformats.org/officeDocument/2006/relationships/hyperlink" Target="https://www.gov.uk/guidance/sport-supplies-that-are-vat-exempt-notice-70145" TargetMode="External"/><Relationship Id="rId449" Type="http://schemas.openxmlformats.org/officeDocument/2006/relationships/hyperlink" Target="https://www.gov.uk/guidance/the-vat-domestic-reverse-charge-procedure-notice-735" TargetMode="External"/><Relationship Id="rId391" Type="http://schemas.openxmlformats.org/officeDocument/2006/relationships/hyperlink" Target="https://www.gov.uk/guidance/the-vat-treatment-of-passenger-transport-notice-744a" TargetMode="External"/><Relationship Id="rId415" Type="http://schemas.openxmlformats.org/officeDocument/2006/relationships/hyperlink" Target="https://www.gov.uk/guidance/tour-operators-margin-scheme-for-vat-notice-7095" TargetMode="External"/><Relationship Id="rId435" Type="http://schemas.openxmlformats.org/officeDocument/2006/relationships/hyperlink" Target="https://www.gov.uk/guidance/transfer-a-business-as-a-going-concern-and-vat-notice-7009" TargetMode="External"/><Relationship Id="rId367" Type="http://schemas.openxmlformats.org/officeDocument/2006/relationships/hyperlink" Target="https://www.gov.uk/guidance/travel-agents-and-vat-notice-7096" TargetMode="External"/><Relationship Id="rId393" Type="http://schemas.openxmlformats.org/officeDocument/2006/relationships/hyperlink" Target="https://www.gov.uk/guidance/vat-and-overseas-goods-sold-directly-to-customers-in-the-uk" TargetMode="External"/><Relationship Id="rId395" Type="http://schemas.openxmlformats.org/officeDocument/2006/relationships/hyperlink" Target="https://www.gov.uk/guidance/vat-and-overseas-goods-sold-to-customers-in-the-uk-using-online-marketplaces" TargetMode="External"/><Relationship Id="rId379" Type="http://schemas.openxmlformats.org/officeDocument/2006/relationships/hyperlink" Target="https://www.gov.uk/guidance/vat-exemption-and-partial-exemption" TargetMode="External"/><Relationship Id="rId473" Type="http://schemas.openxmlformats.org/officeDocument/2006/relationships/hyperlink" Target="https://www.gov.uk/guidance/vat-guide-notice-700" TargetMode="External"/><Relationship Id="rId365" Type="http://schemas.openxmlformats.org/officeDocument/2006/relationships/hyperlink" Target="https://www.gov.uk/guidance/vat-imports-acquisitions-and-purchases-from-abroad" TargetMode="External"/><Relationship Id="rId425" Type="http://schemas.openxmlformats.org/officeDocument/2006/relationships/hyperlink" Target="https://www.gov.uk/guidance/vat-on-education-and-vocational-training-notice-70130" TargetMode="External"/><Relationship Id="rId375" Type="http://schemas.openxmlformats.org/officeDocument/2006/relationships/hyperlink" Target="https://www.gov.uk/guidance/vat-on-freight-transport-and-associated-services-notice-744b" TargetMode="External"/><Relationship Id="rId453" Type="http://schemas.openxmlformats.org/officeDocument/2006/relationships/hyperlink" Target="https://www.gov.uk/guidance/vat-on-fuel-and-power-notice-70119" TargetMode="External"/><Relationship Id="rId475" Type="http://schemas.openxmlformats.org/officeDocument/2006/relationships/hyperlink" Target="https://www.gov.uk/guidance/vat-on-goods-exported-from-the-uk-notice-703" TargetMode="External"/><Relationship Id="rId363" Type="http://schemas.openxmlformats.org/officeDocument/2006/relationships/hyperlink" Target="https://www.gov.uk/guidance/vat-on-land-and-property-notice-742" TargetMode="External"/><Relationship Id="rId411" Type="http://schemas.openxmlformats.org/officeDocument/2006/relationships/hyperlink" Target="https://www.gov.uk/guidance/vat-on-motoring-expenses-notice-70064" TargetMode="External"/><Relationship Id="rId477" Type="http://schemas.openxmlformats.org/officeDocument/2006/relationships/hyperlink" Target="https://www.gov.uk/guidance/vat-on-movements-of-goods-between-northern-ireland-and-the-eu" TargetMode="External"/><Relationship Id="rId387" Type="http://schemas.openxmlformats.org/officeDocument/2006/relationships/hyperlink" Target="https://www.gov.uk/guidance/vat-on-postage-delivery-and-direct-marketing-notice-70024" TargetMode="External"/><Relationship Id="rId385" Type="http://schemas.openxmlformats.org/officeDocument/2006/relationships/hyperlink" Target="https://www.gov.uk/guidance/vat-place-of-supply-of-services-notice-741a" TargetMode="External"/><Relationship Id="rId479" Type="http://schemas.openxmlformats.org/officeDocument/2006/relationships/hyperlink" Target="https://www.gov.uk/guidance/vat-rates-on-different-goods-and-services" TargetMode="External"/><Relationship Id="rId369" Type="http://schemas.openxmlformats.org/officeDocument/2006/relationships/hyperlink" Target="https://www.gov.uk/guidance/vat-refunds-for-uk-businesses-buying-from-other-eu-countries" TargetMode="External"/><Relationship Id="rId371" Type="http://schemas.openxmlformats.org/officeDocument/2006/relationships/hyperlink" Target="https://www.gov.uk/guidance/vat-relief-for-suppliers-to-visiting-forces-notice-431" TargetMode="External"/><Relationship Id="rId443" Type="http://schemas.openxmlformats.org/officeDocument/2006/relationships/hyperlink" Target="https://www.gov.uk/guidance/working-out-the-vat-value-using-the-customs-value-of-the-imported-goods" TargetMode="External"/><Relationship Id="rId373" Type="http://schemas.openxmlformats.org/officeDocument/2006/relationships/hyperlink" Target="https://www.gov.uk/guidance/zero-rating-books-and-printed-matter-for-vat-notice-70110" TargetMode="External"/><Relationship Id="rId417" Type="http://schemas.openxmlformats.org/officeDocument/2006/relationships/hyperlink" Target="https://www.gov.uk/hmrc-internal-manuals/vat-business-non-business" TargetMode="External"/><Relationship Id="rId437" Type="http://schemas.openxmlformats.org/officeDocument/2006/relationships/hyperlink" Target="https://www.gov.uk/hmrc-internal-manuals/vat-finance-manual" TargetMode="External"/><Relationship Id="rId471" Type="http://schemas.openxmlformats.org/officeDocument/2006/relationships/hyperlink" Target="https://www.gov.uk/hmrc-internal-manuals/vat-government-and-public-bodies" TargetMode="External"/><Relationship Id="rId439" Type="http://schemas.openxmlformats.org/officeDocument/2006/relationships/hyperlink" Target="https://www.gov.uk/hmrc-internal-manuals/vat-land-and-property" TargetMode="External"/><Relationship Id="rId397" Type="http://schemas.openxmlformats.org/officeDocument/2006/relationships/hyperlink" Target="https://www.gov.uk/hmrc-internal-manuals/vat-place-of-supply-services" TargetMode="External"/><Relationship Id="rId441" Type="http://schemas.openxmlformats.org/officeDocument/2006/relationships/hyperlink" Target="https://www.gov.uk/hmrc-internal-manuals/vat-supply-and-consideration" TargetMode="External"/><Relationship Id="rId405" Type="http://schemas.openxmlformats.org/officeDocument/2006/relationships/hyperlink" Target="https://www.gov.uk/hmrc-internal-manuals/vat-transport" TargetMode="External"/><Relationship Id="rId377" Type="http://schemas.openxmlformats.org/officeDocument/2006/relationships/hyperlink" Target="https://www.gov.uk/hmrc-internal-manuals/vat-water-and-sewerage-services" TargetMode="External"/><Relationship Id="rId343" Type="http://schemas.openxmlformats.org/officeDocument/2006/relationships/hyperlink" Target="https://www.gov.uk/import-goods-into-uk" TargetMode="External"/><Relationship Id="rId413" Type="http://schemas.openxmlformats.org/officeDocument/2006/relationships/hyperlink" Target="https://www.gov.uk/register-for-vat" TargetMode="External"/><Relationship Id="rId361" Type="http://schemas.openxmlformats.org/officeDocument/2006/relationships/hyperlink" Target="https://www.gov.uk/vat-rates" TargetMode="External"/><Relationship Id="rId481" Type="http://schemas.openxmlformats.org/officeDocument/2006/relationships/hyperlink" Target="https://www.hfma.org.uk/publications/nhs-charities-and-vat" TargetMode="External"/><Relationship Id="rId349" Type="http://schemas.openxmlformats.org/officeDocument/2006/relationships/hyperlink" Target="https://www.thegazette.co.uk/notice/3665219" TargetMode="External"/><Relationship Id="rId345" Type="http://schemas.openxmlformats.org/officeDocument/2006/relationships/hyperlink" Target="https://www.thegazette.co.uk/notice/L-58877-658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VAT Contracted-Out Services (COS) Headings: A Guide for a UK Government Department</dc:title>
  <dc:creator>Natasha (prepared with Claude Code)</dc:creator>
  <dc:language>en-GB</dc:language>
  <cp:keywords/>
  <dcterms:created xsi:type="dcterms:W3CDTF">2026-10-12T21:18:41Z</dcterms:created>
  <dcterms:modified xsi:type="dcterms:W3CDTF">2026-10-12T21:18:41Z</dcterms:modified>
  <dc:subject>UK VAT, input and output tax, imports and exports, and Contracted-Out Services refunds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/home/user/Int/docs/src/references.json</vt:lpwstr>
  </property>
  <property fmtid="{D5CDD505-2E9C-101B-9397-08002B2CF9AE}" pid="3" name="csl">
    <vt:lpwstr>/home/user/Int/docs/build/harvard-cite-them-right.csl</vt:lpwstr>
  </property>
  <property fmtid="{D5CDD505-2E9C-101B-9397-08002B2CF9AE}" pid="4" name="date">
    <vt:lpwstr>Second edition, updated 12 October 2026</vt:lpwstr>
  </property>
  <property fmtid="{D5CDD505-2E9C-101B-9397-08002B2CF9AE}" pid="5" name="link-citations">
    <vt:lpwstr>True</vt:lpwstr>
  </property>
  <property fmtid="{D5CDD505-2E9C-101B-9397-08002B2CF9AE}" pid="6" name="subtitle">
    <vt:lpwstr>A guide for a UK government department, with the VAT basics, imports and exports, and worked examples</vt:lpwstr>
  </property>
</Properties>
</file>