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6"/>
          <w:szCs w:val="36"/>
        </w:rPr>
        <w:t xml:space="preserve">VELIGERA CAPITAL</w:t>
      </w:r>
    </w:p>
    <w:p>
      <w:pPr>
        <w:spacing w:after="160"/>
      </w:pPr>
      <w:r>
        <w:rPr>
          <w:b/>
          <w:bCs/>
          <w:sz w:val="28"/>
          <w:szCs w:val="28"/>
        </w:rPr>
        <w:t xml:space="preserve">Pipeline сделок</w:t>
      </w:r>
    </w:p>
    <w:p>
      <w:pPr>
        <w:spacing w:after="120"/>
      </w:pPr>
      <w:r>
        <w:rPr>
          <w:b/>
          <w:bCs/>
          <w:i w:val="false"/>
          <w:iCs w:val="false"/>
          <w:sz w:val="21"/>
          <w:szCs w:val="21"/>
        </w:rPr>
        <w:t xml:space="preserve">* Цена на вторичном рынке — индикативный диапазон: котировки площадок (Forge, Caplight, Nasdaq Private Market) и оценки идущих раундов. Реальная цена определяется на момент сделки и предоставляется по запросу.</w:t>
      </w:r>
    </w:p>
    <w:p>
      <w:pPr>
        <w:pStyle w:val="Heading1"/>
        <w:spacing w:after="120" w:before="240"/>
      </w:pPr>
      <w:r>
        <w:t xml:space="preserve">Сводка пайплайна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0"/>
        <w:gridCol w:w="1900"/>
        <w:gridCol w:w="1420"/>
        <w:gridCol w:w="1420"/>
        <w:gridCol w:w="1740"/>
        <w:gridCol w:w="1100"/>
      </w:tblGrid>
      <w:tr>
        <w:tc>
          <w:tcPr>
            <w:tcW w:type="dxa" w:w="178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Компания</w:t>
            </w:r>
          </w:p>
        </w:tc>
        <w:tc>
          <w:tcPr>
            <w:tcW w:type="dxa" w:w="19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Сектор</w:t>
            </w:r>
          </w:p>
        </w:tc>
        <w:tc>
          <w:tcPr>
            <w:tcW w:type="dxa" w:w="142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Оценка по раунду, $ млрд</w:t>
            </w:r>
          </w:p>
        </w:tc>
        <w:tc>
          <w:tcPr>
            <w:tcW w:type="dxa" w:w="142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Вторичный рынок*, $ млрд</w:t>
            </w:r>
          </w:p>
        </w:tc>
        <w:tc>
          <w:tcPr>
            <w:tcW w:type="dxa" w:w="174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Горизонт</w:t>
            </w:r>
          </w:p>
        </w:tc>
        <w:tc>
          <w:tcPr>
            <w:tcW w:type="dxa" w:w="11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Upside</w:t>
            </w:r>
          </w:p>
        </w:tc>
      </w:tr>
      <w:tr>
        <w:tc>
          <w:tcPr>
            <w:tcW w:type="dxa" w:w="178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OpenAI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852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850–950</w:t>
            </w:r>
          </w:p>
        </w:tc>
        <w:tc>
          <w:tcPr>
            <w:tcW w:type="dxa" w:w="174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2026–27)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+106%</w:t>
            </w:r>
          </w:p>
        </w:tc>
      </w:tr>
      <w:tr>
        <w:tc>
          <w:tcPr>
            <w:tcW w:type="dxa" w:w="178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Figure AI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(промышленность)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36–44</w:t>
            </w:r>
          </w:p>
        </w:tc>
        <w:tc>
          <w:tcPr>
            <w:tcW w:type="dxa" w:w="174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2027–29)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+200%</w:t>
            </w:r>
          </w:p>
        </w:tc>
      </w:tr>
      <w:tr>
        <w:tc>
          <w:tcPr>
            <w:tcW w:type="dxa" w:w="178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1X Technologies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(дом)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0.82 (Series C ~10)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10–13</w:t>
            </w:r>
          </w:p>
        </w:tc>
        <w:tc>
          <w:tcPr>
            <w:tcW w:type="dxa" w:w="174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4–5 лет (IPO ~2030)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+422%</w:t>
            </w:r>
          </w:p>
        </w:tc>
      </w:tr>
      <w:tr>
        <w:tc>
          <w:tcPr>
            <w:tcW w:type="dxa" w:w="178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Polymarket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18–24</w:t>
            </w:r>
          </w:p>
        </w:tc>
        <w:tc>
          <w:tcPr>
            <w:tcW w:type="dxa" w:w="174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2–4 года (IPO 2028–30)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+329%</w:t>
            </w:r>
          </w:p>
        </w:tc>
      </w:tr>
      <w:tr>
        <w:tc>
          <w:tcPr>
            <w:tcW w:type="dxa" w:w="178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Kalshi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 (США)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28–40</w:t>
            </w:r>
          </w:p>
        </w:tc>
        <w:tc>
          <w:tcPr>
            <w:tcW w:type="dxa" w:w="174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1–3 года (IPO ~2027)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+253%</w:t>
            </w:r>
          </w:p>
        </w:tc>
      </w:tr>
      <w:tr>
        <w:tc>
          <w:tcPr>
            <w:tcW w:type="dxa" w:w="178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Positron AI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Чипы для ИИ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&gt;1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3–5</w:t>
            </w:r>
          </w:p>
        </w:tc>
        <w:tc>
          <w:tcPr>
            <w:tcW w:type="dxa" w:w="174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2028–30)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+682%</w:t>
            </w:r>
          </w:p>
        </w:tc>
      </w:tr>
      <w:tr>
        <w:tc>
          <w:tcPr>
            <w:tcW w:type="dxa" w:w="178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Databricks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Данные и ИИ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  <w:tc>
          <w:tcPr>
            <w:tcW w:type="dxa" w:w="142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190–220</w:t>
            </w:r>
          </w:p>
        </w:tc>
        <w:tc>
          <w:tcPr>
            <w:tcW w:type="dxa" w:w="174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2027–28)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+95%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/>
      </w:pPr>
      <w:r>
        <w:rPr>
          <w:b w:val="false"/>
          <w:bCs w:val="false"/>
          <w:i/>
          <w:iCs/>
          <w:sz w:val="19"/>
          <w:szCs w:val="19"/>
        </w:rPr>
        <w:t xml:space="preserve">Upside — целевой сценарий: среднее двух методов оценки (мультипликаторы выручки публичных аналогов и рыночные якоря) от середины диапазона вторичного рынка. Консервативный и оптимистичный сценарии — в Excel-модели.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OpenAI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Создатель ChatGPT — самого популярного ИИ-сервиса в мире: им пользуется около миллиарда человек в неделю. Свыше 50 млн платят за подписку, больше миллиона компаний покупают корпоративные тарифы (это уже более 40% выручки). Выручка удвоилась за год и идёт с темпом более $40 млрд в год. Вместе с SoftBank и Oracle компания строит сеть дата-центров Stargate стоимостью около $500 млрд.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Для большинства людей «спросить у ИИ» значит «открыть ChatGPT» — как когда-то «погуглить». Такую привычку конкурентам почти невозможно перебить.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Зарабатывает сразу на всём: подписки, корпоративные контракты, доступ для разработчиков, реклама. Конкуренты сильны в отдельных нишах (Anthropic — корпоративный сегмент, Google — поиск), но по охвату обычных пользователей OpenAI впереди всех.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Документы на IPO уже поданы (июнь 2026): выход на биржу ожидается в 2026–2027 годах по оценке выше $1 трлн — это ближайший к выходу актив в пайплайне.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≈$180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$122 млрд (крупнейший частный раунд в истории), закрыт 31.03.2026; со-лид SoftBank. Стадия: Pre-IPO, заявка на IPO подана.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$852 млрд; подтверждена выкупом акций у сотрудников на $7 млрд по той же оценке (10.08.2026).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$850–950 млрд. Вторичные сделки перед IPO идут с премией к раунду.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Microsoft (~27%), SoftBank (~13%), Amazon ($50 млрд), Nvidia ($30 млрд), Andreessen Horowitz, MGX, TPG, T. Rowe Price, Thrive Capital, Sequoia, Khosla Ventures, Founders Fund.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2026–2027, целевая оценка выше $1 трлн (организаторы Goldman Sachs, Morgan Stanley, JPMorgan).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 (целевой сценарий)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+106% (MOIC 2.1x, IRR ~43%) при выходе на $1.85 трлн. Диапазон сценариев 1.1x–3.4x.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Figure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Гуманоидные роботы для промышленности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человекоподобных роботов для заводов и складов: робот ростом с человека переносит детали, сортирует товары, работает с конвейером. На заводе BMW в США такие роботы уже отрабатывают полные 8-часовые смены без оператора; по сообщениям СМИ, логистический гигант UPS обсуждает заказ до 100 тыс. роботов к 2029 году. Собственный завод рассчитан на выпуск до 100 тыс. роботов в год.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Отвечает на нехватку рабочих рук на производстве: робот в форме человека занимает обычное рабочее место — завод не нужно перестраивать под него.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Всё делает сама: и «мозг» робота (собственный ИИ Helix), и «тело», и завод. Конкуренты зависят от чужих технологий или контрактных производств.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Дальше всех прошла путь от прототипа к реальной работе у клиента: роботы Tesla пока трудятся только на её собственных заводах, у остальных игроков масштабы заметно меньше.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≈$1.9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&gt;$1 млрд, закрыт 16.09.2025; лид Parkway Venture Capital. Стадия: growth.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$39 млрд (рост в 15 раз к предыдущему раунду за 19 месяцев).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$36–44 млрд. Forge: $174.00/акция (август 2026) — торгуется вблизи отметки Series C.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Джефф Безос, Microsoft, NVIDIA, OpenAI Startup Fund, Intel Capital, ARK Invest, Brookfield, Salesforce, Qualcomm Ventures, LG, Parkway VC.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2027–2029 при масштабировании производства.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 (целевой сценарий)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+200% (MOIC 3.0x, IRR ~44%) при выходе на $120 млрд. Диапазон 1.0x–5.4x.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1X Technologies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Домашние роботы-помощники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Делает домашнего робота-помощника NEO: ростом с человека, убирает, раскладывает вещи, загружает посудомоечную машину. Цена — $20 тыс. или подписка $499 в месяц. За первые пять дней предзаказов раскупили всю годовую производственную мощность — это заказы более чем на $200 млн. Производство запущено в Калифорнии в апреле 2026; цель — 100 тыс. роботов в год к концу 2027-го. Фонд EQT берёт до 10 тыс. роботов для своих портфельных компаний.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Единственная компания, чей человекоподобный робот уже продаётся обычным людям для дома, — остальные (Figure, Tesla) заняты заводами.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Робот спроектирован безопасным для дома: мягкий корпус, «искусственные мышцы» вместо жёстких моторов, вес вдвое меньше, чем у робота Tesla, — его не страшно оставить рядом с детьми.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Каждый работающий в квартирах робот учит всю систему: таких данных из реальных домов нет ни у одного конкурента — и это главный барьер для догоняющих.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≈$125–145 млн (до закрытия Series C).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Закрытый: Series B, $100 млн, январь 2024 (лид EQT Ventures). В процессе: Series C до $1 млрд по оценке $10+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$0.82 млрд по последнему закрытому раунду — отметка января 2024 устарела.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$10–13 млрд. Цена определяется идущим Series C (~$10 млрд) и вторичным рынком (Nasdaq Private Market ~$662/акция, июль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OpenAI Startup Fund, EQT Ventures, Tiger Global, Samsung NEXT.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4–5 лет: IPO ~2030 при масштабировании поставок NEO.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 (целевой сценарий)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+422% (MOIC 5.2x, IRR ~51%) при выходе на $60 млрд. Диапазон 0.9x–11.7x.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Polymarket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Биржа, где торгуют не акциями, а прогнозами: кто выиграет выборы, поднимет ли ФРС ставку, кто возьмёт чемпионат. Цена контракта показывает вероятность события, поэтому котировки Polymarket цитируют мировые СМИ. После покупки лицензированной биржи QCEX компания легально работает в США. Обороты — около $10 млрд в месяц; выручка вышла на темп более $1 млрд в год уже через полтора месяца после включения комиссий в США.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Прогнозы, за которыми стоят реальные деньги, стабильно точнее опросов и мнений экспертов — по сути, это новый вид финансовой инфраструктуры.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Глобальная площадка с самым узнаваемым брендом в категории; партнёрства с соцсетью X (~600 млн пользователей, интеграция с Grok) и с ICE — владельцем Нью-Йоркской фондовой биржи, который распространяет данные Polymarket среди институциональных клиентов.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Комиссии включили только в 2026 году, так что нынешняя выручка — лишь начало: аналитики (Bernstein, Macquarie) ждут роста объёмов отрасли до $1–1.5 трлн к 2030 году.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 первичного капитала (с покупками ICE на вторичном рынке — ~$3.3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 млрд, закрыт в апреле 2026 (новые инвесторы D.E. Shaw, G Squared; ICE добавила $600 млн). Стадия: growth / pre-IPO.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$18–24 млрд. Раунд по оценке выше $20 млрд в переговорах (Bloomberg/CNBC,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ICE/Intercontinental Exchange, Founders Fund (Питер Тиль), Виталик Бутерин, General Catalyst, Blockchain Capital, 1789 Capital, Ribbit Capital, Point72, Coinbase Ventures, D.E. Shaw, G Squared.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2–4 года: IPO 2028–2030; альтернатива — продажа ICE (уже крупный миноритарий).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 (целевой сценарий)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+329% (MOIC 4.3x, IRR ~62%) при выходе на $90 млрд. Диапазон 1.0x–8.6x.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Kalshi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 (США)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Первая в США полностью легальная биржа прогнозов — работает под надзором финансового регулятора CFTC. Торгуют исходами событий: от решений ФРС до спорта, причём контракты доступны прямо в популярных брокерских приложениях вроде Robinhood и Webull. Обороты — более $20 млрд в месяц; выручка выросла с $264 млн за весь 2025 год до темпа ~$4 млрд в год к июлю 2026-го.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Единственный игрок, легальный во всех 50 штатах: контракты на спорт работают даже там, где обычные букмекеры запрещены, — регуляторная фора, которую конкуренты будут догонять годами.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Не тратит деньги на привлечение клиентов: до трети оборота приносит встроенность в Robinhood и другие брокерские приложения.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Контролирует ~90% американского рынка прогнозов и по оборотам примерно вдвое обгоняет Polymarket; новый раунд обсуждается уже по оценке $40 млрд.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$1 млрд, закрыт 07.05.2026; лид Coatue (с Sequoia, a16z, IVP, Paradigm, Morgan Stanley, ARK).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$28–40 млрд. Sequoia и Wellington обсуждают раунд $750 млн+ по оценке $40 млрд (CoinDesk,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Sequoia, Andreessen Horowitz, Paradigm, IVP, Morgan Stanley, ARK Invest, Y Combinator.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1–3 года: IPO ~2027 (раунд по $40 млрд позиционируется как pre-IPO).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 (целевой сценарий)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+253% (MOIC 3.5x, IRR ~66%) при выходе на $120 млрд. Диапазон 1.2x–6.6x.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Positron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Чипы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Разрабатывает «железо», на котором работает ИИ, — альтернативу чипам Nvidia. Специализация — инференс: этап, когда обученная нейросеть отвечает на запросы пользователей; именно на него уходит основная часть расходов ИИ-индустрии. Серверы Positron, по данным компании, в 3.5 раза выгоднее Nvidia по цене и тратят до 66% меньше электроэнергии. Первый крупный клиент — Oracle (контракт на $50 млн, первый случай, когда американский облачный гигант поставил чипы не от Nvidia/AMD); также Cloudflare. С 2027 года — собственный чип Asimov.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самое больное место индустрии: счета за вычисления и электричество растут быстрее, чем выручка большинства ИИ-компаний (рынок инференса — до $255 млрд к 2030).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Использует другую архитектуру памяти с рекордной ёмкостью и обходит дефицитные компоненты (HBM), за которые дерётся весь рынок, — атакует слабое место Nvidia, а не догоняет её.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полностью в США (Аризона); среди инвесторов — Arm, один из главных игроков мировой чип-индустрии и потенциальный стратегический покупатель.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≈$306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$230 млн (переподписан), закрыт 04.02.2026; со-лиды ARENA, Jump Trading, Unless.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&gt;$1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$3–5 млрд. В переговорах раунд ~$750 млн двумя траншами по оценкам ~$3.5 и ~$5 млрд (Bloomberg, июль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Arm, Qatar Investment Authority, Valor Equity Partners, Atreides Management, DFJ Growth, Jump Trading, Flume Ventures (Скотт Макнили).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(2028–2030).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 (целевой сценарий)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+682% (MOIC 7.8x, IRR ~99%) при выходе на ~$31 млрд. Диапазон 1.2x–17.5x. Наибольший потенциал пайплайна — и наибольший риск исполнения.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Databricks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Данные и ИИ для корпораций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Платформа, на которой крупные компании хранят и обрабатывают данные и строят на них свой ИИ — от отчётности до собственных нейросетей. Более 20 тыс. клиентов-организаций. Выручка идёт с темпом $7 млрд в год и растёт на 80% год к году — причём рост ускоряется, а не замедляется; при этом компания уже генерирует положительный денежный поток.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Каждой компании, внедряющей ИИ, сначала нужно навести порядок в данных — Databricks продаёт «кирку и лопату» этой золотой лихорадки.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Объединяет в одном продукте то, для чего раньше требовались три-четыре отдельные системы (хранилище данных, аналитика, ИИ). Главный конкурент Snowflake закрывает лишь часть этого стека и растёт в разы медленнее.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Инвесторы становятся в очередь: в последний раунд на $5 млрд спрос был около $15 млрд. IPO ожидается в 2027 году — один из самых ожидаемых листингов рынка.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Стратегический раунд $5 млрд, закрыт 13.08.2026; лид Coatue. Стадия: late-stage / pre-IPO.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$190 млрд (полгода назад было $134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$190–220 млрд. Раунд переподписан втрое; вторичные сделки перед IPO идут с премией.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Blackstone, MGX, T. Rowe Price, Sixth Street, TPG, Point72, Andreessen Horowitz, Thrive, NVIDIA, Insight Partners.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2027–2028 (CEO исключил 2026 год).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 (целевой сценарий)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+95% (MOIC 2.0x, IRR ~40%) при выходе на $400 млрд. Диапазон 0.9x–3.0x.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Методология и оговорки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Цена на вторичном рынке: индикативный диапазон, по которому бумага доступна к покупке сейчас — котировки площадок, оценки идущих раундов, премия или дисконт к последнему закрытому раунду. Фактическая цена зависит от структуры сделки (SPV, вторичный рынок, новый раунд) и подтверждается по запросу на момент сделки.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 1X Technologies и Positron AI последние закрытые раунды устарели — цена определяется идущими раундами (1X: Series C ~$10 млрд; Positron: $3.5–5 млрд) и вторичным рынком.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Upside: два метода — (1) прогнозная выручка в год выхода x EV/Revenue публичных аналогов; (2) рыночные якоря: целевые оценки IPO, раунды в переговорах, оценки конкурентов, размер рынка x целевая доля. Три сценария (консервативный/целевой/оптимистичный); в документе приводится целевой. Расчёт ведётся от середины диапазона вторичного рынка. Разводнение будущих раундов, комиссии и дисконт за неликвидность не учтены.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Данные: публичные источники (Bloomberg, CNBC, TechCrunch, Reuters, Sacra, Forge, Caplight и др.) на 24.08.2026; данные по частным компаниям могут отличаться от фактических.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 не является офертой, инвестиционной рекомендацией или обещанием доходности. Инвестиции в частные компании связаны с риском полной потери капитала и низкой ликвидностью.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2026-08-24T10:00:38.368Z</dcterms:created>
  <dcterms:modified xsi:type="dcterms:W3CDTF">2026-08-24T10:00:38.368Z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