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60"/>
      </w:pPr>
      <w:r>
        <w:rPr>
          <w:b/>
          <w:bCs/>
          <w:sz w:val="28"/>
          <w:szCs w:val="28"/>
        </w:rPr>
        <w:t xml:space="preserve">Инвестиционный пайплайн: прямые сделки Pre-IPO</w:t>
      </w:r>
    </w:p>
    <w:p>
      <w:pPr>
        <w:spacing w:after="240"/>
      </w:pPr>
      <w:r>
        <w:rPr>
          <w:b w:val="false"/>
          <w:bCs w:val="false"/>
          <w:i/>
          <w:iCs/>
          <w:sz w:val="19"/>
          <w:szCs w:val="19"/>
        </w:rPr>
        <w:t xml:space="preserve">Август 2026 · Конфиденциально · Драфт для обсуждения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знакомит партнёра с текущим пайплайном сделок: шесть частных технологических компаний-дизрапторов на стадиях от growth до pre-IPO. По каждой — суть бизнеса, в чём отличие от конкурентов, параметры последнего раунда, состав инвесторов, индикативная цена входа, горизонт и оценка потенциальной доходности. Детальные расчёты — в приложении (Excel-модель).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входа во всех сделках указана индикативно: +10% к оценке последнего закрытого раунда.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пайплайна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450"/>
        <w:gridCol w:w="1500"/>
        <w:gridCol w:w="1610"/>
        <w:gridCol w:w="1000"/>
      </w:tblGrid>
      <w:tr>
        <w:tc>
          <w:tcPr>
            <w:tcW w:type="dxa" w:w="19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9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5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Вход*, $ млрд</w:t>
            </w:r>
          </w:p>
        </w:tc>
        <w:tc>
          <w:tcPr>
            <w:tcW w:type="dxa" w:w="161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0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Upside (база)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937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2026–27)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+30%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(индустрия)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42.9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2027–28)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+55%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16.5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2–4 года (IPO 2028–30)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+135%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Neuralink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Нейроинтерфейсы (BCI)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9.9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+178%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0.82 (Series C: ~10)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~11 (по Series C)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~2030)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+150%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ИИ-чипы (инференс)</w:t>
            </w:r>
          </w:p>
        </w:tc>
        <w:tc>
          <w:tcPr>
            <w:tcW w:type="dxa" w:w="145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61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2028–30)</w:t>
            </w:r>
          </w:p>
        </w:tc>
        <w:tc>
          <w:tcPr>
            <w:tcW w:type="dxa" w:w="10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+536%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Upside (база) — базовый сценарий, среднее двух методов оценки (мультипликаторы выручки публичных аналогов и рыночные якоря: оценки IPO/раундов/вторичного рынка). Полные сценарии — консервативный, базовый, оптимистичный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/ foundation-модели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Разработчик ChatGPT и frontier-моделей (GPT- и o-серии, Sora). Монетизация: подписки (50+ млн платящих), API для разработчиков, enterprise-сегмент (1+ млн бизнес-клиентов, более 40% выручки) и запускаемая реклама. Около 1 млрд активных пользователей в неделю — самый быстрорастущий потребительский продукт в истории. Якорь инфраструктурной программы Stargate (~$500 млрд, с SoftBank и Oracle). Run-rate выручки превысил $40 млрд (июль 2026) против $13 млрд за весь 2025 год.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«Интерфейс по умолчанию» к ИИ: сильнейший потребительский бренд и дистрибуция (~1 млрд WAU) — конкуренты сильны в отдельных нишах (Anthropic — enterprise/coding, Google — дистрибуция), но ни у кого нет такой многоканальной монетизации: подписки + API + enterprise + реклама.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Full-stack стратегия: модели + собственные вычислительные мощности (Stargate, &gt;8 ГВт в плане) + устройства — контроль всей цепочки создания стоимости ИИ.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удваивается ежегодно; конфиденциальная заявка S-1 уже подана (июнь 2026) — ближайший к IPO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$122 млрд (крупнейший частный раунд в истории), закрыт 31.03.2026; со-лид SoftBank. Стадия: Pre-IPO — конфиденциальная S-1 подана в июне 2026.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тендером сотрудников на $7 млрд по той же оценке (10.08.2026).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$937 млрд (+10% к последнему раунду).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~$180 млрд first-party капитала.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Fund, Coatue.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2026–2027, целевая оценка выше $1 трлн (S-1 подана; организаторы Goldman Sachs, Morgan Stanley, JPMorgan).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+30% (MOIC 1.3x, IRR ~19%); диапазон сценариев 0.9x–2.9x. Расчёт — в Excel-модели.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Гуманоидная робототехника / embodied AI (индустрия)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Гуманоидные роботы общего назначения для промышленности и логистики. Текущее поколение Figure 03 работает на собственной vision-language-action-модели Helix: роботы автономно отрабатывают полные 8-часовые смены. Пилот с BMW (Спартанбург) переведён в продакшн; сообщается о заказе UPS с масштабированием до ~100 тыс. роботов к 2029. Собственный завод BotQ: с 12 тыс. до 100 тыс. роботов в год.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Решаемая проблема — глобальный дефицит рабочей силы (мировой фонд оплаты труда ~$40 трлн): гуманоид встраивается в среду, построенную под человека, без переоборудования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Полная вертикальная интеграция: своё железо, свой ИИ (Helix, после разрыва с OpenAI), своя фабрика — против конкурентов, зависящих от чужих моделей и контрактного производства.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западный игрок с завершённым многолетним автомобильным пилотом (BMW) и заявленным гиперскейл-заказом (UPS); Tesla Optimus пока развёрнут только внутри Tesla, Agility и Apptronik меньше по масштабу амбиций и капиталу.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 &gt;$1 млрд, закрыт 16.09.2025; лид Parkway Venture Capital. Стадия: growth.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(степ-ап 15x к Series B за 19 месяцев).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$42.9 млрд (+10% к Series C).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~$1.9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Macquarie, Parkway VC.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2027–2028 при масштабировании Figure 03.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+55% (MOIC 1.6x, IRR ~19%); диапазон 0.4x–4.1x.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/ биржевая инфраструктура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Крупнейший в мире рынок предсказаний: бинарные контракты на реальные события (выборы, макростатистика, спорт, геополитика), цена контракта = рыночная вероятность. Расчёты в USDC на блокчейне. После покупки CFTC-лицензированной биржи QCEX ($112 млн) запустил регулируемую площадку в США (май 2026). Обороты ~$9–10 млрд в месяц; annualized-выручка превысила $1 млрд уже через 6 недель после старта монетизации в США. Официальный партнёр X и xAI (интеграция с Grok); ICE (владелец NYSE) дистрибутирует данные Polymarket институционалам.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«Машина правды»: рыночные вероятности систематически точнее опросов и экспертов — новая категория финансовой инфраструктуры на стыке данных, бирж и медиа.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Против Kalshi: глобальная ликвидность и бренд (котировки Polymarket цитируют мировые СМИ), крипто-рельсы (24/7, некастодиально, глобальный доступ), дистрибуция через X (~600 млн пользователей) и через ICE — у Kalshi только регулируемый рынок США и брокерская дистрибуция.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Монетизация только началась (комиссии с января 2026) — выручка ещё не отражает потенциал оборотов: Bernstein прогнозирует объёмы отрасли $1 трлн к 2030, Macquarie — до $1.5 трлн.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~$1 млрд, закрыт в апреле 2026 (D.E. Shaw, G Squared — новые; ICE добавила $600 млн). Стадия: growth / pre-IPO. В переговорах новый раунд по оценке &gt;$20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$16.5 млрд (+10% к раунду).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Valor, Point72 Ventures, Coinbase Ventures, D.E. Shaw, G Squared.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2–4 года: IPO 2028–2030; альтернатива — продажа ICE (уже крупный миноритарий).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+135% (MOIC 2.3x, IRR ~41%); диапазон 0.6x–5.5x.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Neuralink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Нейротехнологии / интерфейсы «мозг-компьютер» (BCI)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Компания Илона Маска: полностью имплантируемый беспроводной интерфейс «мозг-компьютер». Чип N1 (1 024+ электрода на гибких нитях) вживляется хирургическим роботом R1 с микронной точностью. 26 пациентов в клинических испытаниях в 5 странах (США, Канада, Великобритания, ОАЭ). FDA Breakthrough-статусы по Blindsight (восстановление зрения) и восстановлению речи. План компании: одобрение Telepathy ~2029, выручка ≥$1 млрд и 20 тыс. имплантов в год к 2031.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Пропускная способность на порядки выше конкурентов: 1 024+ электрода против ~16 у Synchron — единственная архитектура с разрешением до отдельного нейрона, масштабируемая до 3 000+ каналов.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Полностью беспроводной и невидимый имплант (у Blackrock — разъём через кожу) + робот R1, автоматизирующий операцию, — ключ к масштабированию до тысяч операций в год и снижению их стоимости.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Рынки: паралич (5.4 млн человек только в США), слепота (40+ млн в мире), речь, болезнь Паркинсона. Morgan Stanley оценивает TAM США в ~$400 млрд. Вертикальная интеграция имплант + робот + софт и «Musk-премия» в доступе к капиталу.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 $650 млн, закрыт 02.06.2025 (ARK Invest, Founders Fund, Sequoia). Стадия: клиническая, pre-revenue.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 млрд. Внимание: вторичный рынок в августе 2026 оценивает компанию в $29–42 млрд (после IPO SpaceX); по слухам готовится раунд на $12–15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$9.9 млрд (+10% к Series E); фактическая цена, вероятно, будет заметно выше — уточняется по запросу.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~$1.3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Founders Fund, Sequoia, Thrive Capital, ARK Invest, QIA, Lightspeed, Vy Capital, DFJ Growth, G42, Valor Equity Partners.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2029–2030, после первого коммерческого одобрения (Telepathy).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+178% (MOIC 2.8x, IRR ~29%); диапазон 0.5x–6.1x.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Гуманоидная робототехника / домашние роботы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Домашний гуманоид NEO: рост 165 см, вес ~30 кг, тендонный привод («искусственные мышцы»), $20 тыс. или подписка $499/мес. Предзаказы открыты 28.10.2025 — 10 тыс.+ за первые 5 дней, годовая производственная мощность распродана (бэклог &gt;$200 млн). Серийное производство запущено в Калифорнии в апреле 2026; цель — 100 тыс. роботов в год к концу 2027. Собственная ИИ-модель Redwood (end-to-end нейросети) плюс телеоперация для сбора данных.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консьюмерский гуманоид с реальными предзаказами и продажами в домах — Figure и Tesla сфокусированы на промышленности, дом для них — «когда-нибудь».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как продукт: мягкое тело, тендонный привод, вдвое легче Tesla Optimus, тихий — единственная конструкция, пригодная для дома с детьми и питомцами.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Data-flywheel домашних сценариев: миллионы часов данных из реальных квартир, которых нет ни у одного конкурента, —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Закрытый: Series B $100 млн (янв 2024, лид EQT Ventures, post-money ~$0.82 млрд). В процессе: Series C до $1 млрд по оценке $10+ млрд (The Information) — не закрыт.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$0.82 млрд по последнему закрытому раунду; ориентир Series C — $10+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Формально $0.9 млрд (+10% к Series B), но раунд устарел: реальный вход ожидается вблизи оценки Series C, т.е. ~$11 млрд (+10% к $10 млрд). Upside считаем от $11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~$125–145 млн (до закрытия Series C).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 (лид Series A2), EQT Ventures, Tiger Global, Samsung NEXT, Sandwater, Alliance Ventures.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~2030 при масштабировании поставок NEO.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+150% от входа ~$11 млрд (MOIC 2.5x, IRR ~26%); диапазон 0.4x–7.3x.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Полупроводники / ускорители ИИ-инференса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Американский разработчик «железа» для инференса ИИ — прямой вызов Nvidia. Серверы Atlas (FPGA, производство в Аризоне): по данным компании — 3.5x производительность на доллар и до −66% энергопотребления против Nvidia H100. Со 2027 года — системы Titan на собственном чипе Asimov: ~2 ТБ памяти на ускоритель против 384 ГБ у Nvidia Rubin, заявлено 5x токенов на ватт. Клиенты: Oracle Cloud (контракт $50 млн, 344 сервера — первый не-Nvidia/AMD чип у американского гиперскейлера), Cloudflare, Parasail.</w:t>
      </w:r>
    </w:p>
    <w:p>
      <w:pPr>
        <w:pStyle w:val="Heading3"/>
        <w:spacing w:after="80" w:before="160"/>
      </w:pPr>
      <w:r>
        <w:t xml:space="preserve">В чём дизрапт: уникальность и отличие от конкурентов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Атакует главное узкое место экономики ИИ: стоимость и энергопотребление инференса — рынок, растущий быстрее обучения моделей (инференс-чипы: $18 → $37 млрд к 2030; весь инференс — до $255 млрд).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Обходит дефицитную и дорогую HBM-память через LPDDR-архитектуру с рекордной ёмкостью — атака на структурную слабость GPU, а не попытка догнать Nvidia в её игре; без привязки к CUDA.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Полностью американская цепочка производства (геополитический попутный ветер, CHIPS); Arm — стратегический инвестор в капитале (потенциальный покупатель).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 / стадия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 $230 млн (переподписан), закрыт 04.02.2026; со-лиды ARENA, Jump Trading, Unless. В переговорах: ~$750 млн двумя траншами по оценкам ~$3.5 и ~$5 млрд (Bloomberg, июль 2026) — не закрыт.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(post-money)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входа (индикатив)*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$1.1 млрд (+10% к Series B); фактическая цена может быть кратно выше с учётом идущего раунда — уточняется по запросу.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~$306 млн.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 (стратег),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по «пути Cerebras» или M&amp;A (2028–2030).</w:t>
            </w:r>
          </w:p>
        </w:tc>
      </w:tr>
      <w:tr>
        <w:tc>
          <w:tcPr>
            <w:tcW w:type="dxa" w:w="28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Upside (база)</w:t>
            </w:r>
          </w:p>
        </w:tc>
        <w:tc>
          <w:tcPr>
            <w:tcW w:type="dxa" w:w="65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+536% (MOIC 6.4x, IRR ~85%); диапазон 1.8x–16.4x. Наибольший асимметричный потенциал пайплайна — и наибольший риск исполнения (tape-out Asimov, конкуренция с Nvidia).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входа: индикативно +10% к оценке последнего закрытого раунда (post-money). Фактическая цена входа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вторичный рынок, оценки конкурентов. Три сценария; в документе приводится базовый. Разводнение,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21.08.2026;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2026-08-21T01:13:49.541Z</dcterms:created>
  <dcterms:modified xsi:type="dcterms:W3CDTF">2026-08-21T01:13:49.541Z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