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Figure AI, Polymarket, Databricks, VAST Data и ByteDance указаны фактические диапазоны сделок вторичного рынка.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2026-08-24T13:18:49.425Z</dcterms:created>
  <dcterms:modified xsi:type="dcterms:W3CDTF">2026-08-24T13:18:49.436Z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