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36"/>
          <w:szCs w:val="36"/>
        </w:rPr>
        <w:t xml:space="preserve">VELIGERA CAPITAL</w:t>
      </w:r>
    </w:p>
    <w:p>
      <w:pPr>
        <w:spacing w:after="160"/>
      </w:pPr>
      <w:r>
        <w:rPr>
          <w:b/>
          <w:bCs/>
          <w:sz w:val="28"/>
          <w:szCs w:val="28"/>
        </w:rPr>
        <w:t xml:space="preserve">Pipeline сделок</w:t>
      </w:r>
    </w:p>
    <w:p>
      <w:pPr>
        <w:spacing w:after="120"/>
      </w:pPr>
      <w:r>
        <w:rPr>
          <w:b/>
          <w:bCs/>
          <w:i w:val="false"/>
          <w:iCs w:val="false"/>
          <w:sz w:val="21"/>
          <w:szCs w:val="21"/>
        </w:rPr>
        <w:t xml:space="preserve">* Цена на вторичном рынке — индикативный диапазон: премия 8–15% к оценке последнего раунда. Реальная цена определяется на момент сделки и предоставляется по запросу.</w:t>
      </w:r>
    </w:p>
    <w:p>
      <w:pPr>
        <w:pStyle w:val="Heading1"/>
        <w:spacing w:after="120" w:before="240"/>
      </w:pPr>
      <w:r>
        <w:t xml:space="preserve">Сводка pipeline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800"/>
        <w:gridCol w:w="1400"/>
        <w:gridCol w:w="1500"/>
        <w:gridCol w:w="1660"/>
        <w:gridCol w:w="1300"/>
      </w:tblGrid>
      <w:tr>
        <w:tc>
          <w:tcPr>
            <w:tcW w:type="dxa" w:w="17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Компания</w:t>
            </w:r>
          </w:p>
        </w:tc>
        <w:tc>
          <w:tcPr>
            <w:tcW w:type="dxa" w:w="18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Сектор</w:t>
            </w:r>
          </w:p>
        </w:tc>
        <w:tc>
          <w:tcPr>
            <w:tcW w:type="dxa" w:w="14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Оценка по раунду, $ млрд</w:t>
            </w:r>
          </w:p>
        </w:tc>
        <w:tc>
          <w:tcPr>
            <w:tcW w:type="dxa" w:w="15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Вторичный рынок*, $ млрд</w:t>
            </w:r>
          </w:p>
        </w:tc>
        <w:tc>
          <w:tcPr>
            <w:tcW w:type="dxa" w:w="166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Горизонт</w:t>
            </w:r>
          </w:p>
        </w:tc>
        <w:tc>
          <w:tcPr>
            <w:tcW w:type="dxa" w:w="13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Доходность инвестора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OpenAI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Генеративный ИИ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852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920–980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1–2 года (IPO 2026–27)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1.7x · IRR 30%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Figure AI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Гуманоиды (промышленность)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42–45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2–3 года (IPO 2027–29)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2.3x · IRR 32%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1X Technologies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Гуманоиды (дом)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~10 (Series C)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10.8–11.5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4–5 лет (IPO ~2030)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5.4x · IRR 52%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Polymarket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Рынки предсказаний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16.2–17.3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2–4 года (IPO 2028–30)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3.0x · IRR 44%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Kalshi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Рынки предсказаний (США)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30–40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1–3 года (IPO ~2027)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3.6x · IRR 66%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Positron AI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Чипы для ИИ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&gt;1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3.8–4.0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3–4 года (IPO/M&amp;A 2028–30)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5.1x · IRR 72%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Databricks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Платформа данных и ИИ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190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205–219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1–2 года (IPO 2027–28)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2.1x · IRR 44%</w:t>
            </w:r>
          </w:p>
        </w:tc>
      </w:tr>
    </w:tbl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120"/>
      </w:pPr>
      <w:r>
        <w:rPr>
          <w:b w:val="false"/>
          <w:bCs w:val="false"/>
          <w:i/>
          <w:iCs/>
          <w:sz w:val="19"/>
          <w:szCs w:val="19"/>
        </w:rPr>
        <w:t xml:space="preserve">Доходность рассчитана по базовому сценарию: за оценку на выходе взято среднее двух методов — мультипликаторы выручки публичных аналогов и рыночные якоря, — а за цену покупки середина диапазона вторичного рынка. Консервативный и оптимистичный сценарии — в Excel-модели.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OpenAI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Генеративный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Создатель ChatGPT — самого популярного ИИ-сервиса в мире: им пользуется около миллиарда человек в неделю. Свыше 50 млн платят за подписку, больше миллиона компаний покупают корпоративные тарифы (это уже более 40% выручки). Выручка удвоилась за год и идёт с темпом более $40 млрд в год. Вместе с SoftBank и Oracle компания строит сеть дата-центров Stargate стоимостью около $500 млрд.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Для большинства людей «спросить у ИИ» значит «открыть ChatGPT» — как когда-то «погуглить». Такую привычку конкурентам почти невозможно перебить.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Зарабатывает сразу на всём: подписки, корпоративные контракты, доступ для разработчиков, реклама. Конкуренты сильны в отдельных нишах (Anthropic — корпоративный сегмент, Google — поиск), но по охвату обычных пользователей OpenAI впереди всех.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Документы на IPO уже поданы (июнь 2026): выход на биржу ожидается в 2026–2027 годах по оценке выше $1 трлн — это ближайший к выходу актив в пайплайне.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≈$180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$122 млрд (крупнейший частный раунд в истории), закрыт 31.03.2026; со-лид SoftBank. Заявка на IPO подана (июнь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$852 млрд; подтверждена выкупом акций у сотрудников на $7 млрд по той же оценке (10.08.2026).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$920–980 млрд — премия 8–15% к оценке раунда. Вторичные сделки перед IPO идут с премией.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Microsoft (~27%), SoftBank (~13%), Amazon ($50 млрд), Nvidia ($30 млрд), Andreessen Horowitz, MGX, TPG, T. Rowe Price, Thrive Capital, Sequoia, Khosla Ventures, Founders Fund.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1–2 года: IPO 2026–2027, целевая оценка выше $1 трлн (организаторы Goldman Sachs, Morgan Stanley, JPMorgan).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1.7x при выходе на $1.6 трлн, IRR ~30% (upside +68%). Диапазон сценариев 1.1x–3.2x.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Figure 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Гуманоидные роботы для промышленности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Строит человекоподобных роботов для заводов и складов: робот ростом с человека переносит детали, сортирует товары, работает с конвейером. На заводе BMW в США такие роботы уже отрабатывают полные 8-часовые смены без оператора; по сообщениям СМИ, логистический гигант UPS обсуждает заказ до 100 тыс. роботов к 2029 году. Собственный завод рассчитан на выпуск до 100 тыс. роботов в год.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Отвечает на нехватку рабочих рук на производстве: робот в форме человека занимает обычное рабочее место — завод не нужно перестраивать под него.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Всё делает сама: и «мозг» робота (собственный ИИ Helix), и «тело», и завод. Конкуренты зависят от чужих технологий или контрактных производств.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Дальше всех прошла путь от прототипа к реальной работе у клиента: роботы Tesla пока трудятся только на её собственных заводах, у остальных игроков масштабы заметно меньше.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≈$1.9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C, &gt;$1 млрд, закрыт 16.09.2025; лид Parkway Venture Capital.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$39 млрд (рост в 15 раз к предыдущему раунду за 19 месяцев).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$42–45 млрд — премия 8–15% к оценке Series C. Forge: $174.00/акция (август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Джефф Безос, Microsoft, NVIDIA, OpenAI Startup Fund, Intel Capital, ARK Invest, Brookfield, Salesforce, Qualcomm Ventures, LG, Parkway VC.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2–3 года: IPO 2027–2029 при масштабировании производства.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2.3x при выходе на $100 млрд, IRR ~32% (upside +130%). Диапазон 0.9x–5.0x.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1X Technologies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Домашние роботы-помощники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Делает домашнего робота-помощника NEO: ростом с человека, убирает, раскладывает вещи, загружает посудомоечную машину. Цена — $20 тыс. или подписка $499 в месяц. За первые пять дней предзаказов раскупили всю годовую производственную мощность — это заказы более чем на $200 млн. Производство запущено в Калифорнии в апреле 2026; цель — 100 тыс. роботов в год к концу 2027-го. Фонд EQT берёт до 10 тыс. роботов для своих портфельных компаний.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Единственная компания, чей человекоподобный робот уже продаётся обычным людям для дома, — остальные (Figure, Tesla) заняты заводами.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Робот спроектирован безопасным для дома: мягкий корпус, «искусственные мышцы» вместо жёстких моторов, вес вдвое меньше, чем у робота Tesla, — его не страшно оставить рядом с детьми.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Каждый работающий в квартирах робот учит всю систему: таких данных из реальных домов нет ни у одного конкурента — и это главный барьер для догоняющих.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≈$125–145 млн (до закрытия Series C).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C, до $1 млрд, в процессе — оценка $10+ млрд. Предыдущий закрытый: Series B, $100 млн, январь 2024 (лид EQT Ventures).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~$10 млрд по идущему Series C. Отметка последнего закрытого раунда ($0.82 млрд, январь 2024) устарела.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$10.8–11.5 млрд — премия 8–15% к оценке идущего Series C (~$10 млрд). Nasdaq Private Market: ~$662/акция (июль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OpenAI Startup Fund, EQT Ventures, Tiger Global, Samsung NEXT.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4–5 лет: IPO ~2030 при масштабировании поставок NEO.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5.4x при выходе на $60 млрд, IRR ~52% (upside +438%). Диапазон 0.9x–12.1x.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Polymarket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Рынки предсказаний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Биржа, где торгуют не акциями, а прогнозами: кто выиграет выборы, поднимет ли ФРС ставку, кто возьмёт чемпионат. Цена контракта показывает вероятность события, поэтому котировки Polymarket цитируют мировые СМИ. После покупки лицензированной биржи QCEX компания легально работает в США. Обороты — около $10 млрд в месяц; выручка вышла на темп более $1 млрд в год уже через полтора месяца после включения комиссий в США.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Прогнозы, за которыми стоят реальные деньги, стабильно точнее опросов и мнений экспертов — по сути, это новый вид финансовой инфраструктуры.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Глобальная площадка с самым узнаваемым брендом в категории; партнёрства с соцсетью X (~600 млн пользователей, интеграция с Grok) и с ICE — владельцем Нью-Йоркской фондовой биржи, который распространяет данные Polymarket среди институциональных клиентов.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Комиссии включили только в 2026 году, так что нынешняя выручка — лишь начало: аналитики (Bernstein, Macquarie) ждут роста объёмов отрасли до $1–1.5 трлн к 2030 году.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≈$2.8 млрд первичного капитала (с покупками ICE на вторичном рынке — ~$3.3 млрд).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 млрд, закрыт в апреле 2026 (новые инвесторы D.E. Shaw, G Squared; ICE добавила $600 млн).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$15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$16.2–17.3 млрд — премия 8–15% к оценке раунда. Для справки: раунд по оценке выше $20 млрд в переговорах (Bloomberg/CNBC, август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ICE/Intercontinental Exchange, Founders Fund (Питер Тиль), Виталик Бутерин, General Catalyst, Blockchain Capital, 1789 Capital, Ribbit Capital, Point72, Coinbase Ventures, D.E. Shaw, G Squared.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2–4 года: IPO 2028–2030; альтернатива — продажа ICE (уже крупный миноритарий).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3.0x при выходе на $50 млрд, IRR ~44% (upside +199%). Диапазон 1.3x–6.5x.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Kalshi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Рынки предсказаний (США)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Первая в США полностью легальная биржа прогнозов — работает под надзором финансового регулятора CFTC. Торгуют исходами событий: от решений ФРС до спорта, причём контракты доступны прямо в популярных брокерских приложениях вроде Robinhood и Webull. Обороты — более $20 млрд в месяц; выручка выросла с $264 млн за весь 2025 год до темпа ~$4 млрд в год к июлю 2026-го.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Единственный игрок, легальный во всех 50 штатах: контракты на спорт работают даже там, где обычные букмекеры запрещены, — регуляторная фора, которую конкуренты будут догонять годами.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Не тратит деньги на привлечение клиентов: до трети оборота приносит встроенность в Robinhood и другие брокерские приложения.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Контролирует ~90% американского рынка прогнозов и по оборотам примерно вдвое обгоняет Polymarket; вторичные сделки идут около $35 млрд при раунде, который обсуждается по оценке $40 млрд.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≈$2.8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F, $1 млрд, закрыт 07.05.2026; лид Coatue (с Sequoia, a16z, IVP, Paradigm, Morgan Stanley, ARK).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$22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$30–40 млрд — фактические сделки идут около $35 млрд: рынок отыгрывает раунд по оценке $40 млрд, который обсуждают Sequoia и Wellington (CoinDesk, август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Coatue, Sequoia, Andreessen Horowitz, Paradigm, IVP, Morgan Stanley, ARK Invest, Y Combinator.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1–3 года: IPO ~2027 (раунд по $40 млрд позиционируется как pre-IPO).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3.6x при выходе на $125 млрд, IRR ~66% (upside +257%). Диапазон 1.1x–6.4x.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Positron 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Чипы для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Разрабатывает «железо», на котором работает ИИ, — альтернативу чипам Nvidia. Специализация — инференс: этап, когда обученная нейросеть отвечает на запросы пользователей; именно на него уходит основная часть расходов ИИ-индустрии. Серверы Positron, по данным компании, в 3.5 раза выгоднее Nvidia по цене и тратят до 66% меньше электроэнергии. Первый крупный клиент — Oracle (контракт на $50 млн, первый случай, когда американский облачный гигант поставил чипы не от Nvidia/AMD); также Cloudflare. С 2027 года — собственный чип Asimov.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Бьёт в самое больное место индустрии: счета за вычисления и электричество растут быстрее, чем выручка большинства ИИ-компаний (рынок инференса — до $255 млрд к 2030).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Использует другую архитектуру памяти с рекордной ёмкостью и обходит дефицитные компоненты (HBM), за которые дерётся весь рынок, — атакует слабое место Nvidia, а не догоняет её.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Производство полностью в США (Аризона); среди инвесторов — Arm, один из главных игроков мировой чип-индустрии и потенциальный стратегический покупатель.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≈$306 млн.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B, $230 млн (переподписан), закрыт 04.02.2026; со-лиды ARENA, Jump Trading, Unless.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&gt;$1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$3.8–4.0 млрд — премия 8–15% к оценке идущего раунда (первый транш ~$3.5 млрд, Bloomberg, июль 2026), так как Series B устарел.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Arm, Qatar Investment Authority, Valor Equity Partners, Atreides Management, DFJ Growth, Jump Trading, Flume Ventures (Скотт Макнили).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3–4 года: IPO или продажа стратегу (2028–2030).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5.1x при выходе на $20 млрд, IRR ~72% (upside +412%). Диапазон 1.3x–10.2x. Наибольший потенциал пайплайна — и наибольший риск исполнения.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Databricks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Платформа данных и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Платформа, на которой крупные компании хранят и обрабатывают данные и строят на них свой ИИ — от отчётности до собственных нейросетей. Более 20 тыс. клиентов-организаций. Выручка идёт с темпом $7 млрд в год и растёт на 80% год к году — причём рост ускоряется, а не замедляется; при этом компания уже генерирует положительный денежный поток.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Каждой компании, внедряющей ИИ, сначала нужно навести порядок в данных — Databricks продаёт «кирку и лопату» этой золотой лихорадки.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Объединяет в одном продукте то, для чего раньше требовались три-четыре отдельные системы (хранилище данных, аналитика, ИИ). Главный конкурент Snowflake закрывает лишь часть этого стека и растёт в разы медленнее.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Инвесторы становятся в очередь: в последний раунд на $5 млрд спрос был около $15 млрд. IPO ожидается в 2027 году — один из самых ожидаемых листингов рынка.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≈$25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Стратегический раунд $5 млрд, закрыт 13.08.2026; лид Coatue.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$190 млрд (полгода назад было $134 млрд).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$205–219 млрд — премия 8–15% к оценке раунда. Раунд переподписан втрое.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Coatue, Blackstone, MGX, T. Rowe Price, Sixth Street, TPG, Point72, Andreessen Horowitz, Thrive, NVIDIA, Insight Partners.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1–2 года: IPO 2027–2028 (CEO исключил 2026 год).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2.1x при выходе на $440 млрд, IRR ~44% (upside +108%). Диапазон 0.9x–3.0x.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Методология и оговорки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Цена на вторичном рынке: премия 8% (нижняя граница) — 15% (верхняя граница) к оценке последнего раунда. Фактическая цена зависит от структуры сделки (SPV, вторичный рынок, новый раунд) и подтверждается по запросу на момент сделки.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По 1X Technologies и Positron AI последние закрытые раунды устарели, поэтому премия 8–15% считается от оценки идущего раунда (1X: Series C ~$10 млрд; Positron: первый транш ~$3.5 млрд). По Kalshi вместо расчётной премии указан фактический диапазон сделок вторичного рынка ($30–40 млрд).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Upside: два метода — (1) прогнозная выручка в год выхода x EV/Revenue публичных аналогов; (2) рыночные якоря: целевые оценки IPO, раунды в переговорах, оценки конкурентов, размер рынка x целевая доля. Три сценария (консервативный/базовый/оптимистичный); в документе приводится базовый. Расчёт ведётся от середины диапазона вторичного рынка. Разводнение будущих раундов, комиссии и дисконт за неликвидность не учтены.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Данные: публичные источники (Bloomberg, CNBC, TechCrunch, Reuters, Sacra, Forge, Caplight и др.) на 24.08.2026; данные по частным компаниям могут отличаться от фактических.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Документ не является офертой, инвестиционной рекомендацией или обещанием доходности. Инвестиции в частные компании связаны с риском полной потери капитала и низкой ликвидностью.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3">
    <w:name w:val="Heading 3"/>
    <w:basedOn w:val="Normal"/>
    <w:next w:val="Normal"/>
    <w:qFormat/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2026-08-24T10:38:24.705Z</dcterms:created>
  <dcterms:modified xsi:type="dcterms:W3CDTF">2026-08-24T10:38:24.717Z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