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96%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4.3x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7.0x · IRR 54%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Waymo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Беспилотное такси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126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136–145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(IPO/спин-офф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25%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Цифровой банк (Мексика)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5.4–5.75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Moonshot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 (Китай)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38–42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Гонконг)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Higgsfield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ИИ-видео для рекламы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5.85–6.2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(IPO/M&amp;A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2.6x · IRR 46%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Lambda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GPU-облако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≈5.9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2.7x · IRR 50%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$72.45 млрд, IRR ~27% (upside +130%). Диапазон 1.2x–5.7x.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$60.75 млрд, IRR ~96% (upside +440%). Диапазон 0.9x–12.0x.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4.3x при выходе на $20.4 млрд, IRR ~52% (upside +330%). Диапазон 0.8x–10.6x.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7.0x при выходе на $43.75 млрд, IRR ~54% (upside +600%). Диапазон 1.2x–16.8x.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Waymo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Беспилотное такси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Такси без водителя: поездка заказывается через приложение, приезжает пустая машина. Сервис работает в Финиксе, Сан-Франциско, Лос-Анджелесе, Остине и Атланте — около 500 тыс. платных поездок в неделю. Флот 3 791 автомобиль по регуляторным документам NHTSA. Открыт доступ в аэропорты Сан-Хосе, Сан-Франциско и Сан-Антонио, разрешены поездки по скоростным трассам.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в США сервис, который возит платных пассажиров вообще без человека в машине: у Tesla в салоне пока сидит наблюдатель, у Zoox флот меньше почти в 70 раз.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Безопасность подтвердила не сама компания, а перестраховщик Swiss Re на 25.3 млн миль пробега: страховых претензий по ущербу имуществу меньше на 88%, по травмам — на 92%. Метрика — фактически оплаченные претензии, то есть выводы обеспечены финансовым риском перестраховщика.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барьер в отрасли не технологический, а разрешительный: допуски в аэропорты и на скоростные трассы получают годами, и у Waymo они уже есть.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$27 млрд. Компания официально сумму не раскрывает.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$16 млрд, объявлен 02.02.2026; лиды Dragoneer, DST Global, Sequoia. Alphabet вложила около $13 млрд, то есть примерно 81% раунда — деньги материнской компании.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$126 млрд post-money ($110 млрд pre-money — именно эту цифру часть СМИ ставит в заголовок). Предыдущий раунд: Series C $5.6 млрд при $45 млрд, октябрь 2024.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$136–145 млрд — премия 8–15% к оценке раунда. Подтверждённых закрытых сделок нет: расчётные оценки площадок расходятся в 2.4 раза ($152.13 у NPM, $215.25 у notice.co, $364.25 у Hiive).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Alphabet, Dragoneer, DST Global, Sequoia, Andreessen Horowitz, Mubadala, Bessemer, Silver Lake, Tiger Global, T. Rowe Price, BDT &amp; MSD, CapitalG, Fidelity, GV, Kleiner Perkins, Perry Creek, Temasek.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спин-офф из Alphabet в 2029–2030. Сундар Пичаи 22.07.2026 подтвердил сохранение Waymo внутри Alphabet, так что сроки — это оценка, а не заявленный план.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$310 млрд, IRR ~25% (upside +121%). Диапазон 0.9x–5.0x. Оговорка по методу: мультипликатор к текущей выручке к Waymo неприменим (при выручке около $0.4 млрд компания оценена в 250–350x), поэтому первый метод построен на прогнозной выручке года выхода. Риски: шесть отзывов, три за последние 8 месяцев; открытое расследование NHTSA; поездки по фривеям были остановлены с конца мая до 29.07.2026; убыток сегмента Other Bets $1.8 млрд за Q2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Plata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Цифровой банк (Мексика)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Банк без отделений для Мексики: карта, кредит и вклад в телефоне. За три года вышел на третье место в стране по числу кредитных карт — более 6.4 млн контрактов на июль 2026, после BBVA (11.8 млн) и Banamex (около 10 млн), но выше Santander и Banorte. В апреле 2026 получил полную банковскую лицензию banca múltiple и за первый месяц собрал вкладов примерно на $213 млн.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Мексика — страна, где у половины взрослых нет банковского счёта: Plata заходит туда, где офлайн-банки не готовы открывать отделения.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на собственной технологической платформе, а не на арендованной банковской системе, — обслуживание клиента обходится дешевле, чем банку с сетью офисов.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Полная лицензия — всего пятая среди цифровых банков страны: позволяет привлекать вклады напрямую, не завися от банка-партнёра. По оценке аналитика Jefferies, старт по сбору депозитов оказался быстрее, чем у Revolut и Openbank.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 млрд: акционерного минимум $815 млн (раунды A, B, C), плюс долговая линия до $500 млн под управлением Nomura (декабрь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$405 млн, анонс 16.04.2026; лид Bicycle Capital, новые инвесторы QIA, BTG Pactual, Valor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 млрд post-money. Траектория: $1.5 млрд (март 2025) → $3.1 млрд (октябрь 2025) → $5 млрд (апрель 2026), рост в 3.3 раза за 13 месяцев.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$5.4–5.75 млрд — премия 8–15% к оценке раунда. Публичных котировок нет: компания листингуется на EquityZen и Hiive, но цены за пейволлом. Единственная документированная вторичная сделка прошла внутри Series B по $3.1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Bicycle Capital, Qatar Investment Authority, BTG Pactual, Valor Capital Group, Kora, Hedosophia, Spice Expeditions, Audeo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в 2029–2030. Официально не заявлено; основатели публично называли ориентир около $10 млрд в среднесрочной перспективе.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$12.85 млрд, IRR ~27% (upside +130%). Диапазон 0.7x–4.7x. Ключевой риск — кредитное качество: просрочка (IMOR) 6.03% в апреле 2026 против ~3.3% по сегменту карт, при этом просрочка банков Мексики выросла на 14.16% в реальном выражении за 1П2026 — максимум за 26 лет. Компания пока не прибыльна (план безубыточности — около 2028 года), но оценена по 8.3x выручки, почти вровень с прибыльным Nubank (8.5x). Перед сделкой обязательно запросить квартальную отчётность Banco Plata: чистый результат, ICAP, стоимость риска.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Moonshot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 (Китай)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Китайская ИИ-лаборатория, автор ассистента Kimi. Модель K3 — первая в мире среди моделей с открытыми весами по индексу Artificial Analysis и первая в общем зачёте Frontend Code Arena; SWE-bench Verified 93.4%. Годовая выручка выросла со $100 млн до $300 млн за март–июнь 2026, причём более 70% приносит доступ по API, а не подписки, — при базе всего 7.45 млн активных пользователей в месяц.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Веса моделей открыты: систему можно развернуть на собственных серверах — для крупного бизнеса это единственный способ использовать модель фронтирного уровня, не передавая данные наружу.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Решённая задача обходится примерно вдвое дешевле, чем у западных моделей сопоставимого класса ($0.94 против $1.80 у Claude Opus 4.8), а длинный контекст не тарифицируется по повышенной ставке.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Самый близкий к выходу актив среди частных ИИ-лабораторий: листинг в Гонконге ожидается на рубеже 2026–2027 годов.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$7.7–8.3 млрд по подтверждённым раундам; единой официальной цифры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более $3.5 млрд, объявлен 29.07.2026; среди лидов — государственный National AI Industry Investment Fund. Книга переподписана более чем втрое при исходной цели $1–2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$35 млрд post-money. Оценка выросла в 8 раз за 8 месяцев ($4.3 млрд в декабре 2025), шесть раундов за год. Идущий pre-IPO раунд по pre-money $50 млрд на дату отсечки НЕ закрыт: заявленный финальный клозинг — 27.08.2026.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$38–42 млрд. Нижняя граница — премия 8% к закрытому раунду, верхняя отражает идущий раунд по $50 млрд pre-money. Ликвидного вторичного рынка нет, официальных котировок не существует (Forge показывает оценку $800 млн при реальных $35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Alibaba (около 36%), Tencent, Meituan, IDG Capital, HongShan, ZhenFund, 5Y Capital, Xiaohongshu, China Mobile, National AI Industry Investment Fund, Beijing AI Industry Investment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в Гонконге. Заявка на дату отсечки НЕ подана, таргет подачи — до 30.09.2026, листинг конец 2026 / Q1 2027.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$88 млрд, IRR ~69% (upside +120%). Диапазон 0.7x–5.3x. ОГРАНИЧЕНИЕ ДОСТУПА, требующее отдельного юридического решения: с мая 2026 по требованию CSRC идёт демонтаж офшорной структуры VIE, и компания сообщила акционерам, что механизм переноса прав зарубежных акционеров ещё не определён — среди рассматриваемых вариантов есть продажа офшорных долей, то есть риск принудительного выхода вместо участия в IPO. Для инвесторов из США дополнительно действует Outbound Investment Security Program (EO 14105, кодифицирован в NDAA FY2026), прямо охватывающий категорию ИИ. Второй риск — оценка: 117x выручки против 15–21x у OpenAI и Anthropic, то есть по мультипликатору компания дороже американских лабораторий, а не дешевле. Третий — ценовая война: DeepSeek дешевле в 7–17 раз и в августе срезал цены ещё вдвое.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Higgsfield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ИИ-видео для рекламы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Сервис генерации рекламного видео: пользователь описывает сцену и движение камеры, на выходе — готовый ролик. Продаётся не как развлечение, а как замена съёмочной группе: есть отдельные режимы под рекламу и соцсети (Soul ID, Cinema Studio, Marketing Studio). Основатель — Алекс Машрапов, бывший руководитель ИИ-направления в Snap.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привязан к одной нейросети: работает поверх нескольких чужих моделей сразу (Sora, Veo, Kling, WAN, Seedance) и переключается между ними. Риск ставки на одну модель подтверждается от противного: OpenAI закрыла Sora, сжигая около $1 млн в день при выручке продукта менее $2.1 млн за всё время его существования.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Капиталоэффективность — единственный публично проверяемый показатель: до Series B компания привлекла $138 млн против $859 млн у Runway и $1.06 млрд у Luma.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Продукт заточен под рекламный процесс целиком, а не под генерацию отдельных клипов, — компания продаёт замещение продакшена.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$538 млн: seed $8 млн (2024), Series A $50 млн (GFT, сентябрь 2025), extension $80 млн (Accel, январь 2026, при $1.3 млрд),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$400 млн, 17.08.2026; лид DST Global. Вошли Goldman Sachs Alternatives, Intel Capital, Mirae Asset, NTT DOCOMO, Fifth Wall, Liberty Global — синдикат сменился с венчурного на кроссовер-стратегический, типичная предIPO-конфигурация.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 млрд. Рост оценки вчетверо за 8 месяцев. Оговорка: pre/post-money нигде явно не указано, в модели это допущение.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$5.85–6.2 млрд — премия 8–15% к оценке раунда. Подтверждённых сделок нет: листинги на Forge, EquityZen и Nasdaq Private Market есть, котировок нет. Данные агрегаторов ($213 и $100.70 за акцию) противоречат друг другу вдвое и противоречат подтверждённым раундам — не использованы.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DST Global, Goldman Sachs Alternatives, Intel Capital, Mirae Asset, NTT DOCOMO, Accel, Menlo Ventures, GFT Ventures, Fifth Wall, Tribe, Smash, Valor, Liberty Global.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или продажа стратегу к 2029 году.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2.6x при выходе на $15.65 млрд, IRR ~46% (upside +160%). Диапазон 0.5x–7.5x. Расчёт построен НЕ на заявленной компанией выручке $700 млн, а на независимой оценке Sacra (около $230 млн): обратный счёт по медиане сектора (25–30x) даёт около $215 млн, что сходится с Sacra и расходится с заявлением компании втрое. Риск 1: собственной базовой видеомодели у компании нет — это надстройка поверх чужих моделей, и риск уже реализовался, поскольку OpenAI закрывает API Sora 24.09.2026. Оценивать следует как дистрибуцию, а не как исследовательскую лабораторию. Риск 2: расследование Forbes от 11.02.2026 установило, что часть роликов в маркетинговых материалах компании — стоковые шаблоны Envato с нанесёнными логотипами, а не ИИ-генерация; это подрывает доверие ко всем неаудированным заявлениям, включая финансовые. Выручка, 30 млн пользователей и положительный денежный поток раскрыты исключительно со слов компании; валовая маржа, CAC, LTV и отток не раскрыты.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Lambda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GPU-облако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Сдаёт в аренду вычислительные мощности для обучения ИИ: стойки с чипами NVIDIA по подписке, почасово или большими контрактами. Выручка выросла с $425 млн за 2024 год до темпа $760 млн к концу 2025-го, на 2026 год компания ожидает более $1.5 млрд. 31 августа 2026 года подписан шестилетний контракт с Anthropic на вычислительные мощности примерно на $35 млрд (WSJ, Bloomberg) — крупнейшая сделка в истории компании и один из крупнейших контрактов на рынке аренды вычислений. Площадка Beacon Point в Техасе проектной мощностью 1 ГВт, строит Hut 8. Ранее объявлен многомиллиардный контракт с Microsoft (сумма не раскрыта).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Контракт с Anthropic снимает главный вопрос к бизнес-модели неоклаудов — чем загружать построенные мощности: спрос законтрактован на годы вперёд по зафиксированным ценам, что даёт предсказуемый денежный поток и резерв роста выручки перед IPO. Масштаб: сумма превышает ожидаемую выручку 2026 года более чем в 20 раз, тогда как все обязательства OpenAI перед CoreWeave за 2025 год составили $22.4 млрд.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Первой среди частных неоклаудов получила по долгу инвестиционный рейтинг Moody's Baa2: заём на $926 млн под закупку GPU допускает к участию пенсионные фонды и страховые компании, то есть расширяет круг кредиторов и удешевляет капитал на ключевой класс активов. Компания же первой в отрасли выпустила секьюритизацию под залог GPU (Macquarie, апрель 2024).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Формальный статус NVIDIA Exemplar Cloud и четыре года подряд звание партнёра года NVIDIA: при дефиците чипов это приоритет в распределении поставок. Дополнительно работает self-serve сегмент (1-Click Clusters, около 30 секунд до доступа) с маржой 61% против 50% по компании в целом.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Акционерный капитал около $2.3–2.4 млрд и отдельно долг около $3.4 млрд, включая заём $926 млн под закупку GPU с рейтингом Baa2. Циркулирующая в сети цифра «$3.14 млрд всего» смешивает акции и долг и для оценки не годится.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более $1.5 млрд, закрыт 18.11.2025; лид TWG Global совместно с US Innovative Technology Fund. Предыдущий: Series D $480 млн при $2.5 млрд, 19.02.2025.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$5.9 млрд post-money по закрытому раунду — расчёт Forge, эмитентом официально не подтверждён. Идёт pre-IPO раунд до $3 млрд по оценке от $12 млрд (Bloomberg): его задачи — зафиксировать более высокую оценку перед размещением и профинансировать новые мощности.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$12–15 млрд. Диапазон отражает идущий раунд по оценке от $12 млрд и подписанный после начала тех переговоров контракт с Anthropic. Закрытый раунд ноября 2025 устарел — подход тот же, что по 1X и Positron AI. Котировки площадок ($39.32 Forge против $43.16 NPM) в оценку не переводятся без fully diluted share count, данных о фактически исполненных сделках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TWG Global, NVIDIA, US Innovative Technology Fund, Andra Capital, SGW, ARK Invest, In-Q-Tel, Crescent Cove, 1517, G Squared, Fincadia, KHK; стратегические партнёры Pegatron, Supermicro, Wistron, Wiwynn. Андрей Карпаты — как индивидуальный инвестор.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рассматривается на 2027 год. На дату подготовки документа S-1 публично не подана; подтверждений конфиденциальной подачи в первоисточниках нет — распространённое утверждение об этом восходит к новости о найме Morgan Stanley, J.P. Morgan и Citi в сентябре 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2.7x при выходе на $37 млрд, IRR ~50% (upside +174%). Диапазон 0.7x–6.7x. Базовый сценарий строится на разгоне контракта с Anthropic: $35 млрд за шесть лет дают в среднем около $5.8 млрд выручки в год после ввода площадки. Риск 1 — концентрация: после сделки будущее компании определяет один клиент, а сам контракт построен на допущении, что спрос на ИИ будет расти достаточно быстро, чтобы выкупить зарезервированные мощности по зафиксированным ценам. Риск 2 — связанность участников: Hut 8 строит площадку, NVIDIA её арендует, поставляет чипы и одновременно является инвестором Lambda; риски внутри этого круга не независимы. Риск 3 — структура капитала: долг превышает акционерный капитал и обеспечен быстро дешевеющим железом (час H100 подешевел с $7–10 до менее $2–4), при этом срок амортизации GPU в отрасли не устоялся. Риск 4 — сжатие мультипликаторов сектора уже реализовалось: акции CoreWeave выросли втрое после IPO и потеряли 51% от пика к августу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Technologies, Positron AI и Lambda последние закрытые раунды устарели, поэтому расчёт идёт от оценки идущего раунда (1X: Series C ~$10 млрд; Positron: первый транш ~$3.5 млрд; Lambda: идущий раунд по оценке от $12 млрд). По Figure AI, Polymarket, Databricks, VAST Data и ByteDance указаны фактические диапазоны сделок вторичного рынка. По Waymo, Plata, Moonshot AI и Higgsfield подтверждённых котировок нет, поэтому применена премия 8–15% к оценке последнего раунда; данные агрегаторов по этим компаниям противоречивы и в расчёте не использованы. Отдельно по Moonshot AI: компания демонтирует офшорную структуру VIE по требованию китайского регулятора, механизм переноса прав зарубежных акционеров ещё не определён, а для инвесторов из США действует Outbound Investment Security Program — участие требует отдельной юридической проработки.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2026-09-02T13:54:29.273Z</dcterms:created>
  <dcterms:modified xsi:type="dcterms:W3CDTF">2026-09-02T13:54:29.286Z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