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39%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66%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Kalshi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 (США)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30–40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3.9x · IRR 47%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45%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$100 млрд, IRR ~39% (upside +217%). Диапазон 1.2x–6.9x.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$40 млрд, IRR ~66% (upside +256%). Диапазон 0.9x–8.0x.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Kalshi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 (США)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Первая в США полностью легальная биржа прогнозов — работает под надзором финансового регулятора CFTC. Торгуют исходами событий: от решений ФРС до спорта, причём контракты доступны прямо в популярных брокерских приложениях вроде Robinhood и Webull. Обороты — более $20 млрд в месяц; выручка выросла с $264 млн за весь 2025 год до темпа ~$4 млрд в год к июлю 2026-го.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игрок, легальный во всех 50 штатах: контракты на спорт работают даже там, где обычные букмекеры запрещены, — регуляторная фора, которую конкуренты будут догонять годами.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Не тратит деньги на привлечение клиентов: до трети оборота приносит встроенность в Robinhood и другие брокерские приложения.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Контролирует ~90% американского рынка прогнозов и по оборотам примерно вдвое обгоняет Polymarket; вторичные сделки идут около $35 млрд при раунде, который обсуждается по оценке $40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 млрд, закрыт 07.05.2026; лид Coatue (с Sequoia, a16z, IVP, Paradigm, Morgan Stanley, ARK).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$30–40 млрд — фактические сделки идут около $35 млрд: рынок отыгрывает раунд по оценке $40 млрд, который обсуждают Sequoia и Wellington (CoinDesk,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Sequoia, Andreessen Horowitz, Paradigm, IVP, Morgan Stanley, ARK Invest, Y Combinator.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(раунд по $40 млрд позиционируется как pre-IPO).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$75 млрд, IRR ~46% (upside +114%). Диапазон 1.1x–4.3x.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3.9x при выходе на $18.5 млрд, IRR ~47% (upside +289%). Диапазон 0.8x–9.5x.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$33.75 млрд, IRR ~45% (upside +440%). Диапазон 1.2x–14.0x.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 и Positron AI последние закрытые раунды устарели, поэтому премия 8–15% считается от оценки идущего раунда (1X: Series C ~$10 млрд; Positron: первый транш ~$3.5 млрд). По Kalshi, Figure AI, Polymarket, Databricks, VAST Data и ByteDance указаны фактические диапазоны сделок вторичного рынка.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2026-08-24T12:26:36.755Z</dcterms:created>
  <dcterms:modified xsi:type="dcterms:W3CDTF">2026-08-24T12:26:36.775Z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