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MCP工具测试指南</w:t>
      </w:r>
    </w:p>
    <w:p>
      <w:r>
        <w:t>本文档介绍如何使用MCP测试框架对Model Context Protocol工具进行自动化测试。</w:t>
      </w:r>
    </w:p>
    <w:p>
      <w:pPr>
        <w:pStyle w:val="Heading1"/>
      </w:pPr>
      <w:r>
        <w:t>1. 快速开始</w:t>
      </w:r>
    </w:p>
    <w:p>
      <w:pPr>
        <w:pStyle w:val="ListNumber"/>
      </w:pPr>
      <w:r>
        <w:t>安装依赖:</w:t>
      </w:r>
    </w:p>
    <w:p>
      <w:pPr>
        <w:pStyle w:val="ListBullet"/>
      </w:pPr>
      <w:r>
        <w:t>uv sync</w:t>
      </w:r>
    </w:p>
    <w:p>
      <w:pPr>
        <w:pStyle w:val="ListNumber"/>
      </w:pPr>
      <w:r>
        <w:t>运行测试:</w:t>
      </w:r>
    </w:p>
    <w:p>
      <w:pPr>
        <w:pStyle w:val="ListBullet"/>
      </w:pPr>
      <w:r>
        <w:t>uv run python -m src.main test-url "https://github.com/example/tool"</w:t>
      </w:r>
    </w:p>
    <w:p>
      <w:pPr>
        <w:pStyle w:val="Heading1"/>
      </w:pPr>
      <w:r>
        <w:t>2. 支持的运行时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运行时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示例命令</w:t>
            </w:r>
          </w:p>
        </w:tc>
      </w:tr>
      <w:tr>
        <w:tc>
          <w:tcPr>
            <w:tcW w:type="dxa" w:w="2880"/>
          </w:tcPr>
          <w:p>
            <w:r>
              <w:t>npx</w:t>
            </w:r>
          </w:p>
        </w:tc>
        <w:tc>
          <w:tcPr>
            <w:tcW w:type="dxa" w:w="2880"/>
          </w:tcPr>
          <w:p>
            <w:r>
              <w:t>Node.js包执行器</w:t>
            </w:r>
          </w:p>
        </w:tc>
        <w:tc>
          <w:tcPr>
            <w:tcW w:type="dxa" w:w="2880"/>
          </w:tcPr>
          <w:p>
            <w:r>
              <w:t>npx @example/tool</w:t>
            </w:r>
          </w:p>
        </w:tc>
      </w:tr>
      <w:tr>
        <w:tc>
          <w:tcPr>
            <w:tcW w:type="dxa" w:w="2880"/>
          </w:tcPr>
          <w:p>
            <w:r>
              <w:t>uvx</w:t>
            </w:r>
          </w:p>
        </w:tc>
        <w:tc>
          <w:tcPr>
            <w:tcW w:type="dxa" w:w="2880"/>
          </w:tcPr>
          <w:p>
            <w:r>
              <w:t>Python包执行器</w:t>
            </w:r>
          </w:p>
        </w:tc>
        <w:tc>
          <w:tcPr>
            <w:tcW w:type="dxa" w:w="2880"/>
          </w:tcPr>
          <w:p>
            <w:r>
              <w:t>uvx example-tool</w:t>
            </w:r>
          </w:p>
        </w:tc>
      </w:tr>
      <w:tr>
        <w:tc>
          <w:tcPr>
            <w:tcW w:type="dxa" w:w="2880"/>
          </w:tcPr>
          <w:p>
            <w:r>
              <w:t>本地</w:t>
            </w:r>
          </w:p>
        </w:tc>
        <w:tc>
          <w:tcPr>
            <w:tcW w:type="dxa" w:w="2880"/>
          </w:tcPr>
          <w:p>
            <w:r>
              <w:t>本地可执行文件</w:t>
            </w:r>
          </w:p>
        </w:tc>
        <w:tc>
          <w:tcPr>
            <w:tcW w:type="dxa" w:w="2880"/>
          </w:tcPr>
          <w:p>
            <w:r>
              <w:t>./local-tool</w:t>
            </w:r>
          </w:p>
        </w:tc>
      </w:tr>
    </w:tbl>
    <w:p>
      <w:pPr>
        <w:pStyle w:val="Heading1"/>
      </w:pPr>
      <w:r>
        <w:t>3. 配置示例</w:t>
      </w:r>
    </w:p>
    <w:p>
      <w:r>
        <w:t>以下是典型的.env配置文件示例:</w:t>
      </w:r>
    </w:p>
    <w:p>
      <w:r>
        <w:br/>
        <w:t># AI模型配置</w:t>
        <w:br/>
        <w:t>OPENAI_API_KEY=your_openai_key</w:t>
        <w:br/>
        <w:t>OPENAI_BASE_URL=https://api.openai.com/v1</w:t>
        <w:br/>
        <w:t>OPENAI_MODEL=gpt-4</w:t>
        <w:br/>
        <w:br/>
        <w:t xml:space="preserve"># 数据库配置  </w:t>
        <w:br/>
        <w:t>SUPABASE_URL=https://your-project.supabase.co</w:t>
        <w:br/>
        <w:t>SUPABASE_SERVICE_ROLE_KEY=your_service_role_key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