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7D871">
      <w:pPr>
        <w:spacing w:before="3000" w:after="0"/>
        <w:jc w:val="center"/>
      </w:pPr>
      <w:r>
        <w:rPr>
          <w:rFonts w:ascii="黑体" w:hAnsi="黑体" w:eastAsia="黑体"/>
          <w:b/>
          <w:color w:val="000000"/>
          <w:sz w:val="44"/>
        </w:rPr>
        <w:t>磐石·科学智能（AI for Science）实训营</w:t>
      </w:r>
    </w:p>
    <w:p w14:paraId="74DAB1A9">
      <w:pPr>
        <w:spacing w:before="560" w:after="0"/>
        <w:jc w:val="center"/>
      </w:pPr>
      <w:r>
        <w:rPr>
          <w:rFonts w:hint="eastAsia" w:ascii="黑体" w:hAnsi="黑体" w:eastAsia="黑体"/>
          <w:b/>
          <w:color w:val="000000"/>
          <w:sz w:val="40"/>
          <w:lang w:val="en-US" w:eastAsia="zh-CN"/>
        </w:rPr>
        <w:t>计  划</w:t>
      </w:r>
      <w:r>
        <w:rPr>
          <w:rFonts w:ascii="黑体" w:hAnsi="黑体" w:eastAsia="黑体"/>
          <w:b/>
          <w:color w:val="000000"/>
          <w:sz w:val="40"/>
        </w:rPr>
        <w:t>　方　案</w:t>
      </w:r>
    </w:p>
    <w:p w14:paraId="5A05E7D5">
      <w:pPr>
        <w:spacing w:before="360" w:after="0"/>
        <w:jc w:val="center"/>
      </w:pPr>
      <w:r>
        <w:rPr>
          <w:rFonts w:ascii="宋体" w:hAnsi="宋体" w:eastAsia="宋体"/>
          <w:b w:val="0"/>
          <w:color w:val="000000"/>
          <w:sz w:val="24"/>
        </w:rPr>
        <w:t>（V1.3）</w:t>
      </w:r>
    </w:p>
    <w:p w14:paraId="71BC818F">
      <w:pPr>
        <w:spacing w:before="4300"/>
      </w:pPr>
    </w:p>
    <w:p w14:paraId="67D34C4E">
      <w:pPr>
        <w:jc w:val="center"/>
      </w:pPr>
      <w:r>
        <w:rPr>
          <w:rFonts w:ascii="宋体" w:hAnsi="宋体" w:eastAsia="宋体"/>
          <w:b w:val="0"/>
          <w:color w:val="000000"/>
          <w:sz w:val="24"/>
        </w:rPr>
        <w:t>举办时间：2026 年 8 月 23 日 — 8 月 27 日</w:t>
      </w:r>
    </w:p>
    <w:p w14:paraId="22A3E369">
      <w:pPr>
        <w:spacing w:before="240"/>
        <w:jc w:val="center"/>
      </w:pPr>
      <w:r>
        <w:rPr>
          <w:rFonts w:ascii="宋体" w:hAnsi="宋体" w:eastAsia="宋体"/>
          <w:b w:val="0"/>
          <w:color w:val="000000"/>
          <w:sz w:val="24"/>
        </w:rPr>
        <w:t>举办地点：中国科学院物理研究所</w:t>
      </w:r>
    </w:p>
    <w:p w14:paraId="691CEE24">
      <w:pPr>
        <w:spacing w:before="760"/>
        <w:jc w:val="center"/>
      </w:pPr>
      <w:r>
        <w:rPr>
          <w:rFonts w:ascii="宋体" w:hAnsi="宋体" w:eastAsia="宋体"/>
          <w:b w:val="0"/>
          <w:color w:val="000000"/>
          <w:sz w:val="24"/>
        </w:rPr>
        <w:t>2026 年 7 月</w:t>
      </w:r>
      <w:r>
        <w:br w:type="page"/>
      </w:r>
    </w:p>
    <w:p w14:paraId="0438EB11">
      <w:pPr>
        <w:spacing w:before="240" w:after="360"/>
        <w:jc w:val="center"/>
      </w:pPr>
      <w:r>
        <w:rPr>
          <w:rFonts w:ascii="黑体" w:hAnsi="黑体" w:eastAsia="黑体"/>
          <w:b/>
          <w:color w:val="000000"/>
          <w:sz w:val="32"/>
        </w:rPr>
        <w:t>目　录</w:t>
      </w:r>
    </w:p>
    <w:p w14:paraId="64AF380E">
      <w:pPr>
        <w:pStyle w:val="26"/>
        <w:tabs>
          <w:tab w:val="right" w:leader="dot" w:pos="8732"/>
        </w:tabs>
      </w:pPr>
      <w:r>
        <w:fldChar w:fldCharType="begin"/>
      </w:r>
      <w:r>
        <w:instrText xml:space="preserve">TOC \o "1-1" \h \z \u</w:instrText>
      </w:r>
      <w:r>
        <w:fldChar w:fldCharType="separate"/>
      </w:r>
      <w:r>
        <w:fldChar w:fldCharType="begin"/>
      </w:r>
      <w:r>
        <w:instrText xml:space="preserve"> HYPERLINK \l _Toc1015137658 </w:instrText>
      </w:r>
      <w:r>
        <w:fldChar w:fldCharType="separate"/>
      </w:r>
      <w:r>
        <w:rPr>
          <w:rFonts w:ascii="黑体" w:hAnsi="黑体" w:eastAsia="黑体"/>
          <w:i w:val="0"/>
        </w:rPr>
        <w:t>一、实训营简介</w:t>
      </w:r>
      <w:r>
        <w:tab/>
      </w:r>
      <w:r>
        <w:fldChar w:fldCharType="begin"/>
      </w:r>
      <w:r>
        <w:instrText xml:space="preserve"> PAGEREF _Toc1015137658 \h </w:instrText>
      </w:r>
      <w:r>
        <w:fldChar w:fldCharType="separate"/>
      </w:r>
      <w:r>
        <w:t>3</w:t>
      </w:r>
      <w:r>
        <w:fldChar w:fldCharType="end"/>
      </w:r>
      <w:r>
        <w:fldChar w:fldCharType="end"/>
      </w:r>
    </w:p>
    <w:p w14:paraId="7E025A7D">
      <w:pPr>
        <w:pStyle w:val="26"/>
        <w:tabs>
          <w:tab w:val="right" w:leader="dot" w:pos="8732"/>
        </w:tabs>
      </w:pPr>
      <w:r>
        <w:fldChar w:fldCharType="begin"/>
      </w:r>
      <w:r>
        <w:instrText xml:space="preserve"> HYPERLINK \l _Toc1808526238 </w:instrText>
      </w:r>
      <w:r>
        <w:fldChar w:fldCharType="separate"/>
      </w:r>
      <w:r>
        <w:rPr>
          <w:rFonts w:ascii="黑体" w:hAnsi="黑体" w:eastAsia="黑体"/>
          <w:i w:val="0"/>
        </w:rPr>
        <w:t>二、实训营特色</w:t>
      </w:r>
      <w:r>
        <w:tab/>
      </w:r>
      <w:r>
        <w:fldChar w:fldCharType="begin"/>
      </w:r>
      <w:r>
        <w:instrText xml:space="preserve"> PAGEREF _Toc1808526238 \h </w:instrText>
      </w:r>
      <w:r>
        <w:fldChar w:fldCharType="separate"/>
      </w:r>
      <w:r>
        <w:t>3</w:t>
      </w:r>
      <w:r>
        <w:fldChar w:fldCharType="end"/>
      </w:r>
      <w:r>
        <w:fldChar w:fldCharType="end"/>
      </w:r>
    </w:p>
    <w:p w14:paraId="13491EBA">
      <w:pPr>
        <w:pStyle w:val="26"/>
        <w:tabs>
          <w:tab w:val="right" w:leader="dot" w:pos="8732"/>
        </w:tabs>
      </w:pPr>
      <w:r>
        <w:fldChar w:fldCharType="begin"/>
      </w:r>
      <w:r>
        <w:instrText xml:space="preserve"> HYPERLINK \l _Toc416942428 </w:instrText>
      </w:r>
      <w:r>
        <w:fldChar w:fldCharType="separate"/>
      </w:r>
      <w:r>
        <w:rPr>
          <w:rFonts w:ascii="黑体" w:hAnsi="黑体" w:eastAsia="黑体"/>
          <w:i w:val="0"/>
        </w:rPr>
        <w:t>三、举办时间、地点与规模</w:t>
      </w:r>
      <w:r>
        <w:tab/>
      </w:r>
      <w:r>
        <w:fldChar w:fldCharType="begin"/>
      </w:r>
      <w:r>
        <w:instrText xml:space="preserve"> PAGEREF _Toc416942428 \h </w:instrText>
      </w:r>
      <w:r>
        <w:fldChar w:fldCharType="separate"/>
      </w:r>
      <w:r>
        <w:t>4</w:t>
      </w:r>
      <w:r>
        <w:fldChar w:fldCharType="end"/>
      </w:r>
      <w:r>
        <w:fldChar w:fldCharType="end"/>
      </w:r>
    </w:p>
    <w:p w14:paraId="7850F5EA">
      <w:pPr>
        <w:pStyle w:val="26"/>
        <w:tabs>
          <w:tab w:val="right" w:leader="dot" w:pos="8732"/>
        </w:tabs>
      </w:pPr>
      <w:r>
        <w:fldChar w:fldCharType="begin"/>
      </w:r>
      <w:r>
        <w:instrText xml:space="preserve"> HYPERLINK \l _Toc312247235 </w:instrText>
      </w:r>
      <w:r>
        <w:fldChar w:fldCharType="separate"/>
      </w:r>
      <w:r>
        <w:rPr>
          <w:rFonts w:ascii="黑体" w:hAnsi="黑体" w:eastAsia="黑体"/>
        </w:rPr>
        <w:t>四、日程安排</w:t>
      </w:r>
      <w:r>
        <w:tab/>
      </w:r>
      <w:r>
        <w:fldChar w:fldCharType="begin"/>
      </w:r>
      <w:r>
        <w:instrText xml:space="preserve"> PAGEREF _Toc312247235 \h </w:instrText>
      </w:r>
      <w:r>
        <w:fldChar w:fldCharType="separate"/>
      </w:r>
      <w:r>
        <w:t>4</w:t>
      </w:r>
      <w:r>
        <w:fldChar w:fldCharType="end"/>
      </w:r>
      <w:r>
        <w:fldChar w:fldCharType="end"/>
      </w:r>
    </w:p>
    <w:p w14:paraId="79F1EE4D">
      <w:pPr>
        <w:pStyle w:val="26"/>
        <w:tabs>
          <w:tab w:val="right" w:leader="dot" w:pos="8732"/>
        </w:tabs>
      </w:pPr>
      <w:r>
        <w:fldChar w:fldCharType="begin"/>
      </w:r>
      <w:r>
        <w:instrText xml:space="preserve"> HYPERLINK \l _Toc1636729024 </w:instrText>
      </w:r>
      <w:r>
        <w:fldChar w:fldCharType="separate"/>
      </w:r>
      <w:r>
        <w:rPr>
          <w:rFonts w:ascii="黑体" w:hAnsi="黑体" w:eastAsia="黑体"/>
        </w:rPr>
        <w:t>五、组织单位</w:t>
      </w:r>
      <w:r>
        <w:tab/>
      </w:r>
      <w:r>
        <w:fldChar w:fldCharType="begin"/>
      </w:r>
      <w:r>
        <w:instrText xml:space="preserve"> PAGEREF _Toc1636729024 \h </w:instrText>
      </w:r>
      <w:r>
        <w:fldChar w:fldCharType="separate"/>
      </w:r>
      <w:r>
        <w:t>9</w:t>
      </w:r>
      <w:r>
        <w:fldChar w:fldCharType="end"/>
      </w:r>
      <w:r>
        <w:fldChar w:fldCharType="end"/>
      </w:r>
    </w:p>
    <w:p w14:paraId="64BFCE41">
      <w:pPr>
        <w:pStyle w:val="26"/>
        <w:tabs>
          <w:tab w:val="right" w:leader="dot" w:pos="8732"/>
        </w:tabs>
      </w:pPr>
      <w:r>
        <w:fldChar w:fldCharType="begin"/>
      </w:r>
      <w:r>
        <w:instrText xml:space="preserve"> HYPERLINK \l _Toc1386671945 </w:instrText>
      </w:r>
      <w:r>
        <w:fldChar w:fldCharType="separate"/>
      </w:r>
      <w:r>
        <w:rPr>
          <w:rFonts w:ascii="黑体" w:hAnsi="黑体" w:eastAsia="黑体"/>
        </w:rPr>
        <w:t>六、课程开设基础</w:t>
      </w:r>
      <w:r>
        <w:tab/>
      </w:r>
      <w:r>
        <w:fldChar w:fldCharType="begin"/>
      </w:r>
      <w:r>
        <w:instrText xml:space="preserve"> PAGEREF _Toc1386671945 \h </w:instrText>
      </w:r>
      <w:r>
        <w:fldChar w:fldCharType="separate"/>
      </w:r>
      <w:r>
        <w:t>9</w:t>
      </w:r>
      <w:r>
        <w:fldChar w:fldCharType="end"/>
      </w:r>
      <w:r>
        <w:fldChar w:fldCharType="end"/>
      </w:r>
    </w:p>
    <w:p w14:paraId="2C505E74">
      <w:pPr>
        <w:pStyle w:val="26"/>
        <w:tabs>
          <w:tab w:val="right" w:leader="dot" w:pos="8732"/>
        </w:tabs>
      </w:pPr>
      <w:r>
        <w:fldChar w:fldCharType="begin"/>
      </w:r>
      <w:r>
        <w:instrText xml:space="preserve"> HYPERLINK \l _Toc1302842371 </w:instrText>
      </w:r>
      <w:r>
        <w:fldChar w:fldCharType="separate"/>
      </w:r>
      <w:r>
        <w:rPr>
          <w:rFonts w:ascii="黑体" w:hAnsi="黑体" w:eastAsia="黑体"/>
        </w:rPr>
        <w:t>七、实施计划</w:t>
      </w:r>
      <w:r>
        <w:tab/>
      </w:r>
      <w:r>
        <w:fldChar w:fldCharType="begin"/>
      </w:r>
      <w:r>
        <w:instrText xml:space="preserve"> PAGEREF _Toc1302842371 \h </w:instrText>
      </w:r>
      <w:r>
        <w:fldChar w:fldCharType="separate"/>
      </w:r>
      <w:r>
        <w:t>11</w:t>
      </w:r>
      <w:r>
        <w:fldChar w:fldCharType="end"/>
      </w:r>
      <w:r>
        <w:fldChar w:fldCharType="end"/>
      </w:r>
    </w:p>
    <w:p w14:paraId="632B6FB4">
      <w:pPr>
        <w:pStyle w:val="26"/>
        <w:tabs>
          <w:tab w:val="right" w:leader="dot" w:pos="8732"/>
        </w:tabs>
      </w:pPr>
      <w:r>
        <w:fldChar w:fldCharType="begin"/>
      </w:r>
      <w:r>
        <w:instrText xml:space="preserve"> HYPERLINK \l _Toc1128464585 </w:instrText>
      </w:r>
      <w:r>
        <w:fldChar w:fldCharType="separate"/>
      </w:r>
      <w:r>
        <w:rPr>
          <w:rFonts w:ascii="黑体" w:hAnsi="黑体" w:eastAsia="黑体"/>
        </w:rPr>
        <w:t>附录一　专题实训模块详细内容</w:t>
      </w:r>
      <w:r>
        <w:tab/>
      </w:r>
      <w:r>
        <w:fldChar w:fldCharType="begin"/>
      </w:r>
      <w:r>
        <w:instrText xml:space="preserve"> PAGEREF _Toc1128464585 \h </w:instrText>
      </w:r>
      <w:r>
        <w:fldChar w:fldCharType="separate"/>
      </w:r>
      <w:r>
        <w:t>12</w:t>
      </w:r>
      <w:r>
        <w:fldChar w:fldCharType="end"/>
      </w:r>
      <w:r>
        <w:fldChar w:fldCharType="end"/>
      </w:r>
    </w:p>
    <w:p w14:paraId="69296DAC">
      <w:pPr>
        <w:pStyle w:val="26"/>
        <w:tabs>
          <w:tab w:val="right" w:leader="dot" w:pos="8732"/>
        </w:tabs>
      </w:pPr>
      <w:r>
        <w:fldChar w:fldCharType="begin"/>
      </w:r>
      <w:r>
        <w:instrText xml:space="preserve"> HYPERLINK \l _Toc1676193438 </w:instrText>
      </w:r>
      <w:r>
        <w:fldChar w:fldCharType="separate"/>
      </w:r>
      <w:r>
        <w:rPr>
          <w:rFonts w:ascii="黑体" w:hAnsi="黑体" w:eastAsia="黑体"/>
        </w:rPr>
        <w:t>附录二　AI4S 真实问题牵引与科研培育机制</w:t>
      </w:r>
      <w:r>
        <w:tab/>
      </w:r>
      <w:r>
        <w:fldChar w:fldCharType="begin"/>
      </w:r>
      <w:r>
        <w:instrText xml:space="preserve"> PAGEREF _Toc1676193438 \h </w:instrText>
      </w:r>
      <w:r>
        <w:fldChar w:fldCharType="separate"/>
      </w:r>
      <w:r>
        <w:t>17</w:t>
      </w:r>
      <w:r>
        <w:fldChar w:fldCharType="end"/>
      </w:r>
      <w:r>
        <w:fldChar w:fldCharType="end"/>
      </w:r>
    </w:p>
    <w:p w14:paraId="2E5BEF82">
      <w:r>
        <w:fldChar w:fldCharType="end"/>
      </w:r>
    </w:p>
    <w:p w14:paraId="2E87E632">
      <w:r>
        <w:br w:type="page"/>
      </w:r>
    </w:p>
    <w:p w14:paraId="42EEE828">
      <w:pPr>
        <w:pStyle w:val="3"/>
        <w:spacing w:before="200" w:after="120" w:line="288" w:lineRule="auto"/>
        <w:ind w:firstLine="0"/>
        <w:jc w:val="left"/>
      </w:pPr>
      <w:bookmarkStart w:id="0" w:name="bm_intro"/>
      <w:bookmarkStart w:id="1" w:name="_Toc1015137658"/>
      <w:r>
        <w:rPr>
          <w:rFonts w:ascii="黑体" w:hAnsi="黑体" w:eastAsia="黑体"/>
          <w:b/>
          <w:i w:val="0"/>
          <w:color w:val="000000"/>
          <w:sz w:val="28"/>
        </w:rPr>
        <w:t>一、实训营简介</w:t>
      </w:r>
      <w:bookmarkEnd w:id="0"/>
      <w:bookmarkEnd w:id="1"/>
    </w:p>
    <w:p w14:paraId="7262D4E6">
      <w:pPr>
        <w:spacing w:after="0" w:line="288" w:lineRule="auto"/>
        <w:ind w:firstLine="420"/>
        <w:jc w:val="left"/>
        <w:rPr>
          <w:rFonts w:ascii="仿宋" w:hAnsi="仿宋" w:eastAsia="仿宋"/>
          <w:b w:val="0"/>
          <w:i w:val="0"/>
          <w:sz w:val="21"/>
          <w:highlight w:val="none"/>
        </w:rPr>
      </w:pPr>
      <w:bookmarkStart w:id="2" w:name="bm_features"/>
      <w:r>
        <w:rPr>
          <w:rFonts w:ascii="仿宋" w:hAnsi="仿宋" w:eastAsia="仿宋"/>
          <w:b w:val="0"/>
          <w:i w:val="0"/>
          <w:sz w:val="21"/>
          <w:highlight w:val="none"/>
        </w:rPr>
        <w:t>人工智能正由辅助数据处理的算法和工具，演进为深度参与文献调研、假设生成，实验设计、结果分析的新型科研系统，且将逐步从科研助手发展为可自主进化和探索科学任务的AI科学家。对于具有专业学科背景的科研人员而言，当前仍普遍存在知识与工具分散、系统认知不足，科学问题难以转化为可计算、可评测的 AI 任务，通用智能体与专业科研场景适配不足，以及模型结果缺少可信验证和可复现保障等问题。如何将人工智能真正转化为解决科学问题的研究能力，是面向科技前沿和关键领域、增强研究生实践能力和创新能力需要回应的现实问题。</w:t>
      </w:r>
    </w:p>
    <w:p w14:paraId="3A16785C">
      <w:pPr>
        <w:spacing w:after="0" w:line="288" w:lineRule="auto"/>
        <w:ind w:firstLine="420"/>
        <w:jc w:val="left"/>
      </w:pPr>
      <w:r>
        <w:rPr>
          <w:rFonts w:ascii="仿宋" w:hAnsi="仿宋" w:eastAsia="仿宋"/>
          <w:color w:val="000000"/>
          <w:sz w:val="21"/>
        </w:rPr>
        <w:t>“磐石·科学智能（AI for Science）实训营”由中国科学院物理研究所主办，联合中国科学院自动化研究所、中国科学院国家天文台、中国科学院计算技术研究所、中国科学院计算机网络信息中心、中国科学院上海高等研究院、中国科学院深圳先进技术研究院、中国科学院大连化学物理研究所、中国科学院大学学位办公室等单位共同开展课程建设、案例支持和学员培养，并由腾讯云</w:t>
      </w:r>
      <w:bookmarkStart w:id="34" w:name="_GoBack"/>
      <w:bookmarkEnd w:id="34"/>
      <w:r>
        <w:rPr>
          <w:rFonts w:ascii="仿宋" w:hAnsi="仿宋" w:eastAsia="仿宋"/>
          <w:color w:val="000000"/>
          <w:sz w:val="21"/>
        </w:rPr>
        <w:t>提供支持。实训营依托磐石科学智能生态，主要面向非人工智能专业背景、希望将人工智能方法应用于科学研究的研究生和青年科研人员，并面向具有良好数理基础、科研兴趣和自主学习能力的优秀本科生开放。实训营围绕科研智能体、AI4S 科研方法论、科学模型和自驱动的端到端科研闭环设置课程，采用“前沿讲座—理论筑基—案例拆解—专题实训—问题研讨—场景参访—项目培育”的递进式培养模式，帮助学员建立系统化 AI4S 认知，掌握将科学问题转化为 AI-ready 任务的基本方法，初步形成科研智能体与科学模型的设计、实现和验证能力，并围绕真实科研问题形成可继续推进的研究方案。</w:t>
      </w:r>
    </w:p>
    <w:p w14:paraId="58DC1547">
      <w:pPr>
        <w:spacing w:after="0" w:line="288" w:lineRule="auto"/>
        <w:ind w:firstLine="420"/>
        <w:jc w:val="left"/>
      </w:pPr>
      <w:r>
        <w:rPr>
          <w:rFonts w:ascii="仿宋" w:hAnsi="仿宋" w:eastAsia="仿宋"/>
          <w:b w:val="0"/>
          <w:i w:val="0"/>
          <w:sz w:val="21"/>
        </w:rPr>
        <w:t>在学员培养之外，实训营还将以课程建设为重要目标，探索面向智能体原生科研人才的 AI4S 培养模式，形成覆盖科研智能体、AI4S 科研方法论、科学模型和端到端科研闭环的模块化课程体系，沉淀教案、课件、实训脚本、代码数据、评价标准和助教手册等可复用教学资源，并建立真实问题牵引的课程迭代与科研培育机制。对于科学价值明确、研究条件基本具备且学员具有持续参与意愿的课题，实训营将通过双向选择、导师指导和持续项目跟进，推动部分学习成果进一步发展为 AI4S 科研项目和实践成果。</w:t>
      </w:r>
    </w:p>
    <w:p w14:paraId="7C13A09F">
      <w:pPr>
        <w:pStyle w:val="3"/>
        <w:spacing w:before="200" w:after="120" w:line="288" w:lineRule="auto"/>
        <w:ind w:firstLine="0"/>
        <w:jc w:val="left"/>
      </w:pPr>
      <w:bookmarkStart w:id="3" w:name="_Toc1808526238"/>
      <w:r>
        <w:rPr>
          <w:rFonts w:ascii="黑体" w:hAnsi="黑体" w:eastAsia="黑体"/>
          <w:b/>
          <w:i w:val="0"/>
          <w:color w:val="000000"/>
          <w:sz w:val="28"/>
        </w:rPr>
        <w:t>二、实训营特色</w:t>
      </w:r>
      <w:bookmarkEnd w:id="2"/>
      <w:bookmarkEnd w:id="3"/>
    </w:p>
    <w:p w14:paraId="486A95CF">
      <w:pPr>
        <w:spacing w:before="60" w:after="0" w:line="288" w:lineRule="auto"/>
        <w:ind w:firstLine="420"/>
        <w:jc w:val="left"/>
      </w:pPr>
      <w:r>
        <w:rPr>
          <w:rFonts w:ascii="仿宋" w:hAnsi="仿宋" w:eastAsia="仿宋"/>
          <w:b/>
          <w:bCs/>
          <w:i w:val="0"/>
          <w:sz w:val="21"/>
        </w:rPr>
        <w:t>注重 AI4S 系统性认知与科研思维建立。</w:t>
      </w:r>
      <w:r>
        <w:rPr>
          <w:rFonts w:ascii="仿宋" w:hAnsi="仿宋" w:eastAsia="仿宋"/>
          <w:b w:val="0"/>
          <w:i w:val="0"/>
          <w:sz w:val="21"/>
        </w:rPr>
        <w:t>实训营不局限于单一工具教学，而是围绕科学数据、科学模型、科研智能体、科研工具及计算—实验闭环，帮助学员建立系统化 AI4S 知识框架。重点训练学员从真实科学问题中识别人工智能可参与环节，将领域问题转化为数据条件明确、任务边界清晰、可计算、可评测的 AI-ready 任务。</w:t>
      </w:r>
    </w:p>
    <w:p w14:paraId="00321F93">
      <w:pPr>
        <w:spacing w:before="60" w:after="0" w:line="288" w:lineRule="auto"/>
        <w:ind w:firstLine="420"/>
        <w:jc w:val="left"/>
      </w:pPr>
      <w:r>
        <w:rPr>
          <w:rFonts w:ascii="仿宋" w:hAnsi="仿宋" w:eastAsia="仿宋"/>
          <w:b/>
          <w:bCs/>
          <w:i w:val="0"/>
          <w:sz w:val="21"/>
        </w:rPr>
        <w:t>构建智能体原生、实践嵌入式实训体系。</w:t>
      </w:r>
      <w:r>
        <w:rPr>
          <w:rFonts w:ascii="仿宋" w:hAnsi="仿宋" w:eastAsia="仿宋"/>
          <w:b w:val="0"/>
          <w:i w:val="0"/>
          <w:sz w:val="21"/>
        </w:rPr>
        <w:t>将智能体贯穿文献调研、</w:t>
      </w:r>
      <w:r>
        <w:rPr>
          <w:rFonts w:hint="eastAsia" w:ascii="仿宋" w:hAnsi="仿宋" w:eastAsia="仿宋"/>
          <w:b w:val="0"/>
          <w:i w:val="0"/>
          <w:sz w:val="21"/>
          <w:lang w:val="en-US" w:eastAsia="zh-CN"/>
        </w:rPr>
        <w:t>假设生成</w:t>
      </w:r>
      <w:r>
        <w:rPr>
          <w:rFonts w:ascii="仿宋" w:hAnsi="仿宋" w:eastAsia="仿宋"/>
          <w:b w:val="0"/>
          <w:i w:val="0"/>
          <w:sz w:val="21"/>
        </w:rPr>
        <w:t>、数据处理、模型训练等环节，采用“先完成最小可运行闭环，再逐步理解核心原理”的教学路径。课程在强化实践能力的同时，注重上下文、记忆、知识库、工具调用和执行循环等原理，并培养结果核验、人在环审核和科学边界意识。</w:t>
      </w:r>
    </w:p>
    <w:p w14:paraId="0A6AC7F1">
      <w:pPr>
        <w:spacing w:before="60" w:after="0" w:line="288" w:lineRule="auto"/>
        <w:ind w:firstLine="420"/>
        <w:jc w:val="left"/>
      </w:pPr>
      <w:r>
        <w:rPr>
          <w:rFonts w:ascii="仿宋" w:hAnsi="仿宋" w:eastAsia="仿宋"/>
          <w:b/>
          <w:bCs/>
          <w:i w:val="0"/>
          <w:sz w:val="21"/>
        </w:rPr>
        <w:t>建立真实问题牵引与科研培育机制。</w:t>
      </w:r>
      <w:r>
        <w:rPr>
          <w:rFonts w:ascii="仿宋" w:hAnsi="仿宋" w:eastAsia="仿宋"/>
          <w:b w:val="0"/>
          <w:i w:val="0"/>
          <w:sz w:val="21"/>
        </w:rPr>
        <w:t>实训营课前征集真实 AI4S 问题，学员报名时选择或自主提出问题，并通过课程</w:t>
      </w:r>
      <w:r>
        <w:rPr>
          <w:rFonts w:hint="eastAsia" w:ascii="仿宋" w:hAnsi="仿宋" w:eastAsia="仿宋"/>
          <w:b w:val="0"/>
          <w:i w:val="0"/>
          <w:sz w:val="21"/>
          <w:lang w:val="en-US" w:eastAsia="zh-CN"/>
        </w:rPr>
        <w:t>学习</w:t>
      </w:r>
      <w:r>
        <w:rPr>
          <w:rFonts w:ascii="仿宋" w:hAnsi="仿宋" w:eastAsia="仿宋"/>
          <w:b w:val="0"/>
          <w:i w:val="0"/>
          <w:sz w:val="21"/>
        </w:rPr>
        <w:t>、习题课和分组研讨逐步完善问题定义与技术路线。对科学价值明确、研究条件基本具备且学员具有持续参与意愿的课题，通过双向选择、导师指导和持续项目跟进，推动其进一步发展为科学模型、科研智能体、科研工具或可复用工作流等成果。</w:t>
      </w:r>
    </w:p>
    <w:p w14:paraId="4235CBA0">
      <w:pPr>
        <w:spacing w:before="60" w:after="0" w:line="288" w:lineRule="auto"/>
        <w:ind w:firstLine="420"/>
        <w:jc w:val="left"/>
      </w:pPr>
      <w:r>
        <w:rPr>
          <w:rFonts w:ascii="仿宋" w:hAnsi="仿宋" w:eastAsia="仿宋"/>
          <w:b/>
          <w:bCs/>
          <w:i w:val="0"/>
          <w:sz w:val="21"/>
        </w:rPr>
        <w:t>依托跨学科生态推动科教融合与产学研协同</w:t>
      </w:r>
      <w:r>
        <w:rPr>
          <w:rFonts w:hint="eastAsia"/>
          <w:b/>
          <w:bCs/>
          <w:i w:val="0"/>
          <w:sz w:val="21"/>
          <w:lang w:val="en-US" w:eastAsia="zh-CN"/>
        </w:rPr>
        <w:t>发展</w:t>
      </w:r>
      <w:r>
        <w:rPr>
          <w:rFonts w:ascii="仿宋" w:hAnsi="仿宋" w:eastAsia="仿宋"/>
          <w:b/>
          <w:bCs/>
          <w:i w:val="0"/>
          <w:sz w:val="21"/>
        </w:rPr>
        <w:t>。</w:t>
      </w:r>
      <w:r>
        <w:rPr>
          <w:rFonts w:ascii="仿宋" w:hAnsi="仿宋" w:eastAsia="仿宋"/>
          <w:b w:val="0"/>
          <w:i w:val="0"/>
          <w:sz w:val="21"/>
        </w:rPr>
        <w:t>依托磐石科学智能生态和中国科学院多学科科研体系，连接不同领域的科学问题、专业人才和技术能力，并引入科研平台、科技企业、算力及云服务等资源。通过研究所真实科研需求牵引课程教学，将科研任务、课程训练和青年人才培养贯通起来，促进领域知识、科学数据、模型算法、智能体工具和应用场景协同，使实训营同时成为 AI4S 人才培养、科研需求对接和跨学科合作的平台。</w:t>
      </w:r>
    </w:p>
    <w:p w14:paraId="5F255B6A">
      <w:pPr>
        <w:pStyle w:val="3"/>
        <w:spacing w:before="200" w:after="120" w:line="288" w:lineRule="auto"/>
        <w:ind w:firstLine="0"/>
        <w:jc w:val="left"/>
      </w:pPr>
      <w:bookmarkStart w:id="4" w:name="_Toc416942428"/>
      <w:bookmarkStart w:id="5" w:name="bm_time"/>
      <w:r>
        <w:rPr>
          <w:rFonts w:ascii="黑体" w:hAnsi="黑体" w:eastAsia="黑体"/>
          <w:b/>
          <w:i w:val="0"/>
          <w:color w:val="000000"/>
          <w:sz w:val="28"/>
        </w:rPr>
        <w:t>三、举办时间、地点与规模</w:t>
      </w:r>
      <w:bookmarkEnd w:id="4"/>
      <w:bookmarkEnd w:id="5"/>
    </w:p>
    <w:p w14:paraId="633EE744">
      <w:pPr>
        <w:spacing w:after="0" w:line="288" w:lineRule="auto"/>
        <w:ind w:firstLine="420"/>
        <w:jc w:val="left"/>
      </w:pPr>
      <w:r>
        <w:rPr>
          <w:rFonts w:ascii="仿宋" w:hAnsi="仿宋" w:eastAsia="仿宋"/>
          <w:b w:val="0"/>
          <w:i w:val="0"/>
          <w:sz w:val="21"/>
        </w:rPr>
        <w:t>举办时间：2026 年 8 月 23 日至 8 月 27 日，共 5 天。前 4 天分别围绕科研智能体、AI4S 科研方法论、科学模型和自驱动的端到端科研闭环开展课程教学，第 5 天安排科研机构参访、学习成果交流与结营。</w:t>
      </w:r>
    </w:p>
    <w:p w14:paraId="3C83A286">
      <w:pPr>
        <w:spacing w:after="0" w:line="288" w:lineRule="auto"/>
        <w:ind w:firstLine="420"/>
        <w:jc w:val="left"/>
      </w:pPr>
      <w:r>
        <w:rPr>
          <w:rFonts w:ascii="仿宋" w:hAnsi="仿宋" w:eastAsia="仿宋"/>
          <w:b w:val="0"/>
          <w:i w:val="0"/>
          <w:sz w:val="21"/>
        </w:rPr>
        <w:t>举办地点：中国科学院物理研究所。</w:t>
      </w:r>
    </w:p>
    <w:p w14:paraId="32D9374A">
      <w:pPr>
        <w:spacing w:after="0" w:line="288" w:lineRule="auto"/>
        <w:ind w:firstLine="420"/>
        <w:jc w:val="left"/>
      </w:pPr>
      <w:r>
        <w:rPr>
          <w:rFonts w:ascii="仿宋" w:hAnsi="仿宋" w:eastAsia="仿宋"/>
          <w:b w:val="0"/>
          <w:i w:val="0"/>
          <w:sz w:val="21"/>
        </w:rPr>
        <w:t>拟定规模：总报名及线上参与规模约 300—500 人；线下集中学习规模原则上控制在 100—200 人；后续持续项目实践学员约 30—50 人。</w:t>
      </w:r>
    </w:p>
    <w:p w14:paraId="4DA61AB9">
      <w:pPr>
        <w:spacing w:after="0" w:line="288" w:lineRule="auto"/>
        <w:ind w:firstLine="420"/>
        <w:jc w:val="left"/>
      </w:pPr>
      <w:r>
        <w:rPr>
          <w:rFonts w:ascii="仿宋" w:hAnsi="仿宋" w:eastAsia="仿宋"/>
          <w:b w:val="0"/>
          <w:i w:val="0"/>
          <w:sz w:val="21"/>
        </w:rPr>
        <w:t>首届实训营拟采取公开报名、材料审核和分类录取的方式组织，形成线上学习、线下集中学习和持续项目实践三个层次，构建由广泛认知到深度学习、再到科研实践的递进式参与结构。具体规模将根据场地条件、师资配置、实训环境、助教力量及项目培育条件综合确定。</w:t>
      </w:r>
    </w:p>
    <w:p w14:paraId="2E9A2E66">
      <w:pPr>
        <w:pStyle w:val="3"/>
        <w:keepNext/>
        <w:spacing w:before="200" w:after="120" w:line="288" w:lineRule="auto"/>
        <w:ind w:firstLine="0"/>
        <w:jc w:val="left"/>
        <w:outlineLvl w:val="0"/>
      </w:pPr>
      <w:bookmarkStart w:id="6" w:name="_Toc1839672098"/>
      <w:bookmarkEnd w:id="6"/>
      <w:bookmarkStart w:id="7" w:name="bm_schedule"/>
      <w:bookmarkStart w:id="8" w:name="_Toc312247235"/>
      <w:r>
        <w:rPr>
          <w:rFonts w:ascii="黑体" w:hAnsi="黑体" w:eastAsia="黑体"/>
          <w:b/>
          <w:color w:val="000000"/>
          <w:sz w:val="28"/>
        </w:rPr>
        <w:t>四、日程安排</w:t>
      </w:r>
      <w:bookmarkEnd w:id="7"/>
      <w:bookmarkEnd w:id="8"/>
    </w:p>
    <w:p w14:paraId="641799F0">
      <w:pPr>
        <w:spacing w:before="0" w:after="0" w:line="288" w:lineRule="auto"/>
        <w:ind w:firstLine="420"/>
        <w:jc w:val="left"/>
      </w:pPr>
      <w:r>
        <w:rPr>
          <w:rFonts w:ascii="仿宋" w:hAnsi="仿宋" w:eastAsia="仿宋"/>
          <w:b w:val="0"/>
          <w:color w:val="222222"/>
          <w:sz w:val="21"/>
        </w:rPr>
        <w:t>前四天分别聚焦一个专题，每天灵活组合前沿讲座、理论课程、案例分享与专题实训，晚间安排习题课与选修研讨课；第五天安排科研机构参访、学习成果交流与结营。</w:t>
      </w:r>
    </w:p>
    <w:tbl>
      <w:tblPr>
        <w:tblStyle w:val="35"/>
        <w:tblW w:w="9069" w:type="dxa"/>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0" w:type="dxa"/>
          <w:left w:w="108" w:type="dxa"/>
          <w:bottom w:w="0" w:type="dxa"/>
          <w:right w:w="108" w:type="dxa"/>
        </w:tblCellMar>
      </w:tblPr>
      <w:tblGrid>
        <w:gridCol w:w="1050"/>
        <w:gridCol w:w="1120"/>
        <w:gridCol w:w="2050"/>
        <w:gridCol w:w="3040"/>
        <w:gridCol w:w="1809"/>
      </w:tblGrid>
      <w:tr w14:paraId="6065EA5F">
        <w:trPr>
          <w:cantSplit/>
          <w:tblHeader/>
          <w:jc w:val="center"/>
        </w:trPr>
        <w:tc>
          <w:tcPr>
            <w:tcW w:w="1077" w:type="dxa"/>
            <w:shd w:val="clear" w:color="auto" w:fill="D9D9D9"/>
            <w:tcMar>
              <w:top w:w="88" w:type="dxa"/>
              <w:left w:w="78" w:type="dxa"/>
              <w:bottom w:w="88" w:type="dxa"/>
              <w:right w:w="78" w:type="dxa"/>
            </w:tcMar>
            <w:vAlign w:val="center"/>
          </w:tcPr>
          <w:p w14:paraId="788C0448">
            <w:pPr>
              <w:spacing w:before="0" w:after="0" w:line="240" w:lineRule="auto"/>
              <w:ind w:firstLine="0"/>
              <w:jc w:val="center"/>
              <w:rPr>
                <w:color w:val="000000" w:themeColor="text1" w:themeShade="BF"/>
              </w:rPr>
            </w:pPr>
            <w:r>
              <w:rPr>
                <w:rFonts w:ascii="仿宋" w:hAnsi="仿宋" w:eastAsia="仿宋"/>
                <w:b/>
                <w:color w:val="000000"/>
                <w:sz w:val="16"/>
              </w:rPr>
              <w:t>日期 / 专题</w:t>
            </w:r>
          </w:p>
        </w:tc>
        <w:tc>
          <w:tcPr>
            <w:tcW w:w="907" w:type="dxa"/>
            <w:shd w:val="clear" w:color="auto" w:fill="D9D9D9"/>
            <w:tcMar>
              <w:top w:w="88" w:type="dxa"/>
              <w:left w:w="78" w:type="dxa"/>
              <w:bottom w:w="88" w:type="dxa"/>
              <w:right w:w="78" w:type="dxa"/>
            </w:tcMar>
            <w:vAlign w:val="center"/>
          </w:tcPr>
          <w:p w14:paraId="0810E0F8">
            <w:pPr>
              <w:spacing w:before="0" w:after="0" w:line="240" w:lineRule="auto"/>
              <w:ind w:firstLine="0"/>
              <w:jc w:val="center"/>
              <w:rPr>
                <w:color w:val="000000" w:themeColor="text1" w:themeShade="BF"/>
              </w:rPr>
            </w:pPr>
            <w:r>
              <w:rPr>
                <w:rFonts w:ascii="仿宋" w:hAnsi="仿宋" w:eastAsia="仿宋"/>
                <w:b/>
                <w:color w:val="000000"/>
                <w:sz w:val="16"/>
              </w:rPr>
              <w:t>时段</w:t>
            </w:r>
          </w:p>
        </w:tc>
        <w:tc>
          <w:tcPr>
            <w:tcW w:w="2097" w:type="dxa"/>
            <w:shd w:val="clear" w:color="auto" w:fill="D9D9D9"/>
            <w:tcMar>
              <w:top w:w="88" w:type="dxa"/>
              <w:left w:w="78" w:type="dxa"/>
              <w:bottom w:w="88" w:type="dxa"/>
              <w:right w:w="78" w:type="dxa"/>
            </w:tcMar>
            <w:vAlign w:val="center"/>
          </w:tcPr>
          <w:p w14:paraId="2F1A28C5">
            <w:pPr>
              <w:spacing w:before="0" w:after="0" w:line="240" w:lineRule="auto"/>
              <w:ind w:firstLine="0"/>
              <w:jc w:val="center"/>
              <w:rPr>
                <w:color w:val="000000" w:themeColor="text1" w:themeShade="BF"/>
              </w:rPr>
            </w:pPr>
            <w:r>
              <w:rPr>
                <w:rFonts w:ascii="仿宋" w:hAnsi="仿宋" w:eastAsia="仿宋"/>
                <w:b/>
                <w:color w:val="000000"/>
                <w:sz w:val="16"/>
              </w:rPr>
              <w:t>主题</w:t>
            </w:r>
          </w:p>
        </w:tc>
        <w:tc>
          <w:tcPr>
            <w:tcW w:w="3118" w:type="dxa"/>
            <w:shd w:val="clear" w:color="auto" w:fill="D9D9D9"/>
            <w:tcMar>
              <w:top w:w="88" w:type="dxa"/>
              <w:left w:w="78" w:type="dxa"/>
              <w:bottom w:w="88" w:type="dxa"/>
              <w:right w:w="78" w:type="dxa"/>
            </w:tcMar>
            <w:vAlign w:val="center"/>
          </w:tcPr>
          <w:p w14:paraId="6D26C94A">
            <w:pPr>
              <w:spacing w:before="0" w:after="0" w:line="240" w:lineRule="auto"/>
              <w:ind w:firstLine="0"/>
              <w:jc w:val="center"/>
              <w:rPr>
                <w:color w:val="000000" w:themeColor="text1" w:themeShade="BF"/>
              </w:rPr>
            </w:pPr>
            <w:r>
              <w:rPr>
                <w:rFonts w:ascii="仿宋" w:hAnsi="仿宋" w:eastAsia="仿宋"/>
                <w:b/>
                <w:color w:val="000000"/>
                <w:sz w:val="16"/>
              </w:rPr>
              <w:t>内容要点与学员成果</w:t>
            </w:r>
          </w:p>
        </w:tc>
        <w:tc>
          <w:tcPr>
            <w:tcW w:w="1870" w:type="dxa"/>
            <w:shd w:val="clear" w:color="auto" w:fill="D9D9D9"/>
            <w:tcMar>
              <w:top w:w="88" w:type="dxa"/>
              <w:left w:w="78" w:type="dxa"/>
              <w:bottom w:w="88" w:type="dxa"/>
              <w:right w:w="78" w:type="dxa"/>
            </w:tcMar>
            <w:vAlign w:val="center"/>
          </w:tcPr>
          <w:p w14:paraId="3D181EBC">
            <w:pPr>
              <w:spacing w:before="0" w:after="0" w:line="240" w:lineRule="auto"/>
              <w:ind w:firstLine="0"/>
              <w:jc w:val="center"/>
              <w:rPr>
                <w:color w:val="000000" w:themeColor="text1" w:themeShade="BF"/>
              </w:rPr>
            </w:pPr>
            <w:r>
              <w:rPr>
                <w:rFonts w:ascii="仿宋" w:hAnsi="仿宋" w:eastAsia="仿宋"/>
                <w:b/>
                <w:color w:val="000000"/>
                <w:sz w:val="16"/>
              </w:rPr>
              <w:t>授课方 / 负责人</w:t>
            </w:r>
          </w:p>
        </w:tc>
      </w:tr>
      <w:tr w14:paraId="7A067393">
        <w:trPr>
          <w:cantSplit/>
          <w:jc w:val="center"/>
        </w:trPr>
        <w:tc>
          <w:tcPr>
            <w:tcW w:w="1077" w:type="dxa"/>
            <w:vMerge w:val="restart"/>
            <w:shd w:val="clear" w:color="auto" w:fill="F2F2F2"/>
            <w:tcMar>
              <w:top w:w="60" w:type="dxa"/>
              <w:left w:w="80" w:type="dxa"/>
              <w:bottom w:w="60" w:type="dxa"/>
              <w:right w:w="80" w:type="dxa"/>
            </w:tcMar>
            <w:vAlign w:val="center"/>
          </w:tcPr>
          <w:p w14:paraId="7C559F80">
            <w:pPr>
              <w:spacing w:before="0" w:after="0" w:line="240" w:lineRule="auto"/>
              <w:ind w:firstLine="0"/>
              <w:jc w:val="center"/>
              <w:rPr>
                <w:color w:val="000000" w:themeColor="text1" w:themeShade="BF"/>
              </w:rPr>
            </w:pPr>
            <w:r>
              <w:rPr>
                <w:rFonts w:ascii="仿宋" w:hAnsi="仿宋" w:eastAsia="仿宋"/>
                <w:b w:val="0"/>
                <w:color w:val="000000"/>
                <w:sz w:val="16"/>
              </w:rPr>
              <w:t>8.23（周日）</w:t>
            </w:r>
          </w:p>
          <w:p w14:paraId="2909C3E6">
            <w:pPr>
              <w:spacing w:before="0" w:after="0" w:line="240" w:lineRule="auto"/>
              <w:ind w:firstLine="0"/>
              <w:jc w:val="center"/>
              <w:rPr>
                <w:color w:val="000000" w:themeColor="text1" w:themeShade="BF"/>
              </w:rPr>
            </w:pPr>
            <w:r>
              <w:rPr>
                <w:rFonts w:ascii="仿宋" w:hAnsi="仿宋" w:eastAsia="仿宋"/>
                <w:b w:val="0"/>
                <w:color w:val="000000"/>
                <w:sz w:val="16"/>
              </w:rPr>
              <w:t>专题一</w:t>
            </w:r>
          </w:p>
          <w:p w14:paraId="3EBE7F3B">
            <w:pPr>
              <w:spacing w:before="0" w:after="0" w:line="240" w:lineRule="auto"/>
              <w:ind w:firstLine="0"/>
              <w:jc w:val="center"/>
              <w:rPr>
                <w:color w:val="000000" w:themeColor="text1" w:themeShade="BF"/>
              </w:rPr>
            </w:pPr>
            <w:r>
              <w:rPr>
                <w:rFonts w:ascii="仿宋" w:hAnsi="仿宋" w:eastAsia="仿宋"/>
                <w:b w:val="0"/>
                <w:color w:val="000000"/>
                <w:sz w:val="16"/>
              </w:rPr>
              <w:t>科研智能体</w:t>
            </w:r>
          </w:p>
        </w:tc>
        <w:tc>
          <w:tcPr>
            <w:tcW w:w="907" w:type="dxa"/>
            <w:tcMar>
              <w:top w:w="60" w:type="dxa"/>
              <w:left w:w="80" w:type="dxa"/>
              <w:bottom w:w="60" w:type="dxa"/>
              <w:right w:w="80" w:type="dxa"/>
            </w:tcMar>
            <w:vAlign w:val="center"/>
          </w:tcPr>
          <w:p w14:paraId="245129ED">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10E2568F">
            <w:pPr>
              <w:spacing w:before="0" w:after="0" w:line="240" w:lineRule="auto"/>
              <w:ind w:firstLine="0"/>
              <w:jc w:val="center"/>
              <w:rPr>
                <w:color w:val="000000" w:themeColor="text1" w:themeShade="BF"/>
              </w:rPr>
            </w:pPr>
            <w:r>
              <w:rPr>
                <w:rFonts w:ascii="仿宋" w:hAnsi="仿宋" w:eastAsia="仿宋"/>
                <w:b w:val="0"/>
                <w:color w:val="000000"/>
                <w:sz w:val="16"/>
              </w:rPr>
              <w:t>9:00–9:20</w:t>
            </w:r>
          </w:p>
        </w:tc>
        <w:tc>
          <w:tcPr>
            <w:tcW w:w="2097" w:type="dxa"/>
            <w:tcMar>
              <w:top w:w="60" w:type="dxa"/>
              <w:left w:w="80" w:type="dxa"/>
              <w:bottom w:w="60" w:type="dxa"/>
              <w:right w:w="80" w:type="dxa"/>
            </w:tcMar>
            <w:vAlign w:val="center"/>
          </w:tcPr>
          <w:p w14:paraId="2C03A0FF">
            <w:pPr>
              <w:spacing w:before="0" w:after="0" w:line="240" w:lineRule="auto"/>
              <w:ind w:firstLine="0"/>
              <w:jc w:val="left"/>
              <w:rPr>
                <w:color w:val="000000" w:themeColor="text1" w:themeShade="BF"/>
              </w:rPr>
            </w:pPr>
            <w:r>
              <w:rPr>
                <w:rFonts w:ascii="仿宋" w:hAnsi="仿宋" w:eastAsia="仿宋"/>
                <w:b/>
                <w:color w:val="000000"/>
                <w:sz w:val="16"/>
              </w:rPr>
              <w:t>领导致辞</w:t>
            </w:r>
          </w:p>
        </w:tc>
        <w:tc>
          <w:tcPr>
            <w:tcW w:w="3118" w:type="dxa"/>
            <w:tcMar>
              <w:top w:w="60" w:type="dxa"/>
              <w:left w:w="80" w:type="dxa"/>
              <w:bottom w:w="60" w:type="dxa"/>
              <w:right w:w="80" w:type="dxa"/>
            </w:tcMar>
            <w:vAlign w:val="center"/>
          </w:tcPr>
          <w:p w14:paraId="4B8270A2">
            <w:pPr>
              <w:spacing w:before="0" w:after="0" w:line="240" w:lineRule="auto"/>
              <w:ind w:firstLine="0"/>
              <w:jc w:val="left"/>
              <w:rPr>
                <w:color w:val="000000" w:themeColor="text1" w:themeShade="BF"/>
              </w:rPr>
            </w:pPr>
            <w:r>
              <w:rPr>
                <w:rFonts w:ascii="仿宋" w:hAnsi="仿宋" w:eastAsia="仿宋"/>
                <w:b w:val="0"/>
                <w:color w:val="000000"/>
                <w:sz w:val="16"/>
              </w:rPr>
              <w:t>① 实训营开幕致辞与启动</w:t>
            </w:r>
          </w:p>
        </w:tc>
        <w:tc>
          <w:tcPr>
            <w:tcW w:w="1870" w:type="dxa"/>
            <w:tcMar>
              <w:top w:w="60" w:type="dxa"/>
              <w:left w:w="80" w:type="dxa"/>
              <w:bottom w:w="60" w:type="dxa"/>
              <w:right w:w="80" w:type="dxa"/>
            </w:tcMar>
            <w:vAlign w:val="center"/>
          </w:tcPr>
          <w:p w14:paraId="0579748D">
            <w:pPr>
              <w:spacing w:before="0" w:after="0" w:line="240" w:lineRule="auto"/>
              <w:ind w:firstLine="0"/>
              <w:jc w:val="center"/>
              <w:rPr>
                <w:rFonts w:hint="default" w:ascii="仿宋" w:hAnsi="仿宋" w:eastAsia="仿宋"/>
                <w:b w:val="0"/>
                <w:color w:val="222222"/>
                <w:sz w:val="16"/>
                <w:lang w:val="en-US" w:eastAsia="zh-CN"/>
              </w:rPr>
            </w:pPr>
            <w:r>
              <w:rPr>
                <w:rFonts w:ascii="仿宋" w:hAnsi="仿宋" w:eastAsia="仿宋"/>
                <w:b w:val="0"/>
                <w:color w:val="000000"/>
                <w:sz w:val="16"/>
              </w:rPr>
              <w:t>主办单位领导</w:t>
            </w:r>
          </w:p>
        </w:tc>
      </w:tr>
      <w:tr w14:paraId="14544A5E">
        <w:trPr>
          <w:cantSplit/>
          <w:jc w:val="center"/>
        </w:trPr>
        <w:tc>
          <w:tcPr>
            <w:tcW w:w="1077" w:type="dxa"/>
            <w:vMerge w:val="continue"/>
            <w:tcMar>
              <w:top w:w="60" w:type="dxa"/>
              <w:left w:w="80" w:type="dxa"/>
              <w:bottom w:w="60" w:type="dxa"/>
              <w:right w:w="80" w:type="dxa"/>
            </w:tcMar>
            <w:vAlign w:val="center"/>
          </w:tcPr>
          <w:p w14:paraId="443094A4">
            <w:pPr>
              <w:rPr>
                <w:color w:val="000000" w:themeColor="text1" w:themeShade="BF"/>
                <w:highlight w:val="none"/>
              </w:rPr>
            </w:pPr>
          </w:p>
        </w:tc>
        <w:tc>
          <w:tcPr>
            <w:tcW w:w="907" w:type="dxa"/>
            <w:tcMar>
              <w:top w:w="60" w:type="dxa"/>
              <w:left w:w="80" w:type="dxa"/>
              <w:bottom w:w="60" w:type="dxa"/>
              <w:right w:w="80" w:type="dxa"/>
            </w:tcMar>
            <w:vAlign w:val="center"/>
          </w:tcPr>
          <w:p w14:paraId="2365DB4C">
            <w:pPr>
              <w:spacing w:before="0" w:after="0" w:line="240" w:lineRule="auto"/>
              <w:ind w:firstLine="0"/>
              <w:jc w:val="center"/>
              <w:rPr>
                <w:color w:val="000000" w:themeColor="text1" w:themeShade="BF"/>
                <w:highlight w:val="none"/>
              </w:rPr>
            </w:pPr>
            <w:r>
              <w:rPr>
                <w:rFonts w:ascii="仿宋" w:hAnsi="仿宋" w:eastAsia="仿宋"/>
                <w:b w:val="0"/>
                <w:color w:val="000000"/>
                <w:sz w:val="16"/>
                <w:highlight w:val="none"/>
              </w:rPr>
              <w:t>上午</w:t>
            </w:r>
          </w:p>
          <w:p w14:paraId="02F3E3C7">
            <w:pPr>
              <w:spacing w:before="0" w:after="0" w:line="240" w:lineRule="auto"/>
              <w:ind w:firstLine="0"/>
              <w:jc w:val="center"/>
              <w:rPr>
                <w:color w:val="000000" w:themeColor="text1" w:themeShade="BF"/>
                <w:highlight w:val="none"/>
              </w:rPr>
            </w:pPr>
            <w:r>
              <w:rPr>
                <w:rFonts w:ascii="仿宋" w:hAnsi="仿宋" w:eastAsia="仿宋"/>
                <w:b w:val="0"/>
                <w:color w:val="000000"/>
                <w:sz w:val="16"/>
                <w:highlight w:val="none"/>
              </w:rPr>
              <w:t>9:30–10:30</w:t>
            </w:r>
          </w:p>
        </w:tc>
        <w:tc>
          <w:tcPr>
            <w:tcW w:w="2097" w:type="dxa"/>
            <w:tcMar>
              <w:top w:w="60" w:type="dxa"/>
              <w:left w:w="80" w:type="dxa"/>
              <w:bottom w:w="60" w:type="dxa"/>
              <w:right w:w="80" w:type="dxa"/>
            </w:tcMar>
            <w:vAlign w:val="center"/>
          </w:tcPr>
          <w:p w14:paraId="33581622">
            <w:pPr>
              <w:spacing w:before="0" w:after="0" w:line="240" w:lineRule="auto"/>
              <w:ind w:firstLine="0"/>
              <w:jc w:val="left"/>
              <w:rPr>
                <w:color w:val="000000" w:themeColor="text1" w:themeShade="BF"/>
                <w:highlight w:val="none"/>
              </w:rPr>
            </w:pPr>
            <w:r>
              <w:rPr>
                <w:rFonts w:ascii="仿宋" w:hAnsi="仿宋" w:eastAsia="仿宋"/>
                <w:b/>
                <w:color w:val="000000"/>
                <w:sz w:val="16"/>
                <w:highlight w:val="none"/>
              </w:rPr>
              <w:t>前沿讲座：AI for Science 发展前沿与磐石科学基础大模型</w:t>
            </w:r>
          </w:p>
        </w:tc>
        <w:tc>
          <w:tcPr>
            <w:tcW w:w="3118" w:type="dxa"/>
            <w:tcMar>
              <w:top w:w="60" w:type="dxa"/>
              <w:left w:w="80" w:type="dxa"/>
              <w:bottom w:w="60" w:type="dxa"/>
              <w:right w:w="80" w:type="dxa"/>
            </w:tcMar>
            <w:vAlign w:val="center"/>
          </w:tcPr>
          <w:p w14:paraId="509D5DDB">
            <w:pPr>
              <w:spacing w:before="0" w:after="0" w:line="240" w:lineRule="auto"/>
              <w:ind w:firstLine="0"/>
              <w:jc w:val="left"/>
              <w:rPr>
                <w:color w:val="000000" w:themeColor="text1" w:themeShade="BF"/>
                <w:highlight w:val="none"/>
              </w:rPr>
            </w:pPr>
            <w:r>
              <w:rPr>
                <w:rFonts w:ascii="仿宋" w:hAnsi="仿宋" w:eastAsia="仿宋"/>
                <w:b w:val="0"/>
                <w:color w:val="000000"/>
                <w:sz w:val="16"/>
                <w:highlight w:val="none"/>
              </w:rPr>
              <w:t>① AI4S 发展趋势与科研范式变革</w:t>
            </w:r>
          </w:p>
          <w:p w14:paraId="03CF24BB">
            <w:pPr>
              <w:spacing w:before="0" w:after="0" w:line="240" w:lineRule="auto"/>
              <w:ind w:firstLine="0"/>
              <w:jc w:val="left"/>
              <w:rPr>
                <w:color w:val="000000" w:themeColor="text1" w:themeShade="BF"/>
                <w:highlight w:val="none"/>
              </w:rPr>
            </w:pPr>
            <w:r>
              <w:rPr>
                <w:rFonts w:ascii="仿宋" w:hAnsi="仿宋" w:eastAsia="仿宋"/>
                <w:b w:val="0"/>
                <w:color w:val="000000"/>
                <w:sz w:val="16"/>
                <w:highlight w:val="none"/>
              </w:rPr>
              <w:t>② AI4S 重大工程与代表性平台</w:t>
            </w:r>
          </w:p>
          <w:p w14:paraId="6BA6F7B1">
            <w:pPr>
              <w:spacing w:before="0" w:after="0" w:line="240" w:lineRule="auto"/>
              <w:ind w:firstLine="0"/>
              <w:jc w:val="left"/>
              <w:rPr>
                <w:color w:val="000000" w:themeColor="text1" w:themeShade="BF"/>
                <w:highlight w:val="none"/>
              </w:rPr>
            </w:pPr>
            <w:r>
              <w:rPr>
                <w:rFonts w:ascii="仿宋" w:hAnsi="仿宋" w:eastAsia="仿宋"/>
                <w:b w:val="0"/>
                <w:color w:val="000000"/>
                <w:sz w:val="16"/>
                <w:highlight w:val="none"/>
              </w:rPr>
              <w:t>③ 磐石科学基础大模型的定位与战略布局</w:t>
            </w:r>
          </w:p>
          <w:p w14:paraId="27606689">
            <w:pPr>
              <w:spacing w:before="0" w:after="0" w:line="240" w:lineRule="auto"/>
              <w:ind w:firstLine="0"/>
              <w:jc w:val="left"/>
              <w:rPr>
                <w:color w:val="000000" w:themeColor="text1" w:themeShade="BF"/>
                <w:highlight w:val="none"/>
              </w:rPr>
            </w:pPr>
            <w:r>
              <w:rPr>
                <w:rFonts w:ascii="仿宋" w:hAnsi="仿宋" w:eastAsia="仿宋"/>
                <w:b w:val="0"/>
                <w:color w:val="000000"/>
                <w:sz w:val="16"/>
                <w:highlight w:val="none"/>
              </w:rPr>
              <w:t>④ 典型应用与产业进展</w:t>
            </w:r>
          </w:p>
          <w:p w14:paraId="74B4C477">
            <w:pPr>
              <w:spacing w:before="0" w:after="0" w:line="240" w:lineRule="auto"/>
              <w:ind w:firstLine="0"/>
              <w:jc w:val="left"/>
              <w:rPr>
                <w:color w:val="000000" w:themeColor="text1" w:themeShade="BF"/>
                <w:highlight w:val="none"/>
              </w:rPr>
            </w:pPr>
            <w:r>
              <w:rPr>
                <w:rFonts w:ascii="仿宋" w:hAnsi="仿宋" w:eastAsia="仿宋"/>
                <w:b w:val="0"/>
                <w:color w:val="000000"/>
                <w:sz w:val="16"/>
                <w:highlight w:val="none"/>
              </w:rPr>
              <w:t>▸ 成果：建立对 AI4S 全局与磐石生态的认知框架</w:t>
            </w:r>
          </w:p>
        </w:tc>
        <w:tc>
          <w:tcPr>
            <w:tcW w:w="1870" w:type="dxa"/>
            <w:tcMar>
              <w:top w:w="60" w:type="dxa"/>
              <w:left w:w="80" w:type="dxa"/>
              <w:bottom w:w="60" w:type="dxa"/>
              <w:right w:w="80" w:type="dxa"/>
            </w:tcMar>
            <w:vAlign w:val="center"/>
          </w:tcPr>
          <w:p w14:paraId="48C3AD69">
            <w:pPr>
              <w:spacing w:before="0" w:after="0" w:line="240" w:lineRule="auto"/>
              <w:ind w:firstLine="0"/>
              <w:jc w:val="center"/>
              <w:rPr>
                <w:color w:val="000000" w:themeColor="text1" w:themeShade="BF"/>
                <w:highlight w:val="none"/>
              </w:rPr>
            </w:pPr>
            <w:r>
              <w:rPr>
                <w:rFonts w:ascii="仿宋" w:hAnsi="仿宋" w:eastAsia="仿宋"/>
                <w:b w:val="0"/>
                <w:color w:val="000000"/>
                <w:sz w:val="16"/>
                <w:highlight w:val="none"/>
              </w:rPr>
              <w:t>中国科学院自动化研究所</w:t>
            </w:r>
          </w:p>
          <w:p w14:paraId="6F304CA9">
            <w:pPr>
              <w:spacing w:before="0" w:after="0" w:line="240" w:lineRule="auto"/>
              <w:ind w:firstLine="0"/>
              <w:jc w:val="center"/>
              <w:rPr>
                <w:rFonts w:hint="default" w:ascii="仿宋" w:hAnsi="仿宋" w:eastAsia="仿宋"/>
                <w:b w:val="0"/>
                <w:color w:val="000000"/>
                <w:sz w:val="16"/>
                <w:highlight w:val="none"/>
                <w:lang w:val="en-US" w:eastAsia="zh-CN"/>
              </w:rPr>
            </w:pPr>
            <w:r>
              <w:rPr>
                <w:rFonts w:ascii="仿宋" w:hAnsi="仿宋" w:eastAsia="仿宋"/>
                <w:b w:val="0"/>
                <w:color w:val="000000"/>
                <w:sz w:val="16"/>
                <w:highlight w:val="none"/>
              </w:rPr>
              <w:t>曾大军 副所长</w:t>
            </w:r>
          </w:p>
        </w:tc>
      </w:tr>
      <w:tr w14:paraId="32CC4786">
        <w:trPr>
          <w:cantSplit/>
          <w:jc w:val="center"/>
        </w:trPr>
        <w:tc>
          <w:tcPr>
            <w:tcW w:w="1077" w:type="dxa"/>
            <w:vMerge w:val="continue"/>
            <w:tcMar>
              <w:top w:w="60" w:type="dxa"/>
              <w:left w:w="80" w:type="dxa"/>
              <w:bottom w:w="60" w:type="dxa"/>
              <w:right w:w="80" w:type="dxa"/>
            </w:tcMar>
            <w:vAlign w:val="center"/>
          </w:tcPr>
          <w:p w14:paraId="7BB2AE85">
            <w:pPr>
              <w:rPr>
                <w:color w:val="000000" w:themeColor="text1" w:themeShade="BF"/>
              </w:rPr>
            </w:pPr>
          </w:p>
        </w:tc>
        <w:tc>
          <w:tcPr>
            <w:tcW w:w="907" w:type="dxa"/>
            <w:tcMar>
              <w:top w:w="60" w:type="dxa"/>
              <w:left w:w="80" w:type="dxa"/>
              <w:bottom w:w="60" w:type="dxa"/>
              <w:right w:w="80" w:type="dxa"/>
            </w:tcMar>
            <w:vAlign w:val="center"/>
          </w:tcPr>
          <w:p w14:paraId="62EE9A62">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34598626">
            <w:pPr>
              <w:spacing w:before="0" w:after="0" w:line="240" w:lineRule="auto"/>
              <w:ind w:firstLine="0"/>
              <w:jc w:val="center"/>
              <w:rPr>
                <w:color w:val="000000" w:themeColor="text1" w:themeShade="BF"/>
              </w:rPr>
            </w:pPr>
            <w:r>
              <w:rPr>
                <w:rFonts w:ascii="仿宋" w:hAnsi="仿宋" w:eastAsia="仿宋"/>
                <w:b w:val="0"/>
                <w:color w:val="000000"/>
                <w:sz w:val="16"/>
              </w:rPr>
              <w:t>10:50–11:50</w:t>
            </w:r>
          </w:p>
        </w:tc>
        <w:tc>
          <w:tcPr>
            <w:tcW w:w="2097" w:type="dxa"/>
            <w:tcMar>
              <w:top w:w="60" w:type="dxa"/>
              <w:left w:w="80" w:type="dxa"/>
              <w:bottom w:w="60" w:type="dxa"/>
              <w:right w:w="80" w:type="dxa"/>
            </w:tcMar>
            <w:vAlign w:val="center"/>
          </w:tcPr>
          <w:p w14:paraId="6D4F0F9B">
            <w:pPr>
              <w:spacing w:before="0" w:after="0" w:line="240" w:lineRule="auto"/>
              <w:ind w:firstLine="0"/>
              <w:jc w:val="left"/>
              <w:rPr>
                <w:color w:val="000000" w:themeColor="text1" w:themeShade="BF"/>
              </w:rPr>
            </w:pPr>
            <w:r>
              <w:rPr>
                <w:rFonts w:ascii="仿宋" w:hAnsi="仿宋" w:eastAsia="仿宋"/>
                <w:b/>
                <w:color w:val="000000"/>
                <w:sz w:val="16"/>
              </w:rPr>
              <w:t>案例分享：元景万悟工业智能体平台</w:t>
            </w:r>
          </w:p>
        </w:tc>
        <w:tc>
          <w:tcPr>
            <w:tcW w:w="3118" w:type="dxa"/>
            <w:tcMar>
              <w:top w:w="60" w:type="dxa"/>
              <w:left w:w="80" w:type="dxa"/>
              <w:bottom w:w="60" w:type="dxa"/>
              <w:right w:w="80" w:type="dxa"/>
            </w:tcMar>
            <w:vAlign w:val="center"/>
          </w:tcPr>
          <w:p w14:paraId="1625DF6B">
            <w:pPr>
              <w:spacing w:before="0" w:after="0" w:line="240" w:lineRule="auto"/>
              <w:ind w:firstLine="0"/>
              <w:jc w:val="left"/>
              <w:rPr>
                <w:color w:val="000000" w:themeColor="text1" w:themeShade="BF"/>
              </w:rPr>
            </w:pPr>
            <w:r>
              <w:rPr>
                <w:rFonts w:ascii="仿宋" w:hAnsi="仿宋" w:eastAsia="仿宋"/>
                <w:b w:val="0"/>
                <w:color w:val="000000"/>
                <w:sz w:val="16"/>
              </w:rPr>
              <w:t>① 科研与工业智能体平台概览</w:t>
            </w:r>
          </w:p>
          <w:p w14:paraId="40123D44">
            <w:pPr>
              <w:spacing w:before="0" w:after="0" w:line="240" w:lineRule="auto"/>
              <w:ind w:firstLine="0"/>
              <w:jc w:val="left"/>
              <w:rPr>
                <w:color w:val="000000" w:themeColor="text1" w:themeShade="BF"/>
              </w:rPr>
            </w:pPr>
            <w:r>
              <w:rPr>
                <w:rFonts w:ascii="仿宋" w:hAnsi="仿宋" w:eastAsia="仿宋"/>
                <w:b w:val="0"/>
                <w:color w:val="000000"/>
                <w:sz w:val="16"/>
              </w:rPr>
              <w:t>② 数据本体建模</w:t>
            </w:r>
          </w:p>
          <w:p w14:paraId="62A3AC63">
            <w:pPr>
              <w:spacing w:before="0" w:after="0" w:line="240" w:lineRule="auto"/>
              <w:ind w:firstLine="0"/>
              <w:jc w:val="left"/>
              <w:rPr>
                <w:color w:val="000000" w:themeColor="text1" w:themeShade="BF"/>
              </w:rPr>
            </w:pPr>
            <w:r>
              <w:rPr>
                <w:rFonts w:ascii="仿宋" w:hAnsi="仿宋" w:eastAsia="仿宋"/>
                <w:b w:val="0"/>
                <w:color w:val="000000"/>
                <w:sz w:val="16"/>
              </w:rPr>
              <w:t>③ ReAct 智能体范式</w:t>
            </w:r>
          </w:p>
          <w:p w14:paraId="5A3FA7E1">
            <w:pPr>
              <w:spacing w:before="0" w:after="0" w:line="240" w:lineRule="auto"/>
              <w:ind w:firstLine="0"/>
              <w:jc w:val="left"/>
              <w:rPr>
                <w:color w:val="000000" w:themeColor="text1" w:themeShade="BF"/>
              </w:rPr>
            </w:pPr>
            <w:r>
              <w:rPr>
                <w:rFonts w:ascii="仿宋" w:hAnsi="仿宋" w:eastAsia="仿宋"/>
                <w:b w:val="0"/>
                <w:color w:val="000000"/>
                <w:sz w:val="16"/>
              </w:rPr>
              <w:t>④ 代表案例：元景万悟平台</w:t>
            </w:r>
          </w:p>
          <w:p w14:paraId="5BD05224">
            <w:pPr>
              <w:spacing w:before="0" w:after="0" w:line="240" w:lineRule="auto"/>
              <w:ind w:firstLine="0"/>
              <w:jc w:val="left"/>
              <w:rPr>
                <w:color w:val="000000" w:themeColor="text1" w:themeShade="BF"/>
              </w:rPr>
            </w:pPr>
            <w:r>
              <w:rPr>
                <w:rFonts w:ascii="仿宋" w:hAnsi="仿宋" w:eastAsia="仿宋"/>
                <w:b w:val="0"/>
                <w:color w:val="000000"/>
                <w:sz w:val="16"/>
              </w:rPr>
              <w:t>▸ 成果：理解产业级智能体平台的组成与落地要点</w:t>
            </w:r>
          </w:p>
        </w:tc>
        <w:tc>
          <w:tcPr>
            <w:tcW w:w="1870" w:type="dxa"/>
            <w:tcMar>
              <w:top w:w="60" w:type="dxa"/>
              <w:left w:w="80" w:type="dxa"/>
              <w:bottom w:w="60" w:type="dxa"/>
              <w:right w:w="80" w:type="dxa"/>
            </w:tcMar>
            <w:vAlign w:val="center"/>
          </w:tcPr>
          <w:p w14:paraId="50166F88">
            <w:pPr>
              <w:spacing w:before="0" w:after="0" w:line="240" w:lineRule="auto"/>
              <w:ind w:firstLine="0"/>
              <w:jc w:val="center"/>
              <w:rPr>
                <w:color w:val="000000" w:themeColor="text1" w:themeShade="BF"/>
              </w:rPr>
            </w:pPr>
            <w:r>
              <w:rPr>
                <w:rFonts w:ascii="仿宋" w:hAnsi="仿宋" w:eastAsia="仿宋"/>
                <w:b w:val="0"/>
                <w:color w:val="000000"/>
                <w:sz w:val="16"/>
              </w:rPr>
              <w:t>中国联通</w:t>
            </w:r>
          </w:p>
          <w:p w14:paraId="1C04D2CD">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110FC103">
        <w:trPr>
          <w:cantSplit/>
          <w:jc w:val="center"/>
        </w:trPr>
        <w:tc>
          <w:tcPr>
            <w:tcW w:w="1077" w:type="dxa"/>
            <w:vMerge w:val="continue"/>
            <w:tcMar>
              <w:top w:w="60" w:type="dxa"/>
              <w:left w:w="80" w:type="dxa"/>
              <w:bottom w:w="60" w:type="dxa"/>
              <w:right w:w="80" w:type="dxa"/>
            </w:tcMar>
            <w:vAlign w:val="center"/>
          </w:tcPr>
          <w:p w14:paraId="11B8CC21">
            <w:pPr>
              <w:rPr>
                <w:color w:val="000000" w:themeColor="text1" w:themeShade="BF"/>
              </w:rPr>
            </w:pPr>
          </w:p>
        </w:tc>
        <w:tc>
          <w:tcPr>
            <w:tcW w:w="907" w:type="dxa"/>
            <w:tcMar>
              <w:top w:w="60" w:type="dxa"/>
              <w:left w:w="80" w:type="dxa"/>
              <w:bottom w:w="60" w:type="dxa"/>
              <w:right w:w="80" w:type="dxa"/>
            </w:tcMar>
            <w:vAlign w:val="center"/>
          </w:tcPr>
          <w:p w14:paraId="540EA73A">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22E317FD">
            <w:pPr>
              <w:spacing w:before="0" w:after="0" w:line="240" w:lineRule="auto"/>
              <w:ind w:firstLine="0"/>
              <w:jc w:val="center"/>
              <w:rPr>
                <w:color w:val="000000" w:themeColor="text1" w:themeShade="BF"/>
              </w:rPr>
            </w:pPr>
            <w:r>
              <w:rPr>
                <w:rFonts w:ascii="仿宋" w:hAnsi="仿宋" w:eastAsia="仿宋"/>
                <w:b w:val="0"/>
                <w:color w:val="000000"/>
                <w:sz w:val="16"/>
              </w:rPr>
              <w:t>14:00–15:10</w:t>
            </w:r>
          </w:p>
        </w:tc>
        <w:tc>
          <w:tcPr>
            <w:tcW w:w="2097" w:type="dxa"/>
            <w:tcMar>
              <w:top w:w="60" w:type="dxa"/>
              <w:left w:w="80" w:type="dxa"/>
              <w:bottom w:w="60" w:type="dxa"/>
              <w:right w:w="80" w:type="dxa"/>
            </w:tcMar>
            <w:vAlign w:val="center"/>
          </w:tcPr>
          <w:p w14:paraId="4D4DA8DD">
            <w:pPr>
              <w:spacing w:before="0" w:after="0" w:line="240" w:lineRule="auto"/>
              <w:ind w:firstLine="0"/>
              <w:jc w:val="left"/>
              <w:rPr>
                <w:color w:val="000000" w:themeColor="text1" w:themeShade="BF"/>
              </w:rPr>
            </w:pPr>
            <w:r>
              <w:rPr>
                <w:rFonts w:ascii="仿宋" w:hAnsi="仿宋" w:eastAsia="仿宋"/>
                <w:b/>
                <w:color w:val="000000"/>
                <w:sz w:val="16"/>
              </w:rPr>
              <w:t>科研智能体专题实训（一）：从零搭建智能体</w:t>
            </w:r>
          </w:p>
        </w:tc>
        <w:tc>
          <w:tcPr>
            <w:tcW w:w="3118" w:type="dxa"/>
            <w:tcMar>
              <w:top w:w="60" w:type="dxa"/>
              <w:left w:w="80" w:type="dxa"/>
              <w:bottom w:w="60" w:type="dxa"/>
              <w:right w:w="80" w:type="dxa"/>
            </w:tcMar>
            <w:vAlign w:val="center"/>
          </w:tcPr>
          <w:p w14:paraId="60BE9010">
            <w:pPr>
              <w:spacing w:before="0" w:after="0" w:line="240" w:lineRule="auto"/>
              <w:ind w:firstLine="0"/>
              <w:jc w:val="left"/>
              <w:rPr>
                <w:color w:val="000000" w:themeColor="text1" w:themeShade="BF"/>
              </w:rPr>
            </w:pPr>
            <w:r>
              <w:rPr>
                <w:rFonts w:ascii="仿宋" w:hAnsi="仿宋" w:eastAsia="仿宋"/>
                <w:b w:val="0"/>
                <w:color w:val="000000"/>
                <w:sz w:val="16"/>
              </w:rPr>
              <w:t>① 区分大模型直接调用、固定工作流与自主智能体，理解模型、上下文、任务状态、工具、执行循环与结果校验的关系</w:t>
            </w:r>
          </w:p>
          <w:p w14:paraId="36C47382">
            <w:pPr>
              <w:spacing w:before="0" w:after="0" w:line="240" w:lineRule="auto"/>
              <w:ind w:firstLine="0"/>
              <w:jc w:val="left"/>
              <w:rPr>
                <w:color w:val="000000" w:themeColor="text1" w:themeShade="BF"/>
              </w:rPr>
            </w:pPr>
            <w:r>
              <w:rPr>
                <w:rFonts w:ascii="仿宋" w:hAnsi="仿宋" w:eastAsia="仿宋"/>
                <w:b w:val="0"/>
                <w:color w:val="000000"/>
                <w:sz w:val="16"/>
              </w:rPr>
              <w:t>② ReAct“推理—行动—观察”循环、工具定义与调用、执行轨迹记录、异常处理与人工确认</w:t>
            </w:r>
          </w:p>
          <w:p w14:paraId="38FA801E">
            <w:pPr>
              <w:spacing w:before="0" w:after="0" w:line="240" w:lineRule="auto"/>
              <w:ind w:firstLine="0"/>
              <w:jc w:val="left"/>
              <w:rPr>
                <w:color w:val="000000" w:themeColor="text1" w:themeShade="BF"/>
              </w:rPr>
            </w:pPr>
            <w:r>
              <w:rPr>
                <w:rFonts w:ascii="仿宋" w:hAnsi="仿宋" w:eastAsia="仿宋"/>
                <w:b w:val="0"/>
                <w:color w:val="000000"/>
                <w:sz w:val="16"/>
              </w:rPr>
              <w:t>③ Agent Harness 的作用，并以 OpenClaw、OpenCode、Hermes Agent 为例理解通用 / 编程 / 持续学习智能体的工程结构与原理</w:t>
            </w:r>
          </w:p>
          <w:p w14:paraId="159A7904">
            <w:pPr>
              <w:spacing w:before="0" w:after="0" w:line="240" w:lineRule="auto"/>
              <w:ind w:firstLine="0"/>
              <w:jc w:val="left"/>
              <w:rPr>
                <w:color w:val="000000" w:themeColor="text1" w:themeShade="BF"/>
              </w:rPr>
            </w:pPr>
            <w:r>
              <w:rPr>
                <w:rFonts w:ascii="仿宋" w:hAnsi="仿宋" w:eastAsia="仿宋"/>
                <w:b w:val="0"/>
                <w:color w:val="000000"/>
                <w:sz w:val="16"/>
              </w:rPr>
              <w:t>④ 动手：在编程智能体辅助下搭建一个最小可运行智能体</w:t>
            </w:r>
          </w:p>
          <w:p w14:paraId="15B7590C">
            <w:pPr>
              <w:spacing w:before="0" w:after="0" w:line="240" w:lineRule="auto"/>
              <w:ind w:firstLine="0"/>
              <w:jc w:val="left"/>
              <w:rPr>
                <w:color w:val="000000" w:themeColor="text1" w:themeShade="BF"/>
              </w:rPr>
            </w:pPr>
            <w:r>
              <w:rPr>
                <w:rFonts w:ascii="仿宋" w:hAnsi="仿宋" w:eastAsia="仿宋"/>
                <w:b w:val="0"/>
                <w:color w:val="000000"/>
                <w:sz w:val="16"/>
              </w:rPr>
              <w:t>▸ 成果：一个能完成多步骤任务并调用至少一种工具的最小智能体，及完整执行轨迹与“基础模型—Agent Harness—智能体应用”关系图</w:t>
            </w:r>
          </w:p>
        </w:tc>
        <w:tc>
          <w:tcPr>
            <w:tcW w:w="1870" w:type="dxa"/>
            <w:tcMar>
              <w:top w:w="60" w:type="dxa"/>
              <w:left w:w="80" w:type="dxa"/>
              <w:bottom w:w="60" w:type="dxa"/>
              <w:right w:w="80" w:type="dxa"/>
            </w:tcMar>
            <w:vAlign w:val="center"/>
          </w:tcPr>
          <w:p w14:paraId="217469EE">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3ADBF632">
            <w:pPr>
              <w:spacing w:before="0" w:after="0" w:line="240" w:lineRule="auto"/>
              <w:ind w:firstLine="0"/>
              <w:jc w:val="center"/>
              <w:rPr>
                <w:color w:val="000000" w:themeColor="text1" w:themeShade="BF"/>
              </w:rPr>
            </w:pPr>
            <w:r>
              <w:rPr>
                <w:rFonts w:ascii="仿宋" w:hAnsi="仿宋" w:eastAsia="仿宋"/>
                <w:b w:val="0"/>
                <w:color w:val="000000"/>
                <w:sz w:val="16"/>
              </w:rPr>
              <w:t>陈希鸿</w:t>
            </w:r>
          </w:p>
          <w:p w14:paraId="1F026B80">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53C35A11">
        <w:trPr>
          <w:cantSplit/>
          <w:jc w:val="center"/>
        </w:trPr>
        <w:tc>
          <w:tcPr>
            <w:tcW w:w="1077" w:type="dxa"/>
            <w:vMerge w:val="continue"/>
            <w:tcMar>
              <w:top w:w="60" w:type="dxa"/>
              <w:left w:w="80" w:type="dxa"/>
              <w:bottom w:w="60" w:type="dxa"/>
              <w:right w:w="80" w:type="dxa"/>
            </w:tcMar>
            <w:vAlign w:val="center"/>
          </w:tcPr>
          <w:p w14:paraId="58996218">
            <w:pPr>
              <w:rPr>
                <w:color w:val="000000" w:themeColor="text1" w:themeShade="BF"/>
              </w:rPr>
            </w:pPr>
          </w:p>
        </w:tc>
        <w:tc>
          <w:tcPr>
            <w:tcW w:w="907" w:type="dxa"/>
            <w:tcMar>
              <w:top w:w="60" w:type="dxa"/>
              <w:left w:w="80" w:type="dxa"/>
              <w:bottom w:w="60" w:type="dxa"/>
              <w:right w:w="80" w:type="dxa"/>
            </w:tcMar>
            <w:vAlign w:val="center"/>
          </w:tcPr>
          <w:p w14:paraId="73F052AE">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499A218A">
            <w:pPr>
              <w:spacing w:before="0" w:after="0" w:line="240" w:lineRule="auto"/>
              <w:ind w:firstLine="0"/>
              <w:jc w:val="center"/>
              <w:rPr>
                <w:color w:val="000000" w:themeColor="text1" w:themeShade="BF"/>
              </w:rPr>
            </w:pPr>
            <w:r>
              <w:rPr>
                <w:rFonts w:ascii="仿宋" w:hAnsi="仿宋" w:eastAsia="仿宋"/>
                <w:b w:val="0"/>
                <w:color w:val="000000"/>
                <w:sz w:val="16"/>
              </w:rPr>
              <w:t>15:20–16:20</w:t>
            </w:r>
          </w:p>
        </w:tc>
        <w:tc>
          <w:tcPr>
            <w:tcW w:w="2097" w:type="dxa"/>
            <w:tcMar>
              <w:top w:w="60" w:type="dxa"/>
              <w:left w:w="80" w:type="dxa"/>
              <w:bottom w:w="60" w:type="dxa"/>
              <w:right w:w="80" w:type="dxa"/>
            </w:tcMar>
            <w:vAlign w:val="center"/>
          </w:tcPr>
          <w:p w14:paraId="6D88AB86">
            <w:pPr>
              <w:spacing w:before="0" w:after="0" w:line="240" w:lineRule="auto"/>
              <w:ind w:firstLine="0"/>
              <w:jc w:val="left"/>
              <w:rPr>
                <w:color w:val="000000" w:themeColor="text1" w:themeShade="BF"/>
              </w:rPr>
            </w:pPr>
            <w:r>
              <w:rPr>
                <w:rFonts w:ascii="仿宋" w:hAnsi="仿宋" w:eastAsia="仿宋"/>
                <w:b/>
                <w:color w:val="000000"/>
                <w:sz w:val="16"/>
              </w:rPr>
              <w:t>科研智能体专题实训（二）：智能体记忆、技能学习与科研知识库</w:t>
            </w:r>
          </w:p>
        </w:tc>
        <w:tc>
          <w:tcPr>
            <w:tcW w:w="3118" w:type="dxa"/>
            <w:tcMar>
              <w:top w:w="60" w:type="dxa"/>
              <w:left w:w="80" w:type="dxa"/>
              <w:bottom w:w="60" w:type="dxa"/>
              <w:right w:w="80" w:type="dxa"/>
            </w:tcMar>
            <w:vAlign w:val="center"/>
          </w:tcPr>
          <w:p w14:paraId="04AAABC5">
            <w:pPr>
              <w:spacing w:before="0" w:after="0" w:line="240" w:lineRule="auto"/>
              <w:ind w:firstLine="0"/>
              <w:jc w:val="left"/>
              <w:rPr>
                <w:color w:val="000000" w:themeColor="text1" w:themeShade="BF"/>
              </w:rPr>
            </w:pPr>
            <w:r>
              <w:rPr>
                <w:rFonts w:ascii="仿宋" w:hAnsi="仿宋" w:eastAsia="仿宋"/>
                <w:b w:val="0"/>
                <w:color w:val="000000"/>
                <w:sz w:val="16"/>
              </w:rPr>
              <w:t>① 区分当前任务轨迹、任务状态、跨会话记忆、外部知识库与 Skill；记忆的提取、压缩、结构化存储、更新与冲突处理</w:t>
            </w:r>
          </w:p>
          <w:p w14:paraId="769A22C5">
            <w:pPr>
              <w:spacing w:before="0" w:after="0" w:line="240" w:lineRule="auto"/>
              <w:ind w:firstLine="0"/>
              <w:jc w:val="left"/>
              <w:rPr>
                <w:color w:val="000000" w:themeColor="text1" w:themeShade="BF"/>
              </w:rPr>
            </w:pPr>
            <w:r>
              <w:rPr>
                <w:rFonts w:ascii="仿宋" w:hAnsi="仿宋" w:eastAsia="仿宋"/>
                <w:b w:val="0"/>
                <w:color w:val="000000"/>
                <w:sz w:val="16"/>
              </w:rPr>
              <w:t>② 科研文档解析、分块、向量与关键词检索、混合检索、重排序、来源引用与检索质量检查等 RAG 流程</w:t>
            </w:r>
          </w:p>
          <w:p w14:paraId="23417649">
            <w:pPr>
              <w:spacing w:before="0" w:after="0" w:line="240" w:lineRule="auto"/>
              <w:ind w:firstLine="0"/>
              <w:jc w:val="left"/>
              <w:rPr>
                <w:color w:val="000000" w:themeColor="text1" w:themeShade="BF"/>
              </w:rPr>
            </w:pPr>
            <w:r>
              <w:rPr>
                <w:rFonts w:ascii="仿宋" w:hAnsi="仿宋" w:eastAsia="仿宋"/>
                <w:b w:val="0"/>
                <w:color w:val="000000"/>
                <w:sz w:val="16"/>
              </w:rPr>
              <w:t>③ 了解 Mem0、Memobase、RAPTOR、GraphRAG，并结合 Hermes Agent 理解智能体如何从执行经验中形成可复用 Skill</w:t>
            </w:r>
          </w:p>
          <w:p w14:paraId="51AFB6E6">
            <w:pPr>
              <w:spacing w:before="0" w:after="0" w:line="240" w:lineRule="auto"/>
              <w:ind w:firstLine="0"/>
              <w:jc w:val="left"/>
              <w:rPr>
                <w:color w:val="000000" w:themeColor="text1" w:themeShade="BF"/>
              </w:rPr>
            </w:pPr>
            <w:r>
              <w:rPr>
                <w:rFonts w:ascii="仿宋" w:hAnsi="仿宋" w:eastAsia="仿宋"/>
                <w:b w:val="0"/>
                <w:color w:val="000000"/>
                <w:sz w:val="16"/>
              </w:rPr>
              <w:t>▸ 成果：一个具备跨会话记忆与任务状态管理能力的智能体，一个可运行的 RAG 知识库原型，一个初步 Skill 或标准操作模板</w:t>
            </w:r>
          </w:p>
        </w:tc>
        <w:tc>
          <w:tcPr>
            <w:tcW w:w="1870" w:type="dxa"/>
            <w:tcMar>
              <w:top w:w="60" w:type="dxa"/>
              <w:left w:w="80" w:type="dxa"/>
              <w:bottom w:w="60" w:type="dxa"/>
              <w:right w:w="80" w:type="dxa"/>
            </w:tcMar>
            <w:vAlign w:val="center"/>
          </w:tcPr>
          <w:p w14:paraId="3D211960">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4DCDA442">
            <w:pPr>
              <w:spacing w:before="0" w:after="0" w:line="240" w:lineRule="auto"/>
              <w:ind w:firstLine="0"/>
              <w:jc w:val="center"/>
              <w:rPr>
                <w:color w:val="000000" w:themeColor="text1" w:themeShade="BF"/>
              </w:rPr>
            </w:pPr>
            <w:r>
              <w:rPr>
                <w:rFonts w:ascii="仿宋" w:hAnsi="仿宋" w:eastAsia="仿宋"/>
                <w:b w:val="0"/>
                <w:color w:val="000000"/>
                <w:sz w:val="16"/>
              </w:rPr>
              <w:t>待定</w:t>
            </w:r>
          </w:p>
          <w:p w14:paraId="1EBE0B38">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46E433A7">
        <w:trPr>
          <w:cantSplit/>
          <w:jc w:val="center"/>
        </w:trPr>
        <w:tc>
          <w:tcPr>
            <w:tcW w:w="1077" w:type="dxa"/>
            <w:vMerge w:val="continue"/>
            <w:tcMar>
              <w:top w:w="60" w:type="dxa"/>
              <w:left w:w="80" w:type="dxa"/>
              <w:bottom w:w="60" w:type="dxa"/>
              <w:right w:w="80" w:type="dxa"/>
            </w:tcMar>
            <w:vAlign w:val="center"/>
          </w:tcPr>
          <w:p w14:paraId="51282C90">
            <w:pPr>
              <w:rPr>
                <w:color w:val="000000" w:themeColor="text1" w:themeShade="BF"/>
              </w:rPr>
            </w:pPr>
          </w:p>
        </w:tc>
        <w:tc>
          <w:tcPr>
            <w:tcW w:w="907" w:type="dxa"/>
            <w:tcMar>
              <w:top w:w="60" w:type="dxa"/>
              <w:left w:w="80" w:type="dxa"/>
              <w:bottom w:w="60" w:type="dxa"/>
              <w:right w:w="80" w:type="dxa"/>
            </w:tcMar>
            <w:vAlign w:val="center"/>
          </w:tcPr>
          <w:p w14:paraId="788CFA34">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60273604">
            <w:pPr>
              <w:spacing w:before="0" w:after="0" w:line="240" w:lineRule="auto"/>
              <w:ind w:firstLine="0"/>
              <w:jc w:val="center"/>
              <w:rPr>
                <w:color w:val="000000" w:themeColor="text1" w:themeShade="BF"/>
              </w:rPr>
            </w:pPr>
            <w:r>
              <w:rPr>
                <w:rFonts w:ascii="仿宋" w:hAnsi="仿宋" w:eastAsia="仿宋"/>
                <w:b w:val="0"/>
                <w:color w:val="000000"/>
                <w:sz w:val="16"/>
              </w:rPr>
              <w:t>16:30–17:30</w:t>
            </w:r>
          </w:p>
        </w:tc>
        <w:tc>
          <w:tcPr>
            <w:tcW w:w="2097" w:type="dxa"/>
            <w:tcMar>
              <w:top w:w="60" w:type="dxa"/>
              <w:left w:w="80" w:type="dxa"/>
              <w:bottom w:w="60" w:type="dxa"/>
              <w:right w:w="80" w:type="dxa"/>
            </w:tcMar>
            <w:vAlign w:val="center"/>
          </w:tcPr>
          <w:p w14:paraId="5EF3438B">
            <w:pPr>
              <w:spacing w:before="0" w:after="0" w:line="240" w:lineRule="auto"/>
              <w:ind w:firstLine="0"/>
              <w:jc w:val="left"/>
              <w:rPr>
                <w:color w:val="000000" w:themeColor="text1" w:themeShade="BF"/>
              </w:rPr>
            </w:pPr>
            <w:r>
              <w:rPr>
                <w:rFonts w:ascii="仿宋" w:hAnsi="仿宋" w:eastAsia="仿宋"/>
                <w:b/>
                <w:color w:val="000000"/>
                <w:sz w:val="16"/>
              </w:rPr>
              <w:t>科研智能体专题实训（三）：科研工具链、Skill 与文献研究工作流</w:t>
            </w:r>
          </w:p>
        </w:tc>
        <w:tc>
          <w:tcPr>
            <w:tcW w:w="3118" w:type="dxa"/>
            <w:tcMar>
              <w:top w:w="60" w:type="dxa"/>
              <w:left w:w="80" w:type="dxa"/>
              <w:bottom w:w="60" w:type="dxa"/>
              <w:right w:w="80" w:type="dxa"/>
            </w:tcMar>
            <w:vAlign w:val="center"/>
          </w:tcPr>
          <w:p w14:paraId="378BA0D8">
            <w:pPr>
              <w:spacing w:before="0" w:after="0" w:line="240" w:lineRule="auto"/>
              <w:ind w:firstLine="0"/>
              <w:jc w:val="left"/>
              <w:rPr>
                <w:color w:val="000000" w:themeColor="text1" w:themeShade="BF"/>
              </w:rPr>
            </w:pPr>
            <w:r>
              <w:rPr>
                <w:rFonts w:ascii="仿宋" w:hAnsi="仿宋" w:eastAsia="仿宋"/>
                <w:b w:val="0"/>
                <w:color w:val="000000"/>
                <w:sz w:val="16"/>
              </w:rPr>
              <w:t>① 理解工具、工作流与 Skill 的区别及关系；智能体如何发现、选择、调用与组合科研工具</w:t>
            </w:r>
          </w:p>
          <w:p w14:paraId="02150A50">
            <w:pPr>
              <w:spacing w:before="0" w:after="0" w:line="240" w:lineRule="auto"/>
              <w:ind w:firstLine="0"/>
              <w:jc w:val="left"/>
              <w:rPr>
                <w:color w:val="000000" w:themeColor="text1" w:themeShade="BF"/>
              </w:rPr>
            </w:pPr>
            <w:r>
              <w:rPr>
                <w:rFonts w:ascii="仿宋" w:hAnsi="仿宋" w:eastAsia="仿宋"/>
                <w:b w:val="0"/>
                <w:color w:val="000000"/>
                <w:sz w:val="16"/>
              </w:rPr>
              <w:t>② 围绕具体科研问题走通“提问—检索文献—获取论文—解析 PDF—构建知识库—提取信息—整理数据—科学绘图—研究简报”流程</w:t>
            </w:r>
          </w:p>
          <w:p w14:paraId="28EF48E8">
            <w:pPr>
              <w:spacing w:before="0" w:after="0" w:line="240" w:lineRule="auto"/>
              <w:ind w:firstLine="0"/>
              <w:jc w:val="left"/>
              <w:rPr>
                <w:color w:val="000000" w:themeColor="text1" w:themeShade="BF"/>
              </w:rPr>
            </w:pPr>
            <w:r>
              <w:rPr>
                <w:rFonts w:ascii="仿宋" w:hAnsi="仿宋" w:eastAsia="仿宋"/>
                <w:b w:val="0"/>
                <w:color w:val="000000"/>
                <w:sz w:val="16"/>
              </w:rPr>
              <w:t>③ 使用 Paper Fetch、MinerU、RAG 与数据处理、科学绘图等工具，掌握参数设计、失败重试、人工检查、证据追溯与版本管理，并沉淀为可复用 Skill</w:t>
            </w:r>
          </w:p>
          <w:p w14:paraId="0FE5D07D">
            <w:pPr>
              <w:spacing w:before="0" w:after="0" w:line="240" w:lineRule="auto"/>
              <w:ind w:firstLine="0"/>
              <w:jc w:val="left"/>
              <w:rPr>
                <w:color w:val="000000" w:themeColor="text1" w:themeShade="BF"/>
              </w:rPr>
            </w:pPr>
            <w:r>
              <w:rPr>
                <w:rFonts w:ascii="仿宋" w:hAnsi="仿宋" w:eastAsia="仿宋"/>
                <w:b w:val="0"/>
                <w:color w:val="000000"/>
                <w:sz w:val="16"/>
              </w:rPr>
              <w:t>▸ 成果：一条可运行的文献研究工作流，一份含来源引用与图表的研究简报，一个可复用 Skill 或工作流模板</w:t>
            </w:r>
          </w:p>
        </w:tc>
        <w:tc>
          <w:tcPr>
            <w:tcW w:w="1870" w:type="dxa"/>
            <w:tcMar>
              <w:top w:w="60" w:type="dxa"/>
              <w:left w:w="80" w:type="dxa"/>
              <w:bottom w:w="60" w:type="dxa"/>
              <w:right w:w="80" w:type="dxa"/>
            </w:tcMar>
            <w:vAlign w:val="center"/>
          </w:tcPr>
          <w:p w14:paraId="7741C70A">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595F0BEC">
            <w:pPr>
              <w:spacing w:before="0" w:after="0" w:line="240" w:lineRule="auto"/>
              <w:ind w:firstLine="0"/>
              <w:jc w:val="center"/>
              <w:rPr>
                <w:color w:val="000000" w:themeColor="text1" w:themeShade="BF"/>
              </w:rPr>
            </w:pPr>
            <w:r>
              <w:rPr>
                <w:rFonts w:ascii="仿宋" w:hAnsi="仿宋" w:eastAsia="仿宋"/>
                <w:b w:val="0"/>
                <w:color w:val="000000"/>
                <w:sz w:val="16"/>
              </w:rPr>
              <w:t>刘子笑</w:t>
            </w:r>
          </w:p>
          <w:p w14:paraId="4D2764D1">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3B360697">
        <w:trPr>
          <w:cantSplit/>
          <w:jc w:val="center"/>
        </w:trPr>
        <w:tc>
          <w:tcPr>
            <w:tcW w:w="1077" w:type="dxa"/>
            <w:vMerge w:val="continue"/>
            <w:tcMar>
              <w:top w:w="60" w:type="dxa"/>
              <w:left w:w="80" w:type="dxa"/>
              <w:bottom w:w="60" w:type="dxa"/>
              <w:right w:w="80" w:type="dxa"/>
            </w:tcMar>
            <w:vAlign w:val="center"/>
          </w:tcPr>
          <w:p w14:paraId="58F2C481">
            <w:pPr>
              <w:rPr>
                <w:color w:val="000000" w:themeColor="text1" w:themeShade="BF"/>
              </w:rPr>
            </w:pPr>
          </w:p>
        </w:tc>
        <w:tc>
          <w:tcPr>
            <w:tcW w:w="907" w:type="dxa"/>
            <w:tcMar>
              <w:top w:w="60" w:type="dxa"/>
              <w:left w:w="80" w:type="dxa"/>
              <w:bottom w:w="60" w:type="dxa"/>
              <w:right w:w="80" w:type="dxa"/>
            </w:tcMar>
            <w:vAlign w:val="center"/>
          </w:tcPr>
          <w:p w14:paraId="76EF39F0">
            <w:pPr>
              <w:spacing w:before="0" w:after="0" w:line="240" w:lineRule="auto"/>
              <w:ind w:firstLine="0"/>
              <w:jc w:val="center"/>
              <w:rPr>
                <w:color w:val="000000" w:themeColor="text1" w:themeShade="BF"/>
              </w:rPr>
            </w:pPr>
            <w:r>
              <w:rPr>
                <w:rFonts w:ascii="仿宋" w:hAnsi="仿宋" w:eastAsia="仿宋"/>
                <w:b w:val="0"/>
                <w:color w:val="000000"/>
                <w:sz w:val="16"/>
              </w:rPr>
              <w:t>晚上</w:t>
            </w:r>
          </w:p>
          <w:p w14:paraId="6ED12307">
            <w:pPr>
              <w:spacing w:before="0" w:after="0" w:line="240" w:lineRule="auto"/>
              <w:ind w:firstLine="0"/>
              <w:jc w:val="center"/>
              <w:rPr>
                <w:color w:val="000000" w:themeColor="text1" w:themeShade="BF"/>
              </w:rPr>
            </w:pPr>
            <w:r>
              <w:rPr>
                <w:rFonts w:ascii="仿宋" w:hAnsi="仿宋" w:eastAsia="仿宋"/>
                <w:b w:val="0"/>
                <w:color w:val="000000"/>
                <w:sz w:val="16"/>
              </w:rPr>
              <w:t>19:30–21:00</w:t>
            </w:r>
          </w:p>
        </w:tc>
        <w:tc>
          <w:tcPr>
            <w:tcW w:w="2097" w:type="dxa"/>
            <w:tcMar>
              <w:top w:w="60" w:type="dxa"/>
              <w:left w:w="80" w:type="dxa"/>
              <w:bottom w:w="60" w:type="dxa"/>
              <w:right w:w="80" w:type="dxa"/>
            </w:tcMar>
            <w:vAlign w:val="center"/>
          </w:tcPr>
          <w:p w14:paraId="50B37367">
            <w:pPr>
              <w:spacing w:before="0" w:after="0" w:line="240" w:lineRule="auto"/>
              <w:ind w:firstLine="0"/>
              <w:jc w:val="left"/>
              <w:rPr>
                <w:color w:val="000000" w:themeColor="text1" w:themeShade="BF"/>
              </w:rPr>
            </w:pPr>
            <w:r>
              <w:rPr>
                <w:rFonts w:ascii="仿宋" w:hAnsi="仿宋" w:eastAsia="仿宋"/>
                <w:b/>
                <w:color w:val="000000"/>
                <w:sz w:val="16"/>
              </w:rPr>
              <w:t>习题课与研讨课</w:t>
            </w:r>
          </w:p>
        </w:tc>
        <w:tc>
          <w:tcPr>
            <w:tcW w:w="3118" w:type="dxa"/>
            <w:tcMar>
              <w:top w:w="60" w:type="dxa"/>
              <w:left w:w="80" w:type="dxa"/>
              <w:bottom w:w="60" w:type="dxa"/>
              <w:right w:w="80" w:type="dxa"/>
            </w:tcMar>
            <w:vAlign w:val="center"/>
          </w:tcPr>
          <w:p w14:paraId="1609F0C5">
            <w:pPr>
              <w:spacing w:before="0" w:after="0" w:line="240" w:lineRule="auto"/>
              <w:ind w:firstLine="0"/>
              <w:jc w:val="left"/>
              <w:rPr>
                <w:color w:val="000000" w:themeColor="text1" w:themeShade="BF"/>
              </w:rPr>
            </w:pPr>
            <w:r>
              <w:rPr>
                <w:rFonts w:ascii="仿宋" w:hAnsi="仿宋" w:eastAsia="仿宋"/>
                <w:b w:val="0"/>
                <w:color w:val="000000"/>
                <w:sz w:val="16"/>
              </w:rPr>
              <w:t>① 习题课：由课程组与助教结合当日课程，选取边界清晰、有参考路径的典型问题作示范讲解与实操</w:t>
            </w:r>
          </w:p>
          <w:p w14:paraId="03A8FAAA">
            <w:pPr>
              <w:spacing w:before="0" w:after="0" w:line="240" w:lineRule="auto"/>
              <w:ind w:firstLine="0"/>
              <w:jc w:val="left"/>
              <w:rPr>
                <w:color w:val="000000" w:themeColor="text1" w:themeShade="BF"/>
              </w:rPr>
            </w:pPr>
            <w:r>
              <w:rPr>
                <w:rFonts w:ascii="仿宋" w:hAnsi="仿宋" w:eastAsia="仿宋"/>
                <w:b w:val="0"/>
                <w:color w:val="000000"/>
                <w:sz w:val="16"/>
              </w:rPr>
              <w:t>② 研讨课（选修）：学员围绕所选 AI4S 问题作简要介绍，就任务定义、数据条件、技术路线与评价方式研讨</w:t>
            </w:r>
          </w:p>
          <w:p w14:paraId="71238368">
            <w:pPr>
              <w:spacing w:before="0" w:after="0" w:line="240" w:lineRule="auto"/>
              <w:ind w:firstLine="0"/>
              <w:jc w:val="left"/>
              <w:rPr>
                <w:color w:val="000000" w:themeColor="text1" w:themeShade="BF"/>
              </w:rPr>
            </w:pPr>
            <w:r>
              <w:rPr>
                <w:rFonts w:ascii="仿宋" w:hAnsi="仿宋" w:eastAsia="仿宋"/>
                <w:b w:val="0"/>
                <w:color w:val="000000"/>
                <w:sz w:val="16"/>
              </w:rPr>
              <w:t>▸ 成果：巩固当日方法，并推进各自 AI4S 问题的理解与《问题分析方案》</w:t>
            </w:r>
          </w:p>
        </w:tc>
        <w:tc>
          <w:tcPr>
            <w:tcW w:w="1870" w:type="dxa"/>
            <w:tcMar>
              <w:top w:w="60" w:type="dxa"/>
              <w:left w:w="80" w:type="dxa"/>
              <w:bottom w:w="60" w:type="dxa"/>
              <w:right w:w="80" w:type="dxa"/>
            </w:tcMar>
            <w:vAlign w:val="center"/>
          </w:tcPr>
          <w:p w14:paraId="32B1919B">
            <w:pPr>
              <w:spacing w:before="0" w:after="0" w:line="240" w:lineRule="auto"/>
              <w:ind w:firstLine="0"/>
              <w:jc w:val="center"/>
              <w:rPr>
                <w:color w:val="000000" w:themeColor="text1" w:themeShade="BF"/>
              </w:rPr>
            </w:pPr>
            <w:r>
              <w:rPr>
                <w:rFonts w:ascii="仿宋" w:hAnsi="仿宋" w:eastAsia="仿宋"/>
                <w:b w:val="0"/>
                <w:color w:val="000000"/>
                <w:sz w:val="16"/>
              </w:rPr>
              <w:t>课程组 + 助教</w:t>
            </w:r>
          </w:p>
        </w:tc>
      </w:tr>
      <w:tr w14:paraId="11744532">
        <w:trPr>
          <w:cantSplit/>
          <w:jc w:val="center"/>
        </w:trPr>
        <w:tc>
          <w:tcPr>
            <w:tcW w:w="1077" w:type="dxa"/>
            <w:vMerge w:val="restart"/>
            <w:shd w:val="clear" w:color="auto" w:fill="F2F2F2"/>
            <w:tcMar>
              <w:top w:w="60" w:type="dxa"/>
              <w:left w:w="80" w:type="dxa"/>
              <w:bottom w:w="60" w:type="dxa"/>
              <w:right w:w="80" w:type="dxa"/>
            </w:tcMar>
            <w:vAlign w:val="center"/>
          </w:tcPr>
          <w:p w14:paraId="7264A78F">
            <w:pPr>
              <w:spacing w:before="0" w:after="0" w:line="240" w:lineRule="auto"/>
              <w:ind w:firstLine="0"/>
              <w:jc w:val="center"/>
              <w:rPr>
                <w:color w:val="000000" w:themeColor="text1" w:themeShade="BF"/>
              </w:rPr>
            </w:pPr>
            <w:r>
              <w:rPr>
                <w:rFonts w:ascii="仿宋" w:hAnsi="仿宋" w:eastAsia="仿宋"/>
                <w:b w:val="0"/>
                <w:color w:val="000000"/>
                <w:sz w:val="16"/>
              </w:rPr>
              <w:t>8.24（周一）</w:t>
            </w:r>
          </w:p>
          <w:p w14:paraId="7E4371A3">
            <w:pPr>
              <w:spacing w:before="0" w:after="0" w:line="240" w:lineRule="auto"/>
              <w:ind w:firstLine="0"/>
              <w:jc w:val="center"/>
              <w:rPr>
                <w:color w:val="000000" w:themeColor="text1" w:themeShade="BF"/>
              </w:rPr>
            </w:pPr>
            <w:r>
              <w:rPr>
                <w:rFonts w:ascii="仿宋" w:hAnsi="仿宋" w:eastAsia="仿宋"/>
                <w:b w:val="0"/>
                <w:color w:val="000000"/>
                <w:sz w:val="16"/>
              </w:rPr>
              <w:t>专题二</w:t>
            </w:r>
          </w:p>
          <w:p w14:paraId="377AC985">
            <w:pPr>
              <w:spacing w:before="0" w:after="0" w:line="240" w:lineRule="auto"/>
              <w:ind w:firstLine="0"/>
              <w:jc w:val="center"/>
              <w:rPr>
                <w:color w:val="000000" w:themeColor="text1" w:themeShade="BF"/>
              </w:rPr>
            </w:pPr>
            <w:r>
              <w:rPr>
                <w:rFonts w:ascii="仿宋" w:hAnsi="仿宋" w:eastAsia="仿宋"/>
                <w:b w:val="0"/>
                <w:color w:val="000000"/>
                <w:sz w:val="16"/>
              </w:rPr>
              <w:t>AI4S 科研方法论</w:t>
            </w:r>
          </w:p>
        </w:tc>
        <w:tc>
          <w:tcPr>
            <w:tcW w:w="907" w:type="dxa"/>
            <w:tcMar>
              <w:top w:w="60" w:type="dxa"/>
              <w:left w:w="80" w:type="dxa"/>
              <w:bottom w:w="60" w:type="dxa"/>
              <w:right w:w="80" w:type="dxa"/>
            </w:tcMar>
            <w:vAlign w:val="center"/>
          </w:tcPr>
          <w:p w14:paraId="708D66BF">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1E99C169">
            <w:pPr>
              <w:spacing w:before="0" w:after="0" w:line="240" w:lineRule="auto"/>
              <w:ind w:firstLine="0"/>
              <w:jc w:val="center"/>
              <w:rPr>
                <w:color w:val="000000" w:themeColor="text1" w:themeShade="BF"/>
              </w:rPr>
            </w:pPr>
            <w:r>
              <w:rPr>
                <w:rFonts w:ascii="仿宋" w:hAnsi="仿宋" w:eastAsia="仿宋"/>
                <w:b w:val="0"/>
                <w:color w:val="000000"/>
                <w:sz w:val="16"/>
              </w:rPr>
              <w:t>9:30–10:30</w:t>
            </w:r>
          </w:p>
        </w:tc>
        <w:tc>
          <w:tcPr>
            <w:tcW w:w="2097" w:type="dxa"/>
            <w:tcMar>
              <w:top w:w="60" w:type="dxa"/>
              <w:left w:w="80" w:type="dxa"/>
              <w:bottom w:w="60" w:type="dxa"/>
              <w:right w:w="80" w:type="dxa"/>
            </w:tcMar>
            <w:vAlign w:val="center"/>
          </w:tcPr>
          <w:p w14:paraId="475D4A34">
            <w:pPr>
              <w:spacing w:before="0" w:after="0" w:line="240" w:lineRule="auto"/>
              <w:ind w:firstLine="0"/>
              <w:jc w:val="left"/>
              <w:rPr>
                <w:color w:val="000000" w:themeColor="text1" w:themeShade="BF"/>
              </w:rPr>
            </w:pPr>
            <w:r>
              <w:rPr>
                <w:rFonts w:ascii="仿宋" w:hAnsi="仿宋" w:eastAsia="仿宋"/>
                <w:b/>
                <w:color w:val="000000"/>
                <w:sz w:val="16"/>
              </w:rPr>
              <w:t>前沿讲座：科学数据基础设施与科学语料库</w:t>
            </w:r>
          </w:p>
        </w:tc>
        <w:tc>
          <w:tcPr>
            <w:tcW w:w="3118" w:type="dxa"/>
            <w:tcMar>
              <w:top w:w="60" w:type="dxa"/>
              <w:left w:w="80" w:type="dxa"/>
              <w:bottom w:w="60" w:type="dxa"/>
              <w:right w:w="80" w:type="dxa"/>
            </w:tcMar>
            <w:vAlign w:val="center"/>
          </w:tcPr>
          <w:p w14:paraId="24CBC652">
            <w:pPr>
              <w:spacing w:before="0" w:after="0" w:line="240" w:lineRule="auto"/>
              <w:ind w:firstLine="0"/>
              <w:jc w:val="left"/>
              <w:rPr>
                <w:color w:val="000000" w:themeColor="text1" w:themeShade="BF"/>
              </w:rPr>
            </w:pPr>
            <w:r>
              <w:rPr>
                <w:rFonts w:ascii="仿宋" w:hAnsi="仿宋" w:eastAsia="仿宋"/>
                <w:b w:val="0"/>
                <w:color w:val="000000"/>
                <w:sz w:val="16"/>
              </w:rPr>
              <w:t>① 科学数据与科研基础设施概览</w:t>
            </w:r>
          </w:p>
          <w:p w14:paraId="4BC437AE">
            <w:pPr>
              <w:spacing w:before="0" w:after="0" w:line="240" w:lineRule="auto"/>
              <w:ind w:firstLine="0"/>
              <w:jc w:val="left"/>
              <w:rPr>
                <w:color w:val="000000" w:themeColor="text1" w:themeShade="BF"/>
              </w:rPr>
            </w:pPr>
            <w:r>
              <w:rPr>
                <w:rFonts w:ascii="仿宋" w:hAnsi="仿宋" w:eastAsia="仿宋"/>
                <w:b w:val="0"/>
                <w:color w:val="000000"/>
                <w:sz w:val="16"/>
              </w:rPr>
              <w:t>② 科学语料库的构建与治理</w:t>
            </w:r>
          </w:p>
          <w:p w14:paraId="472A4551">
            <w:pPr>
              <w:spacing w:before="0" w:after="0" w:line="240" w:lineRule="auto"/>
              <w:ind w:firstLine="0"/>
              <w:jc w:val="left"/>
              <w:rPr>
                <w:color w:val="000000" w:themeColor="text1" w:themeShade="BF"/>
              </w:rPr>
            </w:pPr>
            <w:r>
              <w:rPr>
                <w:rFonts w:ascii="仿宋" w:hAnsi="仿宋" w:eastAsia="仿宋"/>
                <w:b w:val="0"/>
                <w:color w:val="000000"/>
                <w:sz w:val="16"/>
              </w:rPr>
              <w:t>③ 面向 AI4S 的数据服务与开放（One Science 平台实践）</w:t>
            </w:r>
          </w:p>
          <w:p w14:paraId="57DA9014">
            <w:pPr>
              <w:spacing w:before="0" w:after="0" w:line="240" w:lineRule="auto"/>
              <w:ind w:firstLine="0"/>
              <w:jc w:val="left"/>
              <w:rPr>
                <w:color w:val="000000" w:themeColor="text1" w:themeShade="BF"/>
              </w:rPr>
            </w:pPr>
            <w:r>
              <w:rPr>
                <w:rFonts w:ascii="仿宋" w:hAnsi="仿宋" w:eastAsia="仿宋"/>
                <w:b w:val="0"/>
                <w:color w:val="000000"/>
                <w:sz w:val="16"/>
              </w:rPr>
              <w:t>▸ 成果：理解 AI4S 数据“从哪里来、怎样组织”</w:t>
            </w:r>
          </w:p>
        </w:tc>
        <w:tc>
          <w:tcPr>
            <w:tcW w:w="1870" w:type="dxa"/>
            <w:tcMar>
              <w:top w:w="60" w:type="dxa"/>
              <w:left w:w="80" w:type="dxa"/>
              <w:bottom w:w="60" w:type="dxa"/>
              <w:right w:w="80" w:type="dxa"/>
            </w:tcMar>
            <w:vAlign w:val="center"/>
          </w:tcPr>
          <w:p w14:paraId="7F717F41">
            <w:pPr>
              <w:spacing w:before="0" w:after="0" w:line="240" w:lineRule="auto"/>
              <w:ind w:firstLine="0"/>
              <w:jc w:val="center"/>
              <w:rPr>
                <w:color w:val="000000" w:themeColor="text1" w:themeShade="BF"/>
              </w:rPr>
            </w:pPr>
            <w:r>
              <w:rPr>
                <w:rFonts w:ascii="仿宋" w:hAnsi="仿宋" w:eastAsia="仿宋"/>
                <w:b w:val="0"/>
                <w:color w:val="000000"/>
                <w:sz w:val="16"/>
              </w:rPr>
              <w:t>中国科学院计算机网络信息中心</w:t>
            </w:r>
          </w:p>
          <w:p w14:paraId="16AB3414">
            <w:pPr>
              <w:spacing w:before="0" w:after="0" w:line="240" w:lineRule="auto"/>
              <w:ind w:firstLine="0"/>
              <w:jc w:val="center"/>
              <w:rPr>
                <w:color w:val="000000" w:themeColor="text1" w:themeShade="BF"/>
              </w:rPr>
            </w:pPr>
            <w:r>
              <w:rPr>
                <w:rFonts w:ascii="仿宋" w:hAnsi="仿宋" w:eastAsia="仿宋"/>
                <w:b w:val="0"/>
                <w:color w:val="000000"/>
                <w:sz w:val="16"/>
              </w:rPr>
              <w:t>周园春 主任</w:t>
            </w:r>
          </w:p>
        </w:tc>
      </w:tr>
      <w:tr w14:paraId="6BB4E0E7">
        <w:trPr>
          <w:cantSplit/>
          <w:jc w:val="center"/>
        </w:trPr>
        <w:tc>
          <w:tcPr>
            <w:tcW w:w="1077" w:type="dxa"/>
            <w:vMerge w:val="continue"/>
            <w:tcMar>
              <w:top w:w="60" w:type="dxa"/>
              <w:left w:w="80" w:type="dxa"/>
              <w:bottom w:w="60" w:type="dxa"/>
              <w:right w:w="80" w:type="dxa"/>
            </w:tcMar>
            <w:vAlign w:val="center"/>
          </w:tcPr>
          <w:p w14:paraId="30FEB71E">
            <w:pPr>
              <w:rPr>
                <w:color w:val="000000" w:themeColor="text1" w:themeShade="BF"/>
              </w:rPr>
            </w:pPr>
          </w:p>
        </w:tc>
        <w:tc>
          <w:tcPr>
            <w:tcW w:w="907" w:type="dxa"/>
            <w:tcMar>
              <w:top w:w="60" w:type="dxa"/>
              <w:left w:w="80" w:type="dxa"/>
              <w:bottom w:w="60" w:type="dxa"/>
              <w:right w:w="80" w:type="dxa"/>
            </w:tcMar>
            <w:vAlign w:val="center"/>
          </w:tcPr>
          <w:p w14:paraId="48D365AE">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36D5CDA9">
            <w:pPr>
              <w:spacing w:before="0" w:after="0" w:line="240" w:lineRule="auto"/>
              <w:ind w:firstLine="0"/>
              <w:jc w:val="center"/>
              <w:rPr>
                <w:color w:val="000000" w:themeColor="text1" w:themeShade="BF"/>
              </w:rPr>
            </w:pPr>
            <w:r>
              <w:rPr>
                <w:rFonts w:ascii="仿宋" w:hAnsi="仿宋" w:eastAsia="仿宋"/>
                <w:b w:val="0"/>
                <w:color w:val="000000"/>
                <w:sz w:val="16"/>
              </w:rPr>
              <w:t>10:50–11:50</w:t>
            </w:r>
          </w:p>
        </w:tc>
        <w:tc>
          <w:tcPr>
            <w:tcW w:w="2097" w:type="dxa"/>
            <w:tcMar>
              <w:top w:w="60" w:type="dxa"/>
              <w:left w:w="80" w:type="dxa"/>
              <w:bottom w:w="60" w:type="dxa"/>
              <w:right w:w="80" w:type="dxa"/>
            </w:tcMar>
            <w:vAlign w:val="center"/>
          </w:tcPr>
          <w:p w14:paraId="122932F2">
            <w:pPr>
              <w:spacing w:before="0" w:after="0" w:line="240" w:lineRule="auto"/>
              <w:ind w:firstLine="0"/>
              <w:jc w:val="left"/>
              <w:rPr>
                <w:color w:val="000000" w:themeColor="text1" w:themeShade="BF"/>
              </w:rPr>
            </w:pPr>
            <w:r>
              <w:rPr>
                <w:rFonts w:ascii="仿宋" w:hAnsi="仿宋" w:eastAsia="仿宋"/>
                <w:b/>
                <w:color w:val="000000"/>
                <w:sz w:val="16"/>
              </w:rPr>
              <w:t>方法讲座：AI 驱动的科学规律发现——从实验数据到控制方程</w:t>
            </w:r>
          </w:p>
        </w:tc>
        <w:tc>
          <w:tcPr>
            <w:tcW w:w="3118" w:type="dxa"/>
            <w:tcMar>
              <w:top w:w="60" w:type="dxa"/>
              <w:left w:w="80" w:type="dxa"/>
              <w:bottom w:w="60" w:type="dxa"/>
              <w:right w:w="80" w:type="dxa"/>
            </w:tcMar>
            <w:vAlign w:val="center"/>
          </w:tcPr>
          <w:p w14:paraId="3F900112">
            <w:pPr>
              <w:spacing w:before="0" w:after="0" w:line="240" w:lineRule="auto"/>
              <w:ind w:firstLine="0"/>
              <w:jc w:val="left"/>
              <w:rPr>
                <w:color w:val="000000" w:themeColor="text1" w:themeShade="BF"/>
              </w:rPr>
            </w:pPr>
            <w:r>
              <w:rPr>
                <w:rFonts w:ascii="仿宋" w:hAnsi="仿宋" w:eastAsia="仿宋"/>
                <w:b w:val="0"/>
                <w:color w:val="000000"/>
                <w:sz w:val="16"/>
              </w:rPr>
              <w:t>① 科学发现的两条路径：理论提出—实验验证；实验数据—规律归纳</w:t>
            </w:r>
          </w:p>
          <w:p w14:paraId="34BFA13F">
            <w:pPr>
              <w:spacing w:before="0" w:after="0" w:line="240" w:lineRule="auto"/>
              <w:ind w:firstLine="0"/>
              <w:jc w:val="left"/>
              <w:rPr>
                <w:color w:val="000000" w:themeColor="text1" w:themeShade="BF"/>
              </w:rPr>
            </w:pPr>
            <w:r>
              <w:rPr>
                <w:rFonts w:ascii="仿宋" w:hAnsi="仿宋" w:eastAsia="仿宋"/>
                <w:b w:val="0"/>
                <w:color w:val="000000"/>
                <w:sz w:val="16"/>
              </w:rPr>
              <w:t>② 方程发现中的组合搜索难题、代表性算法及适用边界</w:t>
            </w:r>
          </w:p>
          <w:p w14:paraId="2B6DFFD5">
            <w:pPr>
              <w:spacing w:before="0" w:after="0" w:line="240" w:lineRule="auto"/>
              <w:ind w:firstLine="0"/>
              <w:jc w:val="left"/>
              <w:rPr>
                <w:color w:val="000000" w:themeColor="text1" w:themeShade="BF"/>
              </w:rPr>
            </w:pPr>
            <w:r>
              <w:rPr>
                <w:rFonts w:ascii="仿宋" w:hAnsi="仿宋" w:eastAsia="仿宋"/>
                <w:b w:val="0"/>
                <w:color w:val="000000"/>
                <w:sz w:val="16"/>
              </w:rPr>
              <w:t>③ 大模型驱动方法 DRSR：数据驱动的结构分析与经验驱动的策略总结</w:t>
            </w:r>
          </w:p>
          <w:p w14:paraId="1609EC8D">
            <w:pPr>
              <w:spacing w:before="0" w:after="0" w:line="240" w:lineRule="auto"/>
              <w:ind w:firstLine="0"/>
              <w:jc w:val="left"/>
              <w:rPr>
                <w:color w:val="000000" w:themeColor="text1" w:themeShade="BF"/>
              </w:rPr>
            </w:pPr>
            <w:r>
              <w:rPr>
                <w:rFonts w:ascii="仿宋" w:hAnsi="仿宋" w:eastAsia="仿宋"/>
                <w:b w:val="0"/>
                <w:color w:val="000000"/>
                <w:sz w:val="16"/>
              </w:rPr>
              <w:t>④ 数理化天地生的跨领域应用</w:t>
            </w:r>
          </w:p>
          <w:p w14:paraId="769577B6">
            <w:pPr>
              <w:spacing w:before="0" w:after="0" w:line="240" w:lineRule="auto"/>
              <w:ind w:firstLine="0"/>
              <w:jc w:val="left"/>
              <w:rPr>
                <w:color w:val="000000" w:themeColor="text1" w:themeShade="BF"/>
              </w:rPr>
            </w:pPr>
            <w:r>
              <w:rPr>
                <w:rFonts w:ascii="仿宋" w:hAnsi="仿宋" w:eastAsia="仿宋"/>
                <w:b w:val="0"/>
                <w:color w:val="000000"/>
                <w:sz w:val="16"/>
              </w:rPr>
              <w:t>▸ 成果：理解“AI 如何从数据中形成预测与规律”</w:t>
            </w:r>
          </w:p>
        </w:tc>
        <w:tc>
          <w:tcPr>
            <w:tcW w:w="1870" w:type="dxa"/>
            <w:tcMar>
              <w:top w:w="60" w:type="dxa"/>
              <w:left w:w="80" w:type="dxa"/>
              <w:bottom w:w="60" w:type="dxa"/>
              <w:right w:w="80" w:type="dxa"/>
            </w:tcMar>
            <w:vAlign w:val="center"/>
          </w:tcPr>
          <w:p w14:paraId="33A9CD97">
            <w:pPr>
              <w:spacing w:before="0" w:after="0" w:line="240" w:lineRule="auto"/>
              <w:ind w:firstLine="0"/>
              <w:jc w:val="center"/>
              <w:rPr>
                <w:color w:val="000000" w:themeColor="text1" w:themeShade="BF"/>
              </w:rPr>
            </w:pPr>
            <w:r>
              <w:rPr>
                <w:rFonts w:ascii="仿宋" w:hAnsi="仿宋" w:eastAsia="仿宋"/>
                <w:b w:val="0"/>
                <w:color w:val="000000"/>
                <w:sz w:val="16"/>
              </w:rPr>
              <w:t>中国科学院自动化研究所</w:t>
            </w:r>
          </w:p>
          <w:p w14:paraId="6EA5CB5E">
            <w:pPr>
              <w:spacing w:before="0" w:after="0" w:line="240" w:lineRule="auto"/>
              <w:ind w:firstLine="0"/>
              <w:jc w:val="center"/>
              <w:rPr>
                <w:color w:val="000000" w:themeColor="text1" w:themeShade="BF"/>
              </w:rPr>
            </w:pPr>
            <w:r>
              <w:rPr>
                <w:rFonts w:ascii="仿宋" w:hAnsi="仿宋" w:eastAsia="仿宋"/>
                <w:b w:val="0"/>
                <w:color w:val="000000"/>
                <w:sz w:val="16"/>
              </w:rPr>
              <w:t>李凯</w:t>
            </w:r>
          </w:p>
          <w:p w14:paraId="256073FE">
            <w:pPr>
              <w:spacing w:before="0" w:after="0" w:line="240" w:lineRule="auto"/>
              <w:ind w:firstLine="0"/>
              <w:jc w:val="center"/>
              <w:rPr>
                <w:color w:val="000000" w:themeColor="text1" w:themeShade="BF"/>
              </w:rPr>
            </w:pPr>
            <w:r>
              <w:rPr>
                <w:rFonts w:ascii="仿宋" w:hAnsi="仿宋" w:eastAsia="仿宋"/>
                <w:b w:val="0"/>
                <w:color w:val="000000"/>
                <w:sz w:val="16"/>
              </w:rPr>
              <w:t>研究员</w:t>
            </w:r>
          </w:p>
        </w:tc>
      </w:tr>
      <w:tr w14:paraId="25151D68">
        <w:trPr>
          <w:cantSplit/>
          <w:jc w:val="center"/>
        </w:trPr>
        <w:tc>
          <w:tcPr>
            <w:tcW w:w="1077" w:type="dxa"/>
            <w:vMerge w:val="continue"/>
            <w:tcMar>
              <w:top w:w="60" w:type="dxa"/>
              <w:left w:w="80" w:type="dxa"/>
              <w:bottom w:w="60" w:type="dxa"/>
              <w:right w:w="80" w:type="dxa"/>
            </w:tcMar>
            <w:vAlign w:val="center"/>
          </w:tcPr>
          <w:p w14:paraId="585B9E88">
            <w:pPr>
              <w:rPr>
                <w:color w:val="000000" w:themeColor="text1" w:themeShade="BF"/>
              </w:rPr>
            </w:pPr>
          </w:p>
        </w:tc>
        <w:tc>
          <w:tcPr>
            <w:tcW w:w="907" w:type="dxa"/>
            <w:tcMar>
              <w:top w:w="60" w:type="dxa"/>
              <w:left w:w="80" w:type="dxa"/>
              <w:bottom w:w="60" w:type="dxa"/>
              <w:right w:w="80" w:type="dxa"/>
            </w:tcMar>
            <w:vAlign w:val="center"/>
          </w:tcPr>
          <w:p w14:paraId="4FDE11F3">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01534D75">
            <w:pPr>
              <w:spacing w:before="0" w:after="0" w:line="240" w:lineRule="auto"/>
              <w:ind w:firstLine="0"/>
              <w:jc w:val="center"/>
              <w:rPr>
                <w:color w:val="000000" w:themeColor="text1" w:themeShade="BF"/>
              </w:rPr>
            </w:pPr>
            <w:r>
              <w:rPr>
                <w:rFonts w:ascii="仿宋" w:hAnsi="仿宋" w:eastAsia="仿宋"/>
                <w:b w:val="0"/>
                <w:color w:val="000000"/>
                <w:sz w:val="16"/>
              </w:rPr>
              <w:t>14:00–14:50</w:t>
            </w:r>
          </w:p>
        </w:tc>
        <w:tc>
          <w:tcPr>
            <w:tcW w:w="2097" w:type="dxa"/>
            <w:tcMar>
              <w:top w:w="60" w:type="dxa"/>
              <w:left w:w="80" w:type="dxa"/>
              <w:bottom w:w="60" w:type="dxa"/>
              <w:right w:w="80" w:type="dxa"/>
            </w:tcMar>
            <w:vAlign w:val="center"/>
          </w:tcPr>
          <w:p w14:paraId="351C9D68">
            <w:pPr>
              <w:spacing w:before="0" w:after="0" w:line="240" w:lineRule="auto"/>
              <w:ind w:firstLine="0"/>
              <w:jc w:val="left"/>
              <w:rPr>
                <w:color w:val="000000" w:themeColor="text1" w:themeShade="BF"/>
              </w:rPr>
            </w:pPr>
            <w:r>
              <w:rPr>
                <w:rFonts w:ascii="仿宋" w:hAnsi="仿宋" w:eastAsia="仿宋"/>
                <w:b/>
                <w:color w:val="000000"/>
                <w:sz w:val="16"/>
              </w:rPr>
              <w:t>案例分享：LinX 超高通量分子互作平台——面向 AI 药物研发的数据基础</w:t>
            </w:r>
          </w:p>
        </w:tc>
        <w:tc>
          <w:tcPr>
            <w:tcW w:w="3118" w:type="dxa"/>
            <w:tcMar>
              <w:top w:w="60" w:type="dxa"/>
              <w:left w:w="80" w:type="dxa"/>
              <w:bottom w:w="60" w:type="dxa"/>
              <w:right w:w="80" w:type="dxa"/>
            </w:tcMar>
            <w:vAlign w:val="center"/>
          </w:tcPr>
          <w:p w14:paraId="25E689A2">
            <w:pPr>
              <w:spacing w:before="0" w:after="0" w:line="240" w:lineRule="auto"/>
              <w:ind w:firstLine="0"/>
              <w:jc w:val="left"/>
              <w:rPr>
                <w:color w:val="000000" w:themeColor="text1" w:themeShade="BF"/>
              </w:rPr>
            </w:pPr>
            <w:r>
              <w:rPr>
                <w:rFonts w:ascii="仿宋" w:hAnsi="仿宋" w:eastAsia="仿宋"/>
                <w:b w:val="0"/>
                <w:color w:val="000000"/>
                <w:sz w:val="16"/>
              </w:rPr>
              <w:t>① 实验平台如何以标准化、高通量、自动化方式持续产生可用于 AI 建模的高质量数据</w:t>
            </w:r>
          </w:p>
          <w:p w14:paraId="4FD9DBD1">
            <w:pPr>
              <w:spacing w:before="0" w:after="0" w:line="240" w:lineRule="auto"/>
              <w:ind w:firstLine="0"/>
              <w:jc w:val="left"/>
              <w:rPr>
                <w:color w:val="000000" w:themeColor="text1" w:themeShade="BF"/>
              </w:rPr>
            </w:pPr>
            <w:r>
              <w:rPr>
                <w:rFonts w:ascii="仿宋" w:hAnsi="仿宋" w:eastAsia="仿宋"/>
                <w:b w:val="0"/>
                <w:color w:val="000000"/>
                <w:sz w:val="16"/>
              </w:rPr>
              <w:t>② 分子编码、空间定位与自动化筛选</w:t>
            </w:r>
          </w:p>
          <w:p w14:paraId="29D15017">
            <w:pPr>
              <w:spacing w:before="0" w:after="0" w:line="240" w:lineRule="auto"/>
              <w:ind w:firstLine="0"/>
              <w:jc w:val="left"/>
              <w:rPr>
                <w:color w:val="000000" w:themeColor="text1" w:themeShade="BF"/>
              </w:rPr>
            </w:pPr>
            <w:r>
              <w:rPr>
                <w:rFonts w:ascii="仿宋" w:hAnsi="仿宋" w:eastAsia="仿宋"/>
                <w:b w:val="0"/>
                <w:color w:val="000000"/>
                <w:sz w:val="16"/>
              </w:rPr>
              <w:t>③ 海量分子—靶标并行检测</w:t>
            </w:r>
          </w:p>
          <w:p w14:paraId="5A7B3B5E">
            <w:pPr>
              <w:spacing w:before="0" w:after="0" w:line="240" w:lineRule="auto"/>
              <w:ind w:firstLine="0"/>
              <w:jc w:val="left"/>
              <w:rPr>
                <w:color w:val="000000" w:themeColor="text1" w:themeShade="BF"/>
              </w:rPr>
            </w:pPr>
            <w:r>
              <w:rPr>
                <w:rFonts w:ascii="仿宋" w:hAnsi="仿宋" w:eastAsia="仿宋"/>
                <w:b w:val="0"/>
                <w:color w:val="000000"/>
                <w:sz w:val="16"/>
              </w:rPr>
              <w:t>▸ 成果：理解“实验平台如何为 AI 建模持续供数”</w:t>
            </w:r>
          </w:p>
        </w:tc>
        <w:tc>
          <w:tcPr>
            <w:tcW w:w="1870" w:type="dxa"/>
            <w:tcMar>
              <w:top w:w="60" w:type="dxa"/>
              <w:left w:w="80" w:type="dxa"/>
              <w:bottom w:w="60" w:type="dxa"/>
              <w:right w:w="80" w:type="dxa"/>
            </w:tcMar>
            <w:vAlign w:val="center"/>
          </w:tcPr>
          <w:p w14:paraId="15B7E3FC">
            <w:pPr>
              <w:spacing w:before="0" w:after="0" w:line="240" w:lineRule="auto"/>
              <w:ind w:firstLine="0"/>
              <w:jc w:val="center"/>
              <w:rPr>
                <w:color w:val="000000" w:themeColor="text1" w:themeShade="BF"/>
              </w:rPr>
            </w:pPr>
            <w:r>
              <w:rPr>
                <w:rFonts w:ascii="仿宋" w:hAnsi="仿宋" w:eastAsia="仿宋"/>
                <w:b w:val="0"/>
                <w:color w:val="000000"/>
                <w:sz w:val="16"/>
              </w:rPr>
              <w:t>中国科学院杭州医学研究所</w:t>
            </w:r>
          </w:p>
          <w:p w14:paraId="234E837C">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4F8BA9E2">
        <w:trPr>
          <w:cantSplit/>
          <w:jc w:val="center"/>
        </w:trPr>
        <w:tc>
          <w:tcPr>
            <w:tcW w:w="1077" w:type="dxa"/>
            <w:vMerge w:val="continue"/>
            <w:tcMar>
              <w:top w:w="60" w:type="dxa"/>
              <w:left w:w="80" w:type="dxa"/>
              <w:bottom w:w="60" w:type="dxa"/>
              <w:right w:w="80" w:type="dxa"/>
            </w:tcMar>
            <w:vAlign w:val="center"/>
          </w:tcPr>
          <w:p w14:paraId="2466728C">
            <w:pPr>
              <w:rPr>
                <w:color w:val="000000" w:themeColor="text1" w:themeShade="BF"/>
              </w:rPr>
            </w:pPr>
          </w:p>
        </w:tc>
        <w:tc>
          <w:tcPr>
            <w:tcW w:w="907" w:type="dxa"/>
            <w:tcMar>
              <w:top w:w="60" w:type="dxa"/>
              <w:left w:w="80" w:type="dxa"/>
              <w:bottom w:w="60" w:type="dxa"/>
              <w:right w:w="80" w:type="dxa"/>
            </w:tcMar>
            <w:vAlign w:val="center"/>
          </w:tcPr>
          <w:p w14:paraId="138B4BF4">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641706B1">
            <w:pPr>
              <w:spacing w:before="0" w:after="0" w:line="240" w:lineRule="auto"/>
              <w:ind w:firstLine="0"/>
              <w:jc w:val="center"/>
              <w:rPr>
                <w:color w:val="000000" w:themeColor="text1" w:themeShade="BF"/>
              </w:rPr>
            </w:pPr>
            <w:r>
              <w:rPr>
                <w:rFonts w:ascii="仿宋" w:hAnsi="仿宋" w:eastAsia="仿宋"/>
                <w:b w:val="0"/>
                <w:color w:val="000000"/>
                <w:sz w:val="16"/>
              </w:rPr>
              <w:t>15:00–16:00</w:t>
            </w:r>
          </w:p>
        </w:tc>
        <w:tc>
          <w:tcPr>
            <w:tcW w:w="2097" w:type="dxa"/>
            <w:tcMar>
              <w:top w:w="60" w:type="dxa"/>
              <w:left w:w="80" w:type="dxa"/>
              <w:bottom w:w="60" w:type="dxa"/>
              <w:right w:w="80" w:type="dxa"/>
            </w:tcMar>
            <w:vAlign w:val="center"/>
          </w:tcPr>
          <w:p w14:paraId="7A1A305A">
            <w:pPr>
              <w:spacing w:before="0" w:after="0" w:line="240" w:lineRule="auto"/>
              <w:ind w:firstLine="0"/>
              <w:jc w:val="left"/>
              <w:rPr>
                <w:color w:val="000000" w:themeColor="text1" w:themeShade="BF"/>
              </w:rPr>
            </w:pPr>
            <w:r>
              <w:rPr>
                <w:rFonts w:ascii="仿宋" w:hAnsi="仿宋" w:eastAsia="仿宋"/>
                <w:b/>
                <w:color w:val="000000"/>
                <w:sz w:val="16"/>
              </w:rPr>
              <w:t>AI4S 专题实训（一）：从科学问题到 AI-ready 任务</w:t>
            </w:r>
          </w:p>
        </w:tc>
        <w:tc>
          <w:tcPr>
            <w:tcW w:w="3118" w:type="dxa"/>
            <w:tcMar>
              <w:top w:w="60" w:type="dxa"/>
              <w:left w:w="80" w:type="dxa"/>
              <w:bottom w:w="60" w:type="dxa"/>
              <w:right w:w="80" w:type="dxa"/>
            </w:tcMar>
            <w:vAlign w:val="center"/>
          </w:tcPr>
          <w:p w14:paraId="647716D0">
            <w:pPr>
              <w:spacing w:before="0" w:after="0" w:line="240" w:lineRule="auto"/>
              <w:ind w:firstLine="0"/>
              <w:jc w:val="left"/>
              <w:rPr>
                <w:color w:val="000000" w:themeColor="text1" w:themeShade="BF"/>
              </w:rPr>
            </w:pPr>
            <w:r>
              <w:rPr>
                <w:rFonts w:ascii="仿宋" w:hAnsi="仿宋" w:eastAsia="仿宋"/>
                <w:b w:val="0"/>
                <w:color w:val="000000"/>
                <w:sz w:val="16"/>
              </w:rPr>
              <w:t>① 从真实科学问题中识别适合 AI 参与的环节，明确科学目标、研究对象、样本单位，定义模型输入输出与任务边界</w:t>
            </w:r>
          </w:p>
          <w:p w14:paraId="75BB645D">
            <w:pPr>
              <w:spacing w:before="0" w:after="0" w:line="240" w:lineRule="auto"/>
              <w:ind w:firstLine="0"/>
              <w:jc w:val="left"/>
              <w:rPr>
                <w:color w:val="000000" w:themeColor="text1" w:themeShade="BF"/>
              </w:rPr>
            </w:pPr>
            <w:r>
              <w:rPr>
                <w:rFonts w:ascii="仿宋" w:hAnsi="仿宋" w:eastAsia="仿宋"/>
                <w:b w:val="0"/>
                <w:color w:val="000000"/>
                <w:sz w:val="16"/>
              </w:rPr>
              <w:t>② 分析数据来源、规模、质量、偏差、缺失与可获得性；确定学习范式（监督 / 自监督 / 无监督）与任务类型（分类 / 回归 / 聚类 / 生成 / 异常检测）</w:t>
            </w:r>
          </w:p>
          <w:p w14:paraId="00F4625B">
            <w:pPr>
              <w:spacing w:before="0" w:after="0" w:line="240" w:lineRule="auto"/>
              <w:ind w:firstLine="0"/>
              <w:jc w:val="left"/>
              <w:rPr>
                <w:color w:val="000000" w:themeColor="text1" w:themeShade="BF"/>
              </w:rPr>
            </w:pPr>
            <w:r>
              <w:rPr>
                <w:rFonts w:ascii="仿宋" w:hAnsi="仿宋" w:eastAsia="仿宋"/>
                <w:b w:val="0"/>
                <w:color w:val="000000"/>
                <w:sz w:val="16"/>
              </w:rPr>
              <w:t>③ 设计基线方向、评价指标、科学约束与外部验证方式，明确人工判断节点、潜在风险及伦理、知识产权或保密边界</w:t>
            </w:r>
          </w:p>
          <w:p w14:paraId="682D761B">
            <w:pPr>
              <w:spacing w:before="0" w:after="0" w:line="240" w:lineRule="auto"/>
              <w:ind w:firstLine="0"/>
              <w:jc w:val="left"/>
              <w:rPr>
                <w:color w:val="000000" w:themeColor="text1" w:themeShade="BF"/>
              </w:rPr>
            </w:pPr>
            <w:r>
              <w:rPr>
                <w:rFonts w:ascii="仿宋" w:hAnsi="仿宋" w:eastAsia="仿宋"/>
                <w:b w:val="0"/>
                <w:color w:val="000000"/>
                <w:sz w:val="16"/>
              </w:rPr>
              <w:t>▸ 成果：一份完整的 AI-ready 任务定义（含样本、输入输出、数据条件、学习范式、任务类型、基线方向、评价指标、科学约束与风险）</w:t>
            </w:r>
          </w:p>
        </w:tc>
        <w:tc>
          <w:tcPr>
            <w:tcW w:w="1870" w:type="dxa"/>
            <w:tcMar>
              <w:top w:w="60" w:type="dxa"/>
              <w:left w:w="80" w:type="dxa"/>
              <w:bottom w:w="60" w:type="dxa"/>
              <w:right w:w="80" w:type="dxa"/>
            </w:tcMar>
            <w:vAlign w:val="center"/>
          </w:tcPr>
          <w:p w14:paraId="6C1C3BED">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72702E70">
            <w:pPr>
              <w:spacing w:before="0" w:after="0" w:line="240" w:lineRule="auto"/>
              <w:ind w:firstLine="0"/>
              <w:jc w:val="center"/>
              <w:rPr>
                <w:color w:val="000000" w:themeColor="text1" w:themeShade="BF"/>
              </w:rPr>
            </w:pPr>
            <w:r>
              <w:rPr>
                <w:rFonts w:ascii="仿宋" w:hAnsi="仿宋" w:eastAsia="仿宋"/>
                <w:b w:val="0"/>
                <w:color w:val="000000"/>
                <w:sz w:val="16"/>
              </w:rPr>
              <w:t>巩泽钊</w:t>
            </w:r>
          </w:p>
          <w:p w14:paraId="61AAA1B7">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2989067F">
        <w:trPr>
          <w:cantSplit/>
          <w:jc w:val="center"/>
        </w:trPr>
        <w:tc>
          <w:tcPr>
            <w:tcW w:w="1077" w:type="dxa"/>
            <w:vMerge w:val="continue"/>
            <w:tcMar>
              <w:top w:w="60" w:type="dxa"/>
              <w:left w:w="80" w:type="dxa"/>
              <w:bottom w:w="60" w:type="dxa"/>
              <w:right w:w="80" w:type="dxa"/>
            </w:tcMar>
            <w:vAlign w:val="center"/>
          </w:tcPr>
          <w:p w14:paraId="7F22BE11">
            <w:pPr>
              <w:rPr>
                <w:color w:val="000000" w:themeColor="text1" w:themeShade="BF"/>
              </w:rPr>
            </w:pPr>
          </w:p>
        </w:tc>
        <w:tc>
          <w:tcPr>
            <w:tcW w:w="907" w:type="dxa"/>
            <w:tcMar>
              <w:top w:w="60" w:type="dxa"/>
              <w:left w:w="80" w:type="dxa"/>
              <w:bottom w:w="60" w:type="dxa"/>
              <w:right w:w="80" w:type="dxa"/>
            </w:tcMar>
            <w:vAlign w:val="center"/>
          </w:tcPr>
          <w:p w14:paraId="34C59102">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7FE845A4">
            <w:pPr>
              <w:spacing w:before="0" w:after="0" w:line="240" w:lineRule="auto"/>
              <w:ind w:firstLine="0"/>
              <w:jc w:val="center"/>
              <w:rPr>
                <w:color w:val="000000" w:themeColor="text1" w:themeShade="BF"/>
              </w:rPr>
            </w:pPr>
            <w:r>
              <w:rPr>
                <w:rFonts w:ascii="仿宋" w:hAnsi="仿宋" w:eastAsia="仿宋"/>
                <w:b w:val="0"/>
                <w:color w:val="000000"/>
                <w:sz w:val="16"/>
              </w:rPr>
              <w:t>16:10–17:20</w:t>
            </w:r>
          </w:p>
        </w:tc>
        <w:tc>
          <w:tcPr>
            <w:tcW w:w="2097" w:type="dxa"/>
            <w:tcMar>
              <w:top w:w="60" w:type="dxa"/>
              <w:left w:w="80" w:type="dxa"/>
              <w:bottom w:w="60" w:type="dxa"/>
              <w:right w:w="80" w:type="dxa"/>
            </w:tcMar>
            <w:vAlign w:val="center"/>
          </w:tcPr>
          <w:p w14:paraId="4AEE65A0">
            <w:pPr>
              <w:spacing w:before="0" w:after="0" w:line="240" w:lineRule="auto"/>
              <w:ind w:firstLine="0"/>
              <w:jc w:val="left"/>
              <w:rPr>
                <w:color w:val="000000" w:themeColor="text1" w:themeShade="BF"/>
              </w:rPr>
            </w:pPr>
            <w:r>
              <w:rPr>
                <w:rFonts w:ascii="仿宋" w:hAnsi="仿宋" w:eastAsia="仿宋"/>
                <w:b/>
                <w:color w:val="000000"/>
                <w:sz w:val="16"/>
              </w:rPr>
              <w:t>AI4S 专题实训（二）：构建科研建模 Harness——从数据分析到可信科研基线</w:t>
            </w:r>
          </w:p>
        </w:tc>
        <w:tc>
          <w:tcPr>
            <w:tcW w:w="3118" w:type="dxa"/>
            <w:tcMar>
              <w:top w:w="60" w:type="dxa"/>
              <w:left w:w="80" w:type="dxa"/>
              <w:bottom w:w="60" w:type="dxa"/>
              <w:right w:w="80" w:type="dxa"/>
            </w:tcMar>
            <w:vAlign w:val="center"/>
          </w:tcPr>
          <w:p w14:paraId="2527432C">
            <w:pPr>
              <w:spacing w:before="0" w:after="0" w:line="240" w:lineRule="auto"/>
              <w:ind w:firstLine="0"/>
              <w:jc w:val="left"/>
              <w:rPr>
                <w:color w:val="000000" w:themeColor="text1" w:themeShade="BF"/>
              </w:rPr>
            </w:pPr>
            <w:r>
              <w:rPr>
                <w:rFonts w:ascii="仿宋" w:hAnsi="仿宋" w:eastAsia="仿宋"/>
                <w:b w:val="0"/>
                <w:color w:val="000000"/>
                <w:sz w:val="16"/>
              </w:rPr>
              <w:t>① 理解科研建模 Harness——围绕数据、模型、训练、评测与报告的工程与验证支架；完成数据读取、质量检查、探索性分析、清洗预处理、数据集划分与数据泄漏检查</w:t>
            </w:r>
          </w:p>
          <w:p w14:paraId="36067B2F">
            <w:pPr>
              <w:spacing w:before="0" w:after="0" w:line="240" w:lineRule="auto"/>
              <w:ind w:firstLine="0"/>
              <w:jc w:val="left"/>
              <w:rPr>
                <w:color w:val="000000" w:themeColor="text1" w:themeShade="BF"/>
              </w:rPr>
            </w:pPr>
            <w:r>
              <w:rPr>
                <w:rFonts w:ascii="仿宋" w:hAnsi="仿宋" w:eastAsia="仿宋"/>
                <w:b w:val="0"/>
                <w:color w:val="000000"/>
                <w:sz w:val="16"/>
              </w:rPr>
              <w:t>② 建立可配置基线模型，通过 Harness 组织训练、验证、早停、最佳模型保存与结果导出，并统一记录数据 / 代码 / 环境 / 配置 / 日志 / 指标 / 模型版本</w:t>
            </w:r>
          </w:p>
          <w:p w14:paraId="5DDE3753">
            <w:pPr>
              <w:spacing w:before="0" w:after="0" w:line="240" w:lineRule="auto"/>
              <w:ind w:firstLine="0"/>
              <w:jc w:val="left"/>
              <w:rPr>
                <w:color w:val="000000" w:themeColor="text1" w:themeShade="BF"/>
              </w:rPr>
            </w:pPr>
            <w:r>
              <w:rPr>
                <w:rFonts w:ascii="仿宋" w:hAnsi="仿宋" w:eastAsia="仿宋"/>
                <w:b w:val="0"/>
                <w:color w:val="000000"/>
                <w:sz w:val="16"/>
              </w:rPr>
              <w:t>③ 开展模型评价、误差分析与能力边界判断，比较 Demo 与规范基线，自动汇总为结构化科学报告</w:t>
            </w:r>
          </w:p>
          <w:p w14:paraId="7174D503">
            <w:pPr>
              <w:spacing w:before="0" w:after="0" w:line="240" w:lineRule="auto"/>
              <w:ind w:firstLine="0"/>
              <w:jc w:val="left"/>
              <w:rPr>
                <w:color w:val="000000" w:themeColor="text1" w:themeShade="BF"/>
              </w:rPr>
            </w:pPr>
            <w:r>
              <w:rPr>
                <w:rFonts w:ascii="仿宋" w:hAnsi="仿宋" w:eastAsia="仿宋"/>
                <w:b w:val="0"/>
                <w:color w:val="000000"/>
                <w:sz w:val="16"/>
              </w:rPr>
              <w:t>▸ 成果：一套可复用的最小科研建模 Harness，一个可信基线模型，一份含误差分析与改进方向的科学报告</w:t>
            </w:r>
          </w:p>
        </w:tc>
        <w:tc>
          <w:tcPr>
            <w:tcW w:w="1870" w:type="dxa"/>
            <w:tcMar>
              <w:top w:w="60" w:type="dxa"/>
              <w:left w:w="80" w:type="dxa"/>
              <w:bottom w:w="60" w:type="dxa"/>
              <w:right w:w="80" w:type="dxa"/>
            </w:tcMar>
            <w:vAlign w:val="center"/>
          </w:tcPr>
          <w:p w14:paraId="3E265F0A">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1C8E9CC8">
            <w:pPr>
              <w:spacing w:before="0" w:after="0" w:line="240" w:lineRule="auto"/>
              <w:ind w:firstLine="0"/>
              <w:jc w:val="center"/>
              <w:rPr>
                <w:color w:val="000000" w:themeColor="text1" w:themeShade="BF"/>
              </w:rPr>
            </w:pPr>
            <w:r>
              <w:rPr>
                <w:rFonts w:ascii="仿宋" w:hAnsi="仿宋" w:eastAsia="仿宋"/>
                <w:b w:val="0"/>
                <w:color w:val="000000"/>
                <w:sz w:val="16"/>
              </w:rPr>
              <w:t>张健</w:t>
            </w:r>
          </w:p>
          <w:p w14:paraId="239B0224">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29CE37A2">
        <w:trPr>
          <w:cantSplit/>
          <w:jc w:val="center"/>
        </w:trPr>
        <w:tc>
          <w:tcPr>
            <w:tcW w:w="1077" w:type="dxa"/>
            <w:vMerge w:val="continue"/>
            <w:tcMar>
              <w:top w:w="60" w:type="dxa"/>
              <w:left w:w="80" w:type="dxa"/>
              <w:bottom w:w="60" w:type="dxa"/>
              <w:right w:w="80" w:type="dxa"/>
            </w:tcMar>
            <w:vAlign w:val="center"/>
          </w:tcPr>
          <w:p w14:paraId="56914576">
            <w:pPr>
              <w:rPr>
                <w:color w:val="000000" w:themeColor="text1" w:themeShade="BF"/>
              </w:rPr>
            </w:pPr>
          </w:p>
        </w:tc>
        <w:tc>
          <w:tcPr>
            <w:tcW w:w="907" w:type="dxa"/>
            <w:tcMar>
              <w:top w:w="60" w:type="dxa"/>
              <w:left w:w="80" w:type="dxa"/>
              <w:bottom w:w="60" w:type="dxa"/>
              <w:right w:w="80" w:type="dxa"/>
            </w:tcMar>
            <w:vAlign w:val="center"/>
          </w:tcPr>
          <w:p w14:paraId="369C8C91">
            <w:pPr>
              <w:spacing w:before="0" w:after="0" w:line="240" w:lineRule="auto"/>
              <w:ind w:firstLine="0"/>
              <w:jc w:val="center"/>
              <w:rPr>
                <w:color w:val="000000" w:themeColor="text1" w:themeShade="BF"/>
              </w:rPr>
            </w:pPr>
            <w:r>
              <w:rPr>
                <w:rFonts w:ascii="仿宋" w:hAnsi="仿宋" w:eastAsia="仿宋"/>
                <w:b w:val="0"/>
                <w:color w:val="000000"/>
                <w:sz w:val="16"/>
              </w:rPr>
              <w:t>晚上</w:t>
            </w:r>
          </w:p>
          <w:p w14:paraId="54E59D11">
            <w:pPr>
              <w:spacing w:before="0" w:after="0" w:line="240" w:lineRule="auto"/>
              <w:ind w:firstLine="0"/>
              <w:jc w:val="center"/>
              <w:rPr>
                <w:color w:val="000000" w:themeColor="text1" w:themeShade="BF"/>
              </w:rPr>
            </w:pPr>
            <w:r>
              <w:rPr>
                <w:rFonts w:ascii="仿宋" w:hAnsi="仿宋" w:eastAsia="仿宋"/>
                <w:b w:val="0"/>
                <w:color w:val="000000"/>
                <w:sz w:val="16"/>
              </w:rPr>
              <w:t>19:30–21:00</w:t>
            </w:r>
          </w:p>
        </w:tc>
        <w:tc>
          <w:tcPr>
            <w:tcW w:w="2097" w:type="dxa"/>
            <w:tcMar>
              <w:top w:w="60" w:type="dxa"/>
              <w:left w:w="80" w:type="dxa"/>
              <w:bottom w:w="60" w:type="dxa"/>
              <w:right w:w="80" w:type="dxa"/>
            </w:tcMar>
            <w:vAlign w:val="center"/>
          </w:tcPr>
          <w:p w14:paraId="331ED190">
            <w:pPr>
              <w:spacing w:before="0" w:after="0" w:line="240" w:lineRule="auto"/>
              <w:ind w:firstLine="0"/>
              <w:jc w:val="left"/>
              <w:rPr>
                <w:color w:val="000000" w:themeColor="text1" w:themeShade="BF"/>
              </w:rPr>
            </w:pPr>
            <w:r>
              <w:rPr>
                <w:rFonts w:ascii="仿宋" w:hAnsi="仿宋" w:eastAsia="仿宋"/>
                <w:b/>
                <w:color w:val="000000"/>
                <w:sz w:val="16"/>
              </w:rPr>
              <w:t>习题课与研讨课</w:t>
            </w:r>
          </w:p>
        </w:tc>
        <w:tc>
          <w:tcPr>
            <w:tcW w:w="3118" w:type="dxa"/>
            <w:tcMar>
              <w:top w:w="60" w:type="dxa"/>
              <w:left w:w="80" w:type="dxa"/>
              <w:bottom w:w="60" w:type="dxa"/>
              <w:right w:w="80" w:type="dxa"/>
            </w:tcMar>
            <w:vAlign w:val="center"/>
          </w:tcPr>
          <w:p w14:paraId="25F4C133">
            <w:pPr>
              <w:spacing w:before="0" w:after="0" w:line="240" w:lineRule="auto"/>
              <w:ind w:firstLine="0"/>
              <w:jc w:val="left"/>
              <w:rPr>
                <w:color w:val="000000" w:themeColor="text1" w:themeShade="BF"/>
              </w:rPr>
            </w:pPr>
            <w:r>
              <w:rPr>
                <w:rFonts w:ascii="仿宋" w:hAnsi="仿宋" w:eastAsia="仿宋"/>
                <w:b w:val="0"/>
                <w:color w:val="000000"/>
                <w:sz w:val="16"/>
              </w:rPr>
              <w:t>① 习题课：由课程组与助教结合当日课程，选取边界清晰、有参考路径的典型问题作示范讲解与实操</w:t>
            </w:r>
          </w:p>
          <w:p w14:paraId="12F2BAED">
            <w:pPr>
              <w:spacing w:before="0" w:after="0" w:line="240" w:lineRule="auto"/>
              <w:ind w:firstLine="0"/>
              <w:jc w:val="left"/>
              <w:rPr>
                <w:color w:val="000000" w:themeColor="text1" w:themeShade="BF"/>
              </w:rPr>
            </w:pPr>
            <w:r>
              <w:rPr>
                <w:rFonts w:ascii="仿宋" w:hAnsi="仿宋" w:eastAsia="仿宋"/>
                <w:b w:val="0"/>
                <w:color w:val="000000"/>
                <w:sz w:val="16"/>
              </w:rPr>
              <w:t>② 研讨课（选修）：学员围绕所选 AI4S 问题作简要介绍，就任务定义、数据条件、技术路线与评价方式研讨</w:t>
            </w:r>
          </w:p>
          <w:p w14:paraId="331F9BD9">
            <w:pPr>
              <w:spacing w:before="0" w:after="0" w:line="240" w:lineRule="auto"/>
              <w:ind w:firstLine="0"/>
              <w:jc w:val="left"/>
              <w:rPr>
                <w:color w:val="000000" w:themeColor="text1" w:themeShade="BF"/>
              </w:rPr>
            </w:pPr>
            <w:r>
              <w:rPr>
                <w:rFonts w:ascii="仿宋" w:hAnsi="仿宋" w:eastAsia="仿宋"/>
                <w:b w:val="0"/>
                <w:color w:val="000000"/>
                <w:sz w:val="16"/>
              </w:rPr>
              <w:t>▸ 成果：巩固当日方法，并推进各自 AI4S 问题的理解与《问题分析方案》</w:t>
            </w:r>
          </w:p>
        </w:tc>
        <w:tc>
          <w:tcPr>
            <w:tcW w:w="1870" w:type="dxa"/>
            <w:tcMar>
              <w:top w:w="60" w:type="dxa"/>
              <w:left w:w="80" w:type="dxa"/>
              <w:bottom w:w="60" w:type="dxa"/>
              <w:right w:w="80" w:type="dxa"/>
            </w:tcMar>
            <w:vAlign w:val="center"/>
          </w:tcPr>
          <w:p w14:paraId="676F142E">
            <w:pPr>
              <w:spacing w:before="0" w:after="0" w:line="240" w:lineRule="auto"/>
              <w:ind w:firstLine="0"/>
              <w:jc w:val="center"/>
              <w:rPr>
                <w:color w:val="000000" w:themeColor="text1" w:themeShade="BF"/>
              </w:rPr>
            </w:pPr>
            <w:r>
              <w:rPr>
                <w:rFonts w:ascii="仿宋" w:hAnsi="仿宋" w:eastAsia="仿宋"/>
                <w:b w:val="0"/>
                <w:color w:val="000000"/>
                <w:sz w:val="16"/>
              </w:rPr>
              <w:t>课程组 + 助教</w:t>
            </w:r>
          </w:p>
        </w:tc>
      </w:tr>
      <w:tr w14:paraId="5F98766D">
        <w:trPr>
          <w:cantSplit/>
          <w:jc w:val="center"/>
        </w:trPr>
        <w:tc>
          <w:tcPr>
            <w:tcW w:w="1077" w:type="dxa"/>
            <w:vMerge w:val="restart"/>
            <w:shd w:val="clear" w:color="auto" w:fill="F2F2F2"/>
            <w:tcMar>
              <w:top w:w="60" w:type="dxa"/>
              <w:left w:w="80" w:type="dxa"/>
              <w:bottom w:w="60" w:type="dxa"/>
              <w:right w:w="80" w:type="dxa"/>
            </w:tcMar>
            <w:vAlign w:val="center"/>
          </w:tcPr>
          <w:p w14:paraId="0DB0672C">
            <w:pPr>
              <w:spacing w:before="0" w:after="0" w:line="240" w:lineRule="auto"/>
              <w:ind w:firstLine="0"/>
              <w:jc w:val="center"/>
              <w:rPr>
                <w:color w:val="000000" w:themeColor="text1" w:themeShade="BF"/>
              </w:rPr>
            </w:pPr>
            <w:r>
              <w:rPr>
                <w:rFonts w:ascii="仿宋" w:hAnsi="仿宋" w:eastAsia="仿宋"/>
                <w:b w:val="0"/>
                <w:color w:val="000000"/>
                <w:sz w:val="16"/>
              </w:rPr>
              <w:t>8.25（周二）</w:t>
            </w:r>
          </w:p>
          <w:p w14:paraId="5B747BF3">
            <w:pPr>
              <w:spacing w:before="0" w:after="0" w:line="240" w:lineRule="auto"/>
              <w:ind w:firstLine="0"/>
              <w:jc w:val="center"/>
              <w:rPr>
                <w:color w:val="000000" w:themeColor="text1" w:themeShade="BF"/>
              </w:rPr>
            </w:pPr>
            <w:r>
              <w:rPr>
                <w:rFonts w:ascii="仿宋" w:hAnsi="仿宋" w:eastAsia="仿宋"/>
                <w:b w:val="0"/>
                <w:color w:val="000000"/>
                <w:sz w:val="16"/>
              </w:rPr>
              <w:t>专题三</w:t>
            </w:r>
          </w:p>
          <w:p w14:paraId="21F8A8E3">
            <w:pPr>
              <w:spacing w:before="0" w:after="0" w:line="240" w:lineRule="auto"/>
              <w:ind w:firstLine="0"/>
              <w:jc w:val="center"/>
              <w:rPr>
                <w:color w:val="000000" w:themeColor="text1" w:themeShade="BF"/>
              </w:rPr>
            </w:pPr>
            <w:r>
              <w:rPr>
                <w:rFonts w:ascii="仿宋" w:hAnsi="仿宋" w:eastAsia="仿宋"/>
                <w:b w:val="0"/>
                <w:color w:val="000000"/>
                <w:sz w:val="16"/>
              </w:rPr>
              <w:t>科学模型</w:t>
            </w:r>
          </w:p>
        </w:tc>
        <w:tc>
          <w:tcPr>
            <w:tcW w:w="907" w:type="dxa"/>
            <w:tcMar>
              <w:top w:w="60" w:type="dxa"/>
              <w:left w:w="80" w:type="dxa"/>
              <w:bottom w:w="60" w:type="dxa"/>
              <w:right w:w="80" w:type="dxa"/>
            </w:tcMar>
            <w:vAlign w:val="center"/>
          </w:tcPr>
          <w:p w14:paraId="70C64288">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0B78E4E4">
            <w:pPr>
              <w:spacing w:before="0" w:after="0" w:line="240" w:lineRule="auto"/>
              <w:ind w:firstLine="0"/>
              <w:jc w:val="center"/>
              <w:rPr>
                <w:color w:val="000000" w:themeColor="text1" w:themeShade="BF"/>
              </w:rPr>
            </w:pPr>
            <w:r>
              <w:rPr>
                <w:rFonts w:ascii="仿宋" w:hAnsi="仿宋" w:eastAsia="仿宋"/>
                <w:b w:val="0"/>
                <w:color w:val="000000"/>
                <w:sz w:val="16"/>
              </w:rPr>
              <w:t>9:30–10:30</w:t>
            </w:r>
          </w:p>
        </w:tc>
        <w:tc>
          <w:tcPr>
            <w:tcW w:w="2097" w:type="dxa"/>
            <w:tcMar>
              <w:top w:w="60" w:type="dxa"/>
              <w:left w:w="80" w:type="dxa"/>
              <w:bottom w:w="60" w:type="dxa"/>
              <w:right w:w="80" w:type="dxa"/>
            </w:tcMar>
            <w:vAlign w:val="center"/>
          </w:tcPr>
          <w:p w14:paraId="7CA42E90">
            <w:pPr>
              <w:spacing w:before="0" w:after="0" w:line="240" w:lineRule="auto"/>
              <w:ind w:firstLine="0"/>
              <w:jc w:val="left"/>
              <w:rPr>
                <w:color w:val="000000" w:themeColor="text1" w:themeShade="BF"/>
              </w:rPr>
            </w:pPr>
            <w:r>
              <w:rPr>
                <w:rFonts w:ascii="仿宋" w:hAnsi="仿宋" w:eastAsia="仿宋"/>
                <w:b/>
                <w:color w:val="000000"/>
                <w:sz w:val="16"/>
              </w:rPr>
              <w:t>前沿讲座：AI-ready 物质科学数据、评测基准与材料模型</w:t>
            </w:r>
          </w:p>
        </w:tc>
        <w:tc>
          <w:tcPr>
            <w:tcW w:w="3118" w:type="dxa"/>
            <w:tcMar>
              <w:top w:w="60" w:type="dxa"/>
              <w:left w:w="80" w:type="dxa"/>
              <w:bottom w:w="60" w:type="dxa"/>
              <w:right w:w="80" w:type="dxa"/>
            </w:tcMar>
            <w:vAlign w:val="center"/>
          </w:tcPr>
          <w:p w14:paraId="29F8BB11">
            <w:pPr>
              <w:spacing w:before="0" w:after="0" w:line="240" w:lineRule="auto"/>
              <w:ind w:firstLine="0"/>
              <w:jc w:val="left"/>
              <w:rPr>
                <w:color w:val="000000" w:themeColor="text1" w:themeShade="BF"/>
              </w:rPr>
            </w:pPr>
            <w:r>
              <w:rPr>
                <w:rFonts w:ascii="仿宋" w:hAnsi="仿宋" w:eastAsia="仿宋"/>
                <w:b w:val="0"/>
                <w:color w:val="000000"/>
                <w:sz w:val="16"/>
              </w:rPr>
              <w:t>① 科学数据的标准化、上下文与可调用性</w:t>
            </w:r>
          </w:p>
          <w:p w14:paraId="4299092D">
            <w:pPr>
              <w:spacing w:before="0" w:after="0" w:line="240" w:lineRule="auto"/>
              <w:ind w:firstLine="0"/>
              <w:jc w:val="left"/>
              <w:rPr>
                <w:color w:val="000000" w:themeColor="text1" w:themeShade="BF"/>
              </w:rPr>
            </w:pPr>
            <w:r>
              <w:rPr>
                <w:rFonts w:ascii="仿宋" w:hAnsi="仿宋" w:eastAsia="仿宋"/>
                <w:b w:val="0"/>
                <w:color w:val="000000"/>
                <w:sz w:val="16"/>
              </w:rPr>
              <w:t>② 物质科学数据平台（SC-Atlas 等）</w:t>
            </w:r>
          </w:p>
          <w:p w14:paraId="13E19671">
            <w:pPr>
              <w:spacing w:before="0" w:after="0" w:line="240" w:lineRule="auto"/>
              <w:ind w:firstLine="0"/>
              <w:jc w:val="left"/>
              <w:rPr>
                <w:color w:val="000000" w:themeColor="text1" w:themeShade="BF"/>
              </w:rPr>
            </w:pPr>
            <w:r>
              <w:rPr>
                <w:rFonts w:ascii="仿宋" w:hAnsi="仿宋" w:eastAsia="仿宋"/>
                <w:b w:val="0"/>
                <w:color w:val="000000"/>
                <w:sz w:val="16"/>
              </w:rPr>
              <w:t>③ 训练集、测试集与统一评测（MatSciBench 等）</w:t>
            </w:r>
          </w:p>
          <w:p w14:paraId="7795E5D8">
            <w:pPr>
              <w:spacing w:before="0" w:after="0" w:line="240" w:lineRule="auto"/>
              <w:ind w:firstLine="0"/>
              <w:jc w:val="left"/>
              <w:rPr>
                <w:color w:val="000000" w:themeColor="text1" w:themeShade="BF"/>
              </w:rPr>
            </w:pPr>
            <w:r>
              <w:rPr>
                <w:rFonts w:ascii="仿宋" w:hAnsi="仿宋" w:eastAsia="仿宋"/>
                <w:b w:val="0"/>
                <w:color w:val="000000"/>
                <w:sz w:val="16"/>
              </w:rPr>
              <w:t>④ 材料分类、XRD 结构解析、微磁学模拟等模型</w:t>
            </w:r>
          </w:p>
          <w:p w14:paraId="4F58C90A">
            <w:pPr>
              <w:spacing w:before="0" w:after="0" w:line="240" w:lineRule="auto"/>
              <w:ind w:firstLine="0"/>
              <w:jc w:val="left"/>
              <w:rPr>
                <w:color w:val="000000" w:themeColor="text1" w:themeShade="BF"/>
              </w:rPr>
            </w:pPr>
            <w:r>
              <w:rPr>
                <w:rFonts w:ascii="仿宋" w:hAnsi="仿宋" w:eastAsia="仿宋"/>
                <w:b w:val="0"/>
                <w:color w:val="000000"/>
                <w:sz w:val="16"/>
              </w:rPr>
              <w:t>⑤ 延伸案例：超导材料智能设计闭环</w:t>
            </w:r>
          </w:p>
          <w:p w14:paraId="5B85D64E">
            <w:pPr>
              <w:spacing w:before="0" w:after="0" w:line="240" w:lineRule="auto"/>
              <w:ind w:firstLine="0"/>
              <w:jc w:val="left"/>
              <w:rPr>
                <w:color w:val="000000" w:themeColor="text1" w:themeShade="BF"/>
              </w:rPr>
            </w:pPr>
            <w:r>
              <w:rPr>
                <w:rFonts w:ascii="仿宋" w:hAnsi="仿宋" w:eastAsia="仿宋"/>
                <w:b w:val="0"/>
                <w:color w:val="000000"/>
                <w:sz w:val="16"/>
              </w:rPr>
              <w:t>▸ 成果：理解“科学数据—评测—模型”如何支撑材料研究</w:t>
            </w:r>
          </w:p>
        </w:tc>
        <w:tc>
          <w:tcPr>
            <w:tcW w:w="1870" w:type="dxa"/>
            <w:tcMar>
              <w:top w:w="60" w:type="dxa"/>
              <w:left w:w="80" w:type="dxa"/>
              <w:bottom w:w="60" w:type="dxa"/>
              <w:right w:w="80" w:type="dxa"/>
            </w:tcMar>
            <w:vAlign w:val="center"/>
          </w:tcPr>
          <w:p w14:paraId="226F6D65">
            <w:pPr>
              <w:spacing w:before="0" w:after="0" w:line="240" w:lineRule="auto"/>
              <w:ind w:firstLine="0"/>
              <w:jc w:val="center"/>
              <w:rPr>
                <w:color w:val="000000" w:themeColor="text1" w:themeShade="BF"/>
              </w:rPr>
            </w:pPr>
            <w:r>
              <w:rPr>
                <w:rFonts w:ascii="仿宋" w:hAnsi="仿宋" w:eastAsia="仿宋"/>
                <w:b w:val="0"/>
                <w:color w:val="000000"/>
                <w:sz w:val="16"/>
              </w:rPr>
              <w:t>中国科学院物理研究所</w:t>
            </w:r>
          </w:p>
          <w:p w14:paraId="0847B592">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67DFEE69">
        <w:trPr>
          <w:cantSplit/>
          <w:jc w:val="center"/>
        </w:trPr>
        <w:tc>
          <w:tcPr>
            <w:tcW w:w="1077" w:type="dxa"/>
            <w:vMerge w:val="continue"/>
            <w:tcMar>
              <w:top w:w="60" w:type="dxa"/>
              <w:left w:w="80" w:type="dxa"/>
              <w:bottom w:w="60" w:type="dxa"/>
              <w:right w:w="80" w:type="dxa"/>
            </w:tcMar>
            <w:vAlign w:val="center"/>
          </w:tcPr>
          <w:p w14:paraId="39C53B82">
            <w:pPr>
              <w:rPr>
                <w:color w:val="000000" w:themeColor="text1" w:themeShade="BF"/>
              </w:rPr>
            </w:pPr>
          </w:p>
        </w:tc>
        <w:tc>
          <w:tcPr>
            <w:tcW w:w="907" w:type="dxa"/>
            <w:tcMar>
              <w:top w:w="60" w:type="dxa"/>
              <w:left w:w="80" w:type="dxa"/>
              <w:bottom w:w="60" w:type="dxa"/>
              <w:right w:w="80" w:type="dxa"/>
            </w:tcMar>
            <w:vAlign w:val="center"/>
          </w:tcPr>
          <w:p w14:paraId="2352FBF2">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165E5112">
            <w:pPr>
              <w:spacing w:before="0" w:after="0" w:line="240" w:lineRule="auto"/>
              <w:ind w:firstLine="0"/>
              <w:jc w:val="center"/>
              <w:rPr>
                <w:color w:val="000000" w:themeColor="text1" w:themeShade="BF"/>
              </w:rPr>
            </w:pPr>
            <w:r>
              <w:rPr>
                <w:rFonts w:ascii="仿宋" w:hAnsi="仿宋" w:eastAsia="仿宋"/>
                <w:b w:val="0"/>
                <w:color w:val="000000"/>
                <w:sz w:val="16"/>
              </w:rPr>
              <w:t>10:50–11:50</w:t>
            </w:r>
          </w:p>
        </w:tc>
        <w:tc>
          <w:tcPr>
            <w:tcW w:w="2097" w:type="dxa"/>
            <w:tcMar>
              <w:top w:w="60" w:type="dxa"/>
              <w:left w:w="80" w:type="dxa"/>
              <w:bottom w:w="60" w:type="dxa"/>
              <w:right w:w="80" w:type="dxa"/>
            </w:tcMar>
            <w:vAlign w:val="center"/>
          </w:tcPr>
          <w:p w14:paraId="3DE12E28">
            <w:pPr>
              <w:spacing w:before="0" w:after="0" w:line="240" w:lineRule="auto"/>
              <w:ind w:firstLine="0"/>
              <w:jc w:val="left"/>
              <w:rPr>
                <w:color w:val="000000" w:themeColor="text1" w:themeShade="BF"/>
              </w:rPr>
            </w:pPr>
            <w:r>
              <w:rPr>
                <w:rFonts w:ascii="仿宋" w:hAnsi="仿宋" w:eastAsia="仿宋"/>
                <w:b/>
                <w:color w:val="000000"/>
                <w:sz w:val="16"/>
              </w:rPr>
              <w:t>案例分享：机器学习力场与粗粒化建模——面向高分子体系的跨尺度模拟</w:t>
            </w:r>
          </w:p>
        </w:tc>
        <w:tc>
          <w:tcPr>
            <w:tcW w:w="3118" w:type="dxa"/>
            <w:tcMar>
              <w:top w:w="60" w:type="dxa"/>
              <w:left w:w="80" w:type="dxa"/>
              <w:bottom w:w="60" w:type="dxa"/>
              <w:right w:w="80" w:type="dxa"/>
            </w:tcMar>
            <w:vAlign w:val="center"/>
          </w:tcPr>
          <w:p w14:paraId="208B1220">
            <w:pPr>
              <w:spacing w:before="0" w:after="0" w:line="240" w:lineRule="auto"/>
              <w:ind w:firstLine="0"/>
              <w:jc w:val="left"/>
              <w:rPr>
                <w:color w:val="000000" w:themeColor="text1" w:themeShade="BF"/>
              </w:rPr>
            </w:pPr>
            <w:r>
              <w:rPr>
                <w:rFonts w:ascii="仿宋" w:hAnsi="仿宋" w:eastAsia="仿宋"/>
                <w:b w:val="0"/>
                <w:color w:val="000000"/>
                <w:sz w:val="16"/>
              </w:rPr>
              <w:t>① 第一性原理计算的精度与尺度限制</w:t>
            </w:r>
          </w:p>
          <w:p w14:paraId="01EEA422">
            <w:pPr>
              <w:spacing w:before="0" w:after="0" w:line="240" w:lineRule="auto"/>
              <w:ind w:firstLine="0"/>
              <w:jc w:val="left"/>
              <w:rPr>
                <w:color w:val="000000" w:themeColor="text1" w:themeShade="BF"/>
              </w:rPr>
            </w:pPr>
            <w:r>
              <w:rPr>
                <w:rFonts w:ascii="仿宋" w:hAnsi="仿宋" w:eastAsia="仿宋"/>
                <w:b w:val="0"/>
                <w:color w:val="000000"/>
                <w:sz w:val="16"/>
              </w:rPr>
              <w:t>② 机器学习力场如何逼近势能面</w:t>
            </w:r>
          </w:p>
          <w:p w14:paraId="04B298EA">
            <w:pPr>
              <w:spacing w:before="0" w:after="0" w:line="240" w:lineRule="auto"/>
              <w:ind w:firstLine="0"/>
              <w:jc w:val="left"/>
              <w:rPr>
                <w:color w:val="000000" w:themeColor="text1" w:themeShade="BF"/>
              </w:rPr>
            </w:pPr>
            <w:r>
              <w:rPr>
                <w:rFonts w:ascii="仿宋" w:hAnsi="仿宋" w:eastAsia="仿宋"/>
                <w:b w:val="0"/>
                <w:color w:val="000000"/>
                <w:sz w:val="16"/>
              </w:rPr>
              <w:t>③ 粗粒化如何扩大时间与空间尺度</w:t>
            </w:r>
          </w:p>
          <w:p w14:paraId="1CD766E6">
            <w:pPr>
              <w:spacing w:before="0" w:after="0" w:line="240" w:lineRule="auto"/>
              <w:ind w:firstLine="0"/>
              <w:jc w:val="left"/>
              <w:rPr>
                <w:color w:val="000000" w:themeColor="text1" w:themeShade="BF"/>
              </w:rPr>
            </w:pPr>
            <w:r>
              <w:rPr>
                <w:rFonts w:ascii="仿宋" w:hAnsi="仿宋" w:eastAsia="仿宋"/>
                <w:b w:val="0"/>
                <w:color w:val="000000"/>
                <w:sz w:val="16"/>
              </w:rPr>
              <w:t>④ 精度、效率、可迁移性与物理约束之间的权衡</w:t>
            </w:r>
          </w:p>
          <w:p w14:paraId="59027B70">
            <w:pPr>
              <w:spacing w:before="0" w:after="0" w:line="240" w:lineRule="auto"/>
              <w:ind w:firstLine="0"/>
              <w:jc w:val="left"/>
              <w:rPr>
                <w:color w:val="000000" w:themeColor="text1" w:themeShade="BF"/>
              </w:rPr>
            </w:pPr>
            <w:r>
              <w:rPr>
                <w:rFonts w:ascii="仿宋" w:hAnsi="仿宋" w:eastAsia="仿宋"/>
                <w:b w:val="0"/>
                <w:color w:val="000000"/>
                <w:sz w:val="16"/>
              </w:rPr>
              <w:t>⑤ 代表案例：高分子膜等有机体系</w:t>
            </w:r>
          </w:p>
          <w:p w14:paraId="2694D450">
            <w:pPr>
              <w:spacing w:before="0" w:after="0" w:line="240" w:lineRule="auto"/>
              <w:ind w:firstLine="0"/>
              <w:jc w:val="left"/>
              <w:rPr>
                <w:color w:val="000000" w:themeColor="text1" w:themeShade="BF"/>
              </w:rPr>
            </w:pPr>
            <w:r>
              <w:rPr>
                <w:rFonts w:ascii="仿宋" w:hAnsi="仿宋" w:eastAsia="仿宋"/>
                <w:b w:val="0"/>
                <w:color w:val="000000"/>
                <w:sz w:val="16"/>
              </w:rPr>
              <w:t>▸ 成果：理解“如何把 AI 模型嵌入科学计算”</w:t>
            </w:r>
          </w:p>
        </w:tc>
        <w:tc>
          <w:tcPr>
            <w:tcW w:w="1870" w:type="dxa"/>
            <w:tcMar>
              <w:top w:w="60" w:type="dxa"/>
              <w:left w:w="80" w:type="dxa"/>
              <w:bottom w:w="60" w:type="dxa"/>
              <w:right w:w="80" w:type="dxa"/>
            </w:tcMar>
            <w:vAlign w:val="center"/>
          </w:tcPr>
          <w:p w14:paraId="7CA3990B">
            <w:pPr>
              <w:spacing w:before="0" w:after="0" w:line="240" w:lineRule="auto"/>
              <w:ind w:firstLine="0"/>
              <w:jc w:val="center"/>
              <w:rPr>
                <w:color w:val="000000" w:themeColor="text1" w:themeShade="BF"/>
              </w:rPr>
            </w:pPr>
            <w:r>
              <w:rPr>
                <w:rFonts w:ascii="仿宋" w:hAnsi="仿宋" w:eastAsia="仿宋"/>
                <w:b w:val="0"/>
                <w:color w:val="000000"/>
                <w:sz w:val="16"/>
              </w:rPr>
              <w:t>中国科学院化学研究所</w:t>
            </w:r>
          </w:p>
          <w:p w14:paraId="09595EA9">
            <w:pPr>
              <w:spacing w:before="0" w:after="0" w:line="240" w:lineRule="auto"/>
              <w:ind w:firstLine="0"/>
              <w:jc w:val="center"/>
              <w:rPr>
                <w:color w:val="000000" w:themeColor="text1" w:themeShade="BF"/>
              </w:rPr>
            </w:pPr>
            <w:r>
              <w:rPr>
                <w:rFonts w:ascii="仿宋" w:hAnsi="仿宋" w:eastAsia="仿宋"/>
                <w:b w:val="0"/>
                <w:color w:val="000000"/>
                <w:sz w:val="16"/>
              </w:rPr>
              <w:t>江剑</w:t>
            </w:r>
          </w:p>
          <w:p w14:paraId="6902AE9B">
            <w:pPr>
              <w:spacing w:before="0" w:after="0" w:line="240" w:lineRule="auto"/>
              <w:ind w:firstLine="0"/>
              <w:jc w:val="center"/>
              <w:rPr>
                <w:color w:val="000000" w:themeColor="text1" w:themeShade="BF"/>
              </w:rPr>
            </w:pPr>
            <w:r>
              <w:rPr>
                <w:rFonts w:ascii="仿宋" w:hAnsi="仿宋" w:eastAsia="仿宋"/>
                <w:b w:val="0"/>
                <w:color w:val="000000"/>
                <w:sz w:val="16"/>
              </w:rPr>
              <w:t>研究员</w:t>
            </w:r>
          </w:p>
        </w:tc>
      </w:tr>
      <w:tr w14:paraId="52D88B99">
        <w:trPr>
          <w:cantSplit/>
          <w:jc w:val="center"/>
        </w:trPr>
        <w:tc>
          <w:tcPr>
            <w:tcW w:w="1077" w:type="dxa"/>
            <w:vMerge w:val="continue"/>
            <w:tcMar>
              <w:top w:w="60" w:type="dxa"/>
              <w:left w:w="80" w:type="dxa"/>
              <w:bottom w:w="60" w:type="dxa"/>
              <w:right w:w="80" w:type="dxa"/>
            </w:tcMar>
            <w:vAlign w:val="center"/>
          </w:tcPr>
          <w:p w14:paraId="20CE7149">
            <w:pPr>
              <w:rPr>
                <w:color w:val="000000" w:themeColor="text1" w:themeShade="BF"/>
              </w:rPr>
            </w:pPr>
          </w:p>
        </w:tc>
        <w:tc>
          <w:tcPr>
            <w:tcW w:w="907" w:type="dxa"/>
            <w:tcMar>
              <w:top w:w="60" w:type="dxa"/>
              <w:left w:w="80" w:type="dxa"/>
              <w:bottom w:w="60" w:type="dxa"/>
              <w:right w:w="80" w:type="dxa"/>
            </w:tcMar>
            <w:vAlign w:val="center"/>
          </w:tcPr>
          <w:p w14:paraId="615AE0EF">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56AD5EC8">
            <w:pPr>
              <w:spacing w:before="0" w:after="0" w:line="240" w:lineRule="auto"/>
              <w:ind w:firstLine="0"/>
              <w:jc w:val="center"/>
              <w:rPr>
                <w:color w:val="000000" w:themeColor="text1" w:themeShade="BF"/>
              </w:rPr>
            </w:pPr>
            <w:r>
              <w:rPr>
                <w:rFonts w:ascii="仿宋" w:hAnsi="仿宋" w:eastAsia="仿宋"/>
                <w:b w:val="0"/>
                <w:color w:val="000000"/>
                <w:sz w:val="16"/>
              </w:rPr>
              <w:t>14:00–15:00</w:t>
            </w:r>
          </w:p>
        </w:tc>
        <w:tc>
          <w:tcPr>
            <w:tcW w:w="2097" w:type="dxa"/>
            <w:tcMar>
              <w:top w:w="60" w:type="dxa"/>
              <w:left w:w="80" w:type="dxa"/>
              <w:bottom w:w="60" w:type="dxa"/>
              <w:right w:w="80" w:type="dxa"/>
            </w:tcMar>
            <w:vAlign w:val="center"/>
          </w:tcPr>
          <w:p w14:paraId="3105FA67">
            <w:pPr>
              <w:spacing w:before="0" w:after="0" w:line="240" w:lineRule="auto"/>
              <w:ind w:firstLine="0"/>
              <w:jc w:val="left"/>
              <w:rPr>
                <w:color w:val="000000" w:themeColor="text1" w:themeShade="BF"/>
              </w:rPr>
            </w:pPr>
            <w:r>
              <w:rPr>
                <w:rFonts w:ascii="仿宋" w:hAnsi="仿宋" w:eastAsia="仿宋"/>
                <w:b/>
                <w:color w:val="000000"/>
                <w:sz w:val="16"/>
              </w:rPr>
              <w:t>理论课程：科学模型选型——从线性回归到 Transformer</w:t>
            </w:r>
          </w:p>
        </w:tc>
        <w:tc>
          <w:tcPr>
            <w:tcW w:w="3118" w:type="dxa"/>
            <w:tcMar>
              <w:top w:w="60" w:type="dxa"/>
              <w:left w:w="80" w:type="dxa"/>
              <w:bottom w:w="60" w:type="dxa"/>
              <w:right w:w="80" w:type="dxa"/>
            </w:tcMar>
            <w:vAlign w:val="center"/>
          </w:tcPr>
          <w:p w14:paraId="6858C501">
            <w:pPr>
              <w:spacing w:before="0" w:after="0" w:line="240" w:lineRule="auto"/>
              <w:ind w:firstLine="0"/>
              <w:jc w:val="left"/>
              <w:rPr>
                <w:color w:val="000000" w:themeColor="text1" w:themeShade="BF"/>
              </w:rPr>
            </w:pPr>
            <w:r>
              <w:rPr>
                <w:rFonts w:ascii="仿宋" w:hAnsi="仿宋" w:eastAsia="仿宋"/>
                <w:b w:val="0"/>
                <w:color w:val="000000"/>
                <w:sz w:val="16"/>
              </w:rPr>
              <w:t>① 从线性回归理解“学习”的本质</w:t>
            </w:r>
          </w:p>
          <w:p w14:paraId="1CB5D006">
            <w:pPr>
              <w:spacing w:before="0" w:after="0" w:line="240" w:lineRule="auto"/>
              <w:ind w:firstLine="0"/>
              <w:jc w:val="left"/>
              <w:rPr>
                <w:color w:val="000000" w:themeColor="text1" w:themeShade="BF"/>
              </w:rPr>
            </w:pPr>
            <w:r>
              <w:rPr>
                <w:rFonts w:ascii="仿宋" w:hAnsi="仿宋" w:eastAsia="仿宋"/>
                <w:b w:val="0"/>
                <w:color w:val="000000"/>
                <w:sz w:val="16"/>
              </w:rPr>
              <w:t>② 从线性模型、经典机器学习到深度网络、注意力与 Transformer</w:t>
            </w:r>
          </w:p>
          <w:p w14:paraId="5895624D">
            <w:pPr>
              <w:spacing w:before="0" w:after="0" w:line="240" w:lineRule="auto"/>
              <w:ind w:firstLine="0"/>
              <w:jc w:val="left"/>
              <w:rPr>
                <w:color w:val="000000" w:themeColor="text1" w:themeShade="BF"/>
              </w:rPr>
            </w:pPr>
            <w:r>
              <w:rPr>
                <w:rFonts w:ascii="仿宋" w:hAnsi="仿宋" w:eastAsia="仿宋"/>
                <w:b w:val="0"/>
                <w:color w:val="000000"/>
                <w:sz w:val="16"/>
              </w:rPr>
              <w:t>③ 损失函数、训练与验证集、评价指标</w:t>
            </w:r>
          </w:p>
          <w:p w14:paraId="0B1DEDF8">
            <w:pPr>
              <w:spacing w:before="0" w:after="0" w:line="240" w:lineRule="auto"/>
              <w:ind w:firstLine="0"/>
              <w:jc w:val="left"/>
              <w:rPr>
                <w:color w:val="000000" w:themeColor="text1" w:themeShade="BF"/>
              </w:rPr>
            </w:pPr>
            <w:r>
              <w:rPr>
                <w:rFonts w:ascii="仿宋" w:hAnsi="仿宋" w:eastAsia="仿宋"/>
                <w:b w:val="0"/>
                <w:color w:val="000000"/>
                <w:sz w:val="16"/>
              </w:rPr>
              <w:t>④ 数据模态与模型选型的关系：为何简单模型常更优</w:t>
            </w:r>
          </w:p>
          <w:p w14:paraId="53041651">
            <w:pPr>
              <w:spacing w:before="0" w:after="0" w:line="240" w:lineRule="auto"/>
              <w:ind w:firstLine="0"/>
              <w:jc w:val="left"/>
              <w:rPr>
                <w:color w:val="000000" w:themeColor="text1" w:themeShade="BF"/>
              </w:rPr>
            </w:pPr>
            <w:r>
              <w:rPr>
                <w:rFonts w:ascii="仿宋" w:hAnsi="仿宋" w:eastAsia="仿宋"/>
                <w:b w:val="0"/>
                <w:color w:val="000000"/>
                <w:sz w:val="16"/>
              </w:rPr>
              <w:t>▸ 成果：建立模型能力边界的判断力</w:t>
            </w:r>
          </w:p>
        </w:tc>
        <w:tc>
          <w:tcPr>
            <w:tcW w:w="1870" w:type="dxa"/>
            <w:tcMar>
              <w:top w:w="60" w:type="dxa"/>
              <w:left w:w="80" w:type="dxa"/>
              <w:bottom w:w="60" w:type="dxa"/>
              <w:right w:w="80" w:type="dxa"/>
            </w:tcMar>
            <w:vAlign w:val="center"/>
          </w:tcPr>
          <w:p w14:paraId="3873ED28">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3C5929A7">
            <w:pPr>
              <w:spacing w:before="0" w:after="0" w:line="240" w:lineRule="auto"/>
              <w:ind w:firstLine="0"/>
              <w:jc w:val="center"/>
              <w:rPr>
                <w:color w:val="000000" w:themeColor="text1" w:themeShade="BF"/>
              </w:rPr>
            </w:pPr>
            <w:r>
              <w:rPr>
                <w:rFonts w:ascii="仿宋" w:hAnsi="仿宋" w:eastAsia="仿宋"/>
                <w:b w:val="0"/>
                <w:color w:val="000000"/>
                <w:sz w:val="16"/>
              </w:rPr>
              <w:t>李瑀旸</w:t>
            </w:r>
          </w:p>
          <w:p w14:paraId="713E5E19">
            <w:pPr>
              <w:spacing w:before="0" w:after="0" w:line="240" w:lineRule="auto"/>
              <w:ind w:firstLine="0"/>
              <w:jc w:val="center"/>
              <w:rPr>
                <w:color w:val="000000" w:themeColor="text1" w:themeShade="BF"/>
              </w:rPr>
            </w:pPr>
            <w:r>
              <w:rPr>
                <w:rFonts w:ascii="仿宋" w:hAnsi="仿宋" w:eastAsia="仿宋"/>
                <w:b w:val="0"/>
                <w:color w:val="000000"/>
                <w:sz w:val="16"/>
              </w:rPr>
              <w:t>研究生</w:t>
            </w:r>
          </w:p>
        </w:tc>
      </w:tr>
      <w:tr w14:paraId="7B02F6FB">
        <w:trPr>
          <w:cantSplit/>
          <w:jc w:val="center"/>
        </w:trPr>
        <w:tc>
          <w:tcPr>
            <w:tcW w:w="1077" w:type="dxa"/>
            <w:vMerge w:val="continue"/>
            <w:tcMar>
              <w:top w:w="60" w:type="dxa"/>
              <w:left w:w="80" w:type="dxa"/>
              <w:bottom w:w="60" w:type="dxa"/>
              <w:right w:w="80" w:type="dxa"/>
            </w:tcMar>
            <w:vAlign w:val="center"/>
          </w:tcPr>
          <w:p w14:paraId="48CE41FC">
            <w:pPr>
              <w:rPr>
                <w:color w:val="000000" w:themeColor="text1" w:themeShade="BF"/>
              </w:rPr>
            </w:pPr>
          </w:p>
        </w:tc>
        <w:tc>
          <w:tcPr>
            <w:tcW w:w="907" w:type="dxa"/>
            <w:tcMar>
              <w:top w:w="60" w:type="dxa"/>
              <w:left w:w="80" w:type="dxa"/>
              <w:bottom w:w="60" w:type="dxa"/>
              <w:right w:w="80" w:type="dxa"/>
            </w:tcMar>
            <w:vAlign w:val="center"/>
          </w:tcPr>
          <w:p w14:paraId="0ABD5596">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6EF2E233">
            <w:pPr>
              <w:spacing w:before="0" w:after="0" w:line="240" w:lineRule="auto"/>
              <w:ind w:firstLine="0"/>
              <w:jc w:val="center"/>
              <w:rPr>
                <w:color w:val="000000" w:themeColor="text1" w:themeShade="BF"/>
              </w:rPr>
            </w:pPr>
            <w:r>
              <w:rPr>
                <w:rFonts w:ascii="仿宋" w:hAnsi="仿宋" w:eastAsia="仿宋"/>
                <w:b w:val="0"/>
                <w:color w:val="000000"/>
                <w:sz w:val="16"/>
              </w:rPr>
              <w:t>15:10–16:10</w:t>
            </w:r>
          </w:p>
        </w:tc>
        <w:tc>
          <w:tcPr>
            <w:tcW w:w="2097" w:type="dxa"/>
            <w:tcMar>
              <w:top w:w="60" w:type="dxa"/>
              <w:left w:w="80" w:type="dxa"/>
              <w:bottom w:w="60" w:type="dxa"/>
              <w:right w:w="80" w:type="dxa"/>
            </w:tcMar>
            <w:vAlign w:val="center"/>
          </w:tcPr>
          <w:p w14:paraId="44A7BAC0">
            <w:pPr>
              <w:spacing w:before="0" w:after="0" w:line="240" w:lineRule="auto"/>
              <w:ind w:firstLine="0"/>
              <w:jc w:val="left"/>
              <w:rPr>
                <w:color w:val="000000" w:themeColor="text1" w:themeShade="BF"/>
              </w:rPr>
            </w:pPr>
            <w:r>
              <w:rPr>
                <w:rFonts w:ascii="仿宋" w:hAnsi="仿宋" w:eastAsia="仿宋"/>
                <w:b/>
                <w:color w:val="000000"/>
                <w:sz w:val="16"/>
              </w:rPr>
              <w:t>科学模型专题实训（一）：典型科学数据的模型构建与评测</w:t>
            </w:r>
          </w:p>
        </w:tc>
        <w:tc>
          <w:tcPr>
            <w:tcW w:w="3118" w:type="dxa"/>
            <w:tcMar>
              <w:top w:w="60" w:type="dxa"/>
              <w:left w:w="80" w:type="dxa"/>
              <w:bottom w:w="60" w:type="dxa"/>
              <w:right w:w="80" w:type="dxa"/>
            </w:tcMar>
            <w:vAlign w:val="center"/>
          </w:tcPr>
          <w:p w14:paraId="5953CD7C">
            <w:pPr>
              <w:spacing w:before="0" w:after="0" w:line="240" w:lineRule="auto"/>
              <w:ind w:firstLine="0"/>
              <w:jc w:val="left"/>
              <w:rPr>
                <w:color w:val="000000" w:themeColor="text1" w:themeShade="BF"/>
              </w:rPr>
            </w:pPr>
            <w:r>
              <w:rPr>
                <w:rFonts w:ascii="仿宋" w:hAnsi="仿宋" w:eastAsia="仿宋"/>
                <w:b w:val="0"/>
                <w:color w:val="000000"/>
                <w:sz w:val="16"/>
              </w:rPr>
              <w:t>① 建立“数据结构—数据表征—骨干模型—训练目标与科学约束—评价与验证”统一框架</w:t>
            </w:r>
          </w:p>
          <w:p w14:paraId="75DD9C17">
            <w:pPr>
              <w:spacing w:before="0" w:after="0" w:line="240" w:lineRule="auto"/>
              <w:ind w:firstLine="0"/>
              <w:jc w:val="left"/>
              <w:rPr>
                <w:color w:val="000000" w:themeColor="text1" w:themeShade="BF"/>
              </w:rPr>
            </w:pPr>
            <w:r>
              <w:rPr>
                <w:rFonts w:ascii="仿宋" w:hAnsi="仿宋" w:eastAsia="仿宋"/>
                <w:b w:val="0"/>
                <w:color w:val="000000"/>
                <w:sz w:val="16"/>
              </w:rPr>
              <w:t>② 五类典型科学数据与模型选型：图像（卷积 / 视觉 Transformer）、时序（GRU / TCN / Transformer）、表格（树模型 / 梯度提升）、图与分子结构（图神经网络 / 等变网络）、无标注数据（无监督 / 自监督）；分析数据规模、先验、对称性、时空相关性与可解释性对选型的影响</w:t>
            </w:r>
          </w:p>
          <w:p w14:paraId="368255BA">
            <w:pPr>
              <w:spacing w:before="0" w:after="0" w:line="240" w:lineRule="auto"/>
              <w:ind w:firstLine="0"/>
              <w:jc w:val="left"/>
              <w:rPr>
                <w:color w:val="000000" w:themeColor="text1" w:themeShade="BF"/>
              </w:rPr>
            </w:pPr>
            <w:r>
              <w:rPr>
                <w:rFonts w:ascii="仿宋" w:hAnsi="仿宋" w:eastAsia="仿宋"/>
                <w:b w:val="0"/>
                <w:color w:val="000000"/>
                <w:sz w:val="16"/>
              </w:rPr>
              <w:t>③ 学员按学科背景分组，重点完成一种真实科学数据的建模与评价，比较简单与复杂模型</w:t>
            </w:r>
          </w:p>
          <w:p w14:paraId="720E352A">
            <w:pPr>
              <w:spacing w:before="0" w:after="0" w:line="240" w:lineRule="auto"/>
              <w:ind w:firstLine="0"/>
              <w:jc w:val="left"/>
              <w:rPr>
                <w:color w:val="000000" w:themeColor="text1" w:themeShade="BF"/>
              </w:rPr>
            </w:pPr>
            <w:r>
              <w:rPr>
                <w:rFonts w:ascii="仿宋" w:hAnsi="仿宋" w:eastAsia="仿宋"/>
                <w:b w:val="0"/>
                <w:color w:val="000000"/>
                <w:sz w:val="16"/>
              </w:rPr>
              <w:t>▸ 成果：至少一种科学数据的基线模型，一份数据与模型选型比较表及简单 / 复杂模型比较结论</w:t>
            </w:r>
          </w:p>
        </w:tc>
        <w:tc>
          <w:tcPr>
            <w:tcW w:w="1870" w:type="dxa"/>
            <w:tcMar>
              <w:top w:w="60" w:type="dxa"/>
              <w:left w:w="80" w:type="dxa"/>
              <w:bottom w:w="60" w:type="dxa"/>
              <w:right w:w="80" w:type="dxa"/>
            </w:tcMar>
            <w:vAlign w:val="center"/>
          </w:tcPr>
          <w:p w14:paraId="099593A6">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18927BB3">
            <w:pPr>
              <w:spacing w:before="0" w:after="0" w:line="240" w:lineRule="auto"/>
              <w:ind w:firstLine="0"/>
              <w:jc w:val="center"/>
              <w:rPr>
                <w:color w:val="000000" w:themeColor="text1" w:themeShade="BF"/>
              </w:rPr>
            </w:pPr>
            <w:r>
              <w:rPr>
                <w:rFonts w:ascii="仿宋" w:hAnsi="仿宋" w:eastAsia="仿宋"/>
                <w:b w:val="0"/>
                <w:color w:val="000000"/>
                <w:sz w:val="16"/>
              </w:rPr>
              <w:t>李瑀旸</w:t>
            </w:r>
          </w:p>
          <w:p w14:paraId="2317906F">
            <w:pPr>
              <w:spacing w:before="0" w:after="0" w:line="240" w:lineRule="auto"/>
              <w:ind w:firstLine="0"/>
              <w:jc w:val="center"/>
              <w:rPr>
                <w:color w:val="000000" w:themeColor="text1" w:themeShade="BF"/>
              </w:rPr>
            </w:pPr>
            <w:r>
              <w:rPr>
                <w:rFonts w:ascii="仿宋" w:hAnsi="仿宋" w:eastAsia="仿宋"/>
                <w:b w:val="0"/>
                <w:color w:val="000000"/>
                <w:sz w:val="16"/>
              </w:rPr>
              <w:t>研究生</w:t>
            </w:r>
          </w:p>
          <w:p w14:paraId="70AF5BA0">
            <w:pPr>
              <w:spacing w:before="0" w:after="0" w:line="240" w:lineRule="auto"/>
              <w:ind w:firstLine="0"/>
              <w:jc w:val="center"/>
              <w:rPr>
                <w:color w:val="000000" w:themeColor="text1" w:themeShade="BF"/>
              </w:rPr>
            </w:pPr>
            <w:r>
              <w:rPr>
                <w:rFonts w:ascii="仿宋" w:hAnsi="仿宋" w:eastAsia="仿宋"/>
                <w:b w:val="0"/>
                <w:color w:val="000000"/>
                <w:sz w:val="16"/>
              </w:rPr>
              <w:t>（含助教）</w:t>
            </w:r>
          </w:p>
        </w:tc>
      </w:tr>
      <w:tr w14:paraId="26824738">
        <w:trPr>
          <w:cantSplit/>
          <w:jc w:val="center"/>
        </w:trPr>
        <w:tc>
          <w:tcPr>
            <w:tcW w:w="1077" w:type="dxa"/>
            <w:vMerge w:val="continue"/>
            <w:tcMar>
              <w:top w:w="60" w:type="dxa"/>
              <w:left w:w="80" w:type="dxa"/>
              <w:bottom w:w="60" w:type="dxa"/>
              <w:right w:w="80" w:type="dxa"/>
            </w:tcMar>
            <w:vAlign w:val="center"/>
          </w:tcPr>
          <w:p w14:paraId="2766DAF3">
            <w:pPr>
              <w:rPr>
                <w:color w:val="000000" w:themeColor="text1" w:themeShade="BF"/>
              </w:rPr>
            </w:pPr>
          </w:p>
        </w:tc>
        <w:tc>
          <w:tcPr>
            <w:tcW w:w="907" w:type="dxa"/>
            <w:tcMar>
              <w:top w:w="60" w:type="dxa"/>
              <w:left w:w="80" w:type="dxa"/>
              <w:bottom w:w="60" w:type="dxa"/>
              <w:right w:w="80" w:type="dxa"/>
            </w:tcMar>
            <w:vAlign w:val="center"/>
          </w:tcPr>
          <w:p w14:paraId="35845AE0">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6155A9CC">
            <w:pPr>
              <w:spacing w:before="0" w:after="0" w:line="240" w:lineRule="auto"/>
              <w:ind w:firstLine="0"/>
              <w:jc w:val="center"/>
              <w:rPr>
                <w:color w:val="000000" w:themeColor="text1" w:themeShade="BF"/>
              </w:rPr>
            </w:pPr>
            <w:r>
              <w:rPr>
                <w:rFonts w:ascii="仿宋" w:hAnsi="仿宋" w:eastAsia="仿宋"/>
                <w:b w:val="0"/>
                <w:color w:val="000000"/>
                <w:sz w:val="16"/>
              </w:rPr>
              <w:t>16:20–17:20</w:t>
            </w:r>
          </w:p>
        </w:tc>
        <w:tc>
          <w:tcPr>
            <w:tcW w:w="2097" w:type="dxa"/>
            <w:tcMar>
              <w:top w:w="60" w:type="dxa"/>
              <w:left w:w="80" w:type="dxa"/>
              <w:bottom w:w="60" w:type="dxa"/>
              <w:right w:w="80" w:type="dxa"/>
            </w:tcMar>
            <w:vAlign w:val="center"/>
          </w:tcPr>
          <w:p w14:paraId="68CBC400">
            <w:pPr>
              <w:spacing w:before="0" w:after="0" w:line="240" w:lineRule="auto"/>
              <w:ind w:firstLine="0"/>
              <w:jc w:val="left"/>
              <w:rPr>
                <w:color w:val="000000" w:themeColor="text1" w:themeShade="BF"/>
              </w:rPr>
            </w:pPr>
            <w:r>
              <w:rPr>
                <w:rFonts w:ascii="仿宋" w:hAnsi="仿宋" w:eastAsia="仿宋"/>
                <w:b/>
                <w:color w:val="000000"/>
                <w:sz w:val="16"/>
              </w:rPr>
              <w:t>科学模型专题实训（二）：AI4S 前沿模型的构建逻辑与科学发现</w:t>
            </w:r>
          </w:p>
        </w:tc>
        <w:tc>
          <w:tcPr>
            <w:tcW w:w="3118" w:type="dxa"/>
            <w:tcMar>
              <w:top w:w="60" w:type="dxa"/>
              <w:left w:w="80" w:type="dxa"/>
              <w:bottom w:w="60" w:type="dxa"/>
              <w:right w:w="80" w:type="dxa"/>
            </w:tcMar>
            <w:vAlign w:val="center"/>
          </w:tcPr>
          <w:p w14:paraId="16202220">
            <w:pPr>
              <w:spacing w:before="0" w:after="0" w:line="240" w:lineRule="auto"/>
              <w:ind w:firstLine="0"/>
              <w:jc w:val="left"/>
              <w:rPr>
                <w:color w:val="000000" w:themeColor="text1" w:themeShade="BF"/>
              </w:rPr>
            </w:pPr>
            <w:r>
              <w:rPr>
                <w:rFonts w:ascii="仿宋" w:hAnsi="仿宋" w:eastAsia="仿宋"/>
                <w:b w:val="0"/>
                <w:color w:val="000000"/>
                <w:sz w:val="16"/>
              </w:rPr>
              <w:t>① 用“科学问题—数据表征—模型架构—训练目标—科学约束—科学评测—科学增量”框架拆解前沿模型</w:t>
            </w:r>
          </w:p>
          <w:p w14:paraId="3E27E7F5">
            <w:pPr>
              <w:spacing w:before="0" w:after="0" w:line="240" w:lineRule="auto"/>
              <w:ind w:firstLine="0"/>
              <w:jc w:val="left"/>
              <w:rPr>
                <w:color w:val="000000" w:themeColor="text1" w:themeShade="BF"/>
              </w:rPr>
            </w:pPr>
            <w:r>
              <w:rPr>
                <w:rFonts w:ascii="仿宋" w:hAnsi="仿宋" w:eastAsia="仿宋"/>
                <w:b w:val="0"/>
                <w:color w:val="000000"/>
                <w:sz w:val="16"/>
              </w:rPr>
              <w:t>② 时空数据模型（Pangu-Weather、GraphCast、金乌、洛书）；结构预测、生成设计与候选发现（MatterGen、GNoME、AlphaFold3）；自主科学发现系统（星语、Coscientist）</w:t>
            </w:r>
          </w:p>
          <w:p w14:paraId="1C3A2681">
            <w:pPr>
              <w:spacing w:before="0" w:after="0" w:line="240" w:lineRule="auto"/>
              <w:ind w:firstLine="0"/>
              <w:jc w:val="left"/>
              <w:rPr>
                <w:color w:val="000000" w:themeColor="text1" w:themeShade="BF"/>
              </w:rPr>
            </w:pPr>
            <w:r>
              <w:rPr>
                <w:rFonts w:ascii="仿宋" w:hAnsi="仿宋" w:eastAsia="仿宋"/>
                <w:b w:val="0"/>
                <w:color w:val="000000"/>
                <w:sz w:val="16"/>
              </w:rPr>
              <w:t>③ 理解预测、生成、逆向设计与自主发现的差异，以及基础模型、智能体、科研工具、计算模拟与实验反馈的组合关系；分析科学增量与数据依赖、适用条件、验证边界</w:t>
            </w:r>
          </w:p>
          <w:p w14:paraId="59C69900">
            <w:pPr>
              <w:spacing w:before="0" w:after="0" w:line="240" w:lineRule="auto"/>
              <w:ind w:firstLine="0"/>
              <w:jc w:val="left"/>
              <w:rPr>
                <w:color w:val="000000" w:themeColor="text1" w:themeShade="BF"/>
              </w:rPr>
            </w:pPr>
            <w:r>
              <w:rPr>
                <w:rFonts w:ascii="仿宋" w:hAnsi="仿宋" w:eastAsia="仿宋"/>
                <w:b w:val="0"/>
                <w:color w:val="000000"/>
                <w:sz w:val="16"/>
              </w:rPr>
              <w:t>▸ 成果：一份前沿模型拆解表，一张“科学问题—数据—模型—评测—科学增量”关系图</w:t>
            </w:r>
          </w:p>
        </w:tc>
        <w:tc>
          <w:tcPr>
            <w:tcW w:w="1870" w:type="dxa"/>
            <w:tcMar>
              <w:top w:w="60" w:type="dxa"/>
              <w:left w:w="80" w:type="dxa"/>
              <w:bottom w:w="60" w:type="dxa"/>
              <w:right w:w="80" w:type="dxa"/>
            </w:tcMar>
            <w:vAlign w:val="center"/>
          </w:tcPr>
          <w:p w14:paraId="14889946">
            <w:pPr>
              <w:spacing w:before="0" w:after="0" w:line="240" w:lineRule="auto"/>
              <w:ind w:firstLine="0"/>
              <w:jc w:val="center"/>
              <w:rPr>
                <w:color w:val="000000" w:themeColor="text1" w:themeShade="BF"/>
              </w:rPr>
            </w:pPr>
            <w:r>
              <w:rPr>
                <w:rFonts w:ascii="仿宋" w:hAnsi="仿宋" w:eastAsia="仿宋"/>
                <w:b w:val="0"/>
                <w:color w:val="000000"/>
                <w:sz w:val="16"/>
              </w:rPr>
              <w:t>中国科学院大学他山学科交叉创新协会</w:t>
            </w:r>
          </w:p>
          <w:p w14:paraId="06D2E5FE">
            <w:pPr>
              <w:spacing w:before="0" w:after="0" w:line="240" w:lineRule="auto"/>
              <w:ind w:firstLine="0"/>
              <w:jc w:val="center"/>
              <w:rPr>
                <w:color w:val="000000" w:themeColor="text1" w:themeShade="BF"/>
              </w:rPr>
            </w:pPr>
            <w:r>
              <w:rPr>
                <w:rFonts w:ascii="仿宋" w:hAnsi="仿宋" w:eastAsia="仿宋"/>
                <w:b w:val="0"/>
                <w:color w:val="000000"/>
                <w:sz w:val="16"/>
              </w:rPr>
              <w:t>李瑀旸</w:t>
            </w:r>
          </w:p>
          <w:p w14:paraId="439BCD3B">
            <w:pPr>
              <w:spacing w:before="0" w:after="0" w:line="240" w:lineRule="auto"/>
              <w:ind w:firstLine="0"/>
              <w:jc w:val="center"/>
              <w:rPr>
                <w:color w:val="000000" w:themeColor="text1" w:themeShade="BF"/>
              </w:rPr>
            </w:pPr>
            <w:r>
              <w:rPr>
                <w:rFonts w:ascii="仿宋" w:hAnsi="仿宋" w:eastAsia="仿宋"/>
                <w:b w:val="0"/>
                <w:color w:val="000000"/>
                <w:sz w:val="16"/>
              </w:rPr>
              <w:t>研究生</w:t>
            </w:r>
          </w:p>
          <w:p w14:paraId="4888B869">
            <w:pPr>
              <w:spacing w:before="0" w:after="0" w:line="240" w:lineRule="auto"/>
              <w:ind w:firstLine="0"/>
              <w:jc w:val="center"/>
              <w:rPr>
                <w:color w:val="000000" w:themeColor="text1" w:themeShade="BF"/>
              </w:rPr>
            </w:pPr>
            <w:r>
              <w:rPr>
                <w:rFonts w:ascii="仿宋" w:hAnsi="仿宋" w:eastAsia="仿宋"/>
                <w:b w:val="0"/>
                <w:color w:val="000000"/>
                <w:sz w:val="16"/>
              </w:rPr>
              <w:t>（含助教）</w:t>
            </w:r>
          </w:p>
        </w:tc>
      </w:tr>
      <w:tr w14:paraId="515925F5">
        <w:trPr>
          <w:cantSplit/>
          <w:jc w:val="center"/>
        </w:trPr>
        <w:tc>
          <w:tcPr>
            <w:tcW w:w="1077" w:type="dxa"/>
            <w:vMerge w:val="continue"/>
            <w:tcMar>
              <w:top w:w="60" w:type="dxa"/>
              <w:left w:w="80" w:type="dxa"/>
              <w:bottom w:w="60" w:type="dxa"/>
              <w:right w:w="80" w:type="dxa"/>
            </w:tcMar>
            <w:vAlign w:val="center"/>
          </w:tcPr>
          <w:p w14:paraId="338D2C96">
            <w:pPr>
              <w:rPr>
                <w:color w:val="000000" w:themeColor="text1" w:themeShade="BF"/>
              </w:rPr>
            </w:pPr>
          </w:p>
        </w:tc>
        <w:tc>
          <w:tcPr>
            <w:tcW w:w="907" w:type="dxa"/>
            <w:tcMar>
              <w:top w:w="60" w:type="dxa"/>
              <w:left w:w="80" w:type="dxa"/>
              <w:bottom w:w="60" w:type="dxa"/>
              <w:right w:w="80" w:type="dxa"/>
            </w:tcMar>
            <w:vAlign w:val="center"/>
          </w:tcPr>
          <w:p w14:paraId="35092918">
            <w:pPr>
              <w:spacing w:before="0" w:after="0" w:line="240" w:lineRule="auto"/>
              <w:ind w:firstLine="0"/>
              <w:jc w:val="center"/>
              <w:rPr>
                <w:color w:val="000000" w:themeColor="text1" w:themeShade="BF"/>
              </w:rPr>
            </w:pPr>
            <w:r>
              <w:rPr>
                <w:rFonts w:ascii="仿宋" w:hAnsi="仿宋" w:eastAsia="仿宋"/>
                <w:b w:val="0"/>
                <w:color w:val="000000"/>
                <w:sz w:val="16"/>
              </w:rPr>
              <w:t>晚上</w:t>
            </w:r>
          </w:p>
          <w:p w14:paraId="07A2AF98">
            <w:pPr>
              <w:spacing w:before="0" w:after="0" w:line="240" w:lineRule="auto"/>
              <w:ind w:firstLine="0"/>
              <w:jc w:val="center"/>
              <w:rPr>
                <w:color w:val="000000" w:themeColor="text1" w:themeShade="BF"/>
              </w:rPr>
            </w:pPr>
            <w:r>
              <w:rPr>
                <w:rFonts w:ascii="仿宋" w:hAnsi="仿宋" w:eastAsia="仿宋"/>
                <w:b w:val="0"/>
                <w:color w:val="000000"/>
                <w:sz w:val="16"/>
              </w:rPr>
              <w:t>19:30–21:00</w:t>
            </w:r>
          </w:p>
        </w:tc>
        <w:tc>
          <w:tcPr>
            <w:tcW w:w="2097" w:type="dxa"/>
            <w:tcMar>
              <w:top w:w="60" w:type="dxa"/>
              <w:left w:w="80" w:type="dxa"/>
              <w:bottom w:w="60" w:type="dxa"/>
              <w:right w:w="80" w:type="dxa"/>
            </w:tcMar>
            <w:vAlign w:val="center"/>
          </w:tcPr>
          <w:p w14:paraId="1B86D119">
            <w:pPr>
              <w:spacing w:before="0" w:after="0" w:line="240" w:lineRule="auto"/>
              <w:ind w:firstLine="0"/>
              <w:jc w:val="left"/>
              <w:rPr>
                <w:color w:val="000000" w:themeColor="text1" w:themeShade="BF"/>
              </w:rPr>
            </w:pPr>
            <w:r>
              <w:rPr>
                <w:rFonts w:ascii="仿宋" w:hAnsi="仿宋" w:eastAsia="仿宋"/>
                <w:b/>
                <w:color w:val="000000"/>
                <w:sz w:val="16"/>
              </w:rPr>
              <w:t>习题课与研讨课</w:t>
            </w:r>
          </w:p>
        </w:tc>
        <w:tc>
          <w:tcPr>
            <w:tcW w:w="3118" w:type="dxa"/>
            <w:tcMar>
              <w:top w:w="60" w:type="dxa"/>
              <w:left w:w="80" w:type="dxa"/>
              <w:bottom w:w="60" w:type="dxa"/>
              <w:right w:w="80" w:type="dxa"/>
            </w:tcMar>
            <w:vAlign w:val="center"/>
          </w:tcPr>
          <w:p w14:paraId="4159BED1">
            <w:pPr>
              <w:spacing w:before="0" w:after="0" w:line="240" w:lineRule="auto"/>
              <w:ind w:firstLine="0"/>
              <w:jc w:val="left"/>
              <w:rPr>
                <w:color w:val="000000" w:themeColor="text1" w:themeShade="BF"/>
              </w:rPr>
            </w:pPr>
            <w:r>
              <w:rPr>
                <w:rFonts w:ascii="仿宋" w:hAnsi="仿宋" w:eastAsia="仿宋"/>
                <w:b w:val="0"/>
                <w:color w:val="000000"/>
                <w:sz w:val="16"/>
              </w:rPr>
              <w:t>① 习题课：由课程组与助教结合当日课程，选取边界清晰、有参考路径的典型问题作示范讲解与实操</w:t>
            </w:r>
          </w:p>
          <w:p w14:paraId="6EE11730">
            <w:pPr>
              <w:spacing w:before="0" w:after="0" w:line="240" w:lineRule="auto"/>
              <w:ind w:firstLine="0"/>
              <w:jc w:val="left"/>
              <w:rPr>
                <w:color w:val="000000" w:themeColor="text1" w:themeShade="BF"/>
              </w:rPr>
            </w:pPr>
            <w:r>
              <w:rPr>
                <w:rFonts w:ascii="仿宋" w:hAnsi="仿宋" w:eastAsia="仿宋"/>
                <w:b w:val="0"/>
                <w:color w:val="000000"/>
                <w:sz w:val="16"/>
              </w:rPr>
              <w:t>② 研讨课（选修）：学员围绕所选 AI4S 问题作简要介绍，就任务定义、数据条件、技术路线与评价方式研讨</w:t>
            </w:r>
          </w:p>
          <w:p w14:paraId="4D00533C">
            <w:pPr>
              <w:spacing w:before="0" w:after="0" w:line="240" w:lineRule="auto"/>
              <w:ind w:firstLine="0"/>
              <w:jc w:val="left"/>
              <w:rPr>
                <w:color w:val="000000" w:themeColor="text1" w:themeShade="BF"/>
              </w:rPr>
            </w:pPr>
            <w:r>
              <w:rPr>
                <w:rFonts w:ascii="仿宋" w:hAnsi="仿宋" w:eastAsia="仿宋"/>
                <w:b w:val="0"/>
                <w:color w:val="000000"/>
                <w:sz w:val="16"/>
              </w:rPr>
              <w:t>▸ 成果：巩固当日方法，并推进各自 AI4S 问题的理解与《问题分析方案》</w:t>
            </w:r>
          </w:p>
        </w:tc>
        <w:tc>
          <w:tcPr>
            <w:tcW w:w="1870" w:type="dxa"/>
            <w:tcMar>
              <w:top w:w="60" w:type="dxa"/>
              <w:left w:w="80" w:type="dxa"/>
              <w:bottom w:w="60" w:type="dxa"/>
              <w:right w:w="80" w:type="dxa"/>
            </w:tcMar>
            <w:vAlign w:val="center"/>
          </w:tcPr>
          <w:p w14:paraId="0C852D27">
            <w:pPr>
              <w:spacing w:before="0" w:after="0" w:line="240" w:lineRule="auto"/>
              <w:ind w:firstLine="0"/>
              <w:jc w:val="center"/>
              <w:rPr>
                <w:color w:val="000000" w:themeColor="text1" w:themeShade="BF"/>
              </w:rPr>
            </w:pPr>
            <w:r>
              <w:rPr>
                <w:rFonts w:ascii="仿宋" w:hAnsi="仿宋" w:eastAsia="仿宋"/>
                <w:b w:val="0"/>
                <w:color w:val="000000"/>
                <w:sz w:val="16"/>
              </w:rPr>
              <w:t>课程组 + 助教</w:t>
            </w:r>
          </w:p>
        </w:tc>
      </w:tr>
      <w:tr w14:paraId="1E2E4803">
        <w:trPr>
          <w:cantSplit/>
          <w:jc w:val="center"/>
        </w:trPr>
        <w:tc>
          <w:tcPr>
            <w:tcW w:w="1077" w:type="dxa"/>
            <w:vMerge w:val="restart"/>
            <w:shd w:val="clear" w:color="auto" w:fill="F2F2F2"/>
            <w:tcMar>
              <w:top w:w="60" w:type="dxa"/>
              <w:left w:w="80" w:type="dxa"/>
              <w:bottom w:w="60" w:type="dxa"/>
              <w:right w:w="80" w:type="dxa"/>
            </w:tcMar>
            <w:vAlign w:val="center"/>
          </w:tcPr>
          <w:p w14:paraId="2A718BB7">
            <w:pPr>
              <w:spacing w:before="0" w:after="0" w:line="240" w:lineRule="auto"/>
              <w:ind w:firstLine="0"/>
              <w:jc w:val="center"/>
              <w:rPr>
                <w:color w:val="000000" w:themeColor="text1" w:themeShade="BF"/>
              </w:rPr>
            </w:pPr>
            <w:r>
              <w:rPr>
                <w:rFonts w:ascii="仿宋" w:hAnsi="仿宋" w:eastAsia="仿宋"/>
                <w:b w:val="0"/>
                <w:color w:val="000000"/>
                <w:sz w:val="16"/>
              </w:rPr>
              <w:t>8.26（周三）</w:t>
            </w:r>
          </w:p>
          <w:p w14:paraId="277C48F8">
            <w:pPr>
              <w:spacing w:before="0" w:after="0" w:line="240" w:lineRule="auto"/>
              <w:ind w:firstLine="0"/>
              <w:jc w:val="center"/>
              <w:rPr>
                <w:color w:val="000000" w:themeColor="text1" w:themeShade="BF"/>
              </w:rPr>
            </w:pPr>
            <w:r>
              <w:rPr>
                <w:rFonts w:ascii="仿宋" w:hAnsi="仿宋" w:eastAsia="仿宋"/>
                <w:b w:val="0"/>
                <w:color w:val="000000"/>
                <w:sz w:val="16"/>
              </w:rPr>
              <w:t>专题四</w:t>
            </w:r>
          </w:p>
          <w:p w14:paraId="4D170EC3">
            <w:pPr>
              <w:spacing w:before="0" w:after="0" w:line="240" w:lineRule="auto"/>
              <w:ind w:firstLine="0"/>
              <w:jc w:val="center"/>
              <w:rPr>
                <w:color w:val="000000" w:themeColor="text1" w:themeShade="BF"/>
              </w:rPr>
            </w:pPr>
            <w:r>
              <w:rPr>
                <w:rFonts w:ascii="仿宋" w:hAnsi="仿宋" w:eastAsia="仿宋"/>
                <w:b w:val="0"/>
                <w:color w:val="000000"/>
                <w:sz w:val="16"/>
              </w:rPr>
              <w:t>自驱动的端到端科研闭环</w:t>
            </w:r>
          </w:p>
        </w:tc>
        <w:tc>
          <w:tcPr>
            <w:tcW w:w="907" w:type="dxa"/>
            <w:tcMar>
              <w:top w:w="60" w:type="dxa"/>
              <w:left w:w="80" w:type="dxa"/>
              <w:bottom w:w="60" w:type="dxa"/>
              <w:right w:w="80" w:type="dxa"/>
            </w:tcMar>
            <w:vAlign w:val="center"/>
          </w:tcPr>
          <w:p w14:paraId="417BB00B">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10C56CE1">
            <w:pPr>
              <w:spacing w:before="0" w:after="0" w:line="240" w:lineRule="auto"/>
              <w:ind w:firstLine="0"/>
              <w:jc w:val="center"/>
              <w:rPr>
                <w:color w:val="000000" w:themeColor="text1" w:themeShade="BF"/>
              </w:rPr>
            </w:pPr>
            <w:r>
              <w:rPr>
                <w:rFonts w:ascii="仿宋" w:hAnsi="仿宋" w:eastAsia="仿宋"/>
                <w:b w:val="0"/>
                <w:color w:val="000000"/>
                <w:sz w:val="16"/>
              </w:rPr>
              <w:t>9:30–10:30</w:t>
            </w:r>
          </w:p>
        </w:tc>
        <w:tc>
          <w:tcPr>
            <w:tcW w:w="2097" w:type="dxa"/>
            <w:tcMar>
              <w:top w:w="60" w:type="dxa"/>
              <w:left w:w="80" w:type="dxa"/>
              <w:bottom w:w="60" w:type="dxa"/>
              <w:right w:w="80" w:type="dxa"/>
            </w:tcMar>
            <w:vAlign w:val="center"/>
          </w:tcPr>
          <w:p w14:paraId="574C7DE9">
            <w:pPr>
              <w:spacing w:before="0" w:after="0" w:line="240" w:lineRule="auto"/>
              <w:ind w:firstLine="0"/>
              <w:jc w:val="left"/>
              <w:rPr>
                <w:color w:val="000000" w:themeColor="text1" w:themeShade="BF"/>
              </w:rPr>
            </w:pPr>
            <w:r>
              <w:rPr>
                <w:rFonts w:ascii="仿宋" w:hAnsi="仿宋" w:eastAsia="仿宋"/>
                <w:b/>
                <w:color w:val="000000"/>
                <w:sz w:val="16"/>
              </w:rPr>
              <w:t>前沿讲座：从多智能体到实验室机器人——AI4S 原生系统与自主实验</w:t>
            </w:r>
          </w:p>
        </w:tc>
        <w:tc>
          <w:tcPr>
            <w:tcW w:w="3118" w:type="dxa"/>
            <w:tcMar>
              <w:top w:w="60" w:type="dxa"/>
              <w:left w:w="80" w:type="dxa"/>
              <w:bottom w:w="60" w:type="dxa"/>
              <w:right w:w="80" w:type="dxa"/>
            </w:tcMar>
            <w:vAlign w:val="center"/>
          </w:tcPr>
          <w:p w14:paraId="3BB6B6F2">
            <w:pPr>
              <w:spacing w:before="0" w:after="0" w:line="240" w:lineRule="auto"/>
              <w:ind w:firstLine="0"/>
              <w:jc w:val="left"/>
              <w:rPr>
                <w:color w:val="000000" w:themeColor="text1" w:themeShade="BF"/>
              </w:rPr>
            </w:pPr>
            <w:r>
              <w:rPr>
                <w:rFonts w:ascii="仿宋" w:hAnsi="仿宋" w:eastAsia="仿宋"/>
                <w:b w:val="0"/>
                <w:color w:val="000000"/>
                <w:sz w:val="16"/>
              </w:rPr>
              <w:t>① AI4S 原生多智能体系统（BIOMA）</w:t>
            </w:r>
          </w:p>
          <w:p w14:paraId="2FB5067B">
            <w:pPr>
              <w:spacing w:before="0" w:after="0" w:line="240" w:lineRule="auto"/>
              <w:ind w:firstLine="0"/>
              <w:jc w:val="left"/>
              <w:rPr>
                <w:color w:val="000000" w:themeColor="text1" w:themeShade="BF"/>
              </w:rPr>
            </w:pPr>
            <w:r>
              <w:rPr>
                <w:rFonts w:ascii="仿宋" w:hAnsi="仿宋" w:eastAsia="仿宋"/>
                <w:b w:val="0"/>
                <w:color w:val="000000"/>
                <w:sz w:val="16"/>
              </w:rPr>
              <w:t>② 生成式材料设计（MatterGen）与新材料合成</w:t>
            </w:r>
          </w:p>
          <w:p w14:paraId="2DD8C903">
            <w:pPr>
              <w:spacing w:before="0" w:after="0" w:line="240" w:lineRule="auto"/>
              <w:ind w:firstLine="0"/>
              <w:jc w:val="left"/>
              <w:rPr>
                <w:color w:val="000000" w:themeColor="text1" w:themeShade="BF"/>
              </w:rPr>
            </w:pPr>
            <w:r>
              <w:rPr>
                <w:rFonts w:ascii="仿宋" w:hAnsi="仿宋" w:eastAsia="仿宋"/>
                <w:b w:val="0"/>
                <w:color w:val="000000"/>
                <w:sz w:val="16"/>
              </w:rPr>
              <w:t>③ 实验室机器人的自动化执行、半自主决策与人在环控制</w:t>
            </w:r>
          </w:p>
          <w:p w14:paraId="44209A75">
            <w:pPr>
              <w:spacing w:before="0" w:after="0" w:line="240" w:lineRule="auto"/>
              <w:ind w:firstLine="0"/>
              <w:jc w:val="left"/>
              <w:rPr>
                <w:color w:val="000000" w:themeColor="text1" w:themeShade="BF"/>
              </w:rPr>
            </w:pPr>
            <w:r>
              <w:rPr>
                <w:rFonts w:ascii="仿宋" w:hAnsi="仿宋" w:eastAsia="仿宋"/>
                <w:b w:val="0"/>
                <w:color w:val="000000"/>
                <w:sz w:val="16"/>
              </w:rPr>
              <w:t>④ 从多智能体到自主实验的端到端路径</w:t>
            </w:r>
          </w:p>
          <w:p w14:paraId="1530B928">
            <w:pPr>
              <w:spacing w:before="0" w:after="0" w:line="240" w:lineRule="auto"/>
              <w:ind w:firstLine="0"/>
              <w:jc w:val="left"/>
              <w:rPr>
                <w:color w:val="000000" w:themeColor="text1" w:themeShade="BF"/>
              </w:rPr>
            </w:pPr>
            <w:r>
              <w:rPr>
                <w:rFonts w:ascii="仿宋" w:hAnsi="仿宋" w:eastAsia="仿宋"/>
                <w:b w:val="0"/>
                <w:color w:val="000000"/>
                <w:sz w:val="16"/>
              </w:rPr>
              <w:t>▸ 成果：理解不同自主程度的科研闭环</w:t>
            </w:r>
          </w:p>
        </w:tc>
        <w:tc>
          <w:tcPr>
            <w:tcW w:w="1870" w:type="dxa"/>
            <w:tcMar>
              <w:top w:w="60" w:type="dxa"/>
              <w:left w:w="80" w:type="dxa"/>
              <w:bottom w:w="60" w:type="dxa"/>
              <w:right w:w="80" w:type="dxa"/>
            </w:tcMar>
            <w:vAlign w:val="center"/>
          </w:tcPr>
          <w:p w14:paraId="54DD1B79">
            <w:pPr>
              <w:spacing w:before="0" w:after="0" w:line="240" w:lineRule="auto"/>
              <w:ind w:firstLine="0"/>
              <w:jc w:val="center"/>
              <w:rPr>
                <w:color w:val="000000" w:themeColor="text1" w:themeShade="BF"/>
              </w:rPr>
            </w:pPr>
            <w:r>
              <w:rPr>
                <w:rFonts w:ascii="仿宋" w:hAnsi="仿宋" w:eastAsia="仿宋"/>
                <w:b w:val="0"/>
                <w:color w:val="000000"/>
                <w:sz w:val="16"/>
              </w:rPr>
              <w:t>中国科学院深圳先进技术研究院</w:t>
            </w:r>
          </w:p>
          <w:p w14:paraId="43393B35">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1C70A747">
        <w:trPr>
          <w:cantSplit/>
          <w:jc w:val="center"/>
        </w:trPr>
        <w:tc>
          <w:tcPr>
            <w:tcW w:w="1077" w:type="dxa"/>
            <w:vMerge w:val="continue"/>
            <w:tcMar>
              <w:top w:w="60" w:type="dxa"/>
              <w:left w:w="80" w:type="dxa"/>
              <w:bottom w:w="60" w:type="dxa"/>
              <w:right w:w="80" w:type="dxa"/>
            </w:tcMar>
            <w:vAlign w:val="center"/>
          </w:tcPr>
          <w:p w14:paraId="4D9340EE">
            <w:pPr>
              <w:rPr>
                <w:color w:val="000000" w:themeColor="text1" w:themeShade="BF"/>
              </w:rPr>
            </w:pPr>
          </w:p>
        </w:tc>
        <w:tc>
          <w:tcPr>
            <w:tcW w:w="907" w:type="dxa"/>
            <w:tcMar>
              <w:top w:w="60" w:type="dxa"/>
              <w:left w:w="80" w:type="dxa"/>
              <w:bottom w:w="60" w:type="dxa"/>
              <w:right w:w="80" w:type="dxa"/>
            </w:tcMar>
            <w:vAlign w:val="center"/>
          </w:tcPr>
          <w:p w14:paraId="4A8AB56C">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0810B47F">
            <w:pPr>
              <w:spacing w:before="0" w:after="0" w:line="240" w:lineRule="auto"/>
              <w:ind w:firstLine="0"/>
              <w:jc w:val="center"/>
              <w:rPr>
                <w:color w:val="000000" w:themeColor="text1" w:themeShade="BF"/>
              </w:rPr>
            </w:pPr>
            <w:r>
              <w:rPr>
                <w:rFonts w:ascii="仿宋" w:hAnsi="仿宋" w:eastAsia="仿宋"/>
                <w:b w:val="0"/>
                <w:color w:val="000000"/>
                <w:sz w:val="16"/>
              </w:rPr>
              <w:t>10:50–11:50</w:t>
            </w:r>
          </w:p>
        </w:tc>
        <w:tc>
          <w:tcPr>
            <w:tcW w:w="2097" w:type="dxa"/>
            <w:tcMar>
              <w:top w:w="60" w:type="dxa"/>
              <w:left w:w="80" w:type="dxa"/>
              <w:bottom w:w="60" w:type="dxa"/>
              <w:right w:w="80" w:type="dxa"/>
            </w:tcMar>
            <w:vAlign w:val="center"/>
          </w:tcPr>
          <w:p w14:paraId="4FE2CC2F">
            <w:pPr>
              <w:spacing w:before="0" w:after="0" w:line="240" w:lineRule="auto"/>
              <w:ind w:firstLine="0"/>
              <w:jc w:val="left"/>
              <w:rPr>
                <w:color w:val="000000" w:themeColor="text1" w:themeShade="BF"/>
              </w:rPr>
            </w:pPr>
            <w:r>
              <w:rPr>
                <w:rFonts w:ascii="仿宋" w:hAnsi="仿宋" w:eastAsia="仿宋"/>
                <w:b/>
                <w:color w:val="000000"/>
                <w:sz w:val="16"/>
              </w:rPr>
              <w:t>案例分享：无机功能材料的计算—实验闭环——从组分设计到制备</w:t>
            </w:r>
          </w:p>
        </w:tc>
        <w:tc>
          <w:tcPr>
            <w:tcW w:w="3118" w:type="dxa"/>
            <w:tcMar>
              <w:top w:w="60" w:type="dxa"/>
              <w:left w:w="80" w:type="dxa"/>
              <w:bottom w:w="60" w:type="dxa"/>
              <w:right w:w="80" w:type="dxa"/>
            </w:tcMar>
            <w:vAlign w:val="center"/>
          </w:tcPr>
          <w:p w14:paraId="1E170C25">
            <w:pPr>
              <w:spacing w:before="0" w:after="0" w:line="240" w:lineRule="auto"/>
              <w:ind w:firstLine="0"/>
              <w:jc w:val="left"/>
              <w:rPr>
                <w:color w:val="000000" w:themeColor="text1" w:themeShade="BF"/>
              </w:rPr>
            </w:pPr>
            <w:r>
              <w:rPr>
                <w:rFonts w:ascii="仿宋" w:hAnsi="仿宋" w:eastAsia="仿宋"/>
                <w:b w:val="0"/>
                <w:color w:val="000000"/>
                <w:sz w:val="16"/>
              </w:rPr>
              <w:t>① 无机功能材料的组分设计</w:t>
            </w:r>
          </w:p>
          <w:p w14:paraId="0B97A623">
            <w:pPr>
              <w:spacing w:before="0" w:after="0" w:line="240" w:lineRule="auto"/>
              <w:ind w:firstLine="0"/>
              <w:jc w:val="left"/>
              <w:rPr>
                <w:color w:val="000000" w:themeColor="text1" w:themeShade="BF"/>
              </w:rPr>
            </w:pPr>
            <w:r>
              <w:rPr>
                <w:rFonts w:ascii="仿宋" w:hAnsi="仿宋" w:eastAsia="仿宋"/>
                <w:b w:val="0"/>
                <w:color w:val="000000"/>
                <w:sz w:val="16"/>
              </w:rPr>
              <w:t>② 高通量计算与筛选</w:t>
            </w:r>
          </w:p>
          <w:p w14:paraId="5CA849E9">
            <w:pPr>
              <w:spacing w:before="0" w:after="0" w:line="240" w:lineRule="auto"/>
              <w:ind w:firstLine="0"/>
              <w:jc w:val="left"/>
              <w:rPr>
                <w:color w:val="000000" w:themeColor="text1" w:themeShade="BF"/>
              </w:rPr>
            </w:pPr>
            <w:r>
              <w:rPr>
                <w:rFonts w:ascii="仿宋" w:hAnsi="仿宋" w:eastAsia="仿宋"/>
                <w:b w:val="0"/>
                <w:color w:val="000000"/>
                <w:sz w:val="16"/>
              </w:rPr>
              <w:t>③ 材料制备与实验闭环</w:t>
            </w:r>
          </w:p>
          <w:p w14:paraId="03589DC8">
            <w:pPr>
              <w:spacing w:before="0" w:after="0" w:line="240" w:lineRule="auto"/>
              <w:ind w:firstLine="0"/>
              <w:jc w:val="left"/>
              <w:rPr>
                <w:color w:val="000000" w:themeColor="text1" w:themeShade="BF"/>
              </w:rPr>
            </w:pPr>
            <w:r>
              <w:rPr>
                <w:rFonts w:ascii="仿宋" w:hAnsi="仿宋" w:eastAsia="仿宋"/>
                <w:b w:val="0"/>
                <w:color w:val="000000"/>
                <w:sz w:val="16"/>
              </w:rPr>
              <w:t>④ 按统一框架说明：哪些环节由 AI 完成、哪些由人完成、如何验证与迭代</w:t>
            </w:r>
          </w:p>
          <w:p w14:paraId="4940B551">
            <w:pPr>
              <w:spacing w:before="0" w:after="0" w:line="240" w:lineRule="auto"/>
              <w:ind w:firstLine="0"/>
              <w:jc w:val="left"/>
              <w:rPr>
                <w:color w:val="000000" w:themeColor="text1" w:themeShade="BF"/>
              </w:rPr>
            </w:pPr>
            <w:r>
              <w:rPr>
                <w:rFonts w:ascii="仿宋" w:hAnsi="仿宋" w:eastAsia="仿宋"/>
                <w:b w:val="0"/>
                <w:color w:val="000000"/>
                <w:sz w:val="16"/>
              </w:rPr>
              <w:t>▸ 成果：理解材料“设计—计算—制备”闭环</w:t>
            </w:r>
          </w:p>
        </w:tc>
        <w:tc>
          <w:tcPr>
            <w:tcW w:w="1870" w:type="dxa"/>
            <w:tcMar>
              <w:top w:w="60" w:type="dxa"/>
              <w:left w:w="80" w:type="dxa"/>
              <w:bottom w:w="60" w:type="dxa"/>
              <w:right w:w="80" w:type="dxa"/>
            </w:tcMar>
            <w:vAlign w:val="center"/>
          </w:tcPr>
          <w:p w14:paraId="380C66F6">
            <w:pPr>
              <w:spacing w:before="0" w:after="0" w:line="240" w:lineRule="auto"/>
              <w:ind w:firstLine="0"/>
              <w:jc w:val="center"/>
              <w:rPr>
                <w:color w:val="000000" w:themeColor="text1" w:themeShade="BF"/>
              </w:rPr>
            </w:pPr>
            <w:r>
              <w:rPr>
                <w:rFonts w:ascii="仿宋" w:hAnsi="仿宋" w:eastAsia="仿宋"/>
                <w:b w:val="0"/>
                <w:color w:val="000000"/>
                <w:sz w:val="16"/>
              </w:rPr>
              <w:t>中国科学院上海硅酸盐研究所</w:t>
            </w:r>
          </w:p>
          <w:p w14:paraId="44C06900">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5ABFA54A">
        <w:trPr>
          <w:cantSplit/>
          <w:jc w:val="center"/>
        </w:trPr>
        <w:tc>
          <w:tcPr>
            <w:tcW w:w="1077" w:type="dxa"/>
            <w:vMerge w:val="continue"/>
            <w:tcMar>
              <w:top w:w="60" w:type="dxa"/>
              <w:left w:w="80" w:type="dxa"/>
              <w:bottom w:w="60" w:type="dxa"/>
              <w:right w:w="80" w:type="dxa"/>
            </w:tcMar>
            <w:vAlign w:val="center"/>
          </w:tcPr>
          <w:p w14:paraId="1997881F">
            <w:pPr>
              <w:rPr>
                <w:color w:val="000000" w:themeColor="text1" w:themeShade="BF"/>
              </w:rPr>
            </w:pPr>
          </w:p>
        </w:tc>
        <w:tc>
          <w:tcPr>
            <w:tcW w:w="907" w:type="dxa"/>
            <w:tcMar>
              <w:top w:w="60" w:type="dxa"/>
              <w:left w:w="80" w:type="dxa"/>
              <w:bottom w:w="60" w:type="dxa"/>
              <w:right w:w="80" w:type="dxa"/>
            </w:tcMar>
            <w:vAlign w:val="center"/>
          </w:tcPr>
          <w:p w14:paraId="321A4FC9">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125DEE91">
            <w:pPr>
              <w:spacing w:before="0" w:after="0" w:line="240" w:lineRule="auto"/>
              <w:ind w:firstLine="0"/>
              <w:jc w:val="center"/>
              <w:rPr>
                <w:color w:val="000000" w:themeColor="text1" w:themeShade="BF"/>
              </w:rPr>
            </w:pPr>
            <w:r>
              <w:rPr>
                <w:rFonts w:ascii="仿宋" w:hAnsi="仿宋" w:eastAsia="仿宋"/>
                <w:b w:val="0"/>
                <w:color w:val="000000"/>
                <w:sz w:val="16"/>
              </w:rPr>
              <w:t>14:00–15:20</w:t>
            </w:r>
          </w:p>
        </w:tc>
        <w:tc>
          <w:tcPr>
            <w:tcW w:w="2097" w:type="dxa"/>
            <w:tcMar>
              <w:top w:w="60" w:type="dxa"/>
              <w:left w:w="80" w:type="dxa"/>
              <w:bottom w:w="60" w:type="dxa"/>
              <w:right w:w="80" w:type="dxa"/>
            </w:tcMar>
            <w:vAlign w:val="center"/>
          </w:tcPr>
          <w:p w14:paraId="0E7A9E09">
            <w:pPr>
              <w:spacing w:before="0" w:after="0" w:line="240" w:lineRule="auto"/>
              <w:ind w:firstLine="0"/>
              <w:jc w:val="left"/>
              <w:rPr>
                <w:color w:val="000000" w:themeColor="text1" w:themeShade="BF"/>
              </w:rPr>
            </w:pPr>
            <w:r>
              <w:rPr>
                <w:rFonts w:ascii="仿宋" w:hAnsi="仿宋" w:eastAsia="仿宋"/>
                <w:b/>
                <w:color w:val="000000"/>
                <w:sz w:val="16"/>
              </w:rPr>
              <w:t>案例分享：催化反应机理的 AI 建模与自主实验闭环</w:t>
            </w:r>
          </w:p>
        </w:tc>
        <w:tc>
          <w:tcPr>
            <w:tcW w:w="3118" w:type="dxa"/>
            <w:tcMar>
              <w:top w:w="60" w:type="dxa"/>
              <w:left w:w="80" w:type="dxa"/>
              <w:bottom w:w="60" w:type="dxa"/>
              <w:right w:w="80" w:type="dxa"/>
            </w:tcMar>
            <w:vAlign w:val="center"/>
          </w:tcPr>
          <w:p w14:paraId="289832CF">
            <w:pPr>
              <w:spacing w:before="0" w:after="0" w:line="240" w:lineRule="auto"/>
              <w:ind w:firstLine="0"/>
              <w:jc w:val="left"/>
              <w:rPr>
                <w:color w:val="000000" w:themeColor="text1" w:themeShade="BF"/>
              </w:rPr>
            </w:pPr>
            <w:r>
              <w:rPr>
                <w:rFonts w:ascii="仿宋" w:hAnsi="仿宋" w:eastAsia="仿宋"/>
                <w:b w:val="0"/>
                <w:color w:val="000000"/>
                <w:sz w:val="16"/>
              </w:rPr>
              <w:t>① 催化反应机理建模</w:t>
            </w:r>
          </w:p>
          <w:p w14:paraId="1A045A54">
            <w:pPr>
              <w:spacing w:before="0" w:after="0" w:line="240" w:lineRule="auto"/>
              <w:ind w:firstLine="0"/>
              <w:jc w:val="left"/>
              <w:rPr>
                <w:color w:val="000000" w:themeColor="text1" w:themeShade="BF"/>
              </w:rPr>
            </w:pPr>
            <w:r>
              <w:rPr>
                <w:rFonts w:ascii="仿宋" w:hAnsi="仿宋" w:eastAsia="仿宋"/>
                <w:b w:val="0"/>
                <w:color w:val="000000"/>
                <w:sz w:val="16"/>
              </w:rPr>
              <w:t>② 催化剂设计</w:t>
            </w:r>
          </w:p>
          <w:p w14:paraId="4E0D9A4D">
            <w:pPr>
              <w:spacing w:before="0" w:after="0" w:line="240" w:lineRule="auto"/>
              <w:ind w:firstLine="0"/>
              <w:jc w:val="left"/>
              <w:rPr>
                <w:color w:val="000000" w:themeColor="text1" w:themeShade="BF"/>
              </w:rPr>
            </w:pPr>
            <w:r>
              <w:rPr>
                <w:rFonts w:ascii="仿宋" w:hAnsi="仿宋" w:eastAsia="仿宋"/>
                <w:b w:val="0"/>
                <w:color w:val="000000"/>
                <w:sz w:val="16"/>
              </w:rPr>
              <w:t>③ 合成与活性评价闭环</w:t>
            </w:r>
          </w:p>
          <w:p w14:paraId="7AE707D8">
            <w:pPr>
              <w:spacing w:before="0" w:after="0" w:line="240" w:lineRule="auto"/>
              <w:ind w:firstLine="0"/>
              <w:jc w:val="left"/>
              <w:rPr>
                <w:color w:val="000000" w:themeColor="text1" w:themeShade="BF"/>
              </w:rPr>
            </w:pPr>
            <w:r>
              <w:rPr>
                <w:rFonts w:ascii="仿宋" w:hAnsi="仿宋" w:eastAsia="仿宋"/>
                <w:b w:val="0"/>
                <w:color w:val="000000"/>
                <w:sz w:val="16"/>
              </w:rPr>
              <w:t>④ 按统一框架说明 AI 与人的分工、执行、验证与迭代</w:t>
            </w:r>
          </w:p>
          <w:p w14:paraId="222ABB6D">
            <w:pPr>
              <w:spacing w:before="0" w:after="0" w:line="240" w:lineRule="auto"/>
              <w:ind w:firstLine="0"/>
              <w:jc w:val="left"/>
              <w:rPr>
                <w:color w:val="000000" w:themeColor="text1" w:themeShade="BF"/>
              </w:rPr>
            </w:pPr>
            <w:r>
              <w:rPr>
                <w:rFonts w:ascii="仿宋" w:hAnsi="仿宋" w:eastAsia="仿宋"/>
                <w:b w:val="0"/>
                <w:color w:val="000000"/>
                <w:sz w:val="16"/>
              </w:rPr>
              <w:t>▸ 成果：理解催化“机理—设计—合成—评价”闭环</w:t>
            </w:r>
          </w:p>
        </w:tc>
        <w:tc>
          <w:tcPr>
            <w:tcW w:w="1870" w:type="dxa"/>
            <w:tcMar>
              <w:top w:w="60" w:type="dxa"/>
              <w:left w:w="80" w:type="dxa"/>
              <w:bottom w:w="60" w:type="dxa"/>
              <w:right w:w="80" w:type="dxa"/>
            </w:tcMar>
            <w:vAlign w:val="center"/>
          </w:tcPr>
          <w:p w14:paraId="083A0472">
            <w:pPr>
              <w:spacing w:before="0" w:after="0" w:line="240" w:lineRule="auto"/>
              <w:ind w:firstLine="0"/>
              <w:jc w:val="center"/>
              <w:rPr>
                <w:color w:val="000000" w:themeColor="text1" w:themeShade="BF"/>
              </w:rPr>
            </w:pPr>
            <w:r>
              <w:rPr>
                <w:rFonts w:ascii="仿宋" w:hAnsi="仿宋" w:eastAsia="仿宋"/>
                <w:b w:val="0"/>
                <w:color w:val="000000"/>
                <w:sz w:val="16"/>
              </w:rPr>
              <w:t>中国科学院大连化学物理研究所</w:t>
            </w:r>
          </w:p>
          <w:p w14:paraId="383D5245">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4BEFA6AD">
        <w:trPr>
          <w:cantSplit/>
          <w:jc w:val="center"/>
        </w:trPr>
        <w:tc>
          <w:tcPr>
            <w:tcW w:w="1077" w:type="dxa"/>
            <w:vMerge w:val="continue"/>
            <w:tcMar>
              <w:top w:w="60" w:type="dxa"/>
              <w:left w:w="80" w:type="dxa"/>
              <w:bottom w:w="60" w:type="dxa"/>
              <w:right w:w="80" w:type="dxa"/>
            </w:tcMar>
            <w:vAlign w:val="center"/>
          </w:tcPr>
          <w:p w14:paraId="2A2F9622">
            <w:pPr>
              <w:rPr>
                <w:color w:val="000000" w:themeColor="text1" w:themeShade="BF"/>
              </w:rPr>
            </w:pPr>
          </w:p>
        </w:tc>
        <w:tc>
          <w:tcPr>
            <w:tcW w:w="907" w:type="dxa"/>
            <w:tcMar>
              <w:top w:w="60" w:type="dxa"/>
              <w:left w:w="80" w:type="dxa"/>
              <w:bottom w:w="60" w:type="dxa"/>
              <w:right w:w="80" w:type="dxa"/>
            </w:tcMar>
            <w:vAlign w:val="center"/>
          </w:tcPr>
          <w:p w14:paraId="3AA15A7B">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57224707">
            <w:pPr>
              <w:spacing w:before="0" w:after="0" w:line="240" w:lineRule="auto"/>
              <w:ind w:firstLine="0"/>
              <w:jc w:val="center"/>
              <w:rPr>
                <w:color w:val="000000" w:themeColor="text1" w:themeShade="BF"/>
              </w:rPr>
            </w:pPr>
            <w:r>
              <w:rPr>
                <w:rFonts w:ascii="仿宋" w:hAnsi="仿宋" w:eastAsia="仿宋"/>
                <w:b w:val="0"/>
                <w:color w:val="000000"/>
                <w:sz w:val="16"/>
              </w:rPr>
              <w:t>15:50–17:10</w:t>
            </w:r>
          </w:p>
        </w:tc>
        <w:tc>
          <w:tcPr>
            <w:tcW w:w="2097" w:type="dxa"/>
            <w:tcMar>
              <w:top w:w="60" w:type="dxa"/>
              <w:left w:w="80" w:type="dxa"/>
              <w:bottom w:w="60" w:type="dxa"/>
              <w:right w:w="80" w:type="dxa"/>
            </w:tcMar>
            <w:vAlign w:val="center"/>
          </w:tcPr>
          <w:p w14:paraId="2F319B1B">
            <w:pPr>
              <w:spacing w:before="0" w:after="0" w:line="240" w:lineRule="auto"/>
              <w:ind w:firstLine="0"/>
              <w:jc w:val="left"/>
              <w:rPr>
                <w:color w:val="000000" w:themeColor="text1" w:themeShade="BF"/>
              </w:rPr>
            </w:pPr>
            <w:r>
              <w:rPr>
                <w:rFonts w:ascii="仿宋" w:hAnsi="仿宋" w:eastAsia="仿宋"/>
                <w:b/>
                <w:color w:val="000000"/>
                <w:sz w:val="16"/>
              </w:rPr>
              <w:t>科研工具专题实训：从领域方法到 Skill 与 MCP</w:t>
            </w:r>
          </w:p>
        </w:tc>
        <w:tc>
          <w:tcPr>
            <w:tcW w:w="3118" w:type="dxa"/>
            <w:tcMar>
              <w:top w:w="60" w:type="dxa"/>
              <w:left w:w="80" w:type="dxa"/>
              <w:bottom w:w="60" w:type="dxa"/>
              <w:right w:w="80" w:type="dxa"/>
            </w:tcMar>
            <w:vAlign w:val="center"/>
          </w:tcPr>
          <w:p w14:paraId="2C88A577">
            <w:pPr>
              <w:spacing w:before="0" w:after="0" w:line="240" w:lineRule="auto"/>
              <w:ind w:firstLine="0"/>
              <w:jc w:val="left"/>
              <w:rPr>
                <w:color w:val="000000" w:themeColor="text1" w:themeShade="BF"/>
              </w:rPr>
            </w:pPr>
            <w:r>
              <w:rPr>
                <w:rFonts w:ascii="仿宋" w:hAnsi="仿宋" w:eastAsia="仿宋"/>
                <w:b w:val="0"/>
                <w:color w:val="000000"/>
                <w:sz w:val="16"/>
              </w:rPr>
              <w:t>① 选择一段领域代码、数据服务或科研软件，明确适用任务、输入输出与依赖</w:t>
            </w:r>
          </w:p>
          <w:p w14:paraId="1E3C0A50">
            <w:pPr>
              <w:spacing w:before="0" w:after="0" w:line="240" w:lineRule="auto"/>
              <w:ind w:firstLine="0"/>
              <w:jc w:val="left"/>
              <w:rPr>
                <w:color w:val="000000" w:themeColor="text1" w:themeShade="BF"/>
              </w:rPr>
            </w:pPr>
            <w:r>
              <w:rPr>
                <w:rFonts w:ascii="仿宋" w:hAnsi="仿宋" w:eastAsia="仿宋"/>
                <w:b w:val="0"/>
                <w:color w:val="000000"/>
                <w:sz w:val="16"/>
              </w:rPr>
              <w:t>② 封装为 Skill 或 MCP 接口，设置异常处理、结果校验与人工确认</w:t>
            </w:r>
          </w:p>
          <w:p w14:paraId="6B3D27E9">
            <w:pPr>
              <w:spacing w:before="0" w:after="0" w:line="240" w:lineRule="auto"/>
              <w:ind w:firstLine="0"/>
              <w:jc w:val="left"/>
              <w:rPr>
                <w:color w:val="000000" w:themeColor="text1" w:themeShade="BF"/>
              </w:rPr>
            </w:pPr>
            <w:r>
              <w:rPr>
                <w:rFonts w:ascii="仿宋" w:hAnsi="仿宋" w:eastAsia="仿宋"/>
                <w:b w:val="0"/>
                <w:color w:val="000000"/>
                <w:sz w:val="16"/>
              </w:rPr>
              <w:t>③ 通过测试案例验证正确性与稳定性，说明适用边界与引用方式</w:t>
            </w:r>
          </w:p>
          <w:p w14:paraId="50873D67">
            <w:pPr>
              <w:spacing w:before="0" w:after="0" w:line="240" w:lineRule="auto"/>
              <w:ind w:firstLine="0"/>
              <w:jc w:val="left"/>
              <w:rPr>
                <w:color w:val="000000" w:themeColor="text1" w:themeShade="BF"/>
              </w:rPr>
            </w:pPr>
            <w:r>
              <w:rPr>
                <w:rFonts w:ascii="仿宋" w:hAnsi="仿宋" w:eastAsia="仿宋"/>
                <w:b w:val="0"/>
                <w:color w:val="000000"/>
                <w:sz w:val="16"/>
              </w:rPr>
              <w:t>④ 把领域科研能力沉淀为端到端系统中可复用、可靠的组件</w:t>
            </w:r>
          </w:p>
          <w:p w14:paraId="65504B06">
            <w:pPr>
              <w:spacing w:before="0" w:after="0" w:line="240" w:lineRule="auto"/>
              <w:ind w:firstLine="0"/>
              <w:jc w:val="left"/>
              <w:rPr>
                <w:color w:val="000000" w:themeColor="text1" w:themeShade="BF"/>
              </w:rPr>
            </w:pPr>
            <w:r>
              <w:rPr>
                <w:rFonts w:ascii="仿宋" w:hAnsi="仿宋" w:eastAsia="仿宋"/>
                <w:b w:val="0"/>
                <w:color w:val="000000"/>
                <w:sz w:val="16"/>
              </w:rPr>
              <w:t>▸ 成果：一个经测试、可复用的领域科研工具</w:t>
            </w:r>
          </w:p>
        </w:tc>
        <w:tc>
          <w:tcPr>
            <w:tcW w:w="1870" w:type="dxa"/>
            <w:tcMar>
              <w:top w:w="60" w:type="dxa"/>
              <w:left w:w="80" w:type="dxa"/>
              <w:bottom w:w="60" w:type="dxa"/>
              <w:right w:w="80" w:type="dxa"/>
            </w:tcMar>
            <w:vAlign w:val="center"/>
          </w:tcPr>
          <w:p w14:paraId="334E33BA">
            <w:pPr>
              <w:spacing w:before="0" w:after="0" w:line="240" w:lineRule="auto"/>
              <w:ind w:firstLine="0"/>
              <w:jc w:val="center"/>
              <w:rPr>
                <w:color w:val="000000" w:themeColor="text1" w:themeShade="BF"/>
              </w:rPr>
            </w:pPr>
            <w:r>
              <w:rPr>
                <w:rFonts w:ascii="仿宋" w:hAnsi="仿宋" w:eastAsia="仿宋"/>
                <w:b w:val="0"/>
                <w:color w:val="000000"/>
                <w:sz w:val="16"/>
              </w:rPr>
              <w:t>中国科学院自动化研究所</w:t>
            </w:r>
          </w:p>
          <w:p w14:paraId="75CB49E7">
            <w:pPr>
              <w:spacing w:before="0" w:after="0" w:line="240" w:lineRule="auto"/>
              <w:ind w:firstLine="0"/>
              <w:jc w:val="center"/>
              <w:rPr>
                <w:color w:val="000000" w:themeColor="text1" w:themeShade="BF"/>
              </w:rPr>
            </w:pPr>
            <w:r>
              <w:rPr>
                <w:rFonts w:ascii="仿宋" w:hAnsi="仿宋" w:eastAsia="仿宋"/>
                <w:b w:val="0"/>
                <w:color w:val="000000"/>
                <w:sz w:val="16"/>
              </w:rPr>
              <w:t>待定</w:t>
            </w:r>
          </w:p>
        </w:tc>
      </w:tr>
      <w:tr w14:paraId="442D9E8B">
        <w:trPr>
          <w:cantSplit/>
          <w:jc w:val="center"/>
        </w:trPr>
        <w:tc>
          <w:tcPr>
            <w:tcW w:w="1077" w:type="dxa"/>
            <w:vMerge w:val="continue"/>
            <w:tcMar>
              <w:top w:w="60" w:type="dxa"/>
              <w:left w:w="80" w:type="dxa"/>
              <w:bottom w:w="60" w:type="dxa"/>
              <w:right w:w="80" w:type="dxa"/>
            </w:tcMar>
            <w:vAlign w:val="center"/>
          </w:tcPr>
          <w:p w14:paraId="6DB0EA63">
            <w:pPr>
              <w:rPr>
                <w:color w:val="000000" w:themeColor="text1" w:themeShade="BF"/>
              </w:rPr>
            </w:pPr>
          </w:p>
        </w:tc>
        <w:tc>
          <w:tcPr>
            <w:tcW w:w="907" w:type="dxa"/>
            <w:tcMar>
              <w:top w:w="60" w:type="dxa"/>
              <w:left w:w="80" w:type="dxa"/>
              <w:bottom w:w="60" w:type="dxa"/>
              <w:right w:w="80" w:type="dxa"/>
            </w:tcMar>
            <w:vAlign w:val="center"/>
          </w:tcPr>
          <w:p w14:paraId="55DB8A30">
            <w:pPr>
              <w:spacing w:before="0" w:after="0" w:line="240" w:lineRule="auto"/>
              <w:ind w:firstLine="0"/>
              <w:jc w:val="center"/>
              <w:rPr>
                <w:color w:val="000000" w:themeColor="text1" w:themeShade="BF"/>
              </w:rPr>
            </w:pPr>
            <w:r>
              <w:rPr>
                <w:rFonts w:ascii="仿宋" w:hAnsi="仿宋" w:eastAsia="仿宋"/>
                <w:b w:val="0"/>
                <w:color w:val="000000"/>
                <w:sz w:val="16"/>
              </w:rPr>
              <w:t>晚上</w:t>
            </w:r>
          </w:p>
          <w:p w14:paraId="6BC59052">
            <w:pPr>
              <w:spacing w:before="0" w:after="0" w:line="240" w:lineRule="auto"/>
              <w:ind w:firstLine="0"/>
              <w:jc w:val="center"/>
              <w:rPr>
                <w:color w:val="000000" w:themeColor="text1" w:themeShade="BF"/>
              </w:rPr>
            </w:pPr>
            <w:r>
              <w:rPr>
                <w:rFonts w:ascii="仿宋" w:hAnsi="仿宋" w:eastAsia="仿宋"/>
                <w:b w:val="0"/>
                <w:color w:val="000000"/>
                <w:sz w:val="16"/>
              </w:rPr>
              <w:t>19:30–21:00</w:t>
            </w:r>
          </w:p>
        </w:tc>
        <w:tc>
          <w:tcPr>
            <w:tcW w:w="2097" w:type="dxa"/>
            <w:tcMar>
              <w:top w:w="60" w:type="dxa"/>
              <w:left w:w="80" w:type="dxa"/>
              <w:bottom w:w="60" w:type="dxa"/>
              <w:right w:w="80" w:type="dxa"/>
            </w:tcMar>
            <w:vAlign w:val="center"/>
          </w:tcPr>
          <w:p w14:paraId="2516B543">
            <w:pPr>
              <w:spacing w:before="0" w:after="0" w:line="240" w:lineRule="auto"/>
              <w:ind w:firstLine="0"/>
              <w:jc w:val="left"/>
              <w:rPr>
                <w:color w:val="000000" w:themeColor="text1" w:themeShade="BF"/>
              </w:rPr>
            </w:pPr>
            <w:r>
              <w:rPr>
                <w:rFonts w:ascii="仿宋" w:hAnsi="仿宋" w:eastAsia="仿宋"/>
                <w:b/>
                <w:color w:val="000000"/>
                <w:sz w:val="16"/>
              </w:rPr>
              <w:t>习题课与研讨课</w:t>
            </w:r>
          </w:p>
        </w:tc>
        <w:tc>
          <w:tcPr>
            <w:tcW w:w="3118" w:type="dxa"/>
            <w:tcMar>
              <w:top w:w="60" w:type="dxa"/>
              <w:left w:w="80" w:type="dxa"/>
              <w:bottom w:w="60" w:type="dxa"/>
              <w:right w:w="80" w:type="dxa"/>
            </w:tcMar>
            <w:vAlign w:val="center"/>
          </w:tcPr>
          <w:p w14:paraId="4387CC66">
            <w:pPr>
              <w:spacing w:before="0" w:after="0" w:line="240" w:lineRule="auto"/>
              <w:ind w:firstLine="0"/>
              <w:jc w:val="left"/>
              <w:rPr>
                <w:color w:val="000000" w:themeColor="text1" w:themeShade="BF"/>
              </w:rPr>
            </w:pPr>
            <w:r>
              <w:rPr>
                <w:rFonts w:ascii="仿宋" w:hAnsi="仿宋" w:eastAsia="仿宋"/>
                <w:b w:val="0"/>
                <w:color w:val="000000"/>
                <w:sz w:val="16"/>
              </w:rPr>
              <w:t>① 习题课：由课程组与助教结合当日课程，选取边界清晰、有参考路径的典型问题作示范讲解与实操</w:t>
            </w:r>
          </w:p>
          <w:p w14:paraId="048963F1">
            <w:pPr>
              <w:spacing w:before="0" w:after="0" w:line="240" w:lineRule="auto"/>
              <w:ind w:firstLine="0"/>
              <w:jc w:val="left"/>
              <w:rPr>
                <w:color w:val="000000" w:themeColor="text1" w:themeShade="BF"/>
              </w:rPr>
            </w:pPr>
            <w:r>
              <w:rPr>
                <w:rFonts w:ascii="仿宋" w:hAnsi="仿宋" w:eastAsia="仿宋"/>
                <w:b w:val="0"/>
                <w:color w:val="000000"/>
                <w:sz w:val="16"/>
              </w:rPr>
              <w:t>② 研讨课（选修）：学员围绕所选 AI4S 问题作简要介绍，就任务定义、数据条件、技术路线与评价方式研讨</w:t>
            </w:r>
          </w:p>
          <w:p w14:paraId="14C91159">
            <w:pPr>
              <w:spacing w:before="0" w:after="0" w:line="240" w:lineRule="auto"/>
              <w:ind w:firstLine="0"/>
              <w:jc w:val="left"/>
              <w:rPr>
                <w:color w:val="000000" w:themeColor="text1" w:themeShade="BF"/>
              </w:rPr>
            </w:pPr>
            <w:r>
              <w:rPr>
                <w:rFonts w:ascii="仿宋" w:hAnsi="仿宋" w:eastAsia="仿宋"/>
                <w:b w:val="0"/>
                <w:color w:val="000000"/>
                <w:sz w:val="16"/>
              </w:rPr>
              <w:t>▸ 成果：巩固当日方法，并推进各自 AI4S 问题的理解与《问题分析方案》</w:t>
            </w:r>
          </w:p>
        </w:tc>
        <w:tc>
          <w:tcPr>
            <w:tcW w:w="1870" w:type="dxa"/>
            <w:tcMar>
              <w:top w:w="60" w:type="dxa"/>
              <w:left w:w="80" w:type="dxa"/>
              <w:bottom w:w="60" w:type="dxa"/>
              <w:right w:w="80" w:type="dxa"/>
            </w:tcMar>
            <w:vAlign w:val="center"/>
          </w:tcPr>
          <w:p w14:paraId="123C8EBC">
            <w:pPr>
              <w:spacing w:before="0" w:after="0" w:line="240" w:lineRule="auto"/>
              <w:ind w:firstLine="0"/>
              <w:jc w:val="center"/>
              <w:rPr>
                <w:color w:val="000000" w:themeColor="text1" w:themeShade="BF"/>
              </w:rPr>
            </w:pPr>
            <w:r>
              <w:rPr>
                <w:rFonts w:ascii="仿宋" w:hAnsi="仿宋" w:eastAsia="仿宋"/>
                <w:b w:val="0"/>
                <w:color w:val="000000"/>
                <w:sz w:val="16"/>
              </w:rPr>
              <w:t>课程组 + 助教</w:t>
            </w:r>
          </w:p>
        </w:tc>
      </w:tr>
      <w:tr w14:paraId="6F8E7F27">
        <w:trPr>
          <w:cantSplit/>
          <w:jc w:val="center"/>
        </w:trPr>
        <w:tc>
          <w:tcPr>
            <w:tcW w:w="1077" w:type="dxa"/>
            <w:vMerge w:val="restart"/>
            <w:shd w:val="clear" w:color="auto" w:fill="F2F2F2"/>
            <w:tcMar>
              <w:top w:w="60" w:type="dxa"/>
              <w:left w:w="80" w:type="dxa"/>
              <w:bottom w:w="60" w:type="dxa"/>
              <w:right w:w="80" w:type="dxa"/>
            </w:tcMar>
            <w:vAlign w:val="center"/>
          </w:tcPr>
          <w:p w14:paraId="18A5E1C1">
            <w:pPr>
              <w:spacing w:before="0" w:after="0" w:line="240" w:lineRule="auto"/>
              <w:ind w:firstLine="0"/>
              <w:jc w:val="center"/>
              <w:rPr>
                <w:color w:val="000000" w:themeColor="text1" w:themeShade="BF"/>
              </w:rPr>
            </w:pPr>
            <w:r>
              <w:rPr>
                <w:rFonts w:ascii="仿宋" w:hAnsi="仿宋" w:eastAsia="仿宋"/>
                <w:b w:val="0"/>
                <w:color w:val="000000"/>
                <w:sz w:val="16"/>
              </w:rPr>
              <w:t>8.27（周四）</w:t>
            </w:r>
          </w:p>
          <w:p w14:paraId="4A230325">
            <w:pPr>
              <w:spacing w:before="0" w:after="0" w:line="240" w:lineRule="auto"/>
              <w:ind w:firstLine="0"/>
              <w:jc w:val="center"/>
              <w:rPr>
                <w:color w:val="000000" w:themeColor="text1" w:themeShade="BF"/>
              </w:rPr>
            </w:pPr>
            <w:r>
              <w:rPr>
                <w:rFonts w:ascii="仿宋" w:hAnsi="仿宋" w:eastAsia="仿宋"/>
                <w:b w:val="0"/>
                <w:color w:val="000000"/>
                <w:sz w:val="16"/>
              </w:rPr>
              <w:t>参访交流与结营</w:t>
            </w:r>
          </w:p>
        </w:tc>
        <w:tc>
          <w:tcPr>
            <w:tcW w:w="907" w:type="dxa"/>
            <w:tcMar>
              <w:top w:w="60" w:type="dxa"/>
              <w:left w:w="80" w:type="dxa"/>
              <w:bottom w:w="60" w:type="dxa"/>
              <w:right w:w="80" w:type="dxa"/>
            </w:tcMar>
            <w:vAlign w:val="center"/>
          </w:tcPr>
          <w:p w14:paraId="609BA26E">
            <w:pPr>
              <w:spacing w:before="0" w:after="0" w:line="240" w:lineRule="auto"/>
              <w:ind w:firstLine="0"/>
              <w:jc w:val="center"/>
              <w:rPr>
                <w:color w:val="000000" w:themeColor="text1" w:themeShade="BF"/>
              </w:rPr>
            </w:pPr>
            <w:r>
              <w:rPr>
                <w:rFonts w:ascii="仿宋" w:hAnsi="仿宋" w:eastAsia="仿宋"/>
                <w:b w:val="0"/>
                <w:color w:val="000000"/>
                <w:sz w:val="16"/>
              </w:rPr>
              <w:t>上午</w:t>
            </w:r>
          </w:p>
          <w:p w14:paraId="560BACEE">
            <w:pPr>
              <w:spacing w:before="0" w:after="0" w:line="240" w:lineRule="auto"/>
              <w:ind w:firstLine="0"/>
              <w:jc w:val="center"/>
              <w:rPr>
                <w:color w:val="000000" w:themeColor="text1" w:themeShade="BF"/>
              </w:rPr>
            </w:pPr>
            <w:r>
              <w:rPr>
                <w:rFonts w:ascii="仿宋" w:hAnsi="仿宋" w:eastAsia="仿宋"/>
                <w:b w:val="0"/>
                <w:color w:val="000000"/>
                <w:sz w:val="16"/>
              </w:rPr>
              <w:t>9:30–11:50</w:t>
            </w:r>
          </w:p>
        </w:tc>
        <w:tc>
          <w:tcPr>
            <w:tcW w:w="2097" w:type="dxa"/>
            <w:tcMar>
              <w:top w:w="60" w:type="dxa"/>
              <w:left w:w="80" w:type="dxa"/>
              <w:bottom w:w="60" w:type="dxa"/>
              <w:right w:w="80" w:type="dxa"/>
            </w:tcMar>
            <w:vAlign w:val="center"/>
          </w:tcPr>
          <w:p w14:paraId="57247B0A">
            <w:pPr>
              <w:spacing w:before="0" w:after="0" w:line="240" w:lineRule="auto"/>
              <w:ind w:firstLine="0"/>
              <w:jc w:val="left"/>
              <w:rPr>
                <w:color w:val="000000" w:themeColor="text1" w:themeShade="BF"/>
              </w:rPr>
            </w:pPr>
            <w:r>
              <w:rPr>
                <w:rFonts w:ascii="仿宋" w:hAnsi="仿宋" w:eastAsia="仿宋"/>
                <w:b/>
                <w:color w:val="000000"/>
                <w:sz w:val="16"/>
              </w:rPr>
              <w:t>科研机构参访</w:t>
            </w:r>
          </w:p>
        </w:tc>
        <w:tc>
          <w:tcPr>
            <w:tcW w:w="3118" w:type="dxa"/>
            <w:tcMar>
              <w:top w:w="60" w:type="dxa"/>
              <w:left w:w="80" w:type="dxa"/>
              <w:bottom w:w="60" w:type="dxa"/>
              <w:right w:w="80" w:type="dxa"/>
            </w:tcMar>
            <w:vAlign w:val="center"/>
          </w:tcPr>
          <w:p w14:paraId="044097E9">
            <w:pPr>
              <w:spacing w:before="0" w:after="0" w:line="240" w:lineRule="auto"/>
              <w:ind w:firstLine="0"/>
              <w:jc w:val="left"/>
              <w:rPr>
                <w:color w:val="000000" w:themeColor="text1" w:themeShade="BF"/>
              </w:rPr>
            </w:pPr>
            <w:r>
              <w:rPr>
                <w:rFonts w:ascii="仿宋" w:hAnsi="仿宋" w:eastAsia="仿宋"/>
                <w:b w:val="0"/>
                <w:color w:val="000000"/>
                <w:sz w:val="16"/>
              </w:rPr>
              <w:t>① 拟选择物理所数据中心、磐石相关平台或 AI4S 科研与产业机构中的 1—2 处开展参访交流</w:t>
            </w:r>
          </w:p>
          <w:p w14:paraId="77F2AD8F">
            <w:pPr>
              <w:spacing w:before="0" w:after="0" w:line="240" w:lineRule="auto"/>
              <w:ind w:firstLine="0"/>
              <w:jc w:val="left"/>
              <w:rPr>
                <w:color w:val="000000" w:themeColor="text1" w:themeShade="BF"/>
              </w:rPr>
            </w:pPr>
            <w:r>
              <w:rPr>
                <w:rFonts w:ascii="仿宋" w:hAnsi="仿宋" w:eastAsia="仿宋"/>
                <w:b w:val="0"/>
                <w:color w:val="000000"/>
                <w:sz w:val="16"/>
              </w:rPr>
              <w:t>② AI4S 平台与自主实验现场交流</w:t>
            </w:r>
          </w:p>
          <w:p w14:paraId="24A76015">
            <w:pPr>
              <w:spacing w:before="0" w:after="0" w:line="240" w:lineRule="auto"/>
              <w:ind w:firstLine="0"/>
              <w:jc w:val="left"/>
              <w:rPr>
                <w:color w:val="000000" w:themeColor="text1" w:themeShade="BF"/>
              </w:rPr>
            </w:pPr>
            <w:r>
              <w:rPr>
                <w:rFonts w:ascii="仿宋" w:hAnsi="仿宋" w:eastAsia="仿宋"/>
                <w:b w:val="0"/>
                <w:color w:val="000000"/>
                <w:sz w:val="16"/>
              </w:rPr>
              <w:t>▸ 成果：建立对 AI4S 平台与真实科研场景的直观认识</w:t>
            </w:r>
          </w:p>
        </w:tc>
        <w:tc>
          <w:tcPr>
            <w:tcW w:w="1870" w:type="dxa"/>
            <w:tcMar>
              <w:top w:w="60" w:type="dxa"/>
              <w:left w:w="80" w:type="dxa"/>
              <w:bottom w:w="60" w:type="dxa"/>
              <w:right w:w="80" w:type="dxa"/>
            </w:tcMar>
            <w:vAlign w:val="center"/>
          </w:tcPr>
          <w:p w14:paraId="2288A51D">
            <w:pPr>
              <w:spacing w:before="0" w:after="0" w:line="240" w:lineRule="auto"/>
              <w:ind w:firstLine="0"/>
              <w:jc w:val="center"/>
              <w:rPr>
                <w:color w:val="000000" w:themeColor="text1" w:themeShade="BF"/>
              </w:rPr>
            </w:pPr>
            <w:r>
              <w:rPr>
                <w:rFonts w:ascii="仿宋" w:hAnsi="仿宋" w:eastAsia="仿宋"/>
                <w:b w:val="0"/>
                <w:color w:val="000000"/>
                <w:sz w:val="16"/>
              </w:rPr>
              <w:t>参访单位</w:t>
            </w:r>
          </w:p>
          <w:p w14:paraId="70DBD4C5">
            <w:pPr>
              <w:spacing w:before="0" w:after="0" w:line="240" w:lineRule="auto"/>
              <w:ind w:firstLine="0"/>
              <w:jc w:val="center"/>
              <w:rPr>
                <w:color w:val="000000" w:themeColor="text1" w:themeShade="BF"/>
              </w:rPr>
            </w:pPr>
            <w:r>
              <w:rPr>
                <w:rFonts w:ascii="仿宋" w:hAnsi="仿宋" w:eastAsia="仿宋"/>
                <w:b w:val="0"/>
                <w:color w:val="000000"/>
                <w:sz w:val="16"/>
              </w:rPr>
              <w:t>+ 助教</w:t>
            </w:r>
          </w:p>
        </w:tc>
      </w:tr>
      <w:tr w14:paraId="550BC0B1">
        <w:trPr>
          <w:cantSplit/>
          <w:jc w:val="center"/>
        </w:trPr>
        <w:tc>
          <w:tcPr>
            <w:tcW w:w="1077" w:type="dxa"/>
            <w:vMerge w:val="continue"/>
            <w:tcMar>
              <w:top w:w="60" w:type="dxa"/>
              <w:left w:w="80" w:type="dxa"/>
              <w:bottom w:w="60" w:type="dxa"/>
              <w:right w:w="80" w:type="dxa"/>
            </w:tcMar>
            <w:vAlign w:val="center"/>
          </w:tcPr>
          <w:p w14:paraId="5480C4A9">
            <w:pPr>
              <w:rPr>
                <w:color w:val="000000" w:themeColor="text1" w:themeShade="BF"/>
              </w:rPr>
            </w:pPr>
          </w:p>
        </w:tc>
        <w:tc>
          <w:tcPr>
            <w:tcW w:w="907" w:type="dxa"/>
            <w:tcMar>
              <w:top w:w="60" w:type="dxa"/>
              <w:left w:w="80" w:type="dxa"/>
              <w:bottom w:w="60" w:type="dxa"/>
              <w:right w:w="80" w:type="dxa"/>
            </w:tcMar>
            <w:vAlign w:val="center"/>
          </w:tcPr>
          <w:p w14:paraId="4984B5A0">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2A5E3D38">
            <w:pPr>
              <w:spacing w:before="0" w:after="0" w:line="240" w:lineRule="auto"/>
              <w:ind w:firstLine="0"/>
              <w:jc w:val="center"/>
              <w:rPr>
                <w:color w:val="000000" w:themeColor="text1" w:themeShade="BF"/>
              </w:rPr>
            </w:pPr>
            <w:r>
              <w:rPr>
                <w:rFonts w:ascii="仿宋" w:hAnsi="仿宋" w:eastAsia="仿宋"/>
                <w:b w:val="0"/>
                <w:color w:val="000000"/>
                <w:sz w:val="16"/>
              </w:rPr>
              <w:t>14:00–15:20</w:t>
            </w:r>
          </w:p>
        </w:tc>
        <w:tc>
          <w:tcPr>
            <w:tcW w:w="2097" w:type="dxa"/>
            <w:tcMar>
              <w:top w:w="60" w:type="dxa"/>
              <w:left w:w="80" w:type="dxa"/>
              <w:bottom w:w="60" w:type="dxa"/>
              <w:right w:w="80" w:type="dxa"/>
            </w:tcMar>
            <w:vAlign w:val="center"/>
          </w:tcPr>
          <w:p w14:paraId="5050DEC7">
            <w:pPr>
              <w:spacing w:before="0" w:after="0" w:line="240" w:lineRule="auto"/>
              <w:ind w:firstLine="0"/>
              <w:jc w:val="left"/>
              <w:rPr>
                <w:color w:val="000000" w:themeColor="text1" w:themeShade="BF"/>
              </w:rPr>
            </w:pPr>
            <w:r>
              <w:rPr>
                <w:rFonts w:ascii="仿宋" w:hAnsi="仿宋" w:eastAsia="仿宋"/>
                <w:b/>
                <w:color w:val="000000"/>
                <w:sz w:val="16"/>
              </w:rPr>
              <w:t>学习成果交流：AI4S 问题分析方案分组汇报</w:t>
            </w:r>
          </w:p>
        </w:tc>
        <w:tc>
          <w:tcPr>
            <w:tcW w:w="3118" w:type="dxa"/>
            <w:tcMar>
              <w:top w:w="60" w:type="dxa"/>
              <w:left w:w="80" w:type="dxa"/>
              <w:bottom w:w="60" w:type="dxa"/>
              <w:right w:w="80" w:type="dxa"/>
            </w:tcMar>
            <w:vAlign w:val="center"/>
          </w:tcPr>
          <w:p w14:paraId="68EC927C">
            <w:pPr>
              <w:spacing w:before="0" w:after="0" w:line="240" w:lineRule="auto"/>
              <w:ind w:firstLine="0"/>
              <w:jc w:val="left"/>
              <w:rPr>
                <w:color w:val="000000" w:themeColor="text1" w:themeShade="BF"/>
              </w:rPr>
            </w:pPr>
            <w:r>
              <w:rPr>
                <w:rFonts w:ascii="仿宋" w:hAnsi="仿宋" w:eastAsia="仿宋"/>
                <w:b w:val="0"/>
                <w:color w:val="000000"/>
                <w:sz w:val="16"/>
              </w:rPr>
              <w:t>① 各组汇报本周形成的《AI4S 问题分析方案》与初步研究设想</w:t>
            </w:r>
          </w:p>
          <w:p w14:paraId="2B7FF397">
            <w:pPr>
              <w:spacing w:before="0" w:after="0" w:line="240" w:lineRule="auto"/>
              <w:ind w:firstLine="0"/>
              <w:jc w:val="left"/>
              <w:rPr>
                <w:color w:val="000000" w:themeColor="text1" w:themeShade="BF"/>
              </w:rPr>
            </w:pPr>
            <w:r>
              <w:rPr>
                <w:rFonts w:ascii="仿宋" w:hAnsi="仿宋" w:eastAsia="仿宋"/>
                <w:b w:val="0"/>
                <w:color w:val="000000"/>
                <w:sz w:val="16"/>
              </w:rPr>
              <w:t>② 教师、助教与参与导师点评，开展跨学科交流</w:t>
            </w:r>
          </w:p>
          <w:p w14:paraId="1BBEA536">
            <w:pPr>
              <w:spacing w:before="0" w:after="0" w:line="240" w:lineRule="auto"/>
              <w:ind w:firstLine="0"/>
              <w:jc w:val="left"/>
              <w:rPr>
                <w:color w:val="000000" w:themeColor="text1" w:themeShade="BF"/>
              </w:rPr>
            </w:pPr>
            <w:r>
              <w:rPr>
                <w:rFonts w:ascii="仿宋" w:hAnsi="仿宋" w:eastAsia="仿宋"/>
                <w:b w:val="0"/>
                <w:color w:val="000000"/>
                <w:sz w:val="16"/>
              </w:rPr>
              <w:t>③ 优秀成果展示与推荐</w:t>
            </w:r>
          </w:p>
          <w:p w14:paraId="29042F8E">
            <w:pPr>
              <w:spacing w:before="0" w:after="0" w:line="240" w:lineRule="auto"/>
              <w:ind w:firstLine="0"/>
              <w:jc w:val="left"/>
              <w:rPr>
                <w:color w:val="000000" w:themeColor="text1" w:themeShade="BF"/>
              </w:rPr>
            </w:pPr>
            <w:r>
              <w:rPr>
                <w:rFonts w:ascii="仿宋" w:hAnsi="仿宋" w:eastAsia="仿宋"/>
                <w:b w:val="0"/>
                <w:color w:val="000000"/>
                <w:sz w:val="16"/>
              </w:rPr>
              <w:t>▸ 成果：一份可继续研究的《AI4S 问题分析方案》或研究设想</w:t>
            </w:r>
          </w:p>
        </w:tc>
        <w:tc>
          <w:tcPr>
            <w:tcW w:w="1870" w:type="dxa"/>
            <w:tcMar>
              <w:top w:w="60" w:type="dxa"/>
              <w:left w:w="80" w:type="dxa"/>
              <w:bottom w:w="60" w:type="dxa"/>
              <w:right w:w="80" w:type="dxa"/>
            </w:tcMar>
            <w:vAlign w:val="center"/>
          </w:tcPr>
          <w:p w14:paraId="7FB65BF4">
            <w:pPr>
              <w:spacing w:before="0" w:after="0" w:line="240" w:lineRule="auto"/>
              <w:ind w:firstLine="0"/>
              <w:jc w:val="center"/>
              <w:rPr>
                <w:color w:val="000000" w:themeColor="text1" w:themeShade="BF"/>
              </w:rPr>
            </w:pPr>
            <w:r>
              <w:rPr>
                <w:rFonts w:ascii="仿宋" w:hAnsi="仿宋" w:eastAsia="仿宋"/>
                <w:b w:val="0"/>
                <w:color w:val="000000"/>
                <w:sz w:val="16"/>
              </w:rPr>
              <w:t>课程组 + 助教</w:t>
            </w:r>
          </w:p>
          <w:p w14:paraId="31B0EF32">
            <w:pPr>
              <w:spacing w:before="0" w:after="0" w:line="240" w:lineRule="auto"/>
              <w:ind w:firstLine="0"/>
              <w:jc w:val="center"/>
              <w:rPr>
                <w:color w:val="000000" w:themeColor="text1" w:themeShade="BF"/>
              </w:rPr>
            </w:pPr>
            <w:r>
              <w:rPr>
                <w:rFonts w:ascii="仿宋" w:hAnsi="仿宋" w:eastAsia="仿宋"/>
                <w:b w:val="0"/>
                <w:color w:val="000000"/>
                <w:sz w:val="16"/>
              </w:rPr>
              <w:t>+ 参与导师</w:t>
            </w:r>
          </w:p>
        </w:tc>
      </w:tr>
      <w:tr w14:paraId="5F85C826">
        <w:trPr>
          <w:cantSplit/>
          <w:jc w:val="center"/>
        </w:trPr>
        <w:tc>
          <w:tcPr>
            <w:tcW w:w="1077" w:type="dxa"/>
            <w:vMerge w:val="continue"/>
            <w:tcMar>
              <w:top w:w="60" w:type="dxa"/>
              <w:left w:w="80" w:type="dxa"/>
              <w:bottom w:w="60" w:type="dxa"/>
              <w:right w:w="80" w:type="dxa"/>
            </w:tcMar>
            <w:vAlign w:val="center"/>
          </w:tcPr>
          <w:p w14:paraId="04A6F097">
            <w:pPr>
              <w:rPr>
                <w:color w:val="000000" w:themeColor="text1" w:themeShade="BF"/>
              </w:rPr>
            </w:pPr>
          </w:p>
        </w:tc>
        <w:tc>
          <w:tcPr>
            <w:tcW w:w="907" w:type="dxa"/>
            <w:tcMar>
              <w:top w:w="60" w:type="dxa"/>
              <w:left w:w="80" w:type="dxa"/>
              <w:bottom w:w="60" w:type="dxa"/>
              <w:right w:w="80" w:type="dxa"/>
            </w:tcMar>
            <w:vAlign w:val="center"/>
          </w:tcPr>
          <w:p w14:paraId="3C2EADA2">
            <w:pPr>
              <w:spacing w:before="0" w:after="0" w:line="240" w:lineRule="auto"/>
              <w:ind w:firstLine="0"/>
              <w:jc w:val="center"/>
              <w:rPr>
                <w:color w:val="000000" w:themeColor="text1" w:themeShade="BF"/>
              </w:rPr>
            </w:pPr>
            <w:r>
              <w:rPr>
                <w:rFonts w:ascii="仿宋" w:hAnsi="仿宋" w:eastAsia="仿宋"/>
                <w:b w:val="0"/>
                <w:color w:val="000000"/>
                <w:sz w:val="16"/>
              </w:rPr>
              <w:t>下午</w:t>
            </w:r>
          </w:p>
          <w:p w14:paraId="20E60C65">
            <w:pPr>
              <w:spacing w:before="0" w:after="0" w:line="240" w:lineRule="auto"/>
              <w:ind w:firstLine="0"/>
              <w:jc w:val="center"/>
              <w:rPr>
                <w:color w:val="000000" w:themeColor="text1" w:themeShade="BF"/>
              </w:rPr>
            </w:pPr>
            <w:r>
              <w:rPr>
                <w:rFonts w:ascii="仿宋" w:hAnsi="仿宋" w:eastAsia="仿宋"/>
                <w:b w:val="0"/>
                <w:color w:val="000000"/>
                <w:sz w:val="16"/>
              </w:rPr>
              <w:t>15:50–17:10</w:t>
            </w:r>
          </w:p>
        </w:tc>
        <w:tc>
          <w:tcPr>
            <w:tcW w:w="2097" w:type="dxa"/>
            <w:tcMar>
              <w:top w:w="60" w:type="dxa"/>
              <w:left w:w="80" w:type="dxa"/>
              <w:bottom w:w="60" w:type="dxa"/>
              <w:right w:w="80" w:type="dxa"/>
            </w:tcMar>
            <w:vAlign w:val="center"/>
          </w:tcPr>
          <w:p w14:paraId="240EE53D">
            <w:pPr>
              <w:spacing w:before="0" w:after="0" w:line="240" w:lineRule="auto"/>
              <w:ind w:firstLine="0"/>
              <w:jc w:val="left"/>
              <w:rPr>
                <w:color w:val="000000" w:themeColor="text1" w:themeShade="BF"/>
              </w:rPr>
            </w:pPr>
            <w:r>
              <w:rPr>
                <w:rFonts w:ascii="仿宋" w:hAnsi="仿宋" w:eastAsia="仿宋"/>
                <w:b/>
                <w:color w:val="000000"/>
                <w:sz w:val="16"/>
              </w:rPr>
              <w:t>后续项目培育说明与闭营仪式</w:t>
            </w:r>
          </w:p>
        </w:tc>
        <w:tc>
          <w:tcPr>
            <w:tcW w:w="3118" w:type="dxa"/>
            <w:tcMar>
              <w:top w:w="60" w:type="dxa"/>
              <w:left w:w="80" w:type="dxa"/>
              <w:bottom w:w="60" w:type="dxa"/>
              <w:right w:w="80" w:type="dxa"/>
            </w:tcMar>
            <w:vAlign w:val="center"/>
          </w:tcPr>
          <w:p w14:paraId="1AE6B265">
            <w:pPr>
              <w:spacing w:before="0" w:after="0" w:line="240" w:lineRule="auto"/>
              <w:ind w:firstLine="0"/>
              <w:jc w:val="left"/>
              <w:rPr>
                <w:color w:val="000000" w:themeColor="text1" w:themeShade="BF"/>
              </w:rPr>
            </w:pPr>
            <w:r>
              <w:rPr>
                <w:rFonts w:ascii="仿宋" w:hAnsi="仿宋" w:eastAsia="仿宋"/>
                <w:b w:val="0"/>
                <w:color w:val="000000"/>
                <w:sz w:val="16"/>
              </w:rPr>
              <w:t>① 后续项目培育机制说明：课后经双向选择组建项目团队，由导师指导、他山协会持续陪跑，择优发展为长期科研项目</w:t>
            </w:r>
          </w:p>
          <w:p w14:paraId="30B4396E">
            <w:pPr>
              <w:spacing w:before="0" w:after="0" w:line="240" w:lineRule="auto"/>
              <w:ind w:firstLine="0"/>
              <w:jc w:val="left"/>
              <w:rPr>
                <w:color w:val="000000" w:themeColor="text1" w:themeShade="BF"/>
              </w:rPr>
            </w:pPr>
            <w:r>
              <w:rPr>
                <w:rFonts w:ascii="仿宋" w:hAnsi="仿宋" w:eastAsia="仿宋"/>
                <w:b w:val="0"/>
                <w:color w:val="000000"/>
                <w:sz w:val="16"/>
              </w:rPr>
              <w:t>② 实训营总结</w:t>
            </w:r>
          </w:p>
          <w:p w14:paraId="02821ED1">
            <w:pPr>
              <w:spacing w:before="0" w:after="0" w:line="240" w:lineRule="auto"/>
              <w:ind w:firstLine="0"/>
              <w:jc w:val="left"/>
              <w:rPr>
                <w:color w:val="000000" w:themeColor="text1" w:themeShade="BF"/>
              </w:rPr>
            </w:pPr>
            <w:r>
              <w:rPr>
                <w:rFonts w:ascii="仿宋" w:hAnsi="仿宋" w:eastAsia="仿宋"/>
                <w:b w:val="0"/>
                <w:color w:val="000000"/>
                <w:sz w:val="16"/>
              </w:rPr>
              <w:t>③ 闭营仪式：颁发结业证书、优秀学员表彰、合影留念</w:t>
            </w:r>
          </w:p>
          <w:p w14:paraId="135833F0">
            <w:pPr>
              <w:spacing w:before="0" w:after="0" w:line="240" w:lineRule="auto"/>
              <w:ind w:firstLine="0"/>
              <w:jc w:val="left"/>
              <w:rPr>
                <w:color w:val="000000" w:themeColor="text1" w:themeShade="BF"/>
              </w:rPr>
            </w:pPr>
            <w:r>
              <w:rPr>
                <w:rFonts w:ascii="仿宋" w:hAnsi="仿宋" w:eastAsia="仿宋"/>
                <w:b w:val="0"/>
                <w:color w:val="000000"/>
                <w:sz w:val="16"/>
              </w:rPr>
              <w:t>▸ 成果：明确课后持续研究与成果对接路径</w:t>
            </w:r>
          </w:p>
        </w:tc>
        <w:tc>
          <w:tcPr>
            <w:tcW w:w="1870" w:type="dxa"/>
            <w:tcMar>
              <w:top w:w="60" w:type="dxa"/>
              <w:left w:w="80" w:type="dxa"/>
              <w:bottom w:w="60" w:type="dxa"/>
              <w:right w:w="80" w:type="dxa"/>
            </w:tcMar>
            <w:vAlign w:val="center"/>
          </w:tcPr>
          <w:p w14:paraId="6D70238E">
            <w:pPr>
              <w:spacing w:before="0" w:after="0" w:line="240" w:lineRule="auto"/>
              <w:ind w:firstLine="0"/>
              <w:jc w:val="center"/>
              <w:rPr>
                <w:color w:val="000000" w:themeColor="text1" w:themeShade="BF"/>
              </w:rPr>
            </w:pPr>
            <w:r>
              <w:rPr>
                <w:rFonts w:ascii="仿宋" w:hAnsi="仿宋" w:eastAsia="仿宋"/>
                <w:b w:val="0"/>
                <w:color w:val="000000"/>
                <w:sz w:val="16"/>
              </w:rPr>
              <w:t>主办单位领导</w:t>
            </w:r>
          </w:p>
          <w:p w14:paraId="338BDA28">
            <w:pPr>
              <w:spacing w:before="0" w:after="0" w:line="240" w:lineRule="auto"/>
              <w:ind w:firstLine="0"/>
              <w:jc w:val="center"/>
              <w:rPr>
                <w:color w:val="000000" w:themeColor="text1" w:themeShade="BF"/>
              </w:rPr>
            </w:pPr>
            <w:r>
              <w:rPr>
                <w:rFonts w:ascii="仿宋" w:hAnsi="仿宋" w:eastAsia="仿宋"/>
                <w:b w:val="0"/>
                <w:color w:val="000000"/>
                <w:sz w:val="16"/>
              </w:rPr>
              <w:t>+ 课程组</w:t>
            </w:r>
          </w:p>
        </w:tc>
      </w:tr>
    </w:tbl>
    <w:p w14:paraId="766562B7">
      <w:pPr>
        <w:spacing w:before="200" w:after="0" w:line="288" w:lineRule="auto"/>
        <w:ind w:firstLine="420"/>
        <w:jc w:val="left"/>
      </w:pPr>
      <w:r>
        <w:rPr>
          <w:rFonts w:ascii="仿宋" w:hAnsi="仿宋" w:eastAsia="仿宋"/>
          <w:b w:val="0"/>
          <w:color w:val="222222"/>
          <w:sz w:val="21"/>
        </w:rPr>
        <w:t>（“授课方 / 负责人”一栏分行标注单位、姓名与职称；仅列出单位、姓名标注为“待定”者，其具体讲师为拟邀请、待确认。其中科研智能体、AI for Science 科研方法论、科学模型三个专题的实训模块由中国科学院大学他山学科交叉创新协会研究生承担，科研工具专题实训由中国科学院自动化研究所与磐石团队承担。具体课程题目、时间与主讲人以正式通知为准。）</w:t>
      </w:r>
    </w:p>
    <w:p w14:paraId="6508244C">
      <w:pPr>
        <w:pStyle w:val="3"/>
        <w:keepNext/>
        <w:spacing w:before="200" w:after="120" w:line="288" w:lineRule="auto"/>
        <w:ind w:firstLine="0"/>
        <w:jc w:val="left"/>
        <w:outlineLvl w:val="0"/>
      </w:pPr>
      <w:bookmarkStart w:id="9" w:name="_Toc2046885227"/>
      <w:bookmarkEnd w:id="9"/>
      <w:bookmarkStart w:id="10" w:name="_Toc1636729024"/>
      <w:bookmarkStart w:id="11" w:name="bm_org"/>
      <w:r>
        <w:rPr>
          <w:rFonts w:ascii="黑体" w:hAnsi="黑体" w:eastAsia="黑体"/>
          <w:b/>
          <w:color w:val="000000"/>
          <w:sz w:val="28"/>
        </w:rPr>
        <w:t>五、组织单位</w:t>
      </w:r>
      <w:bookmarkEnd w:id="10"/>
      <w:bookmarkEnd w:id="11"/>
    </w:p>
    <w:p w14:paraId="60514DB2">
      <w:pPr>
        <w:pStyle w:val="4"/>
        <w:spacing w:before="120" w:after="60" w:line="288" w:lineRule="auto"/>
        <w:ind w:firstLine="0"/>
      </w:pPr>
      <w:bookmarkStart w:id="12" w:name="_Toc1459468896"/>
      <w:bookmarkEnd w:id="12"/>
      <w:bookmarkStart w:id="13" w:name="bm_basis"/>
      <w:r>
        <w:rPr>
          <w:rFonts w:ascii="黑体" w:hAnsi="黑体" w:eastAsia="黑体"/>
          <w:b/>
          <w:color w:val="000000"/>
          <w:sz w:val="22"/>
        </w:rPr>
        <w:t>主办单位</w:t>
      </w:r>
    </w:p>
    <w:p w14:paraId="363C2619">
      <w:pPr>
        <w:spacing w:after="0" w:line="288" w:lineRule="auto"/>
        <w:ind w:firstLine="420"/>
      </w:pPr>
      <w:r>
        <w:rPr>
          <w:rFonts w:ascii="仿宋" w:hAnsi="仿宋" w:eastAsia="仿宋"/>
          <w:color w:val="000000"/>
          <w:sz w:val="21"/>
        </w:rPr>
        <w:t>中国科学院物理研究所</w:t>
      </w:r>
    </w:p>
    <w:p w14:paraId="54734462">
      <w:pPr>
        <w:pStyle w:val="4"/>
        <w:spacing w:before="120" w:after="60" w:line="288" w:lineRule="auto"/>
        <w:ind w:firstLine="0"/>
      </w:pPr>
      <w:r>
        <w:rPr>
          <w:rFonts w:ascii="黑体" w:hAnsi="黑体" w:eastAsia="黑体"/>
          <w:b/>
          <w:color w:val="000000"/>
          <w:sz w:val="22"/>
        </w:rPr>
        <w:t>合作单位</w:t>
      </w:r>
    </w:p>
    <w:p w14:paraId="13145A85">
      <w:pPr>
        <w:spacing w:after="0" w:line="288" w:lineRule="auto"/>
        <w:ind w:firstLine="420"/>
      </w:pPr>
      <w:r>
        <w:rPr>
          <w:rFonts w:ascii="仿宋" w:hAnsi="仿宋" w:eastAsia="仿宋"/>
          <w:color w:val="000000"/>
          <w:sz w:val="21"/>
        </w:rPr>
        <w:t>中国科学院自动化研究所</w:t>
      </w:r>
    </w:p>
    <w:p w14:paraId="7D6CBF21">
      <w:pPr>
        <w:spacing w:after="0" w:line="288" w:lineRule="auto"/>
        <w:ind w:firstLine="420"/>
      </w:pPr>
      <w:r>
        <w:rPr>
          <w:rFonts w:ascii="仿宋" w:hAnsi="仿宋" w:eastAsia="仿宋"/>
          <w:color w:val="000000"/>
          <w:sz w:val="21"/>
        </w:rPr>
        <w:t>中国科学院国家天文台</w:t>
      </w:r>
    </w:p>
    <w:p w14:paraId="65991CA9">
      <w:pPr>
        <w:spacing w:after="0" w:line="288" w:lineRule="auto"/>
        <w:ind w:firstLine="420"/>
      </w:pPr>
      <w:r>
        <w:rPr>
          <w:rFonts w:ascii="仿宋" w:hAnsi="仿宋" w:eastAsia="仿宋"/>
          <w:color w:val="000000"/>
          <w:sz w:val="21"/>
        </w:rPr>
        <w:t>中国科学院计算技术研究所</w:t>
      </w:r>
    </w:p>
    <w:p w14:paraId="30839242">
      <w:pPr>
        <w:spacing w:after="0" w:line="288" w:lineRule="auto"/>
        <w:ind w:firstLine="420"/>
      </w:pPr>
      <w:r>
        <w:rPr>
          <w:rFonts w:ascii="仿宋" w:hAnsi="仿宋" w:eastAsia="仿宋"/>
          <w:color w:val="000000"/>
          <w:sz w:val="21"/>
        </w:rPr>
        <w:t>中国科学院计算机网络信息中心</w:t>
      </w:r>
    </w:p>
    <w:p w14:paraId="0BC441FA">
      <w:pPr>
        <w:spacing w:after="0" w:line="288" w:lineRule="auto"/>
        <w:ind w:firstLine="420"/>
      </w:pPr>
      <w:r>
        <w:rPr>
          <w:rFonts w:ascii="仿宋" w:hAnsi="仿宋" w:eastAsia="仿宋"/>
          <w:color w:val="000000"/>
          <w:sz w:val="21"/>
        </w:rPr>
        <w:t>中国科学院上海高等研究院</w:t>
      </w:r>
    </w:p>
    <w:p w14:paraId="5773A025">
      <w:pPr>
        <w:spacing w:after="0" w:line="288" w:lineRule="auto"/>
        <w:ind w:firstLine="420"/>
      </w:pPr>
      <w:r>
        <w:rPr>
          <w:rFonts w:ascii="仿宋" w:hAnsi="仿宋" w:eastAsia="仿宋"/>
          <w:color w:val="000000"/>
          <w:sz w:val="21"/>
        </w:rPr>
        <w:t>中国科学院深圳先进技术研究院</w:t>
      </w:r>
    </w:p>
    <w:p w14:paraId="4824972E">
      <w:pPr>
        <w:spacing w:after="0" w:line="288" w:lineRule="auto"/>
        <w:ind w:firstLine="420"/>
      </w:pPr>
      <w:r>
        <w:rPr>
          <w:rFonts w:ascii="仿宋" w:hAnsi="仿宋" w:eastAsia="仿宋"/>
          <w:color w:val="000000"/>
          <w:sz w:val="21"/>
        </w:rPr>
        <w:t>中国科学院大连化学物理研究所</w:t>
      </w:r>
    </w:p>
    <w:p w14:paraId="74845359">
      <w:pPr>
        <w:spacing w:after="0" w:line="288" w:lineRule="auto"/>
        <w:ind w:firstLine="420"/>
      </w:pPr>
      <w:r>
        <w:rPr>
          <w:rFonts w:ascii="仿宋" w:hAnsi="仿宋" w:eastAsia="仿宋"/>
          <w:color w:val="000000"/>
          <w:sz w:val="21"/>
        </w:rPr>
        <w:t>中国科学院大学前沿交叉科学学院</w:t>
      </w:r>
    </w:p>
    <w:p w14:paraId="1E843430">
      <w:pPr>
        <w:spacing w:after="0" w:line="288" w:lineRule="auto"/>
        <w:ind w:firstLine="420"/>
      </w:pPr>
      <w:r>
        <w:rPr>
          <w:rFonts w:ascii="仿宋" w:hAnsi="仿宋" w:eastAsia="仿宋"/>
          <w:color w:val="000000"/>
          <w:sz w:val="21"/>
        </w:rPr>
        <w:t>中国科学院大学党委学生工作部 / 学生处</w:t>
      </w:r>
    </w:p>
    <w:p w14:paraId="5F71BEA0">
      <w:pPr>
        <w:spacing w:after="0" w:line="288" w:lineRule="auto"/>
        <w:ind w:firstLine="420"/>
      </w:pPr>
      <w:r>
        <w:rPr>
          <w:rFonts w:ascii="仿宋" w:hAnsi="仿宋" w:eastAsia="仿宋"/>
          <w:color w:val="000000"/>
          <w:sz w:val="21"/>
        </w:rPr>
        <w:t>中国科学院大学学位办公室</w:t>
      </w:r>
    </w:p>
    <w:p w14:paraId="5D25714A">
      <w:pPr>
        <w:spacing w:after="0" w:line="288" w:lineRule="auto"/>
        <w:ind w:firstLine="420"/>
      </w:pPr>
      <w:r>
        <w:rPr>
          <w:rFonts w:ascii="仿宋" w:hAnsi="仿宋" w:eastAsia="仿宋"/>
          <w:color w:val="000000"/>
          <w:sz w:val="21"/>
        </w:rPr>
        <w:t>中国科学院大学他山学科交叉创新协会</w:t>
      </w:r>
    </w:p>
    <w:p w14:paraId="552FF16B">
      <w:pPr>
        <w:pStyle w:val="4"/>
        <w:spacing w:before="120" w:after="60" w:line="288" w:lineRule="auto"/>
        <w:ind w:firstLine="0"/>
      </w:pPr>
      <w:r>
        <w:rPr>
          <w:rFonts w:ascii="黑体" w:hAnsi="黑体" w:eastAsia="黑体"/>
          <w:b/>
          <w:color w:val="000000"/>
          <w:sz w:val="22"/>
        </w:rPr>
        <w:t>支持单位</w:t>
      </w:r>
    </w:p>
    <w:p w14:paraId="16037E04">
      <w:pPr>
        <w:spacing w:after="0" w:line="288" w:lineRule="auto"/>
        <w:ind w:firstLine="420"/>
        <w:rPr>
          <w:rFonts w:ascii="仿宋" w:hAnsi="仿宋" w:eastAsia="仿宋"/>
          <w:color w:val="222222"/>
          <w:sz w:val="21"/>
        </w:rPr>
      </w:pPr>
      <w:r>
        <w:rPr>
          <w:rFonts w:ascii="仿宋" w:hAnsi="仿宋" w:eastAsia="仿宋"/>
          <w:color w:val="222222"/>
          <w:sz w:val="21"/>
        </w:rPr>
        <w:t>北京中科闻歌科技股份有限公司</w:t>
      </w:r>
    </w:p>
    <w:p w14:paraId="78D72778">
      <w:pPr>
        <w:spacing w:after="0" w:line="288" w:lineRule="auto"/>
        <w:ind w:firstLine="420"/>
        <w:rPr>
          <w:rFonts w:ascii="仿宋" w:hAnsi="仿宋" w:eastAsia="仿宋"/>
          <w:color w:val="222222"/>
          <w:sz w:val="21"/>
        </w:rPr>
      </w:pPr>
      <w:r>
        <w:rPr>
          <w:rFonts w:ascii="仿宋" w:hAnsi="仿宋" w:eastAsia="仿宋"/>
          <w:color w:val="222222"/>
          <w:sz w:val="21"/>
        </w:rPr>
        <w:t>腾讯云计算（北京）有限责任公司</w:t>
      </w:r>
    </w:p>
    <w:p w14:paraId="7A57AE4C">
      <w:pPr>
        <w:spacing w:after="0" w:line="288" w:lineRule="auto"/>
        <w:ind w:firstLine="420"/>
        <w:rPr>
          <w:rFonts w:ascii="仿宋" w:hAnsi="仿宋" w:eastAsia="仿宋"/>
          <w:color w:val="222222"/>
          <w:sz w:val="21"/>
        </w:rPr>
      </w:pPr>
      <w:r>
        <w:rPr>
          <w:rFonts w:ascii="仿宋" w:hAnsi="仿宋" w:eastAsia="仿宋"/>
          <w:color w:val="222222"/>
          <w:sz w:val="21"/>
          <w:lang w:val="en-US" w:eastAsia="zh-CN"/>
        </w:rPr>
        <w:t>机器之心（北京）科技有限公司</w:t>
      </w:r>
    </w:p>
    <w:p w14:paraId="7E59C08F">
      <w:pPr>
        <w:spacing w:after="0" w:line="288" w:lineRule="auto"/>
        <w:ind w:firstLine="420"/>
        <w:rPr>
          <w:rFonts w:ascii="仿宋" w:hAnsi="仿宋" w:eastAsia="仿宋"/>
          <w:color w:val="222222"/>
          <w:sz w:val="21"/>
        </w:rPr>
      </w:pPr>
      <w:r>
        <w:rPr>
          <w:rFonts w:ascii="仿宋" w:hAnsi="仿宋" w:eastAsia="仿宋"/>
          <w:color w:val="222222"/>
          <w:sz w:val="21"/>
          <w:lang w:val="en-US" w:eastAsia="zh-CN"/>
        </w:rPr>
        <w:t>中国工商银行股份有限公司</w:t>
      </w:r>
    </w:p>
    <w:p w14:paraId="0A9DA841">
      <w:pPr>
        <w:spacing w:after="0" w:line="288" w:lineRule="auto"/>
        <w:ind w:firstLine="420"/>
        <w:rPr>
          <w:rFonts w:ascii="仿宋" w:hAnsi="仿宋" w:eastAsia="仿宋"/>
          <w:color w:val="222222"/>
          <w:sz w:val="21"/>
        </w:rPr>
      </w:pPr>
      <w:r>
        <w:rPr>
          <w:rFonts w:ascii="仿宋" w:hAnsi="仿宋" w:eastAsia="仿宋"/>
          <w:color w:val="222222"/>
          <w:sz w:val="21"/>
          <w:lang w:val="en-US" w:eastAsia="zh-CN"/>
        </w:rPr>
        <w:t>情感机器（北京）科技有限公司</w:t>
      </w:r>
    </w:p>
    <w:p w14:paraId="107BFB6C">
      <w:pPr>
        <w:pStyle w:val="3"/>
        <w:keepNext/>
        <w:spacing w:before="200" w:after="120" w:line="288" w:lineRule="auto"/>
        <w:ind w:firstLine="0"/>
        <w:jc w:val="left"/>
        <w:outlineLvl w:val="0"/>
      </w:pPr>
      <w:bookmarkStart w:id="14" w:name="_Toc1386671945"/>
      <w:r>
        <w:rPr>
          <w:rFonts w:ascii="黑体" w:hAnsi="黑体" w:eastAsia="黑体"/>
          <w:b/>
          <w:color w:val="000000"/>
          <w:sz w:val="28"/>
        </w:rPr>
        <w:t>六、课程开设基础</w:t>
      </w:r>
      <w:bookmarkEnd w:id="13"/>
      <w:bookmarkEnd w:id="14"/>
    </w:p>
    <w:p w14:paraId="3D851EF4">
      <w:pPr>
        <w:spacing w:before="0" w:after="0" w:line="288" w:lineRule="auto"/>
        <w:ind w:firstLine="420"/>
        <w:jc w:val="left"/>
      </w:pPr>
      <w:r>
        <w:rPr>
          <w:rFonts w:ascii="仿宋" w:hAnsi="仿宋" w:eastAsia="仿宋"/>
          <w:b w:val="0"/>
          <w:color w:val="222222"/>
          <w:sz w:val="21"/>
        </w:rPr>
        <w:t>本实训营已具备较好的组织、师资和课程资源基础。在组织方面，他山协会已积累跨学科学术活动、人工智能实训和 Agent4S 线上课程的组织经验，并可依托磐石科学智能生态连接科研机构、技术平台和真实问题；在师资方面，可汇聚中国科学院不同学科领域的科研专家、AI4S 技术人员、课程开发团队和助教力量；在课程资源方面，团队已形成基础课件、论文案例、公开数据集、Jupyter Notebook 实践案例和专题实训模块，具备进一步开展标准化课程开发与集中教学的条件。</w:t>
      </w:r>
    </w:p>
    <w:p w14:paraId="5CC9CA2D">
      <w:pPr>
        <w:pStyle w:val="4"/>
        <w:keepNext/>
        <w:spacing w:before="120" w:after="60" w:line="288" w:lineRule="auto"/>
        <w:ind w:firstLine="0"/>
        <w:jc w:val="left"/>
        <w:outlineLvl w:val="1"/>
      </w:pPr>
      <w:bookmarkStart w:id="15" w:name="_Toc735519038"/>
      <w:bookmarkEnd w:id="15"/>
      <w:bookmarkStart w:id="16" w:name="bm_basis_org"/>
      <w:r>
        <w:rPr>
          <w:rFonts w:ascii="黑体" w:hAnsi="黑体" w:eastAsia="黑体"/>
          <w:b/>
          <w:color w:val="000000"/>
          <w:sz w:val="22"/>
        </w:rPr>
        <w:t>（一）组织基础</w:t>
      </w:r>
      <w:bookmarkEnd w:id="16"/>
    </w:p>
    <w:p w14:paraId="5F1C340B">
      <w:pPr>
        <w:spacing w:before="0" w:after="0" w:line="288" w:lineRule="auto"/>
        <w:ind w:firstLine="420"/>
        <w:jc w:val="left"/>
      </w:pPr>
      <w:r>
        <w:rPr>
          <w:rFonts w:ascii="仿宋" w:hAnsi="仿宋" w:eastAsia="仿宋"/>
          <w:b w:val="0"/>
          <w:color w:val="222222"/>
          <w:sz w:val="21"/>
        </w:rPr>
        <w:t>本实训营具备较为扎实的课程组织、学员动员和持续运营基础。中国科学院大学他山学科交叉创新协会长期围绕学科交叉、人工智能与科学研究开展学术交流、课程培训和科研实践，已连续举办多届学科交叉创新沙龙，覆盖 40 余家高校和科研院所，累计吸引 600 余人次线下参与，形成了跨院所、跨学科的青年科研人才网络。协会还曾组织人工智能实训营、Agent for Science 专题交流及相关实践活动，在课程策划、嘉宾邀请、学员招募、宣传传播、现场组织、助教协调和社群运营等方面积累了较为完整的实施经验。</w:t>
      </w:r>
    </w:p>
    <w:p w14:paraId="05747AF1">
      <w:pPr>
        <w:spacing w:before="0" w:after="0" w:line="288" w:lineRule="auto"/>
        <w:ind w:firstLine="420"/>
        <w:jc w:val="left"/>
      </w:pPr>
      <w:r>
        <w:rPr>
          <w:rFonts w:ascii="仿宋" w:hAnsi="仿宋" w:eastAsia="仿宋"/>
          <w:b w:val="0"/>
          <w:color w:val="222222"/>
          <w:sz w:val="21"/>
        </w:rPr>
        <w:t>在在线课程建设和传播方面，团队已持续开设 Agent4S 系列线上课程，围绕人工智能辅助科研、科研智能体和 AI4S 实践方法等内容开展知识传播，相关内容全网累计播放量超过 300 万，初步形成了具有一定影响力的 AI4S 学习社群和传播渠道，可为本实训营的前期宣传、公开招生、课程预热及线上参与提供基础。</w:t>
      </w:r>
    </w:p>
    <w:p w14:paraId="7B7B1906">
      <w:pPr>
        <w:spacing w:before="0" w:after="0" w:line="288" w:lineRule="auto"/>
        <w:ind w:firstLine="420"/>
        <w:jc w:val="left"/>
      </w:pPr>
      <w:r>
        <w:rPr>
          <w:rFonts w:ascii="仿宋" w:hAnsi="仿宋" w:eastAsia="仿宋"/>
          <w:b w:val="0"/>
          <w:color w:val="222222"/>
          <w:sz w:val="21"/>
        </w:rPr>
        <w:t>实训营还可依托磐石科学智能生态的组织与平台资源，连接中国科学院相关研究所、中国科学院大学有关院系和职能部门，以及新型科研教育机构、科技企业和云计算平台。磐石生态所汇聚的科学数据、模型、工具、计算资源、科研场景和合作团队，可为实训营提供问题征集、案例供给、技术实践、科研参访及后续项目培育等支持。因此，实训营已具备由课程组织、学员社群、科研机构和技术平台共同支撑的实施条件。</w:t>
      </w:r>
    </w:p>
    <w:p w14:paraId="7F77DEB1">
      <w:pPr>
        <w:pStyle w:val="4"/>
        <w:keepNext/>
        <w:spacing w:before="120" w:after="60" w:line="288" w:lineRule="auto"/>
        <w:ind w:firstLine="0"/>
        <w:jc w:val="left"/>
        <w:outlineLvl w:val="1"/>
      </w:pPr>
      <w:bookmarkStart w:id="17" w:name="_Toc952599534"/>
      <w:bookmarkEnd w:id="17"/>
      <w:bookmarkStart w:id="18" w:name="bm_basis_teacher"/>
      <w:r>
        <w:rPr>
          <w:rFonts w:ascii="黑体" w:hAnsi="黑体" w:eastAsia="黑体"/>
          <w:b/>
          <w:color w:val="000000"/>
          <w:sz w:val="22"/>
        </w:rPr>
        <w:t>（二）师资基础</w:t>
      </w:r>
      <w:bookmarkEnd w:id="18"/>
    </w:p>
    <w:p w14:paraId="5CF95EAA">
      <w:pPr>
        <w:spacing w:before="0" w:after="0" w:line="288" w:lineRule="auto"/>
        <w:ind w:firstLine="420"/>
        <w:jc w:val="left"/>
      </w:pPr>
      <w:r>
        <w:rPr>
          <w:rFonts w:ascii="仿宋" w:hAnsi="仿宋" w:eastAsia="仿宋"/>
          <w:b w:val="0"/>
          <w:color w:val="222222"/>
          <w:sz w:val="21"/>
        </w:rPr>
        <w:t>本实训营具备建设多层次师资队伍的基础，可依托磐石科学智能生态和中国科学院跨学科科研体系，汇聚科学模型、科研智能体、科学数据、科研软件、计算平台和自动化实验等方向的专家，同时吸收物理、天文、材料、化学、生命科学、医学和计算机等不同学科领域中已经开展 AI4S 研究的科研人员。</w:t>
      </w:r>
    </w:p>
    <w:p w14:paraId="52F28289">
      <w:pPr>
        <w:spacing w:before="0" w:after="0" w:line="288" w:lineRule="auto"/>
        <w:ind w:firstLine="420"/>
        <w:jc w:val="left"/>
      </w:pPr>
      <w:r>
        <w:rPr>
          <w:rFonts w:ascii="仿宋" w:hAnsi="仿宋" w:eastAsia="仿宋"/>
          <w:b w:val="0"/>
          <w:color w:val="222222"/>
          <w:sz w:val="21"/>
        </w:rPr>
        <w:t>在师资功能上，实训营拟形成由前沿专家、理论教师、案例教师、实训教师、技术助教和项目导师共同组成的教学团队。前沿专家主要介绍 AI4S 发展趋势和代表性科研进展；理论教师负责讲授人工智能、AI4S 方法论、科学模型和科研智能体的基本原理；案例教师结合已经开展的科研工作，讲解科学问题、技术路线、实施过程和结果验证；实训教师与技术助教负责课程环境、代码运行、工具使用和现场指导；项目导师负责对具备持续研究条件的问题开展后续指导。</w:t>
      </w:r>
    </w:p>
    <w:p w14:paraId="53C783FB">
      <w:pPr>
        <w:spacing w:before="0" w:after="0" w:line="288" w:lineRule="auto"/>
        <w:ind w:firstLine="420"/>
        <w:jc w:val="left"/>
      </w:pPr>
      <w:r>
        <w:rPr>
          <w:rFonts w:ascii="仿宋" w:hAnsi="仿宋" w:eastAsia="仿宋"/>
          <w:b w:val="0"/>
          <w:color w:val="222222"/>
          <w:sz w:val="21"/>
        </w:rPr>
        <w:t>中国科学院大学他山学科交叉创新协会的组织成员可作为课程开发和教学实施的重要补充力量。协会成员来自不同学科和培养单位，部分成员已围绕科研智能体、AI4S 问题拆解、科学模型和科研工作流等内容开展研究、课程开发和实践探索，可承担基础内容整理、专题实训开发、助教支持、研讨组织和课后项目陪跑等工作。由专家师资提供学术高度和领域经验，由课程团队负责内容转化和实训实施，由协会成员承担组织与持续陪跑，可形成较为完整的师资协同结构。</w:t>
      </w:r>
    </w:p>
    <w:p w14:paraId="523000D2">
      <w:pPr>
        <w:pStyle w:val="4"/>
        <w:keepNext/>
        <w:spacing w:before="120" w:after="60" w:line="288" w:lineRule="auto"/>
        <w:ind w:firstLine="0"/>
        <w:jc w:val="left"/>
        <w:outlineLvl w:val="1"/>
      </w:pPr>
      <w:bookmarkStart w:id="19" w:name="_Toc849779553"/>
      <w:bookmarkEnd w:id="19"/>
      <w:bookmarkStart w:id="20" w:name="bm_basis_res"/>
      <w:r>
        <w:rPr>
          <w:rFonts w:ascii="黑体" w:hAnsi="黑体" w:eastAsia="黑体"/>
          <w:b/>
          <w:color w:val="000000"/>
          <w:sz w:val="22"/>
        </w:rPr>
        <w:t>（三）课程资源基础</w:t>
      </w:r>
      <w:bookmarkEnd w:id="20"/>
    </w:p>
    <w:p w14:paraId="5B037E8C">
      <w:pPr>
        <w:spacing w:before="0" w:after="0" w:line="288" w:lineRule="auto"/>
        <w:ind w:firstLine="420"/>
        <w:jc w:val="left"/>
      </w:pPr>
      <w:r>
        <w:rPr>
          <w:rFonts w:ascii="仿宋" w:hAnsi="仿宋" w:eastAsia="仿宋"/>
          <w:b w:val="0"/>
          <w:color w:val="222222"/>
          <w:sz w:val="21"/>
        </w:rPr>
        <w:t>课程团队已围绕人工智能与 AI4S 基础认知、科研智能体和科学模型等内容开展前期积累，具备一定的课程资源和实践素材。目前已经形成或正在系统整理的课程资源主要包括：</w:t>
      </w:r>
    </w:p>
    <w:p w14:paraId="2321E041">
      <w:pPr>
        <w:spacing w:before="0" w:after="0" w:line="288" w:lineRule="auto"/>
        <w:ind w:left="420" w:firstLine="420"/>
        <w:jc w:val="left"/>
      </w:pPr>
      <w:r>
        <w:rPr>
          <w:rFonts w:ascii="仿宋" w:hAnsi="仿宋" w:eastAsia="仿宋"/>
          <w:color w:val="222222"/>
          <w:sz w:val="21"/>
        </w:rPr>
        <w:t>● 人工智能与 AI4S 基础课件；</w:t>
      </w:r>
    </w:p>
    <w:p w14:paraId="63A7BB77">
      <w:pPr>
        <w:spacing w:before="0" w:after="0" w:line="288" w:lineRule="auto"/>
        <w:ind w:left="420" w:firstLine="420"/>
        <w:jc w:val="left"/>
      </w:pPr>
      <w:r>
        <w:rPr>
          <w:rFonts w:ascii="仿宋" w:hAnsi="仿宋" w:eastAsia="仿宋"/>
          <w:color w:val="222222"/>
          <w:sz w:val="21"/>
        </w:rPr>
        <w:t>● Agent4S 线上系列课程及相关讲解材料；</w:t>
      </w:r>
    </w:p>
    <w:p w14:paraId="55452F7E">
      <w:pPr>
        <w:spacing w:before="0" w:after="0" w:line="288" w:lineRule="auto"/>
        <w:ind w:left="420" w:firstLine="420"/>
        <w:jc w:val="left"/>
      </w:pPr>
      <w:r>
        <w:rPr>
          <w:rFonts w:ascii="仿宋" w:hAnsi="仿宋" w:eastAsia="仿宋"/>
          <w:color w:val="222222"/>
          <w:sz w:val="21"/>
        </w:rPr>
        <w:t>● AI4S 领域代表性论文和典型科研案例；</w:t>
      </w:r>
    </w:p>
    <w:p w14:paraId="45DD3022">
      <w:pPr>
        <w:spacing w:before="0" w:after="0" w:line="288" w:lineRule="auto"/>
        <w:ind w:left="420" w:firstLine="420"/>
        <w:jc w:val="left"/>
      </w:pPr>
      <w:r>
        <w:rPr>
          <w:rFonts w:ascii="仿宋" w:hAnsi="仿宋" w:eastAsia="仿宋"/>
          <w:color w:val="222222"/>
          <w:sz w:val="21"/>
        </w:rPr>
        <w:t>● 可用于教学和实践的公开科学数据集；</w:t>
      </w:r>
    </w:p>
    <w:p w14:paraId="2973D7FD">
      <w:pPr>
        <w:spacing w:before="0" w:after="0" w:line="288" w:lineRule="auto"/>
        <w:ind w:left="420" w:firstLine="420"/>
        <w:jc w:val="left"/>
      </w:pPr>
      <w:r>
        <w:rPr>
          <w:rFonts w:ascii="仿宋" w:hAnsi="仿宋" w:eastAsia="仿宋"/>
          <w:color w:val="222222"/>
          <w:sz w:val="21"/>
        </w:rPr>
        <w:t>● Jupyter Notebook 实践案例；</w:t>
      </w:r>
    </w:p>
    <w:p w14:paraId="750E7B84">
      <w:pPr>
        <w:spacing w:before="0" w:after="0" w:line="288" w:lineRule="auto"/>
        <w:ind w:left="420" w:firstLine="420"/>
        <w:jc w:val="left"/>
      </w:pPr>
      <w:r>
        <w:rPr>
          <w:rFonts w:ascii="仿宋" w:hAnsi="仿宋" w:eastAsia="仿宋"/>
          <w:color w:val="222222"/>
          <w:sz w:val="21"/>
        </w:rPr>
        <w:t>● 科研智能体搭建、知识库构建和科研工具调用的基础案例；</w:t>
      </w:r>
    </w:p>
    <w:p w14:paraId="0F240CF0">
      <w:pPr>
        <w:spacing w:before="0" w:after="0" w:line="288" w:lineRule="auto"/>
        <w:ind w:left="420" w:firstLine="420"/>
        <w:jc w:val="left"/>
      </w:pPr>
      <w:r>
        <w:rPr>
          <w:rFonts w:ascii="仿宋" w:hAnsi="仿宋" w:eastAsia="仿宋"/>
          <w:color w:val="222222"/>
          <w:sz w:val="21"/>
        </w:rPr>
        <w:t>● 科学数据处理、基线模型训练和模型评测的示范代码；</w:t>
      </w:r>
    </w:p>
    <w:p w14:paraId="126DC9D2">
      <w:pPr>
        <w:spacing w:before="0" w:after="0" w:line="288" w:lineRule="auto"/>
        <w:ind w:left="420" w:firstLine="420"/>
        <w:jc w:val="left"/>
      </w:pPr>
      <w:r>
        <w:rPr>
          <w:rFonts w:ascii="仿宋" w:hAnsi="仿宋" w:eastAsia="仿宋"/>
          <w:color w:val="222222"/>
          <w:sz w:val="21"/>
        </w:rPr>
        <w:t>● 部分实训环境、操作脚本和常见问题说明。</w:t>
      </w:r>
    </w:p>
    <w:p w14:paraId="26032DED">
      <w:pPr>
        <w:spacing w:before="0" w:after="0" w:line="288" w:lineRule="auto"/>
        <w:ind w:firstLine="420"/>
        <w:jc w:val="left"/>
      </w:pPr>
      <w:r>
        <w:rPr>
          <w:rFonts w:ascii="仿宋" w:hAnsi="仿宋" w:eastAsia="仿宋"/>
          <w:b w:val="0"/>
          <w:color w:val="222222"/>
          <w:sz w:val="21"/>
        </w:rPr>
        <w:t>在课程结构方面，团队已围绕科研智能体、AI for Science 科研方法论、科学模型和自驱动的端到端科研闭环四个专题形成初步课程框架，并自主设计科研智能体搭建、智能体记忆与科研知识库、科研工具链与文献研究工作流、AI-ready 任务定义、可信科研基线、典型科学数据建模以及 AI4S 前沿模型等专题实训模块。相关模块已初步明确教学目标、主要内容、实训任务、预期成果和建议时长，为进一步形成正式课程提供了基础。</w:t>
      </w:r>
    </w:p>
    <w:p w14:paraId="0A859393">
      <w:pPr>
        <w:spacing w:before="0" w:after="0" w:line="288" w:lineRule="auto"/>
        <w:ind w:firstLine="420"/>
        <w:jc w:val="left"/>
      </w:pPr>
      <w:r>
        <w:rPr>
          <w:rFonts w:ascii="仿宋" w:hAnsi="仿宋" w:eastAsia="仿宋"/>
          <w:b w:val="0"/>
          <w:color w:val="222222"/>
          <w:sz w:val="21"/>
        </w:rPr>
        <w:t>下一步，课程团队将在现有资源基础上，按照可教学、可运行、可复现和可迭代的要求，进一步完善课程大纲、教案、PPT、授课脚本、数据集、代码、Jupyter Notebook、环境配置说明、习题、标准输出、评价标准和助教手册，逐步形成一套能够重复开设、持续更新并可根据不同学科需求进行适配的 AI4S 课程资源体系。对于涉及未公开数据、科研软件或合作单位内部资源的案例，将根据授权和实际条件确定具体开放范围。</w:t>
      </w:r>
    </w:p>
    <w:p w14:paraId="099AA1C1">
      <w:pPr>
        <w:pStyle w:val="3"/>
        <w:keepNext/>
        <w:spacing w:before="200" w:after="120" w:line="288" w:lineRule="auto"/>
        <w:ind w:firstLine="0"/>
        <w:jc w:val="left"/>
        <w:outlineLvl w:val="0"/>
      </w:pPr>
      <w:bookmarkStart w:id="21" w:name="_Toc1478694721"/>
      <w:bookmarkEnd w:id="21"/>
      <w:bookmarkStart w:id="22" w:name="_Toc1302842371"/>
      <w:bookmarkStart w:id="23" w:name="bm_plan"/>
      <w:r>
        <w:rPr>
          <w:rFonts w:ascii="黑体" w:hAnsi="黑体" w:eastAsia="黑体"/>
          <w:b/>
          <w:color w:val="000000"/>
          <w:sz w:val="28"/>
        </w:rPr>
        <w:t>七、实施计划</w:t>
      </w:r>
      <w:bookmarkEnd w:id="22"/>
      <w:bookmarkEnd w:id="23"/>
    </w:p>
    <w:tbl>
      <w:tblPr>
        <w:tblStyle w:val="35"/>
        <w:tblW w:w="8842" w:type="dxa"/>
        <w:jc w:val="center"/>
        <w:tblBorders>
          <w:top w:val="single" w:color="B7C9D6" w:sz="4" w:space="0"/>
          <w:left w:val="single" w:color="B7C9D6" w:sz="4" w:space="0"/>
          <w:bottom w:val="single" w:color="B7C9D6" w:sz="4" w:space="0"/>
          <w:right w:val="single" w:color="B7C9D6" w:sz="4" w:space="0"/>
          <w:insideH w:val="single" w:color="B7C9D6" w:sz="4" w:space="0"/>
          <w:insideV w:val="single" w:color="B7C9D6" w:sz="4" w:space="0"/>
        </w:tblBorders>
        <w:tblLayout w:type="autofit"/>
        <w:tblCellMar>
          <w:top w:w="0" w:type="dxa"/>
          <w:left w:w="108" w:type="dxa"/>
          <w:bottom w:w="0" w:type="dxa"/>
          <w:right w:w="108" w:type="dxa"/>
        </w:tblCellMar>
      </w:tblPr>
      <w:tblGrid>
        <w:gridCol w:w="1133"/>
        <w:gridCol w:w="1530"/>
        <w:gridCol w:w="6179"/>
      </w:tblGrid>
      <w:tr w14:paraId="78CC3A2C">
        <w:trPr>
          <w:cantSplit/>
          <w:tblHeader/>
          <w:jc w:val="center"/>
        </w:trPr>
        <w:tc>
          <w:tcPr>
            <w:tcW w:w="1133" w:type="dxa"/>
            <w:shd w:val="clear" w:color="auto" w:fill="D9D9D9"/>
            <w:tcMar>
              <w:top w:w="70" w:type="dxa"/>
              <w:left w:w="78" w:type="dxa"/>
              <w:bottom w:w="70" w:type="dxa"/>
              <w:right w:w="78" w:type="dxa"/>
            </w:tcMar>
            <w:vAlign w:val="center"/>
          </w:tcPr>
          <w:p w14:paraId="5639904C">
            <w:pPr>
              <w:spacing w:before="0" w:after="0" w:line="240" w:lineRule="auto"/>
              <w:ind w:firstLine="0"/>
              <w:jc w:val="center"/>
              <w:rPr>
                <w:color w:val="000000" w:themeColor="text1" w:themeShade="BF"/>
              </w:rPr>
            </w:pPr>
            <w:r>
              <w:rPr>
                <w:rFonts w:ascii="仿宋" w:hAnsi="仿宋" w:eastAsia="仿宋"/>
                <w:b/>
                <w:color w:val="000000"/>
                <w:sz w:val="18"/>
              </w:rPr>
              <w:t>阶段</w:t>
            </w:r>
          </w:p>
        </w:tc>
        <w:tc>
          <w:tcPr>
            <w:tcW w:w="1530" w:type="dxa"/>
            <w:shd w:val="clear" w:color="auto" w:fill="D9D9D9"/>
            <w:tcMar>
              <w:top w:w="70" w:type="dxa"/>
              <w:left w:w="78" w:type="dxa"/>
              <w:bottom w:w="70" w:type="dxa"/>
              <w:right w:w="78" w:type="dxa"/>
            </w:tcMar>
            <w:vAlign w:val="center"/>
          </w:tcPr>
          <w:p w14:paraId="713DE358">
            <w:pPr>
              <w:spacing w:before="0" w:after="0" w:line="240" w:lineRule="auto"/>
              <w:ind w:firstLine="0"/>
              <w:jc w:val="center"/>
              <w:rPr>
                <w:color w:val="000000" w:themeColor="text1" w:themeShade="BF"/>
              </w:rPr>
            </w:pPr>
            <w:r>
              <w:rPr>
                <w:rFonts w:ascii="仿宋" w:hAnsi="仿宋" w:eastAsia="仿宋"/>
                <w:b/>
                <w:color w:val="000000"/>
                <w:sz w:val="18"/>
              </w:rPr>
              <w:t>时间</w:t>
            </w:r>
          </w:p>
        </w:tc>
        <w:tc>
          <w:tcPr>
            <w:tcW w:w="6179" w:type="dxa"/>
            <w:shd w:val="clear" w:color="auto" w:fill="D9D9D9"/>
            <w:tcMar>
              <w:top w:w="70" w:type="dxa"/>
              <w:left w:w="78" w:type="dxa"/>
              <w:bottom w:w="70" w:type="dxa"/>
              <w:right w:w="78" w:type="dxa"/>
            </w:tcMar>
            <w:vAlign w:val="center"/>
          </w:tcPr>
          <w:p w14:paraId="0659EC74">
            <w:pPr>
              <w:spacing w:before="0" w:after="0" w:line="240" w:lineRule="auto"/>
              <w:ind w:firstLine="0"/>
              <w:jc w:val="center"/>
              <w:rPr>
                <w:color w:val="000000" w:themeColor="text1" w:themeShade="BF"/>
              </w:rPr>
            </w:pPr>
            <w:r>
              <w:rPr>
                <w:rFonts w:ascii="仿宋" w:hAnsi="仿宋" w:eastAsia="仿宋"/>
                <w:b/>
                <w:color w:val="000000"/>
                <w:sz w:val="18"/>
              </w:rPr>
              <w:t>主要任务</w:t>
            </w:r>
          </w:p>
        </w:tc>
      </w:tr>
      <w:tr w14:paraId="732E9806">
        <w:trPr>
          <w:cantSplit/>
          <w:jc w:val="center"/>
        </w:trPr>
        <w:tc>
          <w:tcPr>
            <w:tcW w:w="1133" w:type="dxa"/>
            <w:tcMar>
              <w:top w:w="60" w:type="dxa"/>
              <w:left w:w="80" w:type="dxa"/>
              <w:bottom w:w="60" w:type="dxa"/>
              <w:right w:w="80" w:type="dxa"/>
            </w:tcMar>
            <w:vAlign w:val="center"/>
          </w:tcPr>
          <w:p w14:paraId="35D24D54">
            <w:pPr>
              <w:spacing w:before="0" w:after="0" w:line="240" w:lineRule="auto"/>
              <w:ind w:firstLine="0"/>
              <w:jc w:val="center"/>
              <w:rPr>
                <w:color w:val="000000" w:themeColor="text1" w:themeShade="BF"/>
              </w:rPr>
            </w:pPr>
            <w:r>
              <w:rPr>
                <w:rFonts w:ascii="仿宋" w:hAnsi="仿宋" w:eastAsia="仿宋"/>
                <w:b w:val="0"/>
                <w:color w:val="000000"/>
                <w:sz w:val="18"/>
              </w:rPr>
              <w:t>实训营立项</w:t>
            </w:r>
          </w:p>
        </w:tc>
        <w:tc>
          <w:tcPr>
            <w:tcW w:w="1530" w:type="dxa"/>
            <w:tcMar>
              <w:top w:w="60" w:type="dxa"/>
              <w:left w:w="80" w:type="dxa"/>
              <w:bottom w:w="60" w:type="dxa"/>
              <w:right w:w="80" w:type="dxa"/>
            </w:tcMar>
            <w:vAlign w:val="center"/>
          </w:tcPr>
          <w:p w14:paraId="4A94BF12">
            <w:pPr>
              <w:spacing w:before="0" w:after="0" w:line="240" w:lineRule="auto"/>
              <w:ind w:firstLine="0"/>
              <w:jc w:val="center"/>
              <w:rPr>
                <w:color w:val="000000" w:themeColor="text1" w:themeShade="BF"/>
              </w:rPr>
            </w:pPr>
            <w:r>
              <w:rPr>
                <w:rFonts w:ascii="仿宋" w:hAnsi="仿宋" w:eastAsia="仿宋"/>
                <w:b w:val="0"/>
                <w:color w:val="000000"/>
                <w:sz w:val="18"/>
              </w:rPr>
              <w:t>7 月 12 日—7 月 31 日</w:t>
            </w:r>
          </w:p>
        </w:tc>
        <w:tc>
          <w:tcPr>
            <w:tcW w:w="6179" w:type="dxa"/>
            <w:tcMar>
              <w:top w:w="60" w:type="dxa"/>
              <w:left w:w="80" w:type="dxa"/>
              <w:bottom w:w="60" w:type="dxa"/>
              <w:right w:w="80" w:type="dxa"/>
            </w:tcMar>
            <w:vAlign w:val="center"/>
          </w:tcPr>
          <w:p w14:paraId="3A660CDF">
            <w:pPr>
              <w:spacing w:before="0" w:after="0" w:line="240" w:lineRule="auto"/>
              <w:ind w:firstLine="0"/>
              <w:jc w:val="left"/>
              <w:rPr>
                <w:color w:val="000000" w:themeColor="text1" w:themeShade="BF"/>
              </w:rPr>
            </w:pPr>
            <w:r>
              <w:rPr>
                <w:rFonts w:ascii="仿宋" w:hAnsi="仿宋" w:eastAsia="仿宋"/>
                <w:b w:val="0"/>
                <w:color w:val="000000"/>
                <w:sz w:val="18"/>
              </w:rPr>
              <w:t>明确实训营建设定位、培养目标和总体思路；取得有关领导及核心发起单位支持；成立筹备工作组，明确总体负责人和初步分工。</w:t>
            </w:r>
          </w:p>
        </w:tc>
      </w:tr>
      <w:tr w14:paraId="793B5EBC">
        <w:trPr>
          <w:cantSplit/>
          <w:jc w:val="center"/>
        </w:trPr>
        <w:tc>
          <w:tcPr>
            <w:tcW w:w="1133" w:type="dxa"/>
            <w:tcMar>
              <w:top w:w="60" w:type="dxa"/>
              <w:left w:w="80" w:type="dxa"/>
              <w:bottom w:w="60" w:type="dxa"/>
              <w:right w:w="80" w:type="dxa"/>
            </w:tcMar>
            <w:vAlign w:val="center"/>
          </w:tcPr>
          <w:p w14:paraId="6008FF5D">
            <w:pPr>
              <w:spacing w:before="0" w:after="0" w:line="240" w:lineRule="auto"/>
              <w:ind w:firstLine="0"/>
              <w:jc w:val="center"/>
              <w:rPr>
                <w:color w:val="000000" w:themeColor="text1" w:themeShade="BF"/>
              </w:rPr>
            </w:pPr>
            <w:r>
              <w:rPr>
                <w:rFonts w:ascii="仿宋" w:hAnsi="仿宋" w:eastAsia="仿宋"/>
                <w:b w:val="0"/>
                <w:color w:val="000000"/>
                <w:sz w:val="18"/>
              </w:rPr>
              <w:t>实训营建设</w:t>
            </w:r>
          </w:p>
        </w:tc>
        <w:tc>
          <w:tcPr>
            <w:tcW w:w="1530" w:type="dxa"/>
            <w:tcMar>
              <w:top w:w="60" w:type="dxa"/>
              <w:left w:w="80" w:type="dxa"/>
              <w:bottom w:w="60" w:type="dxa"/>
              <w:right w:w="80" w:type="dxa"/>
            </w:tcMar>
            <w:vAlign w:val="center"/>
          </w:tcPr>
          <w:p w14:paraId="74145EBF">
            <w:pPr>
              <w:spacing w:before="0" w:after="0" w:line="240" w:lineRule="auto"/>
              <w:ind w:firstLine="0"/>
              <w:jc w:val="center"/>
              <w:rPr>
                <w:color w:val="000000" w:themeColor="text1" w:themeShade="BF"/>
              </w:rPr>
            </w:pPr>
            <w:r>
              <w:rPr>
                <w:rFonts w:ascii="仿宋" w:hAnsi="仿宋" w:eastAsia="仿宋"/>
                <w:b w:val="0"/>
                <w:color w:val="000000"/>
                <w:sz w:val="18"/>
              </w:rPr>
              <w:t>7 月 12 日—7 月 31 日</w:t>
            </w:r>
          </w:p>
        </w:tc>
        <w:tc>
          <w:tcPr>
            <w:tcW w:w="6179" w:type="dxa"/>
            <w:tcMar>
              <w:top w:w="60" w:type="dxa"/>
              <w:left w:w="80" w:type="dxa"/>
              <w:bottom w:w="60" w:type="dxa"/>
              <w:right w:w="80" w:type="dxa"/>
            </w:tcMar>
            <w:vAlign w:val="center"/>
          </w:tcPr>
          <w:p w14:paraId="665ED673">
            <w:pPr>
              <w:spacing w:before="0" w:after="0" w:line="240" w:lineRule="auto"/>
              <w:ind w:firstLine="0"/>
              <w:jc w:val="left"/>
              <w:rPr>
                <w:color w:val="000000" w:themeColor="text1" w:themeShade="BF"/>
              </w:rPr>
            </w:pPr>
            <w:r>
              <w:rPr>
                <w:rFonts w:ascii="仿宋" w:hAnsi="仿宋" w:eastAsia="仿宋"/>
                <w:b w:val="0"/>
                <w:color w:val="000000"/>
                <w:sz w:val="18"/>
              </w:rPr>
              <w:t>完善实训营总体方案，明确课程框架、培养模式、授课对象、招生方式、组织单位和实施机制；形成课程模块清单、拟邀请师资和代表性案例清单；联系合作单位、授课教师、赞助方和技术支持方；同步完成实训营网站、报名系统、问题征集与课程信息展示等基础设施建设。</w:t>
            </w:r>
          </w:p>
        </w:tc>
      </w:tr>
      <w:tr w14:paraId="3B52B40F">
        <w:trPr>
          <w:cantSplit/>
          <w:jc w:val="center"/>
        </w:trPr>
        <w:tc>
          <w:tcPr>
            <w:tcW w:w="1133" w:type="dxa"/>
            <w:tcMar>
              <w:top w:w="60" w:type="dxa"/>
              <w:left w:w="80" w:type="dxa"/>
              <w:bottom w:w="60" w:type="dxa"/>
              <w:right w:w="80" w:type="dxa"/>
            </w:tcMar>
            <w:vAlign w:val="center"/>
          </w:tcPr>
          <w:p w14:paraId="1D8E32A2">
            <w:pPr>
              <w:spacing w:before="0" w:after="0" w:line="240" w:lineRule="auto"/>
              <w:ind w:firstLine="0"/>
              <w:jc w:val="center"/>
              <w:rPr>
                <w:color w:val="000000" w:themeColor="text1" w:themeShade="BF"/>
              </w:rPr>
            </w:pPr>
            <w:r>
              <w:rPr>
                <w:rFonts w:ascii="仿宋" w:hAnsi="仿宋" w:eastAsia="仿宋"/>
                <w:b w:val="0"/>
                <w:color w:val="000000"/>
                <w:sz w:val="18"/>
              </w:rPr>
              <w:t>课程备课</w:t>
            </w:r>
          </w:p>
        </w:tc>
        <w:tc>
          <w:tcPr>
            <w:tcW w:w="1530" w:type="dxa"/>
            <w:tcMar>
              <w:top w:w="60" w:type="dxa"/>
              <w:left w:w="80" w:type="dxa"/>
              <w:bottom w:w="60" w:type="dxa"/>
              <w:right w:w="80" w:type="dxa"/>
            </w:tcMar>
            <w:vAlign w:val="center"/>
          </w:tcPr>
          <w:p w14:paraId="186702EE">
            <w:pPr>
              <w:spacing w:before="0" w:after="0" w:line="240" w:lineRule="auto"/>
              <w:ind w:firstLine="0"/>
              <w:jc w:val="center"/>
              <w:rPr>
                <w:color w:val="000000" w:themeColor="text1" w:themeShade="BF"/>
              </w:rPr>
            </w:pPr>
            <w:r>
              <w:rPr>
                <w:rFonts w:ascii="仿宋" w:hAnsi="仿宋" w:eastAsia="仿宋"/>
                <w:b w:val="0"/>
                <w:color w:val="000000"/>
                <w:sz w:val="18"/>
              </w:rPr>
              <w:t>8 月 1 日—8 月 22 日</w:t>
            </w:r>
          </w:p>
        </w:tc>
        <w:tc>
          <w:tcPr>
            <w:tcW w:w="6179" w:type="dxa"/>
            <w:tcMar>
              <w:top w:w="60" w:type="dxa"/>
              <w:left w:w="80" w:type="dxa"/>
              <w:bottom w:w="60" w:type="dxa"/>
              <w:right w:w="80" w:type="dxa"/>
            </w:tcMar>
            <w:vAlign w:val="center"/>
          </w:tcPr>
          <w:p w14:paraId="23985CD7">
            <w:pPr>
              <w:spacing w:before="0" w:after="0" w:line="240" w:lineRule="auto"/>
              <w:ind w:firstLine="0"/>
              <w:jc w:val="left"/>
              <w:rPr>
                <w:color w:val="000000" w:themeColor="text1" w:themeShade="BF"/>
              </w:rPr>
            </w:pPr>
            <w:r>
              <w:rPr>
                <w:rFonts w:ascii="仿宋" w:hAnsi="仿宋" w:eastAsia="仿宋"/>
                <w:b w:val="0"/>
                <w:color w:val="000000"/>
                <w:sz w:val="18"/>
              </w:rPr>
              <w:t>根据课程大纲开展自主开发与联合备课，完善教案、PPT、授课脚本、案例材料、数据、代码、Jupyter Notebook 和实训环境；明确教师与助教分工，开展内部试讲、实训测试和课程衔接调整。</w:t>
            </w:r>
          </w:p>
        </w:tc>
      </w:tr>
      <w:tr w14:paraId="1BEA480B">
        <w:trPr>
          <w:cantSplit/>
          <w:jc w:val="center"/>
        </w:trPr>
        <w:tc>
          <w:tcPr>
            <w:tcW w:w="1133" w:type="dxa"/>
            <w:tcMar>
              <w:top w:w="60" w:type="dxa"/>
              <w:left w:w="80" w:type="dxa"/>
              <w:bottom w:w="60" w:type="dxa"/>
              <w:right w:w="80" w:type="dxa"/>
            </w:tcMar>
            <w:vAlign w:val="center"/>
          </w:tcPr>
          <w:p w14:paraId="7471B09A">
            <w:pPr>
              <w:spacing w:before="0" w:after="0" w:line="240" w:lineRule="auto"/>
              <w:ind w:firstLine="0"/>
              <w:jc w:val="center"/>
              <w:rPr>
                <w:color w:val="000000" w:themeColor="text1" w:themeShade="BF"/>
              </w:rPr>
            </w:pPr>
            <w:r>
              <w:rPr>
                <w:rFonts w:ascii="仿宋" w:hAnsi="仿宋" w:eastAsia="仿宋"/>
                <w:b w:val="0"/>
                <w:color w:val="000000"/>
                <w:sz w:val="18"/>
              </w:rPr>
              <w:t>招生组织</w:t>
            </w:r>
          </w:p>
        </w:tc>
        <w:tc>
          <w:tcPr>
            <w:tcW w:w="1530" w:type="dxa"/>
            <w:tcMar>
              <w:top w:w="60" w:type="dxa"/>
              <w:left w:w="80" w:type="dxa"/>
              <w:bottom w:w="60" w:type="dxa"/>
              <w:right w:w="80" w:type="dxa"/>
            </w:tcMar>
            <w:vAlign w:val="center"/>
          </w:tcPr>
          <w:p w14:paraId="32AEF31B">
            <w:pPr>
              <w:spacing w:before="0" w:after="0" w:line="240" w:lineRule="auto"/>
              <w:ind w:firstLine="0"/>
              <w:jc w:val="center"/>
              <w:rPr>
                <w:color w:val="000000" w:themeColor="text1" w:themeShade="BF"/>
              </w:rPr>
            </w:pPr>
            <w:r>
              <w:rPr>
                <w:rFonts w:ascii="仿宋" w:hAnsi="仿宋" w:eastAsia="仿宋"/>
                <w:b w:val="0"/>
                <w:color w:val="000000"/>
                <w:sz w:val="18"/>
              </w:rPr>
              <w:t>8 月 1 日—8 月 22 日</w:t>
            </w:r>
          </w:p>
        </w:tc>
        <w:tc>
          <w:tcPr>
            <w:tcW w:w="6179" w:type="dxa"/>
            <w:tcMar>
              <w:top w:w="60" w:type="dxa"/>
              <w:left w:w="80" w:type="dxa"/>
              <w:bottom w:w="60" w:type="dxa"/>
              <w:right w:w="80" w:type="dxa"/>
            </w:tcMar>
            <w:vAlign w:val="center"/>
          </w:tcPr>
          <w:p w14:paraId="3DA10CCD">
            <w:pPr>
              <w:spacing w:before="0" w:after="0" w:line="240" w:lineRule="auto"/>
              <w:ind w:firstLine="0"/>
              <w:jc w:val="left"/>
              <w:rPr>
                <w:color w:val="000000" w:themeColor="text1" w:themeShade="BF"/>
              </w:rPr>
            </w:pPr>
            <w:r>
              <w:rPr>
                <w:rFonts w:ascii="仿宋" w:hAnsi="仿宋" w:eastAsia="仿宋"/>
                <w:b w:val="0"/>
                <w:color w:val="000000"/>
                <w:sz w:val="18"/>
              </w:rPr>
              <w:t>发布招生简章并开展宣传推广；接收和审核报名材料，收集学员科研方向、技术基础、课程兴趣和问题选择；确定线上参与、线下集中学习及研讨学员名单，并根据学科背景和问题方向完成初步分组。</w:t>
            </w:r>
          </w:p>
        </w:tc>
      </w:tr>
      <w:tr w14:paraId="2F60C224">
        <w:trPr>
          <w:cantSplit/>
          <w:jc w:val="center"/>
        </w:trPr>
        <w:tc>
          <w:tcPr>
            <w:tcW w:w="1133" w:type="dxa"/>
            <w:tcMar>
              <w:top w:w="60" w:type="dxa"/>
              <w:left w:w="80" w:type="dxa"/>
              <w:bottom w:w="60" w:type="dxa"/>
              <w:right w:w="80" w:type="dxa"/>
            </w:tcMar>
            <w:vAlign w:val="center"/>
          </w:tcPr>
          <w:p w14:paraId="64635DBA">
            <w:pPr>
              <w:spacing w:before="0" w:after="0" w:line="240" w:lineRule="auto"/>
              <w:ind w:firstLine="0"/>
              <w:jc w:val="center"/>
              <w:rPr>
                <w:color w:val="000000" w:themeColor="text1" w:themeShade="BF"/>
              </w:rPr>
            </w:pPr>
            <w:r>
              <w:rPr>
                <w:rFonts w:ascii="仿宋" w:hAnsi="仿宋" w:eastAsia="仿宋"/>
                <w:b w:val="0"/>
                <w:color w:val="000000"/>
                <w:sz w:val="18"/>
              </w:rPr>
              <w:t>实施准备</w:t>
            </w:r>
          </w:p>
        </w:tc>
        <w:tc>
          <w:tcPr>
            <w:tcW w:w="1530" w:type="dxa"/>
            <w:tcMar>
              <w:top w:w="60" w:type="dxa"/>
              <w:left w:w="80" w:type="dxa"/>
              <w:bottom w:w="60" w:type="dxa"/>
              <w:right w:w="80" w:type="dxa"/>
            </w:tcMar>
            <w:vAlign w:val="center"/>
          </w:tcPr>
          <w:p w14:paraId="3F8C4FA5">
            <w:pPr>
              <w:spacing w:before="0" w:after="0" w:line="240" w:lineRule="auto"/>
              <w:ind w:firstLine="0"/>
              <w:jc w:val="center"/>
              <w:rPr>
                <w:color w:val="000000" w:themeColor="text1" w:themeShade="BF"/>
              </w:rPr>
            </w:pPr>
            <w:r>
              <w:rPr>
                <w:rFonts w:ascii="仿宋" w:hAnsi="仿宋" w:eastAsia="仿宋"/>
                <w:b w:val="0"/>
                <w:color w:val="000000"/>
                <w:sz w:val="18"/>
              </w:rPr>
              <w:t>8 月 1 日—8 月 22 日</w:t>
            </w:r>
          </w:p>
        </w:tc>
        <w:tc>
          <w:tcPr>
            <w:tcW w:w="6179" w:type="dxa"/>
            <w:tcMar>
              <w:top w:w="60" w:type="dxa"/>
              <w:left w:w="80" w:type="dxa"/>
              <w:bottom w:w="60" w:type="dxa"/>
              <w:right w:w="80" w:type="dxa"/>
            </w:tcMar>
            <w:vAlign w:val="center"/>
          </w:tcPr>
          <w:p w14:paraId="3418A272">
            <w:pPr>
              <w:spacing w:before="0" w:after="0" w:line="240" w:lineRule="auto"/>
              <w:ind w:firstLine="0"/>
              <w:jc w:val="left"/>
              <w:rPr>
                <w:color w:val="000000" w:themeColor="text1" w:themeShade="BF"/>
              </w:rPr>
            </w:pPr>
            <w:r>
              <w:rPr>
                <w:rFonts w:ascii="仿宋" w:hAnsi="仿宋" w:eastAsia="仿宋"/>
                <w:b w:val="0"/>
                <w:color w:val="000000"/>
                <w:sz w:val="18"/>
              </w:rPr>
              <w:t>完成场地、直播录制、网络、算力、设备和课程资料准备；组织学员完成课前预习、账号注册和环境配置；确认教师、助教、主持及会务排班；落实参访单位、交通安排、安全保障和应急预案。</w:t>
            </w:r>
          </w:p>
        </w:tc>
      </w:tr>
      <w:tr w14:paraId="2D763194">
        <w:trPr>
          <w:cantSplit/>
          <w:jc w:val="center"/>
        </w:trPr>
        <w:tc>
          <w:tcPr>
            <w:tcW w:w="1133" w:type="dxa"/>
            <w:tcMar>
              <w:top w:w="60" w:type="dxa"/>
              <w:left w:w="80" w:type="dxa"/>
              <w:bottom w:w="60" w:type="dxa"/>
              <w:right w:w="80" w:type="dxa"/>
            </w:tcMar>
            <w:vAlign w:val="center"/>
          </w:tcPr>
          <w:p w14:paraId="3C43A87E">
            <w:pPr>
              <w:spacing w:before="0" w:after="0" w:line="240" w:lineRule="auto"/>
              <w:ind w:firstLine="0"/>
              <w:jc w:val="center"/>
              <w:rPr>
                <w:color w:val="000000" w:themeColor="text1" w:themeShade="BF"/>
              </w:rPr>
            </w:pPr>
            <w:r>
              <w:rPr>
                <w:rFonts w:ascii="仿宋" w:hAnsi="仿宋" w:eastAsia="仿宋"/>
                <w:b w:val="0"/>
                <w:color w:val="000000"/>
                <w:sz w:val="18"/>
              </w:rPr>
              <w:t>正式授课</w:t>
            </w:r>
          </w:p>
        </w:tc>
        <w:tc>
          <w:tcPr>
            <w:tcW w:w="1530" w:type="dxa"/>
            <w:tcMar>
              <w:top w:w="60" w:type="dxa"/>
              <w:left w:w="80" w:type="dxa"/>
              <w:bottom w:w="60" w:type="dxa"/>
              <w:right w:w="80" w:type="dxa"/>
            </w:tcMar>
            <w:vAlign w:val="center"/>
          </w:tcPr>
          <w:p w14:paraId="67730DBA">
            <w:pPr>
              <w:spacing w:before="0" w:after="0" w:line="240" w:lineRule="auto"/>
              <w:ind w:firstLine="0"/>
              <w:jc w:val="center"/>
              <w:rPr>
                <w:color w:val="000000" w:themeColor="text1" w:themeShade="BF"/>
              </w:rPr>
            </w:pPr>
            <w:r>
              <w:rPr>
                <w:rFonts w:ascii="仿宋" w:hAnsi="仿宋" w:eastAsia="仿宋"/>
                <w:b w:val="0"/>
                <w:color w:val="000000"/>
                <w:sz w:val="18"/>
              </w:rPr>
              <w:t>8 月 23 日—8 月 27 日</w:t>
            </w:r>
          </w:p>
        </w:tc>
        <w:tc>
          <w:tcPr>
            <w:tcW w:w="6179" w:type="dxa"/>
            <w:tcMar>
              <w:top w:w="60" w:type="dxa"/>
              <w:left w:w="80" w:type="dxa"/>
              <w:bottom w:w="60" w:type="dxa"/>
              <w:right w:w="80" w:type="dxa"/>
            </w:tcMar>
            <w:vAlign w:val="center"/>
          </w:tcPr>
          <w:p w14:paraId="2CAF60F8">
            <w:pPr>
              <w:spacing w:before="0" w:after="0" w:line="240" w:lineRule="auto"/>
              <w:ind w:firstLine="0"/>
              <w:jc w:val="left"/>
              <w:rPr>
                <w:color w:val="000000" w:themeColor="text1" w:themeShade="BF"/>
              </w:rPr>
            </w:pPr>
            <w:r>
              <w:rPr>
                <w:rFonts w:ascii="仿宋" w:hAnsi="仿宋" w:eastAsia="仿宋"/>
                <w:b w:val="0"/>
                <w:color w:val="000000"/>
                <w:sz w:val="18"/>
              </w:rPr>
              <w:t>按照课程方案开展五天集中教学。前四天分别围绕</w:t>
            </w:r>
            <w:r>
              <w:rPr>
                <w:rFonts w:ascii="仿宋" w:hAnsi="仿宋" w:eastAsia="仿宋"/>
                <w:b/>
                <w:bCs/>
                <w:color w:val="000000"/>
                <w:sz w:val="18"/>
              </w:rPr>
              <w:t>科研智能体、AI for Science 科研方法论、科学模型和自驱动的端到端科研闭环</w:t>
            </w:r>
            <w:r>
              <w:rPr>
                <w:rFonts w:ascii="仿宋" w:hAnsi="仿宋" w:eastAsia="仿宋"/>
                <w:b w:val="0"/>
                <w:color w:val="000000"/>
                <w:sz w:val="18"/>
              </w:rPr>
              <w:t>开展讲座、理论课程、案例分享、专题实训、习题课和分组研讨；第五天开展科研机构参访、学习成果交流和结营。</w:t>
            </w:r>
          </w:p>
        </w:tc>
      </w:tr>
      <w:tr w14:paraId="5AF3A56A">
        <w:trPr>
          <w:cantSplit/>
          <w:jc w:val="center"/>
        </w:trPr>
        <w:tc>
          <w:tcPr>
            <w:tcW w:w="1133" w:type="dxa"/>
            <w:tcMar>
              <w:top w:w="60" w:type="dxa"/>
              <w:left w:w="80" w:type="dxa"/>
              <w:bottom w:w="60" w:type="dxa"/>
              <w:right w:w="80" w:type="dxa"/>
            </w:tcMar>
            <w:vAlign w:val="center"/>
          </w:tcPr>
          <w:p w14:paraId="0AA18233">
            <w:pPr>
              <w:spacing w:before="0" w:after="0" w:line="240" w:lineRule="auto"/>
              <w:ind w:firstLine="0"/>
              <w:jc w:val="center"/>
              <w:rPr>
                <w:color w:val="000000" w:themeColor="text1" w:themeShade="BF"/>
              </w:rPr>
            </w:pPr>
            <w:r>
              <w:rPr>
                <w:rFonts w:ascii="仿宋" w:hAnsi="仿宋" w:eastAsia="仿宋"/>
                <w:b w:val="0"/>
                <w:color w:val="000000"/>
                <w:sz w:val="18"/>
              </w:rPr>
              <w:t>课程迭代</w:t>
            </w:r>
          </w:p>
        </w:tc>
        <w:tc>
          <w:tcPr>
            <w:tcW w:w="1530" w:type="dxa"/>
            <w:tcMar>
              <w:top w:w="60" w:type="dxa"/>
              <w:left w:w="80" w:type="dxa"/>
              <w:bottom w:w="60" w:type="dxa"/>
              <w:right w:w="80" w:type="dxa"/>
            </w:tcMar>
            <w:vAlign w:val="center"/>
          </w:tcPr>
          <w:p w14:paraId="3502052C">
            <w:pPr>
              <w:spacing w:before="0" w:after="0" w:line="240" w:lineRule="auto"/>
              <w:ind w:firstLine="0"/>
              <w:jc w:val="center"/>
              <w:rPr>
                <w:color w:val="000000" w:themeColor="text1" w:themeShade="BF"/>
              </w:rPr>
            </w:pPr>
            <w:r>
              <w:rPr>
                <w:rFonts w:ascii="仿宋" w:hAnsi="仿宋" w:eastAsia="仿宋"/>
                <w:b w:val="0"/>
                <w:color w:val="000000"/>
                <w:sz w:val="18"/>
              </w:rPr>
              <w:t>8 月 28 日—10 月 30 日</w:t>
            </w:r>
          </w:p>
        </w:tc>
        <w:tc>
          <w:tcPr>
            <w:tcW w:w="6179" w:type="dxa"/>
            <w:tcMar>
              <w:top w:w="60" w:type="dxa"/>
              <w:left w:w="80" w:type="dxa"/>
              <w:bottom w:w="60" w:type="dxa"/>
              <w:right w:w="80" w:type="dxa"/>
            </w:tcMar>
            <w:vAlign w:val="center"/>
          </w:tcPr>
          <w:p w14:paraId="302AAC10">
            <w:pPr>
              <w:spacing w:before="0" w:after="0" w:line="240" w:lineRule="auto"/>
              <w:ind w:firstLine="0"/>
              <w:jc w:val="left"/>
              <w:rPr>
                <w:color w:val="000000" w:themeColor="text1" w:themeShade="BF"/>
              </w:rPr>
            </w:pPr>
            <w:r>
              <w:rPr>
                <w:rFonts w:ascii="仿宋" w:hAnsi="仿宋" w:eastAsia="仿宋"/>
                <w:b w:val="0"/>
                <w:color w:val="000000"/>
                <w:sz w:val="18"/>
              </w:rPr>
              <w:t>汇总学员、教师和助教反馈，评估课程难度、内容衔接、案例适配和实训效果；完善课程大纲、教案、PPT、代码、数据、实训脚本、评价标准和助教手册，逐步形成模块化、标准化、可复用的 AI4S 课程资源体系。</w:t>
            </w:r>
          </w:p>
        </w:tc>
      </w:tr>
      <w:tr w14:paraId="57529C77">
        <w:trPr>
          <w:cantSplit/>
          <w:jc w:val="center"/>
        </w:trPr>
        <w:tc>
          <w:tcPr>
            <w:tcW w:w="1133" w:type="dxa"/>
            <w:tcMar>
              <w:top w:w="60" w:type="dxa"/>
              <w:left w:w="80" w:type="dxa"/>
              <w:bottom w:w="60" w:type="dxa"/>
              <w:right w:w="80" w:type="dxa"/>
            </w:tcMar>
            <w:vAlign w:val="center"/>
          </w:tcPr>
          <w:p w14:paraId="1AF4B655">
            <w:pPr>
              <w:spacing w:before="0" w:after="0" w:line="240" w:lineRule="auto"/>
              <w:ind w:firstLine="0"/>
              <w:jc w:val="center"/>
              <w:rPr>
                <w:color w:val="000000" w:themeColor="text1" w:themeShade="BF"/>
              </w:rPr>
            </w:pPr>
            <w:r>
              <w:rPr>
                <w:rFonts w:ascii="仿宋" w:hAnsi="仿宋" w:eastAsia="仿宋"/>
                <w:b w:val="0"/>
                <w:color w:val="000000"/>
                <w:sz w:val="18"/>
              </w:rPr>
              <w:t>项目陪跑</w:t>
            </w:r>
          </w:p>
        </w:tc>
        <w:tc>
          <w:tcPr>
            <w:tcW w:w="1530" w:type="dxa"/>
            <w:tcMar>
              <w:top w:w="60" w:type="dxa"/>
              <w:left w:w="80" w:type="dxa"/>
              <w:bottom w:w="60" w:type="dxa"/>
              <w:right w:w="80" w:type="dxa"/>
            </w:tcMar>
            <w:vAlign w:val="center"/>
          </w:tcPr>
          <w:p w14:paraId="78AFD1E9">
            <w:pPr>
              <w:spacing w:before="0" w:after="0" w:line="240" w:lineRule="auto"/>
              <w:ind w:firstLine="0"/>
              <w:jc w:val="center"/>
              <w:rPr>
                <w:color w:val="000000" w:themeColor="text1" w:themeShade="BF"/>
              </w:rPr>
            </w:pPr>
            <w:r>
              <w:rPr>
                <w:rFonts w:ascii="仿宋" w:hAnsi="仿宋" w:eastAsia="仿宋"/>
                <w:b w:val="0"/>
                <w:color w:val="000000"/>
                <w:sz w:val="18"/>
              </w:rPr>
              <w:t>8 月 28 日—10 月 30 日</w:t>
            </w:r>
          </w:p>
        </w:tc>
        <w:tc>
          <w:tcPr>
            <w:tcW w:w="6179" w:type="dxa"/>
            <w:tcMar>
              <w:top w:w="60" w:type="dxa"/>
              <w:left w:w="80" w:type="dxa"/>
              <w:bottom w:w="60" w:type="dxa"/>
              <w:right w:w="80" w:type="dxa"/>
            </w:tcMar>
            <w:vAlign w:val="center"/>
          </w:tcPr>
          <w:p w14:paraId="36E71352">
            <w:pPr>
              <w:spacing w:before="0" w:after="0" w:line="240" w:lineRule="auto"/>
              <w:ind w:firstLine="0"/>
              <w:jc w:val="left"/>
              <w:rPr>
                <w:color w:val="000000" w:themeColor="text1" w:themeShade="BF"/>
              </w:rPr>
            </w:pPr>
            <w:r>
              <w:rPr>
                <w:rFonts w:ascii="仿宋" w:hAnsi="仿宋" w:eastAsia="仿宋"/>
                <w:b w:val="0"/>
                <w:color w:val="000000"/>
                <w:sz w:val="18"/>
              </w:rPr>
              <w:t>整理实训营期间形成的真实问题和项目意向，开展导师与学员双向选择；组建项目团队，明确研究目标、任务分工和阶段计划；组织定期研讨和进展汇报，协调数据、算力、工具及合作资源，推动阶段成果在 2026 年 10 月 30 日相关论坛上展示交流。</w:t>
            </w:r>
          </w:p>
        </w:tc>
      </w:tr>
    </w:tbl>
    <w:p w14:paraId="6B7AC766">
      <w:r>
        <w:br w:type="page"/>
      </w:r>
    </w:p>
    <w:p w14:paraId="133A2775">
      <w:pPr>
        <w:pStyle w:val="3"/>
        <w:keepNext/>
        <w:spacing w:before="200" w:after="120" w:line="288" w:lineRule="auto"/>
        <w:ind w:firstLine="0"/>
        <w:jc w:val="left"/>
        <w:outlineLvl w:val="0"/>
      </w:pPr>
      <w:bookmarkStart w:id="24" w:name="_Toc1338802532"/>
      <w:bookmarkEnd w:id="24"/>
      <w:bookmarkStart w:id="25" w:name="_Toc2017166425"/>
      <w:bookmarkEnd w:id="25"/>
      <w:bookmarkStart w:id="26" w:name="bm_app1"/>
      <w:bookmarkStart w:id="27" w:name="_Toc1753264339"/>
      <w:bookmarkStart w:id="28" w:name="_Toc1128464585"/>
      <w:r>
        <w:rPr>
          <w:rFonts w:ascii="黑体" w:hAnsi="黑体" w:eastAsia="黑体"/>
          <w:b/>
          <w:color w:val="000000"/>
          <w:sz w:val="28"/>
        </w:rPr>
        <w:t>附录一　专题实训模块详细内容</w:t>
      </w:r>
      <w:bookmarkEnd w:id="26"/>
      <w:bookmarkEnd w:id="27"/>
      <w:bookmarkEnd w:id="28"/>
    </w:p>
    <w:p w14:paraId="21B0CE46">
      <w:pPr>
        <w:spacing w:before="0" w:after="0" w:line="288" w:lineRule="auto"/>
        <w:ind w:firstLine="420"/>
        <w:jc w:val="left"/>
      </w:pPr>
      <w:r>
        <w:rPr>
          <w:rFonts w:ascii="仿宋" w:hAnsi="仿宋" w:eastAsia="仿宋"/>
          <w:b w:val="0"/>
          <w:color w:val="222222"/>
          <w:sz w:val="21"/>
        </w:rPr>
        <w:t>本附录为实训营自主设计与承担的七个专题实训模块的详细教学内容，逐模块给出教学目标、主要内容、实训任务与配套实验。</w:t>
      </w:r>
    </w:p>
    <w:p w14:paraId="7C221201">
      <w:pPr>
        <w:pStyle w:val="4"/>
        <w:keepNext/>
        <w:spacing w:before="120" w:after="60" w:line="288" w:lineRule="auto"/>
        <w:ind w:firstLine="0"/>
        <w:jc w:val="left"/>
      </w:pPr>
      <w:r>
        <w:rPr>
          <w:rFonts w:ascii="黑体" w:hAnsi="黑体" w:eastAsia="黑体"/>
          <w:b/>
          <w:color w:val="000000"/>
          <w:sz w:val="22"/>
        </w:rPr>
        <w:t>专题一 · 科研智能体</w:t>
      </w:r>
    </w:p>
    <w:p w14:paraId="104081F5">
      <w:pPr>
        <w:pStyle w:val="5"/>
        <w:keepNext/>
        <w:spacing w:before="80" w:after="40" w:line="288" w:lineRule="auto"/>
        <w:ind w:firstLine="0"/>
        <w:jc w:val="left"/>
      </w:pPr>
      <w:r>
        <w:rPr>
          <w:rFonts w:ascii="黑体" w:hAnsi="黑体" w:eastAsia="黑体"/>
          <w:b/>
          <w:color w:val="000000"/>
          <w:sz w:val="22"/>
        </w:rPr>
        <w:t>模块一　从零搭建科研智能体：模型、上下文、工具、ReAct 与 Agent Harness</w:t>
      </w:r>
    </w:p>
    <w:p w14:paraId="53CFD667">
      <w:pPr>
        <w:spacing w:before="0" w:after="0" w:line="288" w:lineRule="auto"/>
        <w:ind w:firstLine="420"/>
        <w:jc w:val="left"/>
      </w:pPr>
      <w:r>
        <w:rPr>
          <w:rFonts w:ascii="仿宋" w:hAnsi="仿宋" w:eastAsia="仿宋"/>
          <w:b w:val="0"/>
          <w:color w:val="222222"/>
          <w:sz w:val="21"/>
        </w:rPr>
        <w:t>本模块作为科研智能体专题的开篇，面向非 AI 背景的科研人员，旨在建立对智能体原理与组成的系统认知，培养学生的 Agent 思维。课程首先把大语言模型精确刻画为一个在海量文本上训练出的自回归条件概率模型——给定上文，它预测下一个 token 的概率分布并逐步生成；其本身无状态、无长期记忆、无外部动作能力，正是这三点缺失，构成了引入上下文、记忆与工具、进而升级为智能体的动因。教学全程依托编程智能体带做，引导学生从最小客户端起步，依次加入任务与系统指令、上下文与状态管理、工具定义与调用，以及“思考（Reason）—行动（Act）—观察（Observe）”三段交替迭代的 ReAct 循环与过程记录，带领学生从零完成一个能胜任多步任务的最小科研智能体。课程同时讲清上下文的构成与工具的分类、剖析大模型、科研智能体与固定工作流的边界，并引入围绕模型的智能体工程支架（agent harness）思想——大语言模型须经上下文、工具、执行循环、约束与验证等外围工程，才能转化为可执行、可靠的智能体系统；课程并以 OpenClaw、OpenCode、Hermes Agent 为代表案例，分别对应通用智能体、编程智能体与持续学习智能体，帮助学生理解不同类型智能体的工程结构与运行原理，从而认识模型之外的工程实践为何决定智能体的可靠，为构建可靠科研智能体奠定原理基础。</w:t>
      </w:r>
    </w:p>
    <w:p w14:paraId="54334A29">
      <w:pPr>
        <w:pStyle w:val="5"/>
        <w:spacing w:before="80" w:after="40" w:line="288" w:lineRule="auto"/>
        <w:ind w:firstLine="0"/>
        <w:jc w:val="left"/>
      </w:pPr>
      <w:r>
        <w:rPr>
          <w:rFonts w:ascii="黑体" w:hAnsi="黑体" w:eastAsia="黑体"/>
          <w:b/>
          <w:color w:val="000000"/>
          <w:sz w:val="22"/>
        </w:rPr>
        <w:t>配套实验</w:t>
      </w:r>
    </w:p>
    <w:p w14:paraId="035BA9B9">
      <w:pPr>
        <w:spacing w:before="0" w:after="0" w:line="288" w:lineRule="auto"/>
        <w:ind w:left="420" w:firstLine="420"/>
        <w:jc w:val="left"/>
      </w:pPr>
      <w:r>
        <w:rPr>
          <w:rFonts w:ascii="仿宋" w:hAnsi="仿宋" w:eastAsia="仿宋"/>
          <w:color w:val="222222"/>
          <w:sz w:val="21"/>
        </w:rPr>
        <w:t>● 在编程智能体带做下，从零搭建以大语言模型、上下文与工具为核心的最小科研智能体，完成一项需要多步推理与工具调用的科研任务。</w:t>
      </w:r>
    </w:p>
    <w:p w14:paraId="54E23BC7">
      <w:pPr>
        <w:spacing w:before="0" w:after="0" w:line="288" w:lineRule="auto"/>
        <w:ind w:left="420" w:firstLine="420"/>
        <w:jc w:val="left"/>
      </w:pPr>
      <w:r>
        <w:rPr>
          <w:rFonts w:ascii="仿宋" w:hAnsi="仿宋" w:eastAsia="仿宋"/>
          <w:color w:val="222222"/>
          <w:sz w:val="21"/>
        </w:rPr>
        <w:t>● 实现“思考—行动—观察”三段迭代的 ReAct 循环与过程记录，观察轨迹如何逐步累积并驱动决策，掌握上下文状态管理与工具调用的实现方法。</w:t>
      </w:r>
    </w:p>
    <w:p w14:paraId="473DFCD8">
      <w:pPr>
        <w:spacing w:before="0" w:after="0" w:line="288" w:lineRule="auto"/>
        <w:ind w:left="420" w:firstLine="420"/>
        <w:jc w:val="left"/>
      </w:pPr>
      <w:r>
        <w:rPr>
          <w:rFonts w:ascii="仿宋" w:hAnsi="仿宋" w:eastAsia="仿宋"/>
          <w:color w:val="222222"/>
          <w:sz w:val="21"/>
        </w:rPr>
        <w:t>● 对比大模型直接问答、固定工作流与自主科研智能体三种方式，并为工具接口补充约束与校验，体会工程支架对智能体可靠性的作用；对照 OpenClaw、OpenCode、Hermes Agent 的工程结构梳理通用、编程与持续学习智能体的异同。</w:t>
      </w:r>
    </w:p>
    <w:p w14:paraId="6CF9EA1A">
      <w:pPr>
        <w:pStyle w:val="5"/>
        <w:keepNext/>
        <w:spacing w:before="80" w:after="40" w:line="288" w:lineRule="auto"/>
        <w:ind w:firstLine="0"/>
        <w:jc w:val="left"/>
      </w:pPr>
      <w:r>
        <w:rPr>
          <w:rFonts w:ascii="黑体" w:hAnsi="黑体" w:eastAsia="黑体"/>
          <w:b/>
          <w:color w:val="000000"/>
          <w:sz w:val="22"/>
        </w:rPr>
        <w:t>模块二　智能体记忆、技能学习与知识库：跨会话记忆、Skill 与 RAG 检索</w:t>
      </w:r>
    </w:p>
    <w:p w14:paraId="5732D465">
      <w:pPr>
        <w:spacing w:before="0" w:after="0" w:line="288" w:lineRule="auto"/>
        <w:ind w:firstLine="420"/>
        <w:jc w:val="left"/>
      </w:pPr>
      <w:r>
        <w:rPr>
          <w:rFonts w:ascii="仿宋" w:hAnsi="仿宋" w:eastAsia="仿宋"/>
          <w:b w:val="0"/>
          <w:color w:val="222222"/>
          <w:sz w:val="21"/>
        </w:rPr>
        <w:t>本模块系统讲授智能体如何跨会话记住用户、如何接入并组织外部知识，是培养 Agent 思维的关键环节。课程深入解析记忆的层次与评估：单会话执行轨迹、跨会话长期记忆、以及跨会话的任务级状态（研究任务的进展与产物），并借鉴情景、语义与程序记忆的认知科学划分；引导学生掌握从简单笔记到结构化卡片等存储形式，理解重要性评分、聚类、抽象泛化与冲突检测等记忆压缩机制，以 Mem0、Memobase 等框架为案例完成搭建与调试。知识库部分按工程化标准讲透 RAG 检索管道，而非停留在“一句话部署”：深入解析文档分块、稠密与稀疏嵌入、混合检索与神经重排序的完整链路，讲清数据清洗、切分策略与索引优化的内在机制，并引入 RAPTOR 层次摘要、GraphRAG 知识图谱多跳、上下文感知检索等知识组织方法。课程进一步引入技能学习（Skill）：借鉴 Hermes Agent 等持续学习智能体，讲解智能体如何从执行经验中提取、形成与更新可复用的 Skill 或标准操作模板。课程强调记忆并非简单的录音机，而是对知识的主动提炼、结构化与检索，并进一步沉淀为可迁移的能力，带领学生搭出真正可用、可评估的记忆、技能与知识系统，为科研智能体的深度应用奠定基础。</w:t>
      </w:r>
    </w:p>
    <w:p w14:paraId="5150E335">
      <w:pPr>
        <w:pStyle w:val="5"/>
        <w:spacing w:before="80" w:after="40" w:line="288" w:lineRule="auto"/>
        <w:ind w:firstLine="0"/>
        <w:jc w:val="left"/>
      </w:pPr>
      <w:r>
        <w:rPr>
          <w:rFonts w:ascii="黑体" w:hAnsi="黑体" w:eastAsia="黑体"/>
          <w:b/>
          <w:color w:val="000000"/>
          <w:sz w:val="22"/>
        </w:rPr>
        <w:t>配套实验</w:t>
      </w:r>
    </w:p>
    <w:p w14:paraId="035196E3">
      <w:pPr>
        <w:spacing w:before="0" w:after="0" w:line="288" w:lineRule="auto"/>
        <w:ind w:left="420" w:firstLine="420"/>
        <w:jc w:val="left"/>
      </w:pPr>
      <w:r>
        <w:rPr>
          <w:rFonts w:ascii="仿宋" w:hAnsi="仿宋" w:eastAsia="仿宋"/>
          <w:color w:val="222222"/>
          <w:sz w:val="21"/>
        </w:rPr>
        <w:t>● 用 Mem0 或 Memobase 为智能体搭建跨会话记忆系统，实现用户信息与研究进展的提取、压缩与更新，达到智能体能记住用户并主动服务的效果，并将一次任务经验整理为初步的 Skill 或标准操作模板。</w:t>
      </w:r>
    </w:p>
    <w:p w14:paraId="2D22D723">
      <w:pPr>
        <w:spacing w:before="0" w:after="0" w:line="288" w:lineRule="auto"/>
        <w:ind w:left="420" w:firstLine="420"/>
        <w:jc w:val="left"/>
      </w:pPr>
      <w:r>
        <w:rPr>
          <w:rFonts w:ascii="仿宋" w:hAnsi="仿宋" w:eastAsia="仿宋"/>
          <w:color w:val="222222"/>
          <w:sz w:val="21"/>
        </w:rPr>
        <w:t>● 按工程化标准搭建一条可运行的 RAG 检索管道原型，完成分块、嵌入、混合检索与重排序，并用 recall@k、MRR、nDCG 等指标评估检索质量，掌握可用的知识库构建方法。</w:t>
      </w:r>
    </w:p>
    <w:p w14:paraId="6BE2E081">
      <w:pPr>
        <w:spacing w:before="0" w:after="0" w:line="288" w:lineRule="auto"/>
        <w:ind w:left="420" w:firstLine="420"/>
        <w:jc w:val="left"/>
      </w:pPr>
      <w:r>
        <w:rPr>
          <w:rFonts w:ascii="仿宋" w:hAnsi="仿宋" w:eastAsia="仿宋"/>
          <w:color w:val="222222"/>
          <w:sz w:val="21"/>
        </w:rPr>
        <w:t>● 基于 RAPTOR 或 GraphRAG 构建结构化知识组织，实现层次摘要或知识图谱上的多跳检索，培养面向复杂知识的组织与检索能力。</w:t>
      </w:r>
    </w:p>
    <w:p w14:paraId="3127D140">
      <w:pPr>
        <w:pStyle w:val="5"/>
        <w:keepNext/>
        <w:spacing w:before="80" w:after="40" w:line="288" w:lineRule="auto"/>
        <w:ind w:firstLine="0"/>
        <w:jc w:val="left"/>
      </w:pPr>
      <w:r>
        <w:rPr>
          <w:rFonts w:ascii="黑体" w:hAnsi="黑体" w:eastAsia="黑体"/>
          <w:b/>
          <w:color w:val="000000"/>
          <w:sz w:val="22"/>
        </w:rPr>
        <w:t>模块三　科研工具链、Skill 与文献研究工作流：从文献检索到研究简报</w:t>
      </w:r>
    </w:p>
    <w:p w14:paraId="730737CF">
      <w:pPr>
        <w:spacing w:before="0" w:after="0" w:line="288" w:lineRule="auto"/>
        <w:ind w:firstLine="420"/>
        <w:jc w:val="left"/>
      </w:pPr>
      <w:r>
        <w:rPr>
          <w:rFonts w:ascii="仿宋" w:hAnsi="仿宋" w:eastAsia="仿宋"/>
          <w:b w:val="0"/>
          <w:color w:val="222222"/>
          <w:sz w:val="21"/>
        </w:rPr>
        <w:t>本模块聚焦智能体驱动的文献研究工作流，引导非 AI 背景的研究生与青年科研人员建立以智能体统筹科研的认知，培养 Agent 思维。本模块聚焦智能体对现成工具的发现、调用与组合（工具的封装与生产见第八模块），并厘清工具、工作流与 Skill 三者的区别与关系：系统讲授智能体在科研场景中如何依据任务选择、调用与串接现成工具的机制。课程以一项具体科研任务为依托，带领学生走通提出研究问题、检索文献、获取论文、解析 PDF、建立知识库、提取信息、整理数据、绘制图表直至输出研究简报的完整链路，并在其中接入文献检索与论文获取（Paper Fetch）、PDF 解析（MinerU）、RAG 科研知识库、代码执行与科学绘图等工具，在磐石科学基础大模型或同类具备工具调用能力的编程智能体之上实现。课程进而引导学生把复现方法、核验中间产物与最终指标、判断结果合理性等经验沉淀为可复用能力，培养以智能体统筹科研全流程的系统性思维，为后续深入运用智能体开展科研工作奠定基础。</w:t>
      </w:r>
    </w:p>
    <w:p w14:paraId="4810454E">
      <w:pPr>
        <w:pStyle w:val="5"/>
        <w:spacing w:before="80" w:after="40" w:line="288" w:lineRule="auto"/>
        <w:ind w:firstLine="0"/>
        <w:jc w:val="left"/>
      </w:pPr>
      <w:r>
        <w:rPr>
          <w:rFonts w:ascii="黑体" w:hAnsi="黑体" w:eastAsia="黑体"/>
          <w:b/>
          <w:color w:val="000000"/>
          <w:sz w:val="22"/>
        </w:rPr>
        <w:t>配套实验</w:t>
      </w:r>
    </w:p>
    <w:p w14:paraId="3C7F4EBA">
      <w:pPr>
        <w:spacing w:before="0" w:after="0" w:line="288" w:lineRule="auto"/>
        <w:ind w:left="420" w:firstLine="420"/>
        <w:jc w:val="left"/>
      </w:pPr>
      <w:r>
        <w:rPr>
          <w:rFonts w:ascii="仿宋" w:hAnsi="仿宋" w:eastAsia="仿宋"/>
          <w:color w:val="222222"/>
          <w:sz w:val="21"/>
        </w:rPr>
        <w:t>● 围绕一项具体科研任务，用磐石或同类编程智能体串联文献检索、论文获取、PDF 解析、知识库构建与信息提取，独立完成从提出问题到输出研究简报的完整文献研究工作流。</w:t>
      </w:r>
    </w:p>
    <w:p w14:paraId="7FF53916">
      <w:pPr>
        <w:spacing w:before="0" w:after="0" w:line="288" w:lineRule="auto"/>
        <w:ind w:left="420" w:firstLine="420"/>
        <w:jc w:val="left"/>
      </w:pPr>
      <w:r>
        <w:rPr>
          <w:rFonts w:ascii="仿宋" w:hAnsi="仿宋" w:eastAsia="仿宋"/>
          <w:color w:val="222222"/>
          <w:sz w:val="21"/>
        </w:rPr>
        <w:t>● 借助智能体复现一篇论文的方法，将复现得到的训练损失曲线、评测分数与原文报告值逐一对齐比对，具备核验智能体产出结果合理性的能力。</w:t>
      </w:r>
    </w:p>
    <w:p w14:paraId="36000149">
      <w:pPr>
        <w:spacing w:before="0" w:after="0" w:line="288" w:lineRule="auto"/>
        <w:ind w:left="420" w:firstLine="420"/>
        <w:jc w:val="left"/>
      </w:pPr>
      <w:r>
        <w:rPr>
          <w:rFonts w:ascii="仿宋" w:hAnsi="仿宋" w:eastAsia="仿宋"/>
          <w:color w:val="222222"/>
          <w:sz w:val="21"/>
        </w:rPr>
        <w:t>● 把任务中反复使用的操作沉淀为可复用的 Skill 或工作流模板并在新任务中调用验证，体会从“用工具”到“沉淀 Skill”的工程价值。</w:t>
      </w:r>
    </w:p>
    <w:p w14:paraId="76A163B3">
      <w:pPr>
        <w:pStyle w:val="4"/>
        <w:keepNext/>
        <w:spacing w:before="120" w:after="60" w:line="288" w:lineRule="auto"/>
        <w:ind w:firstLine="0"/>
        <w:jc w:val="left"/>
      </w:pPr>
      <w:r>
        <w:rPr>
          <w:rFonts w:ascii="黑体" w:hAnsi="黑体" w:eastAsia="黑体"/>
          <w:b/>
          <w:color w:val="000000"/>
          <w:sz w:val="22"/>
        </w:rPr>
        <w:t>专题二 · AI for Science 科研方法论</w:t>
      </w:r>
    </w:p>
    <w:p w14:paraId="2510BFFB">
      <w:pPr>
        <w:pStyle w:val="5"/>
        <w:keepNext/>
        <w:spacing w:before="80" w:after="40" w:line="288" w:lineRule="auto"/>
        <w:ind w:firstLine="0"/>
        <w:jc w:val="left"/>
      </w:pPr>
      <w:r>
        <w:rPr>
          <w:rFonts w:ascii="黑体" w:hAnsi="黑体" w:eastAsia="黑体"/>
          <w:b/>
          <w:color w:val="000000"/>
          <w:sz w:val="22"/>
        </w:rPr>
        <w:t>模块四　把科学问题拆解为 AI-ready 问题：任务定义与建模路径</w:t>
      </w:r>
    </w:p>
    <w:p w14:paraId="6F1B7A97">
      <w:pPr>
        <w:spacing w:before="0" w:after="0" w:line="288" w:lineRule="auto"/>
        <w:ind w:firstLine="420"/>
        <w:jc w:val="left"/>
      </w:pPr>
      <w:r>
        <w:rPr>
          <w:rFonts w:ascii="仿宋" w:hAnsi="仿宋" w:eastAsia="仿宋"/>
          <w:b w:val="0"/>
          <w:color w:val="222222"/>
          <w:sz w:val="21"/>
        </w:rPr>
        <w:t>本模块隶属 AI4S 科研方法论，以培养学生 AI 驱动科学研究的思维为目标，系统讲授如何把一个具体科学问题翻译成 AI 可求解的问题——能否完成这一翻译，往往决定研究者能否真正开展相关研究。翻译的实质，是把学科语言重述为良定义的机器学习任务：例如把“由恒星光变曲线推断其物理机制”重述为“以不定长时间序列为输入、以有限个机理类别为标签的时间序列分类问题”（若目标为连续参数则为回归问题）。课程引导学生明确输入（数据形式与规模），并进一步区分任务的学习范式与任务类型：学习范式指可利用的监督信息，分为监督、自监督与无监督；任务类型指预测目标，包括分类、回归、聚类、生成、异常检测等；表示学习与降维则多作为无监督或自监督手段，用于特征提取与可视化，不与上述预测目标并列。据此确定建模路径与模型选型，并说明当代基础大模型为何多走“自监督预训练 + 下游微调”的路线。课程还引入科学建模中的先验处理视角：哪些物理约束（如守恒律、对称性）应显式编码进模型、哪些留给数据驱动隐式学习、哪些必须由人给定，帮助学生认识 AI 在科学建模中的作用边界，为后续实践奠定方法论基础。</w:t>
      </w:r>
    </w:p>
    <w:p w14:paraId="387B3E64">
      <w:pPr>
        <w:pStyle w:val="5"/>
        <w:spacing w:before="80" w:after="40" w:line="288" w:lineRule="auto"/>
        <w:ind w:firstLine="0"/>
        <w:jc w:val="left"/>
      </w:pPr>
      <w:r>
        <w:rPr>
          <w:rFonts w:ascii="黑体" w:hAnsi="黑体" w:eastAsia="黑体"/>
          <w:b/>
          <w:color w:val="000000"/>
          <w:sz w:val="22"/>
        </w:rPr>
        <w:t>配套实验</w:t>
      </w:r>
    </w:p>
    <w:p w14:paraId="04CA3DAD">
      <w:pPr>
        <w:spacing w:before="0" w:after="0" w:line="288" w:lineRule="auto"/>
        <w:ind w:left="420" w:firstLine="420"/>
        <w:jc w:val="left"/>
      </w:pPr>
      <w:r>
        <w:rPr>
          <w:rFonts w:ascii="仿宋" w:hAnsi="仿宋" w:eastAsia="仿宋"/>
          <w:color w:val="222222"/>
          <w:sz w:val="21"/>
        </w:rPr>
        <w:t>● 选取一个简单而具普适性的科研任务（如寻找变量间相关性、分子性质或地理场分析），在编程智能体协助下把它重述为明确了输入、任务类型与学习范式的良定义机器学习问题。</w:t>
      </w:r>
    </w:p>
    <w:p w14:paraId="1B9A1800">
      <w:pPr>
        <w:spacing w:before="0" w:after="0" w:line="288" w:lineRule="auto"/>
        <w:ind w:left="420" w:firstLine="420"/>
        <w:jc w:val="left"/>
      </w:pPr>
      <w:r>
        <w:rPr>
          <w:rFonts w:ascii="仿宋" w:hAnsi="仿宋" w:eastAsia="仿宋"/>
          <w:color w:val="222222"/>
          <w:sz w:val="21"/>
        </w:rPr>
        <w:t>● 为所选任务判定学习范式与任务类型并给出相应建模路径与模型选型，具备为科学问题匹配合适建模方案的能力。</w:t>
      </w:r>
    </w:p>
    <w:p w14:paraId="2BE1DF36">
      <w:pPr>
        <w:spacing w:before="0" w:after="0" w:line="288" w:lineRule="auto"/>
        <w:ind w:left="420" w:firstLine="420"/>
        <w:jc w:val="left"/>
      </w:pPr>
      <w:r>
        <w:rPr>
          <w:rFonts w:ascii="仿宋" w:hAnsi="仿宋" w:eastAsia="仿宋"/>
          <w:color w:val="222222"/>
          <w:sz w:val="21"/>
        </w:rPr>
        <w:t>● 分析任务中哪些物理约束应显式编码、哪些交由数据隐式学习、哪些须由人给定，形成对 AI 在科学建模中作用边界的判断。</w:t>
      </w:r>
    </w:p>
    <w:p w14:paraId="0CEDB59A">
      <w:pPr>
        <w:pStyle w:val="5"/>
        <w:keepNext/>
        <w:spacing w:before="80" w:after="40" w:line="288" w:lineRule="auto"/>
        <w:ind w:firstLine="0"/>
        <w:jc w:val="left"/>
      </w:pPr>
      <w:r>
        <w:rPr>
          <w:rFonts w:ascii="黑体" w:hAnsi="黑体" w:eastAsia="黑体"/>
          <w:b/>
          <w:color w:val="000000"/>
          <w:sz w:val="22"/>
        </w:rPr>
        <w:t>模块五　构建科研建模 Harness：从数据分析到可信科研基线</w:t>
      </w:r>
    </w:p>
    <w:p w14:paraId="4C8FC0B3">
      <w:pPr>
        <w:spacing w:before="0" w:after="0" w:line="288" w:lineRule="auto"/>
        <w:ind w:firstLine="420"/>
        <w:jc w:val="left"/>
      </w:pPr>
      <w:r>
        <w:rPr>
          <w:rFonts w:ascii="仿宋" w:hAnsi="仿宋" w:eastAsia="仿宋"/>
          <w:b w:val="0"/>
          <w:color w:val="222222"/>
          <w:sz w:val="21"/>
        </w:rPr>
        <w:t>本模块承接前一节的建模路径，以带领学生走通一条可信、可复现、可比较，并可继续扩展为正式研究工作的完整基线为核心目标，讲清“把数据直接丢给智能体得到的演示结果”与“经过规范流程得到的可信结果”之间的本质差异。课程系统讲授围绕模型的规范化建模流程（harness，即贯穿一次实验、可复现的“数据—模型—评测—报告”工程支架，区别于模块一的智能体工程支架）：从数据入手，依次完成探索性数据分析、数据预处理、基线模型搭建、模型训练、模型评测，直至结果分析与科学报告产出。课程结合判据讲模型选型，而非给默认值——根据数据规模、序列长度、标注条件、算力与解释需求作有判据的选择：表格数据优先梯度提升（XGBoost / LightGBM / CatBoost）；序列按长度与数据量分级，短中程用 GRU / TCN，长程或需迁移时用注意力 / Transformer 或时序基础模型（如 Chronos、TimesFM）；图像用卷积骨干（ConvNeXt / EfficientNet）或 Vision Transformer，数据稀缺时用 DINOv2 等自监督预训练模型抽取特征。训练环节讲损失函数选择与训练技巧，如在编程智能体辅助下配置早停（early stopping）、学习率调度、交叉验证与类别不均衡处理，每个技术点点到为止、可自行深入。课程以“规范流程与直接演示”的结果对比收尾，全程以编程智能体承载，培养学生规范、可信、可复现的 AI4S 科研思维。</w:t>
      </w:r>
    </w:p>
    <w:p w14:paraId="1D0F7D16">
      <w:pPr>
        <w:pStyle w:val="5"/>
        <w:spacing w:before="80" w:after="40" w:line="288" w:lineRule="auto"/>
        <w:ind w:firstLine="0"/>
        <w:jc w:val="left"/>
      </w:pPr>
      <w:r>
        <w:rPr>
          <w:rFonts w:ascii="黑体" w:hAnsi="黑体" w:eastAsia="黑体"/>
          <w:b/>
          <w:color w:val="000000"/>
          <w:sz w:val="22"/>
        </w:rPr>
        <w:t>配套实验</w:t>
      </w:r>
    </w:p>
    <w:p w14:paraId="2D89C46C">
      <w:pPr>
        <w:spacing w:before="0" w:after="0" w:line="288" w:lineRule="auto"/>
        <w:ind w:left="420" w:firstLine="420"/>
        <w:jc w:val="left"/>
      </w:pPr>
      <w:r>
        <w:rPr>
          <w:rFonts w:ascii="仿宋" w:hAnsi="仿宋" w:eastAsia="仿宋"/>
          <w:color w:val="222222"/>
          <w:sz w:val="21"/>
        </w:rPr>
        <w:t>● 从给定数据出发，逐步完成探索性数据分析、预处理、基线模型搭建、训练、评测直至结果分析与科学报告产出，走通一条可信、可复现、可比较的基线。</w:t>
      </w:r>
    </w:p>
    <w:p w14:paraId="0C975551">
      <w:pPr>
        <w:spacing w:before="0" w:after="0" w:line="288" w:lineRule="auto"/>
        <w:ind w:left="420" w:firstLine="420"/>
        <w:jc w:val="left"/>
      </w:pPr>
      <w:r>
        <w:rPr>
          <w:rFonts w:ascii="仿宋" w:hAnsi="仿宋" w:eastAsia="仿宋"/>
          <w:color w:val="222222"/>
          <w:sz w:val="21"/>
        </w:rPr>
        <w:t>● 针对同一任务，依据数据规模、序列长度、标注条件与算力等判据完成模型选型并说明理由，掌握有判据的选型方法而非套用默认值。</w:t>
      </w:r>
    </w:p>
    <w:p w14:paraId="3E740ACD">
      <w:pPr>
        <w:spacing w:before="0" w:after="0" w:line="288" w:lineRule="auto"/>
        <w:ind w:left="420" w:firstLine="420"/>
        <w:jc w:val="left"/>
      </w:pPr>
      <w:r>
        <w:rPr>
          <w:rFonts w:ascii="仿宋" w:hAnsi="仿宋" w:eastAsia="仿宋"/>
          <w:color w:val="222222"/>
          <w:sz w:val="21"/>
        </w:rPr>
        <w:t>● 对同一任务分别以规范流程与直接演示两种方式产出并对比结果，直观理解规范流水线对科研结果可信度的增效作用。</w:t>
      </w:r>
    </w:p>
    <w:p w14:paraId="06728CE4">
      <w:pPr>
        <w:pStyle w:val="4"/>
        <w:keepNext/>
        <w:spacing w:before="120" w:after="60" w:line="288" w:lineRule="auto"/>
        <w:ind w:firstLine="0"/>
        <w:jc w:val="left"/>
      </w:pPr>
      <w:r>
        <w:rPr>
          <w:rFonts w:ascii="黑体" w:hAnsi="黑体" w:eastAsia="黑体"/>
          <w:b/>
          <w:color w:val="000000"/>
          <w:sz w:val="22"/>
        </w:rPr>
        <w:t>专题三 · 科学模型</w:t>
      </w:r>
    </w:p>
    <w:p w14:paraId="6C2234FB">
      <w:pPr>
        <w:pStyle w:val="5"/>
        <w:keepNext/>
        <w:spacing w:before="80" w:after="40" w:line="288" w:lineRule="auto"/>
        <w:ind w:firstLine="0"/>
        <w:jc w:val="left"/>
      </w:pPr>
      <w:r>
        <w:rPr>
          <w:rFonts w:ascii="黑体" w:hAnsi="黑体" w:eastAsia="黑体"/>
          <w:b/>
          <w:color w:val="000000"/>
          <w:sz w:val="22"/>
        </w:rPr>
        <w:t>模块六　科研数据基线搭建：图像、时序、表格、图/分子结构与无标注数据</w:t>
      </w:r>
    </w:p>
    <w:p w14:paraId="3AAFB3DB">
      <w:pPr>
        <w:spacing w:before="0" w:after="0" w:line="288" w:lineRule="auto"/>
        <w:ind w:firstLine="420"/>
        <w:jc w:val="left"/>
      </w:pPr>
      <w:r>
        <w:rPr>
          <w:rFonts w:ascii="仿宋" w:hAnsi="仿宋" w:eastAsia="仿宋"/>
          <w:b w:val="0"/>
          <w:color w:val="222222"/>
          <w:sz w:val="21"/>
        </w:rPr>
        <w:t>本模块隶属科学模型专题，以“数据与模型思维”为培养目标，面向非 AI 背景的科研人员，系统讲授一个实用框架：多数 AI4S 模型可沿“科学数据结构—数据表征方式—骨干模型—训练目标—评价方法”拆解；其中骨干模型（backbone，指模型的架构主干，区别于“基础 / 预训练大模型 foundation model”）在大规模预训练范式下常趋于同构（如统一堆叠的 Transformer 结构），模型间差异更多落在面向数据模态的表征设计与任务适配上，而非堆更复杂的结构——这正是“规模化优先于手工结构设计”的经验。课程按数据模态给出基线：图像用卷积骨干（ConvNeXt / EfficientNet）或 Vision Transformer，时序用 GRU / TCN、长程用 Transformer，表格用梯度提升（XGBoost / LightGBM / CatBoost），图 / 分子与晶体等几何结构数据用图神经网络与等变网络（如 SchNet、NequIP / MACE），无标注数据则做无监督分析与自监督表示学习（聚类、降维、自监督表示）。案例一律采用近三年真实科研数据（如星系形态分类、引力波或恒星光变曲线、Materials Project 材料性质、QM9 分子性质、单细胞测序聚类）。考虑到课堂时间有限，教学采用“统一讲授五类框架 + 分组实操”的方式：学员按学科背景分组，重点完成其中一类真实科研数据的完整基线，其余类型通过教师演示与可运行扩展案例进行比较。课程引导学生比较不同数据模态的模型选型与能力边界、理解简单模型有时优于复杂模型、学会判断模型是否训练有效，为把握更前沿的科学模型奠定基础。</w:t>
      </w:r>
    </w:p>
    <w:p w14:paraId="5F25B2B7">
      <w:pPr>
        <w:pStyle w:val="5"/>
        <w:spacing w:before="80" w:after="40" w:line="288" w:lineRule="auto"/>
        <w:ind w:firstLine="0"/>
        <w:jc w:val="left"/>
      </w:pPr>
      <w:r>
        <w:rPr>
          <w:rFonts w:ascii="黑体" w:hAnsi="黑体" w:eastAsia="黑体"/>
          <w:b/>
          <w:color w:val="000000"/>
          <w:sz w:val="22"/>
        </w:rPr>
        <w:t>配套实验</w:t>
      </w:r>
    </w:p>
    <w:p w14:paraId="05B9C263">
      <w:pPr>
        <w:spacing w:before="0" w:after="0" w:line="288" w:lineRule="auto"/>
        <w:ind w:left="420" w:firstLine="420"/>
        <w:jc w:val="left"/>
      </w:pPr>
      <w:r>
        <w:rPr>
          <w:rFonts w:ascii="仿宋" w:hAnsi="仿宋" w:eastAsia="仿宋"/>
          <w:color w:val="222222"/>
          <w:sz w:val="21"/>
        </w:rPr>
        <w:t>● 按学科背景选定一类科学数据（图像、时序、表格、图 / 分子结构或无标注数据），搭建并评测一个完整基线，掌握该模态的骨干选型方法与能力边界；对其余模态通过教师演示与扩展案例理解其选型差异。</w:t>
      </w:r>
    </w:p>
    <w:p w14:paraId="6BF02F2E">
      <w:pPr>
        <w:spacing w:before="0" w:after="0" w:line="288" w:lineRule="auto"/>
        <w:ind w:left="420" w:firstLine="420"/>
        <w:jc w:val="left"/>
      </w:pPr>
      <w:r>
        <w:rPr>
          <w:rFonts w:ascii="仿宋" w:hAnsi="仿宋" w:eastAsia="仿宋"/>
          <w:color w:val="222222"/>
          <w:sz w:val="21"/>
        </w:rPr>
        <w:t>● 选用近三年真实科研数据开展建模，比较简单模型与复杂模型的表现差异，具备分析“简单模型有时更优”这一现象的能力。</w:t>
      </w:r>
    </w:p>
    <w:p w14:paraId="37CBCEF2">
      <w:pPr>
        <w:spacing w:before="0" w:after="0" w:line="288" w:lineRule="auto"/>
        <w:ind w:left="420" w:firstLine="420"/>
        <w:jc w:val="left"/>
      </w:pPr>
      <w:r>
        <w:rPr>
          <w:rFonts w:ascii="仿宋" w:hAnsi="仿宋" w:eastAsia="仿宋"/>
          <w:color w:val="222222"/>
          <w:sz w:val="21"/>
        </w:rPr>
        <w:t>● 在训练过程中依据损失曲线与验证指标判断模型是否训练有效，形成初步的训练诊断能力。</w:t>
      </w:r>
    </w:p>
    <w:p w14:paraId="63C7A0FF">
      <w:pPr>
        <w:pStyle w:val="5"/>
        <w:keepNext/>
        <w:spacing w:before="80" w:after="40" w:line="288" w:lineRule="auto"/>
        <w:ind w:firstLine="0"/>
        <w:jc w:val="left"/>
      </w:pPr>
      <w:r>
        <w:rPr>
          <w:rFonts w:ascii="黑体" w:hAnsi="黑体" w:eastAsia="黑体"/>
          <w:b/>
          <w:color w:val="000000"/>
          <w:sz w:val="22"/>
        </w:rPr>
        <w:t>模块七　拆解 AI4S 前沿模型：时空数据大模型与 AI 驱动的科学发现</w:t>
      </w:r>
    </w:p>
    <w:p w14:paraId="43A97194">
      <w:pPr>
        <w:spacing w:before="0" w:after="0" w:line="288" w:lineRule="auto"/>
        <w:ind w:firstLine="420"/>
        <w:jc w:val="left"/>
      </w:pPr>
      <w:r>
        <w:rPr>
          <w:rFonts w:ascii="仿宋" w:hAnsi="仿宋" w:eastAsia="仿宋"/>
          <w:b w:val="0"/>
          <w:color w:val="222222"/>
          <w:sz w:val="21"/>
        </w:rPr>
        <w:t>本模块在“骨干模型与数据表征”框架上，带领学生拆解若干代表性 AI4S 前沿模型，讲清“它靠什么支撑、以至于能突破以前解决不了的科学问题”，以及新旧方法的差别。第一类是时空数据大模型——建模在空间网格上随时间演化的物理场（如气象、遥感、地球系统）：以盘古气象（Pangu-Weather，Nature 2023）、GraphCast（Science 2023）等全球场预测模型，以及国家天文台的金乌（太阳耀斑预报，通用大模型底座 + 天文领域微调）、青藏高原所的洛书（气象—水文融合，预测冰川消融下游水资源）为例，讲清空间模态与时间演化的联合建模。第二类是 AI 驱动的结构预测、逆向设计与候选发现：以 MatterGen（微软，Nature 2025）为例，讲扩散模型“从性质约束逆向生成晶体结构”的机制，对比判别式“正向预测”与生成式“逆向设计”的差别；并区分 GNoME（图网络预测形成能与稳定性，对元素替换与随机结构搜索生成的海量候选做大规模筛选，属判别 / 预测式而非生成式）与 AlphaFold3（生物分子结构与相互作用预测）等不同性质的工作，厘清“生成候选—模型预测筛选”闭环与生成式模型之别。第三类是 AI 驱动的科学新发现（AI 科学家）：以星语（StarWhisper，天文大模型 + 星语望远镜自主观测系统，在超新星巡天中自主发现暂现源）与自主实验闭环 / AI 科学家（如 Coscientist——GPT-4 驱动的自主化学实验智能体，属“智能体 + 工具 + 实验”系统而非生成式模型）为例，讲智能体如何自主发现新天体与新材料，并借“已知的已知—已知的未知—未知的未知”三层级刻画科学发现由复现走向探索未知的深度。课程全程以编程智能体带做拆解与复盘，培养学生把握前沿模型演进脉络的数据与模型思维。</w:t>
      </w:r>
    </w:p>
    <w:p w14:paraId="100169C7">
      <w:pPr>
        <w:pStyle w:val="5"/>
        <w:spacing w:before="80" w:after="40" w:line="288" w:lineRule="auto"/>
        <w:ind w:firstLine="0"/>
        <w:jc w:val="left"/>
      </w:pPr>
      <w:r>
        <w:rPr>
          <w:rFonts w:ascii="黑体" w:hAnsi="黑体" w:eastAsia="黑体"/>
          <w:b/>
          <w:color w:val="000000"/>
          <w:sz w:val="22"/>
        </w:rPr>
        <w:t>配套实验</w:t>
      </w:r>
    </w:p>
    <w:p w14:paraId="0A4861FE">
      <w:pPr>
        <w:spacing w:before="0" w:after="0" w:line="288" w:lineRule="auto"/>
        <w:ind w:left="420" w:firstLine="420"/>
        <w:jc w:val="left"/>
      </w:pPr>
      <w:r>
        <w:rPr>
          <w:rFonts w:ascii="仿宋" w:hAnsi="仿宋" w:eastAsia="仿宋"/>
          <w:color w:val="222222"/>
          <w:sz w:val="21"/>
        </w:rPr>
        <w:t>● 拆解一个时空数据大模型（如盘古气象或金乌），梳理其空间场与时间演化的联合建模路径，理解在“骨干模型与数据表征”框架下前沿模型的构建方式。</w:t>
      </w:r>
    </w:p>
    <w:p w14:paraId="3C6D41B0">
      <w:pPr>
        <w:spacing w:before="0" w:after="0" w:line="288" w:lineRule="auto"/>
        <w:ind w:left="420" w:firstLine="420"/>
        <w:jc w:val="left"/>
      </w:pPr>
      <w:r>
        <w:rPr>
          <w:rFonts w:ascii="仿宋" w:hAnsi="仿宋" w:eastAsia="仿宋"/>
          <w:color w:val="222222"/>
          <w:sz w:val="21"/>
        </w:rPr>
        <w:t>● 以 MatterGen 为例完成一个最小的条件生成实验（从性质约束采样候选晶体），体会生成式“逆向设计”相对判别式“正向预测”的新意。</w:t>
      </w:r>
    </w:p>
    <w:p w14:paraId="21B6AF7F">
      <w:pPr>
        <w:spacing w:before="0" w:after="0" w:line="288" w:lineRule="auto"/>
        <w:ind w:left="420" w:firstLine="420"/>
        <w:jc w:val="left"/>
      </w:pPr>
      <w:r>
        <w:rPr>
          <w:rFonts w:ascii="仿宋" w:hAnsi="仿宋" w:eastAsia="仿宋"/>
          <w:color w:val="222222"/>
          <w:sz w:val="21"/>
        </w:rPr>
        <w:t>● 围绕星语或自主实验闭环做一次“AI 驱动科学发现”案例分析，归纳前沿 AI4S 系统相对传统方法的共性范式与差别。</w:t>
      </w:r>
    </w:p>
    <w:p w14:paraId="053573B2">
      <w:r>
        <w:br w:type="page"/>
      </w:r>
    </w:p>
    <w:p w14:paraId="0020553A">
      <w:pPr>
        <w:pStyle w:val="3"/>
        <w:keepNext/>
        <w:spacing w:before="200" w:after="120" w:line="288" w:lineRule="auto"/>
        <w:ind w:firstLine="0"/>
        <w:jc w:val="left"/>
        <w:outlineLvl w:val="0"/>
      </w:pPr>
      <w:bookmarkStart w:id="29" w:name="_Toc191769786"/>
      <w:bookmarkEnd w:id="29"/>
      <w:bookmarkStart w:id="30" w:name="_Toc2067985705"/>
      <w:bookmarkEnd w:id="30"/>
      <w:bookmarkStart w:id="31" w:name="_Toc1490625086"/>
      <w:bookmarkStart w:id="32" w:name="_Toc1676193438"/>
      <w:bookmarkStart w:id="33" w:name="bm_app2"/>
      <w:r>
        <w:rPr>
          <w:rFonts w:ascii="黑体" w:hAnsi="黑体" w:eastAsia="黑体"/>
          <w:b/>
          <w:color w:val="000000"/>
          <w:sz w:val="28"/>
        </w:rPr>
        <w:t>附录二　AI4S 真实问题牵引与科研培育机制</w:t>
      </w:r>
      <w:bookmarkEnd w:id="31"/>
      <w:bookmarkEnd w:id="32"/>
      <w:bookmarkEnd w:id="33"/>
    </w:p>
    <w:p w14:paraId="7F693F0B">
      <w:pPr>
        <w:spacing w:before="0" w:after="0" w:line="288" w:lineRule="auto"/>
        <w:ind w:firstLine="420"/>
        <w:jc w:val="left"/>
      </w:pPr>
      <w:r>
        <w:rPr>
          <w:rFonts w:ascii="仿宋" w:hAnsi="仿宋" w:eastAsia="仿宋"/>
          <w:b w:val="0"/>
          <w:color w:val="222222"/>
          <w:sz w:val="21"/>
        </w:rPr>
        <w:t>为推动课程学习与真实科研需求深度结合，本实训营拟建立“AI4S 真实问题牵引与科研培育机制”。该机制以真实科学问题和技术研发问题为牵引，贯穿问题征集、学员报名、课程分组、晚间研讨、初步实践和课后研究全过程，推动学员在学习人工智能方法的同时，围绕具体问题开展理解、讨论与尝试，并择优支持部分题目进入长期科研阶段。</w:t>
      </w:r>
    </w:p>
    <w:p w14:paraId="07C87F2B">
      <w:pPr>
        <w:spacing w:before="0" w:after="0" w:line="288" w:lineRule="auto"/>
        <w:ind w:firstLine="420"/>
        <w:jc w:val="left"/>
      </w:pPr>
      <w:r>
        <w:rPr>
          <w:rFonts w:ascii="仿宋" w:hAnsi="仿宋" w:eastAsia="仿宋"/>
          <w:b w:val="0"/>
          <w:color w:val="222222"/>
          <w:sz w:val="21"/>
        </w:rPr>
        <w:t>该机制的基本路径为：</w:t>
      </w:r>
    </w:p>
    <w:p w14:paraId="1B6D331D">
      <w:pPr>
        <w:spacing w:before="0" w:after="0" w:line="288" w:lineRule="auto"/>
        <w:ind w:firstLine="420"/>
        <w:jc w:val="left"/>
      </w:pPr>
      <w:r>
        <w:rPr>
          <w:rFonts w:ascii="仿宋" w:hAnsi="仿宋" w:eastAsia="仿宋"/>
          <w:b/>
          <w:color w:val="222222"/>
          <w:sz w:val="21"/>
        </w:rPr>
        <w:t>课前形成问题池，报名关联具体问题，课中开展研讨与尝试，课后择优进入长期研究。</w:t>
      </w:r>
    </w:p>
    <w:p w14:paraId="21931D62">
      <w:pPr>
        <w:pStyle w:val="4"/>
        <w:keepNext/>
        <w:spacing w:before="120" w:after="60" w:line="288" w:lineRule="auto"/>
        <w:ind w:firstLine="0"/>
        <w:jc w:val="left"/>
      </w:pPr>
      <w:r>
        <w:rPr>
          <w:rFonts w:ascii="黑体" w:hAnsi="黑体" w:eastAsia="黑体"/>
          <w:b/>
          <w:color w:val="000000"/>
          <w:sz w:val="22"/>
        </w:rPr>
        <w:t>（一）课前征集问题，建立 AI4S 问题池</w:t>
      </w:r>
    </w:p>
    <w:p w14:paraId="7737B027">
      <w:pPr>
        <w:spacing w:before="0" w:after="0" w:line="288" w:lineRule="auto"/>
        <w:ind w:firstLine="420"/>
        <w:jc w:val="left"/>
      </w:pPr>
      <w:r>
        <w:rPr>
          <w:rFonts w:ascii="仿宋" w:hAnsi="仿宋" w:eastAsia="仿宋"/>
          <w:b w:val="0"/>
          <w:color w:val="222222"/>
          <w:sz w:val="21"/>
        </w:rPr>
        <w:t>在实训营报名启动前，由课程组织方提前面向有关单位和人员征集一批真实 AI4S 问题，形成实训营问题池。</w:t>
      </w:r>
    </w:p>
    <w:p w14:paraId="7251673B">
      <w:pPr>
        <w:spacing w:before="0" w:after="0" w:line="288" w:lineRule="auto"/>
        <w:ind w:firstLine="420"/>
        <w:jc w:val="left"/>
      </w:pPr>
      <w:r>
        <w:rPr>
          <w:rFonts w:ascii="仿宋" w:hAnsi="仿宋" w:eastAsia="仿宋"/>
          <w:b w:val="0"/>
          <w:color w:val="222222"/>
          <w:sz w:val="21"/>
        </w:rPr>
        <w:t>问题主要来源于实训营授课教师、实训营组织单位及支持单位中正在开展或有意开展 AI4S 研究的教师和学生。</w:t>
      </w:r>
    </w:p>
    <w:p w14:paraId="3E85E9D3">
      <w:pPr>
        <w:spacing w:before="0" w:after="0" w:line="288" w:lineRule="auto"/>
        <w:ind w:firstLine="420"/>
        <w:jc w:val="left"/>
      </w:pPr>
      <w:r>
        <w:rPr>
          <w:rFonts w:ascii="仿宋" w:hAnsi="仿宋" w:eastAsia="仿宋"/>
          <w:b w:val="0"/>
          <w:color w:val="222222"/>
          <w:sz w:val="21"/>
        </w:rPr>
        <w:t>征集的问题原则上应具有明确的科学背景、研究目标或应用需求，并尽可能提供必要的数据条件、已有方法、主要困难和后续指导资源。</w:t>
      </w:r>
    </w:p>
    <w:p w14:paraId="1F5C1F98">
      <w:pPr>
        <w:spacing w:before="0" w:after="0" w:line="288" w:lineRule="auto"/>
        <w:ind w:firstLine="420"/>
        <w:jc w:val="left"/>
      </w:pPr>
      <w:r>
        <w:rPr>
          <w:rFonts w:ascii="仿宋" w:hAnsi="仿宋" w:eastAsia="仿宋"/>
          <w:b w:val="0"/>
          <w:color w:val="222222"/>
          <w:sz w:val="21"/>
        </w:rPr>
        <w:t>课程组织方对征集问题进行初步整理，并根据问题内容划分为科研智能体、科学数据、科学模型、端到端自驱实验室等类别，供报名学员选择。</w:t>
      </w:r>
    </w:p>
    <w:p w14:paraId="001BC9DB">
      <w:pPr>
        <w:pStyle w:val="4"/>
        <w:keepNext/>
        <w:spacing w:before="120" w:after="60" w:line="288" w:lineRule="auto"/>
        <w:ind w:firstLine="0"/>
        <w:jc w:val="left"/>
      </w:pPr>
      <w:r>
        <w:rPr>
          <w:rFonts w:ascii="黑体" w:hAnsi="黑体" w:eastAsia="黑体"/>
          <w:b/>
          <w:color w:val="000000"/>
          <w:sz w:val="22"/>
        </w:rPr>
        <w:t>（二）报名关联问题，推动学员带着问题进入课程</w:t>
      </w:r>
    </w:p>
    <w:p w14:paraId="3874578E">
      <w:pPr>
        <w:spacing w:before="0" w:after="0" w:line="288" w:lineRule="auto"/>
        <w:ind w:firstLine="420"/>
        <w:jc w:val="left"/>
      </w:pPr>
      <w:r>
        <w:rPr>
          <w:rFonts w:ascii="仿宋" w:hAnsi="仿宋" w:eastAsia="仿宋"/>
          <w:b w:val="0"/>
          <w:color w:val="222222"/>
          <w:sz w:val="21"/>
        </w:rPr>
        <w:t>报名时，每名学员原则上应至少关联一个 AI4S 问题，可采用以下两种方式之一：</w:t>
      </w:r>
    </w:p>
    <w:p w14:paraId="1347DAB0">
      <w:pPr>
        <w:spacing w:before="0" w:after="0" w:line="288" w:lineRule="auto"/>
        <w:ind w:left="420" w:firstLine="420"/>
        <w:jc w:val="left"/>
      </w:pPr>
      <w:r>
        <w:rPr>
          <w:rFonts w:ascii="仿宋" w:hAnsi="仿宋" w:eastAsia="仿宋"/>
          <w:color w:val="222222"/>
          <w:sz w:val="21"/>
        </w:rPr>
        <w:t>● 从课程组织方提前发布的问题池中，选择至少一个感兴趣的问题；</w:t>
      </w:r>
    </w:p>
    <w:p w14:paraId="1D733801">
      <w:pPr>
        <w:spacing w:before="0" w:after="0" w:line="288" w:lineRule="auto"/>
        <w:ind w:left="420" w:firstLine="420"/>
        <w:jc w:val="left"/>
      </w:pPr>
      <w:r>
        <w:rPr>
          <w:rFonts w:ascii="仿宋" w:hAnsi="仿宋" w:eastAsia="仿宋"/>
          <w:color w:val="222222"/>
          <w:sz w:val="21"/>
        </w:rPr>
        <w:t>● 提出一个本人在学习或科研过程中遇到的 AI4S 相关问题。</w:t>
      </w:r>
    </w:p>
    <w:p w14:paraId="06F3E17A">
      <w:pPr>
        <w:spacing w:before="0" w:after="0" w:line="288" w:lineRule="auto"/>
        <w:ind w:firstLine="420"/>
        <w:jc w:val="left"/>
      </w:pPr>
      <w:r>
        <w:rPr>
          <w:rFonts w:ascii="仿宋" w:hAnsi="仿宋" w:eastAsia="仿宋"/>
          <w:b w:val="0"/>
          <w:color w:val="222222"/>
          <w:sz w:val="21"/>
        </w:rPr>
        <w:t>鼓励学员在选择组织方问题的同时，提交自己的科研问题。</w:t>
      </w:r>
    </w:p>
    <w:p w14:paraId="23AE005E">
      <w:pPr>
        <w:spacing w:before="0" w:after="0" w:line="288" w:lineRule="auto"/>
        <w:ind w:firstLine="420"/>
        <w:jc w:val="left"/>
      </w:pPr>
      <w:r>
        <w:rPr>
          <w:rFonts w:ascii="仿宋" w:hAnsi="仿宋" w:eastAsia="仿宋"/>
          <w:b w:val="0"/>
          <w:color w:val="222222"/>
          <w:sz w:val="21"/>
        </w:rPr>
        <w:t>报名材料中，学员应简要说明：</w:t>
      </w:r>
    </w:p>
    <w:p w14:paraId="78F6A614">
      <w:pPr>
        <w:spacing w:before="0" w:after="0" w:line="288" w:lineRule="auto"/>
        <w:ind w:left="420" w:firstLine="420"/>
        <w:jc w:val="left"/>
      </w:pPr>
      <w:r>
        <w:rPr>
          <w:rFonts w:ascii="仿宋" w:hAnsi="仿宋" w:eastAsia="仿宋"/>
          <w:color w:val="222222"/>
          <w:sz w:val="21"/>
        </w:rPr>
        <w:t>● 选择或提出该问题的原因；</w:t>
      </w:r>
    </w:p>
    <w:p w14:paraId="0290EE96">
      <w:pPr>
        <w:spacing w:before="0" w:after="0" w:line="288" w:lineRule="auto"/>
        <w:ind w:left="420" w:firstLine="420"/>
        <w:jc w:val="left"/>
      </w:pPr>
      <w:r>
        <w:rPr>
          <w:rFonts w:ascii="仿宋" w:hAnsi="仿宋" w:eastAsia="仿宋"/>
          <w:color w:val="222222"/>
          <w:sz w:val="21"/>
        </w:rPr>
        <w:t>● 对问题的初步理解；</w:t>
      </w:r>
    </w:p>
    <w:p w14:paraId="741516E6">
      <w:pPr>
        <w:spacing w:before="0" w:after="0" w:line="288" w:lineRule="auto"/>
        <w:ind w:left="420" w:firstLine="420"/>
        <w:jc w:val="left"/>
      </w:pPr>
      <w:r>
        <w:rPr>
          <w:rFonts w:ascii="仿宋" w:hAnsi="仿宋" w:eastAsia="仿宋"/>
          <w:color w:val="222222"/>
          <w:sz w:val="21"/>
        </w:rPr>
        <w:t>● 本人的学科背景和已有基础；</w:t>
      </w:r>
    </w:p>
    <w:p w14:paraId="30432227">
      <w:pPr>
        <w:spacing w:before="0" w:after="0" w:line="288" w:lineRule="auto"/>
        <w:ind w:left="420" w:firstLine="420"/>
        <w:jc w:val="left"/>
      </w:pPr>
      <w:r>
        <w:rPr>
          <w:rFonts w:ascii="仿宋" w:hAnsi="仿宋" w:eastAsia="仿宋"/>
          <w:color w:val="222222"/>
          <w:sz w:val="21"/>
        </w:rPr>
        <w:t>● 认为可以贡献的知识或技能；</w:t>
      </w:r>
    </w:p>
    <w:p w14:paraId="703C709B">
      <w:pPr>
        <w:spacing w:before="0" w:after="0" w:line="288" w:lineRule="auto"/>
        <w:ind w:left="420" w:firstLine="420"/>
        <w:jc w:val="left"/>
      </w:pPr>
      <w:r>
        <w:rPr>
          <w:rFonts w:ascii="仿宋" w:hAnsi="仿宋" w:eastAsia="仿宋"/>
          <w:color w:val="222222"/>
          <w:sz w:val="21"/>
        </w:rPr>
        <w:t>● 是否有意愿在实训营结束后继续参与；</w:t>
      </w:r>
    </w:p>
    <w:p w14:paraId="2E3A62E2">
      <w:pPr>
        <w:spacing w:before="0" w:after="0" w:line="288" w:lineRule="auto"/>
        <w:ind w:left="420" w:firstLine="420"/>
        <w:jc w:val="left"/>
      </w:pPr>
      <w:r>
        <w:rPr>
          <w:rFonts w:ascii="仿宋" w:hAnsi="仿宋" w:eastAsia="仿宋"/>
          <w:color w:val="222222"/>
          <w:sz w:val="21"/>
        </w:rPr>
        <w:t>● 可用于后续研究的时间投入情况。</w:t>
      </w:r>
    </w:p>
    <w:p w14:paraId="246C24B4">
      <w:pPr>
        <w:spacing w:before="0" w:after="0" w:line="288" w:lineRule="auto"/>
        <w:ind w:firstLine="420"/>
        <w:jc w:val="left"/>
      </w:pPr>
      <w:r>
        <w:rPr>
          <w:rFonts w:ascii="仿宋" w:hAnsi="仿宋" w:eastAsia="仿宋"/>
          <w:b w:val="0"/>
          <w:color w:val="222222"/>
          <w:sz w:val="21"/>
        </w:rPr>
        <w:t>通过报名环节提前建立学员与问题的关联，使学员不只是围绕统一案例被动学习，而是能够将课程内容持续映射到具体科学问题。</w:t>
      </w:r>
    </w:p>
    <w:p w14:paraId="50E7A2B9">
      <w:pPr>
        <w:pStyle w:val="4"/>
        <w:keepNext/>
        <w:spacing w:before="120" w:after="60" w:line="288" w:lineRule="auto"/>
        <w:ind w:firstLine="0"/>
        <w:jc w:val="left"/>
      </w:pPr>
      <w:r>
        <w:rPr>
          <w:rFonts w:ascii="黑体" w:hAnsi="黑体" w:eastAsia="黑体"/>
          <w:b/>
          <w:color w:val="000000"/>
          <w:sz w:val="22"/>
        </w:rPr>
        <w:t>（三）依据问题类型和学员背景开展分组</w:t>
      </w:r>
    </w:p>
    <w:p w14:paraId="0511D360">
      <w:pPr>
        <w:spacing w:before="0" w:after="0" w:line="288" w:lineRule="auto"/>
        <w:ind w:firstLine="420"/>
        <w:jc w:val="left"/>
      </w:pPr>
      <w:r>
        <w:rPr>
          <w:rFonts w:ascii="仿宋" w:hAnsi="仿宋" w:eastAsia="仿宋"/>
          <w:b w:val="0"/>
          <w:color w:val="222222"/>
          <w:sz w:val="21"/>
        </w:rPr>
        <w:t>课程组织方根据学员所选择问题的内容、学科背景、技术基础和参与意愿开展分组。</w:t>
      </w:r>
    </w:p>
    <w:p w14:paraId="1FD2A1EE">
      <w:pPr>
        <w:spacing w:before="0" w:after="0" w:line="288" w:lineRule="auto"/>
        <w:ind w:firstLine="420"/>
        <w:jc w:val="left"/>
      </w:pPr>
      <w:r>
        <w:rPr>
          <w:rFonts w:ascii="仿宋" w:hAnsi="仿宋" w:eastAsia="仿宋"/>
          <w:b w:val="0"/>
          <w:color w:val="222222"/>
          <w:sz w:val="21"/>
        </w:rPr>
        <w:t>分组可重点考虑以下因素：</w:t>
      </w:r>
    </w:p>
    <w:p w14:paraId="01D1864F">
      <w:pPr>
        <w:spacing w:before="0" w:after="0" w:line="288" w:lineRule="auto"/>
        <w:ind w:left="420" w:firstLine="420"/>
        <w:jc w:val="left"/>
      </w:pPr>
      <w:r>
        <w:rPr>
          <w:rFonts w:ascii="仿宋" w:hAnsi="仿宋" w:eastAsia="仿宋"/>
          <w:color w:val="222222"/>
          <w:sz w:val="21"/>
        </w:rPr>
        <w:t>● 问题所属学科领域；</w:t>
      </w:r>
    </w:p>
    <w:p w14:paraId="5A64094C">
      <w:pPr>
        <w:spacing w:before="0" w:after="0" w:line="288" w:lineRule="auto"/>
        <w:ind w:left="420" w:firstLine="420"/>
        <w:jc w:val="left"/>
      </w:pPr>
      <w:r>
        <w:rPr>
          <w:rFonts w:ascii="仿宋" w:hAnsi="仿宋" w:eastAsia="仿宋"/>
          <w:color w:val="222222"/>
          <w:sz w:val="21"/>
        </w:rPr>
        <w:t>● 问题涉及的数据类型和技术方法；</w:t>
      </w:r>
    </w:p>
    <w:p w14:paraId="4BE9EFE7">
      <w:pPr>
        <w:spacing w:before="0" w:after="0" w:line="288" w:lineRule="auto"/>
        <w:ind w:left="420" w:firstLine="420"/>
        <w:jc w:val="left"/>
      </w:pPr>
      <w:r>
        <w:rPr>
          <w:rFonts w:ascii="仿宋" w:hAnsi="仿宋" w:eastAsia="仿宋"/>
          <w:color w:val="222222"/>
          <w:sz w:val="21"/>
        </w:rPr>
        <w:t>● 问题更偏向科研智能体、科学模型，还是计算与实验闭环；</w:t>
      </w:r>
    </w:p>
    <w:p w14:paraId="1DD646B1">
      <w:pPr>
        <w:spacing w:before="0" w:after="0" w:line="288" w:lineRule="auto"/>
        <w:ind w:left="420" w:firstLine="420"/>
        <w:jc w:val="left"/>
      </w:pPr>
      <w:r>
        <w:rPr>
          <w:rFonts w:ascii="仿宋" w:hAnsi="仿宋" w:eastAsia="仿宋"/>
          <w:color w:val="222222"/>
          <w:sz w:val="21"/>
        </w:rPr>
        <w:t>● 学员之间是否具有专业能力互补性；</w:t>
      </w:r>
    </w:p>
    <w:p w14:paraId="00FCE3B6">
      <w:pPr>
        <w:spacing w:before="0" w:after="0" w:line="288" w:lineRule="auto"/>
        <w:ind w:left="420" w:firstLine="420"/>
        <w:jc w:val="left"/>
      </w:pPr>
      <w:r>
        <w:rPr>
          <w:rFonts w:ascii="仿宋" w:hAnsi="仿宋" w:eastAsia="仿宋"/>
          <w:color w:val="222222"/>
          <w:sz w:val="21"/>
        </w:rPr>
        <w:t>● 是否存在明确的命题方、领域导师或后续研究条件。</w:t>
      </w:r>
    </w:p>
    <w:p w14:paraId="57472C00">
      <w:pPr>
        <w:spacing w:before="0" w:after="0" w:line="288" w:lineRule="auto"/>
        <w:ind w:firstLine="420"/>
        <w:jc w:val="left"/>
      </w:pPr>
      <w:r>
        <w:rPr>
          <w:rFonts w:ascii="仿宋" w:hAnsi="仿宋" w:eastAsia="仿宋"/>
          <w:b w:val="0"/>
          <w:color w:val="222222"/>
          <w:sz w:val="21"/>
        </w:rPr>
        <w:t>同一学员可以重点参与一个问题组，也可旁听其他感兴趣的问题组。分组的目的不是要求所有问题在实训营期间得到解决，而是为学员提供稳定的讨论单元，促进跨学科交流、问题澄清和潜在合作关系形成。</w:t>
      </w:r>
    </w:p>
    <w:p w14:paraId="2301364E">
      <w:pPr>
        <w:pStyle w:val="4"/>
        <w:keepNext/>
        <w:spacing w:before="120" w:after="60" w:line="288" w:lineRule="auto"/>
        <w:ind w:firstLine="0"/>
        <w:jc w:val="left"/>
      </w:pPr>
      <w:r>
        <w:rPr>
          <w:rFonts w:ascii="黑体" w:hAnsi="黑体" w:eastAsia="黑体"/>
          <w:b/>
          <w:color w:val="000000"/>
          <w:sz w:val="22"/>
        </w:rPr>
        <w:t>（四）设置习题课和研讨课，分别承担教学巩固与问题讨论功能</w:t>
      </w:r>
    </w:p>
    <w:p w14:paraId="25F5E0CB">
      <w:pPr>
        <w:spacing w:before="0" w:after="0" w:line="288" w:lineRule="auto"/>
        <w:ind w:firstLine="420"/>
        <w:jc w:val="left"/>
      </w:pPr>
      <w:r>
        <w:rPr>
          <w:rFonts w:ascii="仿宋" w:hAnsi="仿宋" w:eastAsia="仿宋"/>
          <w:b w:val="0"/>
          <w:color w:val="222222"/>
          <w:sz w:val="21"/>
        </w:rPr>
        <w:t>实训营晚间活动设置“习题课”和“研讨课”两类环节，两者承担不同功能。</w:t>
      </w:r>
    </w:p>
    <w:p w14:paraId="051ACE96">
      <w:pPr>
        <w:keepNext/>
        <w:spacing w:before="100" w:after="0" w:line="288" w:lineRule="auto"/>
        <w:ind w:firstLine="420"/>
        <w:jc w:val="left"/>
      </w:pPr>
      <w:r>
        <w:rPr>
          <w:rFonts w:ascii="仿宋" w:hAnsi="仿宋" w:eastAsia="仿宋"/>
          <w:b w:val="0"/>
          <w:color w:val="222222"/>
          <w:sz w:val="21"/>
        </w:rPr>
        <w:t>1. 习题课</w:t>
      </w:r>
    </w:p>
    <w:p w14:paraId="4407F6B0">
      <w:pPr>
        <w:spacing w:before="0" w:after="0" w:line="288" w:lineRule="auto"/>
        <w:ind w:firstLine="420"/>
        <w:jc w:val="left"/>
      </w:pPr>
      <w:r>
        <w:rPr>
          <w:rFonts w:ascii="仿宋" w:hAnsi="仿宋" w:eastAsia="仿宋"/>
          <w:b w:val="0"/>
          <w:color w:val="222222"/>
          <w:sz w:val="21"/>
        </w:rPr>
        <w:t>习题课属于正式教学环节，由课程组和助教统一组织。</w:t>
      </w:r>
    </w:p>
    <w:p w14:paraId="71DB8515">
      <w:pPr>
        <w:spacing w:before="0" w:after="0" w:line="288" w:lineRule="auto"/>
        <w:ind w:firstLine="420"/>
        <w:jc w:val="left"/>
      </w:pPr>
      <w:r>
        <w:rPr>
          <w:rFonts w:ascii="仿宋" w:hAnsi="仿宋" w:eastAsia="仿宋"/>
          <w:b w:val="0"/>
          <w:color w:val="222222"/>
          <w:sz w:val="21"/>
        </w:rPr>
        <w:t>课程组从问题池中选择边界较清晰、难度相对适中、已有参考答案或成熟技术路径的问题，结合当日课程内容开展示范性讲解和实操。</w:t>
      </w:r>
    </w:p>
    <w:p w14:paraId="7718EFFC">
      <w:pPr>
        <w:spacing w:before="0" w:after="0" w:line="288" w:lineRule="auto"/>
        <w:ind w:firstLine="420"/>
        <w:jc w:val="left"/>
      </w:pPr>
      <w:r>
        <w:rPr>
          <w:rFonts w:ascii="仿宋" w:hAnsi="仿宋" w:eastAsia="仿宋"/>
          <w:b w:val="0"/>
          <w:color w:val="222222"/>
          <w:sz w:val="21"/>
        </w:rPr>
        <w:t>习题课重点展示：</w:t>
      </w:r>
    </w:p>
    <w:p w14:paraId="3FF67EA8">
      <w:pPr>
        <w:spacing w:before="0" w:after="0" w:line="288" w:lineRule="auto"/>
        <w:ind w:left="420" w:firstLine="420"/>
        <w:jc w:val="left"/>
      </w:pPr>
      <w:r>
        <w:rPr>
          <w:rFonts w:ascii="仿宋" w:hAnsi="仿宋" w:eastAsia="仿宋"/>
          <w:color w:val="222222"/>
          <w:sz w:val="21"/>
        </w:rPr>
        <w:t>● 如何理解和拆解问题；</w:t>
      </w:r>
    </w:p>
    <w:p w14:paraId="51FCE84C">
      <w:pPr>
        <w:spacing w:before="0" w:after="0" w:line="288" w:lineRule="auto"/>
        <w:ind w:left="420" w:firstLine="420"/>
        <w:jc w:val="left"/>
      </w:pPr>
      <w:r>
        <w:rPr>
          <w:rFonts w:ascii="仿宋" w:hAnsi="仿宋" w:eastAsia="仿宋"/>
          <w:color w:val="222222"/>
          <w:sz w:val="21"/>
        </w:rPr>
        <w:t>● 如何将科学问题转化为 AI-ready 任务；</w:t>
      </w:r>
    </w:p>
    <w:p w14:paraId="7BB23C83">
      <w:pPr>
        <w:spacing w:before="0" w:after="0" w:line="288" w:lineRule="auto"/>
        <w:ind w:left="420" w:firstLine="420"/>
        <w:jc w:val="left"/>
      </w:pPr>
      <w:r>
        <w:rPr>
          <w:rFonts w:ascii="仿宋" w:hAnsi="仿宋" w:eastAsia="仿宋"/>
          <w:color w:val="222222"/>
          <w:sz w:val="21"/>
        </w:rPr>
        <w:t>● 如何判断数据和方法是否适配；</w:t>
      </w:r>
    </w:p>
    <w:p w14:paraId="56DAAFF6">
      <w:pPr>
        <w:spacing w:before="0" w:after="0" w:line="288" w:lineRule="auto"/>
        <w:ind w:left="420" w:firstLine="420"/>
        <w:jc w:val="left"/>
      </w:pPr>
      <w:r>
        <w:rPr>
          <w:rFonts w:ascii="仿宋" w:hAnsi="仿宋" w:eastAsia="仿宋"/>
          <w:color w:val="222222"/>
          <w:sz w:val="21"/>
        </w:rPr>
        <w:t>● 如何建立基线模型或智能体工作流；</w:t>
      </w:r>
    </w:p>
    <w:p w14:paraId="763D47C6">
      <w:pPr>
        <w:spacing w:before="0" w:after="0" w:line="288" w:lineRule="auto"/>
        <w:ind w:left="420" w:firstLine="420"/>
        <w:jc w:val="left"/>
      </w:pPr>
      <w:r>
        <w:rPr>
          <w:rFonts w:ascii="仿宋" w:hAnsi="仿宋" w:eastAsia="仿宋"/>
          <w:color w:val="222222"/>
          <w:sz w:val="21"/>
        </w:rPr>
        <w:t>● 如何设置评价指标；</w:t>
      </w:r>
    </w:p>
    <w:p w14:paraId="03DD40A2">
      <w:pPr>
        <w:spacing w:before="0" w:after="0" w:line="288" w:lineRule="auto"/>
        <w:ind w:left="420" w:firstLine="420"/>
        <w:jc w:val="left"/>
      </w:pPr>
      <w:r>
        <w:rPr>
          <w:rFonts w:ascii="仿宋" w:hAnsi="仿宋" w:eastAsia="仿宋"/>
          <w:color w:val="222222"/>
          <w:sz w:val="21"/>
        </w:rPr>
        <w:t>● 如何分析结果和识别主要问题。</w:t>
      </w:r>
    </w:p>
    <w:p w14:paraId="50CAE876">
      <w:pPr>
        <w:spacing w:before="0" w:after="0" w:line="288" w:lineRule="auto"/>
        <w:ind w:firstLine="420"/>
        <w:jc w:val="left"/>
      </w:pPr>
      <w:r>
        <w:rPr>
          <w:rFonts w:ascii="仿宋" w:hAnsi="仿宋" w:eastAsia="仿宋"/>
          <w:b w:val="0"/>
          <w:color w:val="222222"/>
          <w:sz w:val="21"/>
        </w:rPr>
        <w:t>习题课的主要作用，是通过有参考路径的典型问题，将白天讲授的概念和方法进一步落实到具体任务中，帮助学员形成可模仿、可迁移的问题处理方法。</w:t>
      </w:r>
    </w:p>
    <w:p w14:paraId="10D9A4C4">
      <w:pPr>
        <w:keepNext/>
        <w:spacing w:before="100" w:after="0" w:line="288" w:lineRule="auto"/>
        <w:ind w:firstLine="420"/>
        <w:jc w:val="left"/>
      </w:pPr>
      <w:r>
        <w:rPr>
          <w:rFonts w:ascii="仿宋" w:hAnsi="仿宋" w:eastAsia="仿宋"/>
          <w:b w:val="0"/>
          <w:color w:val="222222"/>
          <w:sz w:val="21"/>
        </w:rPr>
        <w:t>2. 研讨课</w:t>
      </w:r>
    </w:p>
    <w:p w14:paraId="26D64106">
      <w:pPr>
        <w:spacing w:before="0" w:after="0" w:line="288" w:lineRule="auto"/>
        <w:ind w:firstLine="420"/>
        <w:jc w:val="left"/>
      </w:pPr>
      <w:r>
        <w:rPr>
          <w:rFonts w:ascii="仿宋" w:hAnsi="仿宋" w:eastAsia="仿宋"/>
          <w:b w:val="0"/>
          <w:color w:val="222222"/>
          <w:sz w:val="21"/>
        </w:rPr>
        <w:t>研讨课为选修环节，按照问题类别和学员分组开展。</w:t>
      </w:r>
    </w:p>
    <w:p w14:paraId="0C7A25FA">
      <w:pPr>
        <w:spacing w:before="0" w:after="0" w:line="288" w:lineRule="auto"/>
        <w:ind w:firstLine="420"/>
        <w:jc w:val="left"/>
      </w:pPr>
      <w:r>
        <w:rPr>
          <w:rFonts w:ascii="仿宋" w:hAnsi="仿宋" w:eastAsia="仿宋"/>
          <w:b w:val="0"/>
          <w:color w:val="222222"/>
          <w:sz w:val="21"/>
        </w:rPr>
        <w:t>每名参与学员围绕自己选择或提出的问题进行简要介绍，重点说明：</w:t>
      </w:r>
    </w:p>
    <w:p w14:paraId="1123D55A">
      <w:pPr>
        <w:spacing w:before="0" w:after="0" w:line="288" w:lineRule="auto"/>
        <w:ind w:left="420" w:firstLine="420"/>
        <w:jc w:val="left"/>
      </w:pPr>
      <w:r>
        <w:rPr>
          <w:rFonts w:ascii="仿宋" w:hAnsi="仿宋" w:eastAsia="仿宋"/>
          <w:color w:val="222222"/>
          <w:sz w:val="21"/>
        </w:rPr>
        <w:t>● 问题的科学背景或应用背景；</w:t>
      </w:r>
    </w:p>
    <w:p w14:paraId="2C86153D">
      <w:pPr>
        <w:spacing w:before="0" w:after="0" w:line="288" w:lineRule="auto"/>
        <w:ind w:left="420" w:firstLine="420"/>
        <w:jc w:val="left"/>
      </w:pPr>
      <w:r>
        <w:rPr>
          <w:rFonts w:ascii="仿宋" w:hAnsi="仿宋" w:eastAsia="仿宋"/>
          <w:color w:val="222222"/>
          <w:sz w:val="21"/>
        </w:rPr>
        <w:t>● 当前已有条件和主要困难；</w:t>
      </w:r>
    </w:p>
    <w:p w14:paraId="4543C909">
      <w:pPr>
        <w:spacing w:before="0" w:after="0" w:line="288" w:lineRule="auto"/>
        <w:ind w:left="420" w:firstLine="420"/>
        <w:jc w:val="left"/>
      </w:pPr>
      <w:r>
        <w:rPr>
          <w:rFonts w:ascii="仿宋" w:hAnsi="仿宋" w:eastAsia="仿宋"/>
          <w:color w:val="222222"/>
          <w:sz w:val="21"/>
        </w:rPr>
        <w:t>● 对问题的初步判断；</w:t>
      </w:r>
    </w:p>
    <w:p w14:paraId="23B6819C">
      <w:pPr>
        <w:spacing w:before="0" w:after="0" w:line="288" w:lineRule="auto"/>
        <w:ind w:left="420" w:firstLine="420"/>
        <w:jc w:val="left"/>
      </w:pPr>
      <w:r>
        <w:rPr>
          <w:rFonts w:ascii="仿宋" w:hAnsi="仿宋" w:eastAsia="仿宋"/>
          <w:color w:val="222222"/>
          <w:sz w:val="21"/>
        </w:rPr>
        <w:t>● 人工智能可能发挥作用的环节；</w:t>
      </w:r>
    </w:p>
    <w:p w14:paraId="1303000B">
      <w:pPr>
        <w:spacing w:before="0" w:after="0" w:line="288" w:lineRule="auto"/>
        <w:ind w:left="420" w:firstLine="420"/>
        <w:jc w:val="left"/>
      </w:pPr>
      <w:r>
        <w:rPr>
          <w:rFonts w:ascii="仿宋" w:hAnsi="仿宋" w:eastAsia="仿宋"/>
          <w:color w:val="222222"/>
          <w:sz w:val="21"/>
        </w:rPr>
        <w:t>● 仍需进一步明确的问题；</w:t>
      </w:r>
    </w:p>
    <w:p w14:paraId="43A8A6E3">
      <w:pPr>
        <w:spacing w:before="0" w:after="0" w:line="288" w:lineRule="auto"/>
        <w:ind w:left="420" w:firstLine="420"/>
        <w:jc w:val="left"/>
      </w:pPr>
      <w:r>
        <w:rPr>
          <w:rFonts w:ascii="仿宋" w:hAnsi="仿宋" w:eastAsia="仿宋"/>
          <w:color w:val="222222"/>
          <w:sz w:val="21"/>
        </w:rPr>
        <w:t>● 希望获得的建议或合作支持。</w:t>
      </w:r>
    </w:p>
    <w:p w14:paraId="7267243C">
      <w:pPr>
        <w:spacing w:before="0" w:after="0" w:line="288" w:lineRule="auto"/>
        <w:ind w:firstLine="420"/>
        <w:jc w:val="left"/>
      </w:pPr>
      <w:r>
        <w:rPr>
          <w:rFonts w:ascii="仿宋" w:hAnsi="仿宋" w:eastAsia="仿宋"/>
          <w:b w:val="0"/>
          <w:color w:val="222222"/>
          <w:sz w:val="21"/>
        </w:rPr>
        <w:t>其他组员、助教和参与导师围绕问题定义、数据条件、技术路线、评价方法和实施难点进行讨论。</w:t>
      </w:r>
    </w:p>
    <w:p w14:paraId="17BAC6A8">
      <w:pPr>
        <w:spacing w:before="0" w:after="0" w:line="288" w:lineRule="auto"/>
        <w:ind w:firstLine="420"/>
        <w:jc w:val="left"/>
      </w:pPr>
      <w:r>
        <w:rPr>
          <w:rFonts w:ascii="仿宋" w:hAnsi="仿宋" w:eastAsia="仿宋"/>
          <w:b w:val="0"/>
          <w:color w:val="222222"/>
          <w:sz w:val="21"/>
        </w:rPr>
        <w:t>研讨课不以当场形成完整答案为要求，主要目标是：</w:t>
      </w:r>
    </w:p>
    <w:p w14:paraId="0FABCC40">
      <w:pPr>
        <w:spacing w:before="0" w:after="0" w:line="288" w:lineRule="auto"/>
        <w:ind w:left="420" w:firstLine="420"/>
        <w:jc w:val="left"/>
      </w:pPr>
      <w:r>
        <w:rPr>
          <w:rFonts w:ascii="仿宋" w:hAnsi="仿宋" w:eastAsia="仿宋"/>
          <w:color w:val="222222"/>
          <w:sz w:val="21"/>
        </w:rPr>
        <w:t>● 帮助学员澄清问题；</w:t>
      </w:r>
    </w:p>
    <w:p w14:paraId="1198220A">
      <w:pPr>
        <w:spacing w:before="0" w:after="0" w:line="288" w:lineRule="auto"/>
        <w:ind w:left="420" w:firstLine="420"/>
        <w:jc w:val="left"/>
      </w:pPr>
      <w:r>
        <w:rPr>
          <w:rFonts w:ascii="仿宋" w:hAnsi="仿宋" w:eastAsia="仿宋"/>
          <w:color w:val="222222"/>
          <w:sz w:val="21"/>
        </w:rPr>
        <w:t>● 引入不同学科和技术视角；</w:t>
      </w:r>
    </w:p>
    <w:p w14:paraId="3DDA60A3">
      <w:pPr>
        <w:spacing w:before="0" w:after="0" w:line="288" w:lineRule="auto"/>
        <w:ind w:left="420" w:firstLine="420"/>
        <w:jc w:val="left"/>
      </w:pPr>
      <w:r>
        <w:rPr>
          <w:rFonts w:ascii="仿宋" w:hAnsi="仿宋" w:eastAsia="仿宋"/>
          <w:color w:val="222222"/>
          <w:sz w:val="21"/>
        </w:rPr>
        <w:t>● 形成初步 AI4S 任务定义；</w:t>
      </w:r>
    </w:p>
    <w:p w14:paraId="45F9B071">
      <w:pPr>
        <w:spacing w:before="0" w:after="0" w:line="288" w:lineRule="auto"/>
        <w:ind w:left="420" w:firstLine="420"/>
        <w:jc w:val="left"/>
      </w:pPr>
      <w:r>
        <w:rPr>
          <w:rFonts w:ascii="仿宋" w:hAnsi="仿宋" w:eastAsia="仿宋"/>
          <w:color w:val="222222"/>
          <w:sz w:val="21"/>
        </w:rPr>
        <w:t>● 识别关键技术难点；</w:t>
      </w:r>
    </w:p>
    <w:p w14:paraId="406D8DA4">
      <w:pPr>
        <w:spacing w:before="0" w:after="0" w:line="288" w:lineRule="auto"/>
        <w:ind w:left="420" w:firstLine="420"/>
        <w:jc w:val="left"/>
      </w:pPr>
      <w:r>
        <w:rPr>
          <w:rFonts w:ascii="仿宋" w:hAnsi="仿宋" w:eastAsia="仿宋"/>
          <w:color w:val="222222"/>
          <w:sz w:val="21"/>
        </w:rPr>
        <w:t>● 发现潜在合作者；</w:t>
      </w:r>
    </w:p>
    <w:p w14:paraId="16FB6AB5">
      <w:pPr>
        <w:spacing w:before="0" w:after="0" w:line="288" w:lineRule="auto"/>
        <w:ind w:left="420" w:firstLine="420"/>
        <w:jc w:val="left"/>
      </w:pPr>
      <w:r>
        <w:rPr>
          <w:rFonts w:ascii="仿宋" w:hAnsi="仿宋" w:eastAsia="仿宋"/>
          <w:color w:val="222222"/>
          <w:sz w:val="21"/>
        </w:rPr>
        <w:t>● 判断问题是否具备进一步研究价值。</w:t>
      </w:r>
    </w:p>
    <w:p w14:paraId="3C9DE217">
      <w:pPr>
        <w:pStyle w:val="4"/>
        <w:keepNext/>
        <w:spacing w:before="120" w:after="60" w:line="288" w:lineRule="auto"/>
        <w:ind w:firstLine="0"/>
        <w:jc w:val="left"/>
      </w:pPr>
      <w:r>
        <w:rPr>
          <w:rFonts w:ascii="黑体" w:hAnsi="黑体" w:eastAsia="黑体"/>
          <w:b/>
          <w:color w:val="000000"/>
          <w:sz w:val="22"/>
        </w:rPr>
        <w:t>（五）将所学方法持续映射到所选问题</w:t>
      </w:r>
    </w:p>
    <w:p w14:paraId="1C73A0DF">
      <w:pPr>
        <w:spacing w:before="0" w:after="0" w:line="288" w:lineRule="auto"/>
        <w:ind w:firstLine="420"/>
        <w:jc w:val="left"/>
      </w:pPr>
      <w:r>
        <w:rPr>
          <w:rFonts w:ascii="仿宋" w:hAnsi="仿宋" w:eastAsia="仿宋"/>
          <w:b w:val="0"/>
          <w:color w:val="222222"/>
          <w:sz w:val="21"/>
        </w:rPr>
        <w:t>实训营期间，引导学员将每日课程内容逐步映射到自己选择的问题。</w:t>
      </w:r>
    </w:p>
    <w:p w14:paraId="3DD90608">
      <w:pPr>
        <w:spacing w:before="0" w:after="0" w:line="288" w:lineRule="auto"/>
        <w:ind w:firstLine="420"/>
        <w:jc w:val="left"/>
      </w:pPr>
      <w:r>
        <w:rPr>
          <w:rFonts w:ascii="仿宋" w:hAnsi="仿宋" w:eastAsia="仿宋"/>
          <w:b w:val="0"/>
          <w:color w:val="222222"/>
          <w:sz w:val="21"/>
        </w:rPr>
        <w:t>围绕四个专题，学员可依次思考：</w:t>
      </w:r>
    </w:p>
    <w:p w14:paraId="681F093D">
      <w:pPr>
        <w:spacing w:before="0" w:after="0" w:line="288" w:lineRule="auto"/>
        <w:ind w:left="420" w:firstLine="420"/>
        <w:jc w:val="left"/>
      </w:pPr>
      <w:r>
        <w:rPr>
          <w:rFonts w:ascii="仿宋" w:hAnsi="仿宋" w:eastAsia="仿宋"/>
          <w:color w:val="222222"/>
          <w:sz w:val="21"/>
        </w:rPr>
        <w:t>● 该问题是否可以通过科研智能体提升研究效率，需要接入哪些知识、记忆和工具；</w:t>
      </w:r>
    </w:p>
    <w:p w14:paraId="1CAC6128">
      <w:pPr>
        <w:spacing w:before="0" w:after="0" w:line="288" w:lineRule="auto"/>
        <w:ind w:left="420" w:firstLine="420"/>
        <w:jc w:val="left"/>
      </w:pPr>
      <w:r>
        <w:rPr>
          <w:rFonts w:ascii="仿宋" w:hAnsi="仿宋" w:eastAsia="仿宋"/>
          <w:color w:val="222222"/>
          <w:sz w:val="21"/>
        </w:rPr>
        <w:t>● 该科学问题如何转化为明确、可计算、可评测的 AI-ready 任务；</w:t>
      </w:r>
    </w:p>
    <w:p w14:paraId="28164D47">
      <w:pPr>
        <w:spacing w:before="0" w:after="0" w:line="288" w:lineRule="auto"/>
        <w:ind w:left="420" w:firstLine="420"/>
        <w:jc w:val="left"/>
      </w:pPr>
      <w:r>
        <w:rPr>
          <w:rFonts w:ascii="仿宋" w:hAnsi="仿宋" w:eastAsia="仿宋"/>
          <w:color w:val="222222"/>
          <w:sz w:val="21"/>
        </w:rPr>
        <w:t>● 其数据属于何种类型，适合采用何种表征方式、基线模型和评价方法；</w:t>
      </w:r>
    </w:p>
    <w:p w14:paraId="08627FE2">
      <w:pPr>
        <w:spacing w:before="0" w:after="0" w:line="288" w:lineRule="auto"/>
        <w:ind w:left="420" w:firstLine="420"/>
        <w:jc w:val="left"/>
      </w:pPr>
      <w:r>
        <w:rPr>
          <w:rFonts w:ascii="仿宋" w:hAnsi="仿宋" w:eastAsia="仿宋"/>
          <w:color w:val="222222"/>
          <w:sz w:val="21"/>
        </w:rPr>
        <w:t>● 如何将数据、模型、智能体、科研工具以及计算或实验验证组织为完整科研流程。</w:t>
      </w:r>
    </w:p>
    <w:p w14:paraId="075CDC1F">
      <w:pPr>
        <w:spacing w:before="0" w:after="0" w:line="288" w:lineRule="auto"/>
        <w:ind w:firstLine="420"/>
        <w:jc w:val="left"/>
      </w:pPr>
      <w:r>
        <w:rPr>
          <w:rFonts w:ascii="仿宋" w:hAnsi="仿宋" w:eastAsia="仿宋"/>
          <w:b w:val="0"/>
          <w:color w:val="222222"/>
          <w:sz w:val="21"/>
        </w:rPr>
        <w:t>实训营期间不要求所有问题完成实质性解决，但鼓励学员形成一份初步的《AI4S 问题分析方案》或《问题研究设想》，内容包括：问题背景；科学目标；数据与资源条件；初步任务定义；可能的技术路线；评价与验证方法；当前主要困难；下一步研究计划。</w:t>
      </w:r>
    </w:p>
    <w:p w14:paraId="257FAFD2">
      <w:pPr>
        <w:pStyle w:val="4"/>
        <w:keepNext/>
        <w:spacing w:before="120" w:after="60" w:line="288" w:lineRule="auto"/>
        <w:ind w:firstLine="0"/>
        <w:jc w:val="left"/>
      </w:pPr>
      <w:r>
        <w:rPr>
          <w:rFonts w:ascii="黑体" w:hAnsi="黑体" w:eastAsia="黑体"/>
          <w:b/>
          <w:color w:val="000000"/>
          <w:sz w:val="22"/>
        </w:rPr>
        <w:t>（六）开展双向选择，择优进入长期科研</w:t>
      </w:r>
    </w:p>
    <w:p w14:paraId="658EF6E7">
      <w:pPr>
        <w:spacing w:before="0" w:after="0" w:line="288" w:lineRule="auto"/>
        <w:ind w:firstLine="420"/>
        <w:jc w:val="left"/>
      </w:pPr>
      <w:r>
        <w:rPr>
          <w:rFonts w:ascii="仿宋" w:hAnsi="仿宋" w:eastAsia="仿宋"/>
          <w:b w:val="0"/>
          <w:color w:val="222222"/>
          <w:sz w:val="21"/>
        </w:rPr>
        <w:t>实训营结束后，对由授课教师、他山协会、磐石相关单位、赞助方及合作单位提出的题目，课程组织方将结合题目条件和学员意愿，开展项目与学员的双向选择。</w:t>
      </w:r>
    </w:p>
    <w:p w14:paraId="78C6C334">
      <w:pPr>
        <w:spacing w:before="0" w:after="0" w:line="288" w:lineRule="auto"/>
        <w:ind w:firstLine="420"/>
        <w:jc w:val="left"/>
      </w:pPr>
      <w:r>
        <w:rPr>
          <w:rFonts w:ascii="仿宋" w:hAnsi="仿宋" w:eastAsia="仿宋"/>
          <w:b w:val="0"/>
          <w:color w:val="222222"/>
          <w:sz w:val="21"/>
        </w:rPr>
        <w:t>进入长期研究的题目原则上应具备以下条件：</w:t>
      </w:r>
    </w:p>
    <w:p w14:paraId="23192A33">
      <w:pPr>
        <w:spacing w:before="0" w:after="0" w:line="288" w:lineRule="auto"/>
        <w:ind w:left="420" w:firstLine="420"/>
        <w:jc w:val="left"/>
      </w:pPr>
      <w:r>
        <w:rPr>
          <w:rFonts w:ascii="仿宋" w:hAnsi="仿宋" w:eastAsia="仿宋"/>
          <w:color w:val="222222"/>
          <w:sz w:val="21"/>
        </w:rPr>
        <w:t>● 问题具有明确的科研或技术研发价值；</w:t>
      </w:r>
    </w:p>
    <w:p w14:paraId="14477BC3">
      <w:pPr>
        <w:spacing w:before="0" w:after="0" w:line="288" w:lineRule="auto"/>
        <w:ind w:left="420" w:firstLine="420"/>
        <w:jc w:val="left"/>
      </w:pPr>
      <w:r>
        <w:rPr>
          <w:rFonts w:ascii="仿宋" w:hAnsi="仿宋" w:eastAsia="仿宋"/>
          <w:color w:val="222222"/>
          <w:sz w:val="21"/>
        </w:rPr>
        <w:t>● 命题方能够提供必要的数据、材料或研究条件；</w:t>
      </w:r>
    </w:p>
    <w:p w14:paraId="28678348">
      <w:pPr>
        <w:spacing w:before="0" w:after="0" w:line="288" w:lineRule="auto"/>
        <w:ind w:left="420" w:firstLine="420"/>
        <w:jc w:val="left"/>
      </w:pPr>
      <w:r>
        <w:rPr>
          <w:rFonts w:ascii="仿宋" w:hAnsi="仿宋" w:eastAsia="仿宋"/>
          <w:color w:val="222222"/>
          <w:sz w:val="21"/>
        </w:rPr>
        <w:t>● 有相关导师或科研人员愿意提供持续指导；</w:t>
      </w:r>
    </w:p>
    <w:p w14:paraId="054D6E89">
      <w:pPr>
        <w:spacing w:before="0" w:after="0" w:line="288" w:lineRule="auto"/>
        <w:ind w:left="420" w:firstLine="420"/>
        <w:jc w:val="left"/>
      </w:pPr>
      <w:r>
        <w:rPr>
          <w:rFonts w:ascii="仿宋" w:hAnsi="仿宋" w:eastAsia="仿宋"/>
          <w:color w:val="222222"/>
          <w:sz w:val="21"/>
        </w:rPr>
        <w:t>● 具备基本可行的 AI4S 技术路径；</w:t>
      </w:r>
    </w:p>
    <w:p w14:paraId="428A7485">
      <w:pPr>
        <w:spacing w:before="0" w:after="0" w:line="288" w:lineRule="auto"/>
        <w:ind w:left="420" w:firstLine="420"/>
        <w:jc w:val="left"/>
      </w:pPr>
      <w:r>
        <w:rPr>
          <w:rFonts w:ascii="仿宋" w:hAnsi="仿宋" w:eastAsia="仿宋"/>
          <w:color w:val="222222"/>
          <w:sz w:val="21"/>
        </w:rPr>
        <w:t>● 有若干学员表现出稳定、真实的长期参与意愿；</w:t>
      </w:r>
    </w:p>
    <w:p w14:paraId="467E51C5">
      <w:pPr>
        <w:spacing w:before="0" w:after="0" w:line="288" w:lineRule="auto"/>
        <w:ind w:left="420" w:firstLine="420"/>
        <w:jc w:val="left"/>
      </w:pPr>
      <w:r>
        <w:rPr>
          <w:rFonts w:ascii="仿宋" w:hAnsi="仿宋" w:eastAsia="仿宋"/>
          <w:color w:val="222222"/>
          <w:sz w:val="21"/>
        </w:rPr>
        <w:t>● 数据使用、成果归属和公开边界基本明确。</w:t>
      </w:r>
    </w:p>
    <w:p w14:paraId="72DC05AC">
      <w:pPr>
        <w:spacing w:before="0" w:after="0" w:line="288" w:lineRule="auto"/>
        <w:ind w:firstLine="420"/>
        <w:jc w:val="left"/>
      </w:pPr>
      <w:r>
        <w:rPr>
          <w:rFonts w:ascii="仿宋" w:hAnsi="仿宋" w:eastAsia="仿宋"/>
          <w:b w:val="0"/>
          <w:color w:val="222222"/>
          <w:sz w:val="21"/>
        </w:rPr>
        <w:t>学员选拔可综合考虑：</w:t>
      </w:r>
    </w:p>
    <w:p w14:paraId="5D6688EA">
      <w:pPr>
        <w:spacing w:before="0" w:after="0" w:line="288" w:lineRule="auto"/>
        <w:ind w:left="420" w:firstLine="420"/>
        <w:jc w:val="left"/>
      </w:pPr>
      <w:r>
        <w:rPr>
          <w:rFonts w:ascii="仿宋" w:hAnsi="仿宋" w:eastAsia="仿宋"/>
          <w:color w:val="222222"/>
          <w:sz w:val="21"/>
        </w:rPr>
        <w:t>● 对问题的理解程度；</w:t>
      </w:r>
    </w:p>
    <w:p w14:paraId="154E1C25">
      <w:pPr>
        <w:spacing w:before="0" w:after="0" w:line="288" w:lineRule="auto"/>
        <w:ind w:left="420" w:firstLine="420"/>
        <w:jc w:val="left"/>
      </w:pPr>
      <w:r>
        <w:rPr>
          <w:rFonts w:ascii="仿宋" w:hAnsi="仿宋" w:eastAsia="仿宋"/>
          <w:color w:val="222222"/>
          <w:sz w:val="21"/>
        </w:rPr>
        <w:t>● 实训营期间的参与情况；</w:t>
      </w:r>
    </w:p>
    <w:p w14:paraId="2AB2E8BD">
      <w:pPr>
        <w:spacing w:before="0" w:after="0" w:line="288" w:lineRule="auto"/>
        <w:ind w:left="420" w:firstLine="420"/>
        <w:jc w:val="left"/>
      </w:pPr>
      <w:r>
        <w:rPr>
          <w:rFonts w:ascii="仿宋" w:hAnsi="仿宋" w:eastAsia="仿宋"/>
          <w:color w:val="222222"/>
          <w:sz w:val="21"/>
        </w:rPr>
        <w:t>● 学科背景和技术能力；</w:t>
      </w:r>
    </w:p>
    <w:p w14:paraId="3C99FF69">
      <w:pPr>
        <w:spacing w:before="0" w:after="0" w:line="288" w:lineRule="auto"/>
        <w:ind w:left="420" w:firstLine="420"/>
        <w:jc w:val="left"/>
      </w:pPr>
      <w:r>
        <w:rPr>
          <w:rFonts w:ascii="仿宋" w:hAnsi="仿宋" w:eastAsia="仿宋"/>
          <w:color w:val="222222"/>
          <w:sz w:val="21"/>
        </w:rPr>
        <w:t>● 是否提出有价值的思路；</w:t>
      </w:r>
    </w:p>
    <w:p w14:paraId="5CF41F76">
      <w:pPr>
        <w:spacing w:before="0" w:after="0" w:line="288" w:lineRule="auto"/>
        <w:ind w:left="420" w:firstLine="420"/>
        <w:jc w:val="left"/>
      </w:pPr>
      <w:r>
        <w:rPr>
          <w:rFonts w:ascii="仿宋" w:hAnsi="仿宋" w:eastAsia="仿宋"/>
          <w:color w:val="222222"/>
          <w:sz w:val="21"/>
        </w:rPr>
        <w:t>● 团队协作能力；</w:t>
      </w:r>
    </w:p>
    <w:p w14:paraId="4D8505A3">
      <w:pPr>
        <w:spacing w:before="0" w:after="0" w:line="288" w:lineRule="auto"/>
        <w:ind w:left="420" w:firstLine="420"/>
        <w:jc w:val="left"/>
      </w:pPr>
      <w:r>
        <w:rPr>
          <w:rFonts w:ascii="仿宋" w:hAnsi="仿宋" w:eastAsia="仿宋"/>
          <w:color w:val="222222"/>
          <w:sz w:val="21"/>
        </w:rPr>
        <w:t>● 后续时间投入和研究意愿。</w:t>
      </w:r>
    </w:p>
    <w:p w14:paraId="3647CADF">
      <w:pPr>
        <w:spacing w:before="0" w:after="0" w:line="288" w:lineRule="auto"/>
        <w:ind w:firstLine="420"/>
        <w:jc w:val="left"/>
      </w:pPr>
      <w:r>
        <w:rPr>
          <w:rFonts w:ascii="仿宋" w:hAnsi="仿宋" w:eastAsia="仿宋"/>
          <w:b w:val="0"/>
          <w:color w:val="222222"/>
          <w:sz w:val="21"/>
        </w:rPr>
        <w:t>对入选题目，原则上由相关命题教师或科研人员担任领域导师，必要时配置人工智能技术导师。他山协会负责项目组织、过程陪跑和持续跟进。</w:t>
      </w:r>
    </w:p>
    <w:p w14:paraId="1554C31C">
      <w:pPr>
        <w:pStyle w:val="4"/>
        <w:keepNext/>
        <w:spacing w:before="120" w:after="60" w:line="288" w:lineRule="auto"/>
        <w:ind w:firstLine="0"/>
        <w:jc w:val="left"/>
      </w:pPr>
      <w:r>
        <w:rPr>
          <w:rFonts w:ascii="黑体" w:hAnsi="黑体" w:eastAsia="黑体"/>
          <w:b/>
          <w:color w:val="000000"/>
          <w:sz w:val="22"/>
        </w:rPr>
        <w:t>（七）建立导师指导与他山陪跑机制</w:t>
      </w:r>
    </w:p>
    <w:p w14:paraId="38F79302">
      <w:pPr>
        <w:spacing w:before="0" w:after="0" w:line="288" w:lineRule="auto"/>
        <w:ind w:firstLine="420"/>
        <w:jc w:val="left"/>
      </w:pPr>
      <w:r>
        <w:rPr>
          <w:rFonts w:ascii="仿宋" w:hAnsi="仿宋" w:eastAsia="仿宋"/>
          <w:b w:val="0"/>
          <w:color w:val="222222"/>
          <w:sz w:val="21"/>
        </w:rPr>
        <w:t>进入长期研究阶段后，项目团队可由以下人员构成：</w:t>
      </w:r>
    </w:p>
    <w:p w14:paraId="3D3D71DB">
      <w:pPr>
        <w:spacing w:before="0" w:after="0" w:line="288" w:lineRule="auto"/>
        <w:ind w:left="420" w:firstLine="420"/>
        <w:jc w:val="left"/>
      </w:pPr>
      <w:r>
        <w:rPr>
          <w:rFonts w:ascii="仿宋" w:hAnsi="仿宋" w:eastAsia="仿宋"/>
          <w:color w:val="222222"/>
          <w:sz w:val="21"/>
        </w:rPr>
        <w:t>● 领域导师：负责科学问题、研究价值和结果合理性的判断；</w:t>
      </w:r>
    </w:p>
    <w:p w14:paraId="0D51213B">
      <w:pPr>
        <w:spacing w:before="0" w:after="0" w:line="288" w:lineRule="auto"/>
        <w:ind w:left="420" w:firstLine="420"/>
        <w:jc w:val="left"/>
      </w:pPr>
      <w:r>
        <w:rPr>
          <w:rFonts w:ascii="仿宋" w:hAnsi="仿宋" w:eastAsia="仿宋"/>
          <w:color w:val="222222"/>
          <w:sz w:val="21"/>
        </w:rPr>
        <w:t>● 技术导师：负责 AI 方法、模型、智能体和工程技术路线指导；</w:t>
      </w:r>
    </w:p>
    <w:p w14:paraId="22F56795">
      <w:pPr>
        <w:spacing w:before="0" w:after="0" w:line="288" w:lineRule="auto"/>
        <w:ind w:left="420" w:firstLine="420"/>
        <w:jc w:val="left"/>
      </w:pPr>
      <w:r>
        <w:rPr>
          <w:rFonts w:ascii="仿宋" w:hAnsi="仿宋" w:eastAsia="仿宋"/>
          <w:color w:val="222222"/>
          <w:sz w:val="21"/>
        </w:rPr>
        <w:t>● 学员团队：负责具体研究、开发和验证工作；</w:t>
      </w:r>
    </w:p>
    <w:p w14:paraId="0BCF929F">
      <w:pPr>
        <w:spacing w:before="0" w:after="0" w:line="288" w:lineRule="auto"/>
        <w:ind w:left="420" w:firstLine="420"/>
        <w:jc w:val="left"/>
      </w:pPr>
      <w:r>
        <w:rPr>
          <w:rFonts w:ascii="仿宋" w:hAnsi="仿宋" w:eastAsia="仿宋"/>
          <w:color w:val="222222"/>
          <w:sz w:val="21"/>
        </w:rPr>
        <w:t>● 他山协会项目协调人员：负责项目管理、资源协调和过程跟进。</w:t>
      </w:r>
    </w:p>
    <w:p w14:paraId="4B29D4B4">
      <w:pPr>
        <w:spacing w:before="0" w:after="0" w:line="288" w:lineRule="auto"/>
        <w:ind w:firstLine="420"/>
        <w:jc w:val="left"/>
      </w:pPr>
      <w:r>
        <w:rPr>
          <w:rFonts w:ascii="仿宋" w:hAnsi="仿宋" w:eastAsia="仿宋"/>
          <w:b w:val="0"/>
          <w:color w:val="222222"/>
          <w:sz w:val="21"/>
        </w:rPr>
        <w:t>中国科学院大学他山学科交叉创新协会主要承担：</w:t>
      </w:r>
    </w:p>
    <w:p w14:paraId="2592938D">
      <w:pPr>
        <w:spacing w:before="0" w:after="0" w:line="288" w:lineRule="auto"/>
        <w:ind w:left="420" w:firstLine="420"/>
        <w:jc w:val="left"/>
      </w:pPr>
      <w:r>
        <w:rPr>
          <w:rFonts w:ascii="仿宋" w:hAnsi="仿宋" w:eastAsia="仿宋"/>
          <w:color w:val="222222"/>
          <w:sz w:val="21"/>
        </w:rPr>
        <w:t>● 协助形成项目任务书；</w:t>
      </w:r>
    </w:p>
    <w:p w14:paraId="564826DD">
      <w:pPr>
        <w:spacing w:before="0" w:after="0" w:line="288" w:lineRule="auto"/>
        <w:ind w:left="420" w:firstLine="420"/>
        <w:jc w:val="left"/>
      </w:pPr>
      <w:r>
        <w:rPr>
          <w:rFonts w:ascii="仿宋" w:hAnsi="仿宋" w:eastAsia="仿宋"/>
          <w:color w:val="222222"/>
          <w:sz w:val="21"/>
        </w:rPr>
        <w:t>● 明确阶段目标和成员分工；</w:t>
      </w:r>
    </w:p>
    <w:p w14:paraId="50A4BD82">
      <w:pPr>
        <w:spacing w:before="0" w:after="0" w:line="288" w:lineRule="auto"/>
        <w:ind w:left="420" w:firstLine="420"/>
        <w:jc w:val="left"/>
      </w:pPr>
      <w:r>
        <w:rPr>
          <w:rFonts w:ascii="仿宋" w:hAnsi="仿宋" w:eastAsia="仿宋"/>
          <w:color w:val="222222"/>
          <w:sz w:val="21"/>
        </w:rPr>
        <w:t>● 组织定期项目交流；</w:t>
      </w:r>
    </w:p>
    <w:p w14:paraId="48178997">
      <w:pPr>
        <w:spacing w:before="0" w:after="0" w:line="288" w:lineRule="auto"/>
        <w:ind w:left="420" w:firstLine="420"/>
        <w:jc w:val="left"/>
      </w:pPr>
      <w:r>
        <w:rPr>
          <w:rFonts w:ascii="仿宋" w:hAnsi="仿宋" w:eastAsia="仿宋"/>
          <w:color w:val="222222"/>
          <w:sz w:val="21"/>
        </w:rPr>
        <w:t>● 跟踪项目推进情况；</w:t>
      </w:r>
    </w:p>
    <w:p w14:paraId="7FF31AAC">
      <w:pPr>
        <w:spacing w:before="0" w:after="0" w:line="288" w:lineRule="auto"/>
        <w:ind w:left="420" w:firstLine="420"/>
        <w:jc w:val="left"/>
      </w:pPr>
      <w:r>
        <w:rPr>
          <w:rFonts w:ascii="仿宋" w:hAnsi="仿宋" w:eastAsia="仿宋"/>
          <w:color w:val="222222"/>
          <w:sz w:val="21"/>
        </w:rPr>
        <w:t>● 协调导师、数据、平台、算力和合作资源；</w:t>
      </w:r>
    </w:p>
    <w:p w14:paraId="26B7FA58">
      <w:pPr>
        <w:spacing w:before="0" w:after="0" w:line="288" w:lineRule="auto"/>
        <w:ind w:left="420" w:firstLine="420"/>
        <w:jc w:val="left"/>
      </w:pPr>
      <w:r>
        <w:rPr>
          <w:rFonts w:ascii="仿宋" w:hAnsi="仿宋" w:eastAsia="仿宋"/>
          <w:color w:val="222222"/>
          <w:sz w:val="21"/>
        </w:rPr>
        <w:t>● 推动解决跨学科沟通问题；</w:t>
      </w:r>
    </w:p>
    <w:p w14:paraId="7E6F7F7B">
      <w:pPr>
        <w:spacing w:before="0" w:after="0" w:line="288" w:lineRule="auto"/>
        <w:ind w:left="420" w:firstLine="420"/>
        <w:jc w:val="left"/>
      </w:pPr>
      <w:r>
        <w:rPr>
          <w:rFonts w:ascii="仿宋" w:hAnsi="仿宋" w:eastAsia="仿宋"/>
          <w:color w:val="222222"/>
          <w:sz w:val="21"/>
        </w:rPr>
        <w:t>● 组织阶段成果总结；</w:t>
      </w:r>
    </w:p>
    <w:p w14:paraId="4BE7D960">
      <w:pPr>
        <w:spacing w:before="0" w:after="0" w:line="288" w:lineRule="auto"/>
        <w:ind w:left="420" w:firstLine="420"/>
        <w:jc w:val="left"/>
      </w:pPr>
      <w:r>
        <w:rPr>
          <w:rFonts w:ascii="仿宋" w:hAnsi="仿宋" w:eastAsia="仿宋"/>
          <w:color w:val="222222"/>
          <w:sz w:val="21"/>
        </w:rPr>
        <w:t>● 协助对接学术交流、项目申报和成果展示机会。</w:t>
      </w:r>
    </w:p>
    <w:p w14:paraId="7412E72D">
      <w:pPr>
        <w:spacing w:before="0" w:after="0" w:line="288" w:lineRule="auto"/>
        <w:ind w:firstLine="420"/>
        <w:jc w:val="left"/>
      </w:pPr>
      <w:r>
        <w:rPr>
          <w:rFonts w:ascii="仿宋" w:hAnsi="仿宋" w:eastAsia="仿宋"/>
          <w:b w:val="0"/>
          <w:color w:val="222222"/>
          <w:sz w:val="21"/>
        </w:rPr>
        <w:t>对于长期缺乏进展、参与人员投入不足或客观条件不再具备的项目，可根据实际情况调整技术路线、补充人员或终止陪跑，确保有限资源用于具备真实推进可能的课题。</w:t>
      </w:r>
    </w:p>
    <w:p w14:paraId="1B4E45DC">
      <w:pPr>
        <w:pStyle w:val="4"/>
        <w:keepNext/>
        <w:spacing w:before="120" w:after="60" w:line="288" w:lineRule="auto"/>
        <w:ind w:firstLine="0"/>
        <w:jc w:val="left"/>
      </w:pPr>
      <w:r>
        <w:rPr>
          <w:rFonts w:ascii="黑体" w:hAnsi="黑体" w:eastAsia="黑体"/>
          <w:b/>
          <w:color w:val="000000"/>
          <w:sz w:val="22"/>
        </w:rPr>
        <w:t>（八）推动形成多层次科研成果</w:t>
      </w:r>
    </w:p>
    <w:p w14:paraId="28FC45FA">
      <w:pPr>
        <w:spacing w:before="0" w:after="0" w:line="288" w:lineRule="auto"/>
        <w:ind w:firstLine="420"/>
        <w:jc w:val="left"/>
      </w:pPr>
      <w:r>
        <w:rPr>
          <w:rFonts w:ascii="仿宋" w:hAnsi="仿宋" w:eastAsia="仿宋"/>
          <w:b w:val="0"/>
          <w:color w:val="222222"/>
          <w:sz w:val="21"/>
        </w:rPr>
        <w:t>长期研究不以单一成果形式为目标，可根据不同题目实际情况，推动形成：</w:t>
      </w:r>
    </w:p>
    <w:p w14:paraId="2560CFF5">
      <w:pPr>
        <w:spacing w:before="0" w:after="0" w:line="288" w:lineRule="auto"/>
        <w:ind w:left="420" w:firstLine="420"/>
        <w:jc w:val="left"/>
      </w:pPr>
      <w:r>
        <w:rPr>
          <w:rFonts w:ascii="仿宋" w:hAnsi="仿宋" w:eastAsia="仿宋"/>
          <w:color w:val="222222"/>
          <w:sz w:val="21"/>
        </w:rPr>
        <w:t>● 规范化的 AI-ready 科学问题；</w:t>
      </w:r>
    </w:p>
    <w:p w14:paraId="26F3BF1F">
      <w:pPr>
        <w:spacing w:before="0" w:after="0" w:line="288" w:lineRule="auto"/>
        <w:ind w:left="420" w:firstLine="420"/>
        <w:jc w:val="left"/>
      </w:pPr>
      <w:r>
        <w:rPr>
          <w:rFonts w:ascii="仿宋" w:hAnsi="仿宋" w:eastAsia="仿宋"/>
          <w:color w:val="222222"/>
          <w:sz w:val="21"/>
        </w:rPr>
        <w:t>● 数据分析流程和可信科研基线；</w:t>
      </w:r>
    </w:p>
    <w:p w14:paraId="50B162B6">
      <w:pPr>
        <w:spacing w:before="0" w:after="0" w:line="288" w:lineRule="auto"/>
        <w:ind w:left="420" w:firstLine="420"/>
        <w:jc w:val="left"/>
      </w:pPr>
      <w:r>
        <w:rPr>
          <w:rFonts w:ascii="仿宋" w:hAnsi="仿宋" w:eastAsia="仿宋"/>
          <w:color w:val="222222"/>
          <w:sz w:val="21"/>
        </w:rPr>
        <w:t>● 科学模型或领域模型；</w:t>
      </w:r>
    </w:p>
    <w:p w14:paraId="76BD43DD">
      <w:pPr>
        <w:spacing w:before="0" w:after="0" w:line="288" w:lineRule="auto"/>
        <w:ind w:left="420" w:firstLine="420"/>
        <w:jc w:val="left"/>
      </w:pPr>
      <w:r>
        <w:rPr>
          <w:rFonts w:ascii="仿宋" w:hAnsi="仿宋" w:eastAsia="仿宋"/>
          <w:color w:val="222222"/>
          <w:sz w:val="21"/>
        </w:rPr>
        <w:t>● 科研智能体；</w:t>
      </w:r>
    </w:p>
    <w:p w14:paraId="31F8AA64">
      <w:pPr>
        <w:spacing w:before="0" w:after="0" w:line="288" w:lineRule="auto"/>
        <w:ind w:left="420" w:firstLine="420"/>
        <w:jc w:val="left"/>
      </w:pPr>
      <w:r>
        <w:rPr>
          <w:rFonts w:ascii="仿宋" w:hAnsi="仿宋" w:eastAsia="仿宋"/>
          <w:color w:val="222222"/>
          <w:sz w:val="21"/>
        </w:rPr>
        <w:t>● 科研知识库；</w:t>
      </w:r>
    </w:p>
    <w:p w14:paraId="171BE775">
      <w:pPr>
        <w:spacing w:before="0" w:after="0" w:line="288" w:lineRule="auto"/>
        <w:ind w:left="420" w:firstLine="420"/>
        <w:jc w:val="left"/>
      </w:pPr>
      <w:r>
        <w:rPr>
          <w:rFonts w:ascii="仿宋" w:hAnsi="仿宋" w:eastAsia="仿宋"/>
          <w:color w:val="222222"/>
          <w:sz w:val="21"/>
        </w:rPr>
        <w:t>● Skill、MCP 或科研工具；</w:t>
      </w:r>
    </w:p>
    <w:p w14:paraId="5FAADBCD">
      <w:pPr>
        <w:spacing w:before="0" w:after="0" w:line="288" w:lineRule="auto"/>
        <w:ind w:left="420" w:firstLine="420"/>
        <w:jc w:val="left"/>
      </w:pPr>
      <w:r>
        <w:rPr>
          <w:rFonts w:ascii="仿宋" w:hAnsi="仿宋" w:eastAsia="仿宋"/>
          <w:color w:val="222222"/>
          <w:sz w:val="21"/>
        </w:rPr>
        <w:t>● 可复用的数据处理与科研工作流；</w:t>
      </w:r>
    </w:p>
    <w:p w14:paraId="2A620C6B">
      <w:pPr>
        <w:spacing w:before="0" w:after="0" w:line="288" w:lineRule="auto"/>
        <w:ind w:left="420" w:firstLine="420"/>
        <w:jc w:val="left"/>
      </w:pPr>
      <w:r>
        <w:rPr>
          <w:rFonts w:ascii="仿宋" w:hAnsi="仿宋" w:eastAsia="仿宋"/>
          <w:color w:val="222222"/>
          <w:sz w:val="21"/>
        </w:rPr>
        <w:t>● 技术报告、研究报告或开源项目；</w:t>
      </w:r>
    </w:p>
    <w:p w14:paraId="0355117F">
      <w:pPr>
        <w:spacing w:before="0" w:after="0" w:line="288" w:lineRule="auto"/>
        <w:ind w:left="420" w:firstLine="420"/>
        <w:jc w:val="left"/>
      </w:pPr>
      <w:r>
        <w:rPr>
          <w:rFonts w:ascii="仿宋" w:hAnsi="仿宋" w:eastAsia="仿宋"/>
          <w:color w:val="222222"/>
          <w:sz w:val="21"/>
        </w:rPr>
        <w:t>● 学术论文、软件成果或联合课题；</w:t>
      </w:r>
    </w:p>
    <w:p w14:paraId="309816F5">
      <w:pPr>
        <w:spacing w:before="0" w:after="0" w:line="288" w:lineRule="auto"/>
        <w:ind w:left="420" w:firstLine="420"/>
        <w:jc w:val="left"/>
      </w:pPr>
      <w:r>
        <w:rPr>
          <w:rFonts w:ascii="仿宋" w:hAnsi="仿宋" w:eastAsia="仿宋"/>
          <w:color w:val="222222"/>
          <w:sz w:val="21"/>
        </w:rPr>
        <w:t>● 课题组之间、学员与导师之间的长期科研合作。</w:t>
      </w:r>
    </w:p>
    <w:p w14:paraId="7A64AC7F">
      <w:pPr>
        <w:spacing w:before="0" w:after="0" w:line="288" w:lineRule="auto"/>
        <w:ind w:firstLine="420"/>
        <w:jc w:val="left"/>
      </w:pPr>
      <w:r>
        <w:rPr>
          <w:rFonts w:ascii="仿宋" w:hAnsi="仿宋" w:eastAsia="仿宋"/>
          <w:b w:val="0"/>
          <w:color w:val="222222"/>
          <w:sz w:val="21"/>
        </w:rPr>
        <w:t>对于形成较好阶段成果的项目，可择优推荐参加后续学术论坛、专题交流和成果展示，并进一步对接磐石生态建设、科研合作和成果转化资源。</w:t>
      </w:r>
    </w:p>
    <w:p w14:paraId="44ABC35F">
      <w:pPr>
        <w:pStyle w:val="4"/>
        <w:keepNext/>
        <w:spacing w:before="120" w:after="60" w:line="288" w:lineRule="auto"/>
        <w:ind w:firstLine="0"/>
        <w:jc w:val="left"/>
      </w:pPr>
      <w:r>
        <w:rPr>
          <w:rFonts w:ascii="黑体" w:hAnsi="黑体" w:eastAsia="黑体"/>
          <w:b/>
          <w:color w:val="000000"/>
          <w:sz w:val="22"/>
        </w:rPr>
        <w:t>（九）明确问题使用与成果管理边界</w:t>
      </w:r>
    </w:p>
    <w:p w14:paraId="6F46D145">
      <w:pPr>
        <w:spacing w:before="0" w:after="0" w:line="288" w:lineRule="auto"/>
        <w:ind w:firstLine="420"/>
        <w:jc w:val="left"/>
      </w:pPr>
      <w:r>
        <w:rPr>
          <w:rFonts w:ascii="仿宋" w:hAnsi="仿宋" w:eastAsia="仿宋"/>
          <w:b w:val="0"/>
          <w:color w:val="222222"/>
          <w:sz w:val="21"/>
        </w:rPr>
        <w:t>问题进入实训营前，应由问题提出方明确数据开放范围、保密要求、成果公开边界和知识产权安排。</w:t>
      </w:r>
    </w:p>
    <w:p w14:paraId="5E717F93">
      <w:pPr>
        <w:spacing w:before="0" w:after="0" w:line="288" w:lineRule="auto"/>
        <w:ind w:firstLine="420"/>
        <w:jc w:val="left"/>
      </w:pPr>
      <w:r>
        <w:rPr>
          <w:rFonts w:ascii="仿宋" w:hAnsi="仿宋" w:eastAsia="仿宋"/>
          <w:b w:val="0"/>
          <w:color w:val="222222"/>
          <w:sz w:val="21"/>
        </w:rPr>
        <w:t>对涉及未公开数据、科研秘密或商业信息的问题，应根据实际情况采取限组使用、脱敏处理、仅作讨论或不进入公开教学等方式。未经问题提出方和相关单位同意，不得擅自公开数据、代码、中间结果或研究成果。</w:t>
      </w:r>
    </w:p>
    <w:p w14:paraId="066AE484">
      <w:pPr>
        <w:spacing w:before="0" w:after="0" w:line="288" w:lineRule="auto"/>
        <w:ind w:firstLine="420"/>
        <w:jc w:val="left"/>
      </w:pPr>
      <w:r>
        <w:rPr>
          <w:rFonts w:ascii="仿宋" w:hAnsi="仿宋" w:eastAsia="仿宋"/>
          <w:b w:val="0"/>
          <w:color w:val="222222"/>
          <w:sz w:val="21"/>
        </w:rPr>
        <w:t>学员自主提出的问题，主要用于个人问题诊断、课程研讨和寻找合作者。对于后续条件成熟、导师明确且具有持续研究意愿的，也可经进一步评估后纳入长期科研培育范围。</w:t>
      </w:r>
    </w:p>
    <w:sectPr>
      <w:headerReference r:id="rId6" w:type="first"/>
      <w:footerReference r:id="rId8" w:type="first"/>
      <w:headerReference r:id="rId5" w:type="default"/>
      <w:footerReference r:id="rId7" w:type="default"/>
      <w:pgSz w:w="11906" w:h="16838"/>
      <w:pgMar w:top="1474" w:right="1587" w:bottom="1361" w:left="1587"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BCFFA">
    <w:pPr>
      <w:jc w:val="center"/>
    </w:pPr>
    <w:r>
      <w:rPr>
        <w:rFonts w:ascii="宋体" w:hAnsi="宋体" w:eastAsia="宋体"/>
        <w:b w:val="0"/>
        <w:color w:val="000000"/>
        <w:sz w:val="18"/>
      </w:rPr>
      <w:fldChar w:fldCharType="begin"/>
    </w:r>
    <w:r>
      <w:rPr>
        <w:rFonts w:ascii="宋体" w:hAnsi="宋体" w:eastAsia="宋体"/>
        <w:b w:val="0"/>
        <w:color w:val="000000"/>
        <w:sz w:val="18"/>
      </w:rPr>
      <w:instrText xml:space="preserve"> PAGE </w:instrText>
    </w:r>
    <w:r>
      <w:rPr>
        <w:rFonts w:ascii="宋体" w:hAnsi="宋体" w:eastAsia="宋体"/>
        <w:b w:val="0"/>
        <w:color w:val="000000"/>
        <w:sz w:val="18"/>
      </w:rPr>
      <w:fldChar w:fldCharType="separate"/>
    </w:r>
    <w:r>
      <w:rPr>
        <w:rFonts w:ascii="宋体" w:hAnsi="宋体" w:eastAsia="宋体"/>
        <w:b w:val="0"/>
        <w:color w:val="000000"/>
        <w:sz w:val="18"/>
      </w:rPr>
      <w:t>1</w:t>
    </w:r>
    <w:r>
      <w:rPr>
        <w:rFonts w:ascii="宋体" w:hAnsi="宋体" w:eastAsia="宋体"/>
        <w:b w:val="0"/>
        <w:color w:val="00000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D43B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A082F">
    <w:pPr>
      <w:jc w:val="center"/>
    </w:pPr>
    <w:r>
      <w:rPr>
        <w:rFonts w:ascii="宋体" w:hAnsi="宋体" w:eastAsia="宋体"/>
        <w:b w:val="0"/>
        <w:color w:val="000000"/>
        <w:sz w:val="18"/>
      </w:rPr>
      <w:t>磐石·科学智能（AI for Science）实训营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27C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2BE2F"/>
    <w:rsid w:val="35DEF02D"/>
    <w:rsid w:val="3CBC7109"/>
    <w:rsid w:val="3F7F0CFF"/>
    <w:rsid w:val="3FFC7105"/>
    <w:rsid w:val="51ED3A01"/>
    <w:rsid w:val="57D72072"/>
    <w:rsid w:val="5F7DF86B"/>
    <w:rsid w:val="67EF8DE2"/>
    <w:rsid w:val="6A72D4E9"/>
    <w:rsid w:val="6EFFC551"/>
    <w:rsid w:val="6F755920"/>
    <w:rsid w:val="73BF2ED2"/>
    <w:rsid w:val="77EE9E4A"/>
    <w:rsid w:val="77F92FB9"/>
    <w:rsid w:val="7D6FF248"/>
    <w:rsid w:val="7EDB4BE0"/>
    <w:rsid w:val="7F7BD997"/>
    <w:rsid w:val="7FFD40E8"/>
    <w:rsid w:val="9FFB6A3C"/>
    <w:rsid w:val="B75867F7"/>
    <w:rsid w:val="BFFF8280"/>
    <w:rsid w:val="C692B946"/>
    <w:rsid w:val="CFEFF8AE"/>
    <w:rsid w:val="DDBF587E"/>
    <w:rsid w:val="E7FD8E8F"/>
    <w:rsid w:val="E7FF5944"/>
    <w:rsid w:val="EFEBB2D4"/>
    <w:rsid w:val="FD4A11BA"/>
    <w:rsid w:val="FEEACC28"/>
    <w:rsid w:val="FF6EB608"/>
    <w:rsid w:val="FFF7E3BD"/>
    <w:rsid w:val="FFFE40D6"/>
    <w:rsid w:val="FFFFCD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17943</Words>
  <Characters>19563</Characters>
  <Lines>0</Lines>
  <Paragraphs>0</Paragraphs>
  <TotalTime>2</TotalTime>
  <ScaleCrop>false</ScaleCrop>
  <LinksUpToDate>false</LinksUpToDate>
  <CharactersWithSpaces>20471</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2013-12-26T15:15:00Z</dcterms:created>
  <dc:creator>python-docx</dc:creator>
  <dc:description>generated by python-docx</dc:description>
  <cp:lastModifiedBy>郑博元</cp:lastModifiedBy>
  <dcterms:modified xsi:type="dcterms:W3CDTF">2026-07-29T13:31:59Z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AC59159DC4E6A43BBD4B686A613B1AF6_42</vt:lpwstr>
  </property>
</Properties>
</file>