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Scaling Techniques Documentation</w:t>
      </w:r>
    </w:p>
    <w:p>
      <w:r>
        <w:t>This document explains the data preparation process used in Stage 2. All preprocessing was performed in the Jupyter Notebook and reproduced in scripts only to generate submission files.</w:t>
      </w:r>
    </w:p>
    <w:p>
      <w:pPr>
        <w:pStyle w:val="Heading1"/>
      </w:pPr>
      <w:r>
        <w:t>Missing Data Handling</w:t>
      </w:r>
    </w:p>
    <w:p>
      <w:r>
        <w:t>The dataset was checked for missing values. Numeric columns were prepared with median imputation and categorical columns with mode imputation, even though the provided dataset did not contain missing values.</w:t>
      </w:r>
    </w:p>
    <w:p>
      <w:pPr>
        <w:pStyle w:val="Heading1"/>
      </w:pPr>
      <w:r>
        <w:t>Categorical Encoding</w:t>
      </w:r>
    </w:p>
    <w:p>
      <w:r>
        <w:t>Categorical variables were encoded using OneHotEncoder with drop='first'. This converts categories into numeric indicator columns and avoids redundant dummy variables.</w:t>
      </w:r>
    </w:p>
    <w:p>
      <w:pPr>
        <w:pStyle w:val="Heading1"/>
      </w:pPr>
      <w:r>
        <w:t>Scaling Method</w:t>
      </w:r>
    </w:p>
    <w:p>
      <w:r>
        <w:t>StandardScaler was applied to numeric columns: SeniorCitizen, tenure, and MonthlyCharges. StandardScaler transforms values by subtracting the mean and dividing by the standard deviation.</w:t>
      </w:r>
    </w:p>
    <w:p>
      <w:pPr>
        <w:pStyle w:val="Heading1"/>
      </w:pPr>
      <w:r>
        <w:t>Code Snippet</w:t>
      </w:r>
    </w:p>
    <w:p>
      <w:r>
        <w:t>preprocessor = ColumnTransformer([</w:t>
        <w:br/>
        <w:t xml:space="preserve">    ('num', StandardScaler(), ['SeniorCitizen', 'tenure', 'MonthlyCharges']),</w:t>
        <w:br/>
        <w:t xml:space="preserve">    ('cat', OneHotEncoder(drop='first', handle_unknown='ignore', sparse_output=False), categorical_features)</w:t>
        <w:br/>
        <w:t>])</w:t>
      </w:r>
    </w:p>
    <w:p>
      <w:pPr>
        <w:pStyle w:val="Heading1"/>
      </w:pPr>
      <w:r>
        <w:t>Train/Test Split</w:t>
      </w:r>
    </w:p>
    <w:p>
      <w:r>
        <w:t>The dataset was split using an 80/20 stratified train-test split so that churn distribution remains consistent in both sets.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