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pStyle w:val="Heading1"/>
        <w:pageBreakBefore/>
      </w:pPr>
      <w:r>
        <w:rPr>
          <w:rFonts w:ascii="SimHei" w:hAnsi="SimHei" w:eastAsia="黑体"/>
        </w:rPr>
        <w:t>测试标书</w:t>
      </w:r>
    </w:p>
    <w:p>
      <w:pPr>
        <w:pStyle w:val="Heading2"/>
        <w:pageBreakBefore/>
      </w:pPr>
      <w:r>
        <w:rPr>
          <w:rFonts w:ascii="SimHei" w:hAnsi="SimHei" w:eastAsia="黑体"/>
        </w:rPr>
        <w:t>技术响应</w:t>
      </w:r>
    </w:p>
    <w:p>
      <w:pPr>
        <w:spacing w:line="360" w:lineRule="auto"/>
        <w:ind w:firstLine="420"/>
      </w:pPr>
      <w:r>
        <w:rPr>
          <w:rFonts w:ascii="SimSun" w:hAnsi="SimSun" w:eastAsia="宋体"/>
          <w:sz w:val="21"/>
        </w:rPr>
        <w:t>这里是正文响应内容。</w:t>
      </w:r>
    </w:p>
    <w:p>
      <w:pPr>
        <w:pStyle w:val="Heading2"/>
        <w:pageBreakBefore/>
      </w:pPr>
      <w:r>
        <w:rPr>
          <w:rFonts w:ascii="SimHei" w:hAnsi="SimHei" w:eastAsia="黑体"/>
        </w:rPr>
        <w:t>售后服务</w:t>
      </w:r>
    </w:p>
    <w:p>
      <w:pPr>
        <w:spacing w:line="360" w:lineRule="auto"/>
        <w:ind w:firstLine="420"/>
      </w:pPr>
      <w:r>
        <w:rPr>
          <w:rFonts w:ascii="SimSun" w:hAnsi="SimSun" w:eastAsia="宋体"/>
          <w:sz w:val="21"/>
        </w:rPr>
        <w:t>这里是后续正文内容。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