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pPr>
      <w:r>
        <w:rPr>
          <w:rFonts w:ascii="Times New Roman" w:hAnsi="Times New Roman"/>
          <w:b/>
          <w:sz w:val="22"/>
        </w:rPr>
        <w:t>Discipline: Management of Organizational Data</w:t>
      </w:r>
    </w:p>
    <w:p>
      <w:pPr>
        <w:spacing w:before="0" w:after="40" w:line="276" w:lineRule="auto"/>
      </w:pPr>
      <w:r>
        <w:rPr>
          <w:rFonts w:ascii="Times New Roman" w:hAnsi="Times New Roman"/>
          <w:b/>
          <w:sz w:val="22"/>
        </w:rPr>
      </w:r>
    </w:p>
    <w:p>
      <w:pPr>
        <w:spacing w:before="720" w:after="240"/>
        <w:jc w:val="center"/>
      </w:pPr>
      <w:r>
        <w:rPr>
          <w:rFonts w:ascii="Times New Roman" w:hAnsi="Times New Roman"/>
          <w:b/>
          <w:sz w:val="42"/>
        </w:rPr>
        <w:t>Title Page</w:t>
      </w:r>
    </w:p>
    <w:p>
      <w:pPr>
        <w:spacing w:before="360" w:after="280"/>
      </w:pPr>
      <w:r>
        <w:rPr>
          <w:rFonts w:ascii="Times New Roman" w:hAnsi="Times New Roman"/>
          <w:b/>
          <w:sz w:val="26"/>
        </w:rPr>
        <w:t>Laboratory Work № 1 / Midterm Group Project</w:t>
      </w:r>
    </w:p>
    <w:p>
      <w:pPr>
        <w:spacing w:before="0" w:after="120" w:line="276" w:lineRule="auto"/>
      </w:pPr>
      <w:r>
        <w:rPr>
          <w:rFonts w:ascii="Times New Roman" w:hAnsi="Times New Roman"/>
          <w:b/>
          <w:i w:val="0"/>
          <w:sz w:val="24"/>
        </w:rPr>
        <w:t>Title: Java Source Code Vulnerability Detection Using GraphCodeBERT + Data Flow Classifier</w:t>
      </w:r>
    </w:p>
    <w:p>
      <w:pPr>
        <w:spacing w:before="0" w:after="120" w:line="276" w:lineRule="auto"/>
      </w:pPr>
      <w:r>
        <w:rPr>
          <w:rFonts w:ascii="Times New Roman" w:hAnsi="Times New Roman"/>
          <w:b w:val="0"/>
          <w:i w:val="0"/>
          <w:sz w:val="24"/>
        </w:rPr>
        <w:t>Course: MSITM 5134 Management of Organizational Data (MoOD 2026)</w:t>
      </w:r>
    </w:p>
    <w:p>
      <w:pPr>
        <w:spacing w:before="0" w:after="120" w:line="276" w:lineRule="auto"/>
      </w:pPr>
      <w:r>
        <w:rPr>
          <w:rFonts w:ascii="Times New Roman" w:hAnsi="Times New Roman"/>
          <w:b w:val="0"/>
          <w:i w:val="0"/>
          <w:sz w:val="24"/>
        </w:rPr>
        <w:t>Instructor: Nazgul T. Seralina</w:t>
      </w:r>
    </w:p>
    <w:p>
      <w:pPr>
        <w:spacing w:before="0" w:after="120" w:line="276" w:lineRule="auto"/>
      </w:pPr>
      <w:r>
        <w:rPr>
          <w:rFonts w:ascii="Times New Roman" w:hAnsi="Times New Roman"/>
          <w:b w:val="0"/>
          <w:i w:val="0"/>
          <w:sz w:val="24"/>
        </w:rPr>
        <w:t>Student Name: Bidaishiev Shyntas, Ibragim Anzir, Ardak Aruzhan, Amanbayev Farkhad</w:t>
      </w:r>
    </w:p>
    <w:p>
      <w:pPr>
        <w:spacing w:before="0" w:after="120" w:line="276" w:lineRule="auto"/>
      </w:pPr>
      <w:r>
        <w:rPr>
          <w:rFonts w:ascii="Times New Roman" w:hAnsi="Times New Roman"/>
          <w:b w:val="0"/>
          <w:i w:val="0"/>
          <w:sz w:val="24"/>
        </w:rPr>
        <w:t>Student ID: 25MD0291, 25MD0311, 25MD0308, 25MD0304</w:t>
      </w:r>
    </w:p>
    <w:p>
      <w:pPr>
        <w:spacing w:before="0" w:after="120" w:line="276" w:lineRule="auto"/>
      </w:pPr>
      <w:r>
        <w:rPr>
          <w:rFonts w:ascii="Times New Roman" w:hAnsi="Times New Roman"/>
          <w:b w:val="0"/>
          <w:i w:val="0"/>
          <w:sz w:val="24"/>
        </w:rPr>
        <w:t>Group: Group 2</w:t>
      </w:r>
    </w:p>
    <w:p>
      <w:pPr>
        <w:spacing w:before="0" w:after="120" w:line="276" w:lineRule="auto"/>
      </w:pPr>
      <w:r>
        <w:rPr>
          <w:rFonts w:ascii="Times New Roman" w:hAnsi="Times New Roman"/>
          <w:b w:val="0"/>
          <w:i w:val="0"/>
          <w:sz w:val="24"/>
        </w:rPr>
        <w:t>School: School of Information Technology and Engineering (SITE), Kazakh-British Technical University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jc w:val="center"/>
      </w:pPr>
      <w:r>
        <w:rPr>
          <w:rFonts w:ascii="Times New Roman" w:hAnsi="Times New Roman"/>
          <w:b/>
          <w:sz w:val="24"/>
        </w:rPr>
        <w:t>Almaty 2026</w:t>
      </w:r>
    </w:p>
    <w:p>
      <w:r>
        <w:br w:type="page"/>
      </w:r>
    </w:p>
    <w:p>
      <w:pPr>
        <w:keepNext/>
        <w:spacing w:before="360" w:after="160"/>
      </w:pPr>
      <w:r>
        <w:rPr>
          <w:rFonts w:ascii="Times New Roman" w:hAnsi="Times New Roman"/>
          <w:b/>
          <w:color w:val="000000"/>
          <w:sz w:val="42"/>
        </w:rPr>
        <w:t>Table of Contents</w:t>
      </w:r>
    </w:p>
    <w:p>
      <w:pPr>
        <w:spacing w:before="60" w:after="60" w:line="276" w:lineRule="auto"/>
      </w:pPr>
      <w:r>
        <w:rPr>
          <w:rFonts w:ascii="Times New Roman" w:hAnsi="Times New Roman"/>
          <w:sz w:val="24"/>
        </w:rPr>
        <w:t>1. Introduction</w:t>
      </w:r>
    </w:p>
    <w:p>
      <w:pPr>
        <w:spacing w:before="60" w:after="60" w:line="276" w:lineRule="auto"/>
      </w:pPr>
      <w:r>
        <w:rPr>
          <w:rFonts w:ascii="Times New Roman" w:hAnsi="Times New Roman"/>
          <w:sz w:val="24"/>
        </w:rPr>
        <w:t>2. Task Description</w:t>
      </w:r>
    </w:p>
    <w:p>
      <w:pPr>
        <w:spacing w:before="60" w:after="60" w:line="276" w:lineRule="auto"/>
      </w:pPr>
      <w:r>
        <w:rPr>
          <w:rFonts w:ascii="Times New Roman" w:hAnsi="Times New Roman"/>
          <w:sz w:val="24"/>
        </w:rPr>
        <w:t>3. Execution and Methodology</w:t>
      </w:r>
    </w:p>
    <w:p>
      <w:pPr>
        <w:spacing w:before="60" w:after="60" w:line="276" w:lineRule="auto"/>
      </w:pPr>
      <w:r>
        <w:rPr>
          <w:rFonts w:ascii="Times New Roman" w:hAnsi="Times New Roman"/>
          <w:sz w:val="24"/>
        </w:rPr>
        <w:t>4. Results and Screenshots</w:t>
      </w:r>
    </w:p>
    <w:p>
      <w:pPr>
        <w:spacing w:before="60" w:after="60" w:line="276" w:lineRule="auto"/>
      </w:pPr>
      <w:r>
        <w:rPr>
          <w:rFonts w:ascii="Times New Roman" w:hAnsi="Times New Roman"/>
          <w:sz w:val="24"/>
        </w:rPr>
        <w:t>5. Conclusion</w:t>
      </w:r>
    </w:p>
    <w:p>
      <w:pPr>
        <w:spacing w:before="60" w:after="60" w:line="276" w:lineRule="auto"/>
      </w:pPr>
      <w:r>
        <w:rPr>
          <w:rFonts w:ascii="Times New Roman" w:hAnsi="Times New Roman"/>
          <w:sz w:val="24"/>
        </w:rPr>
        <w:t>6. References</w:t>
      </w:r>
    </w:p>
    <w:p>
      <w:pPr>
        <w:spacing w:before="60" w:after="60" w:line="276" w:lineRule="auto"/>
      </w:pPr>
      <w:r>
        <w:rPr>
          <w:rFonts w:ascii="Times New Roman" w:hAnsi="Times New Roman"/>
          <w:sz w:val="24"/>
        </w:rPr>
        <w:t>Appendices</w:t>
      </w:r>
    </w:p>
    <w:p>
      <w:r>
        <w:br w:type="page"/>
      </w:r>
    </w:p>
    <w:p>
      <w:pPr>
        <w:keepNext/>
        <w:spacing w:before="360" w:after="160"/>
      </w:pPr>
      <w:r>
        <w:rPr>
          <w:rFonts w:ascii="Times New Roman" w:hAnsi="Times New Roman"/>
          <w:b/>
          <w:color w:val="000000"/>
          <w:sz w:val="42"/>
        </w:rPr>
        <w:t>1. Introduction</w:t>
      </w:r>
    </w:p>
    <w:p>
      <w:pPr>
        <w:keepNext/>
        <w:spacing w:before="240" w:after="80"/>
      </w:pPr>
      <w:r>
        <w:rPr>
          <w:rFonts w:ascii="Times New Roman" w:hAnsi="Times New Roman"/>
          <w:b/>
          <w:color w:val="000000"/>
          <w:sz w:val="33"/>
        </w:rPr>
        <w:t>Background Information</w:t>
      </w:r>
    </w:p>
    <w:p>
      <w:pPr>
        <w:spacing w:before="0" w:after="120" w:line="276" w:lineRule="auto"/>
      </w:pPr>
      <w:r>
        <w:rPr>
          <w:rFonts w:ascii="Times New Roman" w:hAnsi="Times New Roman"/>
          <w:b w:val="0"/>
          <w:i w:val="0"/>
          <w:sz w:val="24"/>
        </w:rPr>
        <w:t>Modern enterprise software engineering relies heavily on continuous integration and continuous deployment (CI/CD) pipelines. However, source code vulnerabilities represent critical operational, financial, and reputational risks to organizations. Traditional Static Application Security Testing (SAST) tools rely on hand-crafted abstract syntax tree (AST) patterns and lexical regular expressions. These classical tools suffer from notoriously high false-positive rates (often exceeding 60%) and frequently miss complex, non-local semantic vulnerabilities where tainted user input travels across multiple statements and variable assignments.</w:t>
      </w:r>
    </w:p>
    <w:p>
      <w:pPr>
        <w:spacing w:before="0" w:after="120" w:line="276" w:lineRule="auto"/>
      </w:pPr>
      <w:r>
        <w:rPr>
          <w:rFonts w:ascii="Times New Roman" w:hAnsi="Times New Roman"/>
          <w:b w:val="0"/>
          <w:i w:val="0"/>
          <w:sz w:val="24"/>
        </w:rPr>
        <w:t>To address these limitations, machine learning on code has emerged as a state-of-the-art paradigm. However, standard Natural Language Processing (NLP) models treat source code merely as flat sequences of subwords, overlooking the underlying semantic dependencies that define executable programs. GraphCodeBERT (Guo et al., 2021) overcomes this shortcoming by pre-training on both textual source code and explicit Data-Flow Graphs (DFG)—directed graphs that capture def-use chains ('where was this variable defined, and where is it used?'). By combining deep self-attention with graph-theoretic data flow, the model traces taint propagation pathways with high fidelity.</w:t>
      </w:r>
    </w:p>
    <w:p>
      <w:pPr>
        <w:spacing w:before="0" w:after="120" w:line="276" w:lineRule="auto"/>
      </w:pPr>
      <w:r>
        <w:rPr>
          <w:rFonts w:ascii="Times New Roman" w:hAnsi="Times New Roman"/>
          <w:b w:val="0"/>
          <w:i w:val="0"/>
          <w:sz w:val="24"/>
        </w:rPr>
        <w:t>In the context of the course 'Management of Organizational Data' (MSITM 5134), vulnerability detection serves as a practical application of organizational data governance. Source code repositories, bug reports, and CVE databases represent critical enterprise data assets. Master students must manage the complete dataset lifecycle according to DAMA-DMBOK2 principles, enforce ISO/IEC 25012 data quality standards, design robust data processing pipelines, and translate analytical results into informed organizational decisions.</w:t>
      </w:r>
    </w:p>
    <w:p>
      <w:pPr>
        <w:keepNext/>
        <w:spacing w:before="160" w:after="40"/>
      </w:pPr>
      <w:r>
        <w:rPr>
          <w:rFonts w:ascii="Times New Roman" w:hAnsi="Times New Roman"/>
          <w:b/>
          <w:color w:val="000000"/>
          <w:sz w:val="24"/>
        </w:rPr>
        <w:t>Purpose of the Laboratory Work:</w:t>
      </w:r>
    </w:p>
    <w:p>
      <w:pPr>
        <w:spacing w:before="0" w:after="120" w:line="276" w:lineRule="auto"/>
      </w:pPr>
      <w:r>
        <w:rPr>
          <w:rFonts w:ascii="Times New Roman" w:hAnsi="Times New Roman"/>
          <w:b w:val="0"/>
          <w:i w:val="0"/>
          <w:sz w:val="24"/>
        </w:rPr>
        <w:t>State clearly the main objective and purpose of Laboratory Work № 1. What problem are you trying to solve? What skills or knowledge are you expected to gain?</w:t>
      </w:r>
    </w:p>
    <w:p>
      <w:pPr>
        <w:spacing w:before="0" w:after="120" w:line="276" w:lineRule="auto"/>
      </w:pPr>
      <w:r>
        <w:rPr>
          <w:rFonts w:ascii="Times New Roman" w:hAnsi="Times New Roman"/>
          <w:b w:val="0"/>
          <w:i w:val="0"/>
          <w:sz w:val="24"/>
        </w:rPr>
        <w:t>The primary purpose of this Laboratory Work (Midterm Group Project) for Team 2 is to design, implement, evaluate, and govern an intelligent Java source code vulnerability detection system using the assigned method: GraphCodeBERT + Data Flow Classifier. The specific technical problem addressed is binary vulnerability classification on paired real-world Java methods, where a vulnerable function and its security patch differ by only subtle statements, rendering lexical matching insufficient.</w:t>
      </w:r>
    </w:p>
    <w:p>
      <w:pPr>
        <w:spacing w:before="0" w:after="120" w:line="276" w:lineRule="auto"/>
      </w:pPr>
      <w:r>
        <w:rPr>
          <w:rFonts w:ascii="Times New Roman" w:hAnsi="Times New Roman"/>
          <w:b w:val="0"/>
          <w:i w:val="0"/>
          <w:sz w:val="24"/>
        </w:rPr>
        <w:t>Through this work, the Master students gain hands-on technical competencies and conceptual knowledge across several domains:</w:t>
        <w:br/>
        <w:t>1. Complete Data Lifecycle Management: Governing data across acquisition, validation, storage, transformation, training, evaluation, and archival (DAMA-DMBOK2).</w:t>
        <w:br/>
        <w:t>2. Data Quality Engineering: Implementing rigorous cleaning, deduplication, and ISO/IEC 25012 quality dimension audits (100% Completeness, Validity, Uniqueness).</w:t>
        <w:br/>
        <w:t>3. Semantic Code Representation: Extracting AST def-use chains, building variable adjacency matrices, and guiding neural attention mechanisms.</w:t>
        <w:br/>
        <w:t>4. Model Optimization &amp; Rigorous Evaluation: Achieving an enterprise-grade holdout Accuracy &gt;= 93.0% threshold, high ROC-AUC, and low false-negative rates.</w:t>
        <w:br/>
        <w:t>5. Technical Problem Solving: Diagnosing and solving real-world engineering obstacles, including network firewall blocks and GPU memory constraints.</w:t>
      </w:r>
    </w:p>
    <w:p>
      <w:pPr>
        <w:keepNext/>
        <w:spacing w:before="360" w:after="160"/>
      </w:pPr>
      <w:r>
        <w:rPr>
          <w:rFonts w:ascii="Times New Roman" w:hAnsi="Times New Roman"/>
          <w:b/>
          <w:color w:val="000000"/>
          <w:sz w:val="42"/>
        </w:rPr>
        <w:t>2. Task Description</w:t>
      </w:r>
    </w:p>
    <w:p>
      <w:pPr>
        <w:keepNext/>
        <w:spacing w:before="240" w:after="80"/>
      </w:pPr>
      <w:r>
        <w:rPr>
          <w:rFonts w:ascii="Times New Roman" w:hAnsi="Times New Roman"/>
          <w:b/>
          <w:color w:val="000000"/>
          <w:sz w:val="33"/>
        </w:rPr>
        <w:t>Task Objective</w:t>
      </w:r>
    </w:p>
    <w:p>
      <w:pPr>
        <w:spacing w:before="0" w:after="120" w:line="276" w:lineRule="auto"/>
      </w:pPr>
      <w:r>
        <w:rPr>
          <w:rFonts w:ascii="Times New Roman" w:hAnsi="Times New Roman"/>
          <w:b w:val="0"/>
          <w:i w:val="0"/>
          <w:sz w:val="24"/>
        </w:rPr>
        <w:t>[Describe the main objective of the task clearly and concisely]</w:t>
      </w:r>
    </w:p>
    <w:p>
      <w:pPr>
        <w:spacing w:before="0" w:after="120" w:line="276" w:lineRule="auto"/>
      </w:pPr>
      <w:r>
        <w:rPr>
          <w:rFonts w:ascii="Times New Roman" w:hAnsi="Times New Roman"/>
          <w:b w:val="0"/>
          <w:i w:val="0"/>
          <w:sz w:val="24"/>
        </w:rPr>
        <w:t>The objective of Team 2 is to develop an automated end-to-end machine learning pipeline that ingests Java source code functions from security commit histories, extracts candidate variable identifiers and data-flow dependency graphs, encodes these structures using the pre-trained GraphCodeBERT neural backbone, aggregates variable interactions via a custom Multi-Head Graph Attention Pooling (GAT) layer, and classifies each function as either Vulnerable (Class 1) or Non-Vulnerable (Class 0), achieving an empirical test Accuracy surpassing the mandatory threshold of &gt;= 93.0%.</w:t>
      </w:r>
    </w:p>
    <w:p>
      <w:pPr>
        <w:keepNext/>
        <w:spacing w:before="240" w:after="80"/>
      </w:pPr>
      <w:r>
        <w:rPr>
          <w:rFonts w:ascii="Times New Roman" w:hAnsi="Times New Roman"/>
          <w:b/>
          <w:color w:val="000000"/>
          <w:sz w:val="33"/>
        </w:rPr>
        <w:t>Task Requirements</w:t>
      </w:r>
    </w:p>
    <w:p>
      <w:pPr>
        <w:spacing w:before="0" w:after="120" w:line="276" w:lineRule="auto"/>
      </w:pPr>
      <w:r>
        <w:rPr>
          <w:rFonts w:ascii="Times New Roman" w:hAnsi="Times New Roman"/>
          <w:b w:val="0"/>
          <w:i w:val="0"/>
          <w:sz w:val="24"/>
        </w:rPr>
        <w:t>The project must satisfy the following technical and organizational requirements specified in the course syllabus:</w:t>
      </w:r>
    </w:p>
    <w:p>
      <w:pPr>
        <w:pStyle w:val="ListBullet"/>
        <w:spacing w:before="20" w:after="60" w:line="276" w:lineRule="auto"/>
      </w:pPr>
      <w:r>
        <w:rPr>
          <w:rFonts w:ascii="Times New Roman" w:hAnsi="Times New Roman"/>
          <w:b/>
          <w:sz w:val="24"/>
        </w:rPr>
        <w:t xml:space="preserve">Requirement 1: [Dataset Acquisition &amp; Ingestion]: </w:t>
      </w:r>
      <w:r>
        <w:rPr>
          <w:rFonts w:ascii="Times New Roman" w:hAnsi="Times New Roman"/>
          <w:sz w:val="24"/>
        </w:rPr>
        <w:t>Collect and ingest the official paired Java vulnerability dataset from the reference study (rmusab/vul-llm-finetune, java_k_1_strict_2023_07_03, 1,334 Java functions).</w:t>
      </w:r>
    </w:p>
    <w:p>
      <w:pPr>
        <w:pStyle w:val="ListBullet"/>
        <w:spacing w:before="20" w:after="60" w:line="276" w:lineRule="auto"/>
      </w:pPr>
      <w:r>
        <w:rPr>
          <w:rFonts w:ascii="Times New Roman" w:hAnsi="Times New Roman"/>
          <w:b/>
          <w:sz w:val="24"/>
        </w:rPr>
        <w:t xml:space="preserve">Requirement 2: [Data Quality Engineering (ISO 25012)]: </w:t>
      </w:r>
      <w:r>
        <w:rPr>
          <w:rFonts w:ascii="Times New Roman" w:hAnsi="Times New Roman"/>
          <w:sz w:val="24"/>
        </w:rPr>
        <w:t>Perform automated data validation, schema verification, SHA-256 deduplication, and class distribution profiling to guarantee 100% data quality.</w:t>
      </w:r>
    </w:p>
    <w:p>
      <w:pPr>
        <w:pStyle w:val="ListBullet"/>
        <w:spacing w:before="20" w:after="60" w:line="276" w:lineRule="auto"/>
      </w:pPr>
      <w:r>
        <w:rPr>
          <w:rFonts w:ascii="Times New Roman" w:hAnsi="Times New Roman"/>
          <w:b/>
          <w:sz w:val="24"/>
        </w:rPr>
        <w:t xml:space="preserve">Requirement 3: [Semantic Data Flow Extraction]: </w:t>
      </w:r>
      <w:r>
        <w:rPr>
          <w:rFonts w:ascii="Times New Roman" w:hAnsi="Times New Roman"/>
          <w:sz w:val="24"/>
        </w:rPr>
        <w:t>Implement an AST lexer to extract variable tokens, identify def-use relations, and construct a (K x K) binary adjacency matrix A for each Java method.</w:t>
      </w:r>
    </w:p>
    <w:p>
      <w:pPr>
        <w:pStyle w:val="ListBullet"/>
        <w:spacing w:before="20" w:after="60" w:line="276" w:lineRule="auto"/>
      </w:pPr>
      <w:r>
        <w:rPr>
          <w:rFonts w:ascii="Times New Roman" w:hAnsi="Times New Roman"/>
          <w:b/>
          <w:sz w:val="24"/>
        </w:rPr>
        <w:t xml:space="preserve">Requirement 4: [Assigned Primary Model Implementation]: </w:t>
      </w:r>
      <w:r>
        <w:rPr>
          <w:rFonts w:ascii="Times New Roman" w:hAnsi="Times New Roman"/>
          <w:sz w:val="24"/>
        </w:rPr>
        <w:t>Implement GraphCodeBERT + Data Flow Classifier with Graph Attention Pooling and tri-representation feature fusion without relying on fallback methods.</w:t>
      </w:r>
    </w:p>
    <w:p>
      <w:pPr>
        <w:pStyle w:val="ListBullet"/>
        <w:spacing w:before="20" w:after="60" w:line="276" w:lineRule="auto"/>
      </w:pPr>
      <w:r>
        <w:rPr>
          <w:rFonts w:ascii="Times New Roman" w:hAnsi="Times New Roman"/>
          <w:b/>
          <w:sz w:val="24"/>
        </w:rPr>
        <w:t xml:space="preserve">Requirement 5: [Performance Benchmark Threshold]: </w:t>
      </w:r>
      <w:r>
        <w:rPr>
          <w:rFonts w:ascii="Times New Roman" w:hAnsi="Times New Roman"/>
          <w:sz w:val="24"/>
        </w:rPr>
        <w:t>Rigorously evaluate the model on the holdout test partition (N = 252) across Accuracy (&gt;= 93.0%), Precision, Recall, Specificity, F1-Score, ROC-AUC, and Confusion Matrix.</w:t>
      </w:r>
    </w:p>
    <w:p>
      <w:pPr>
        <w:pStyle w:val="ListBullet"/>
        <w:spacing w:before="20" w:after="60" w:line="276" w:lineRule="auto"/>
      </w:pPr>
      <w:r>
        <w:rPr>
          <w:rFonts w:ascii="Times New Roman" w:hAnsi="Times New Roman"/>
          <w:b/>
          <w:sz w:val="24"/>
        </w:rPr>
        <w:t xml:space="preserve">Requirement 6: [System Architecture &amp; Lifecycle Modeling]: </w:t>
      </w:r>
      <w:r>
        <w:rPr>
          <w:rFonts w:ascii="Times New Roman" w:hAnsi="Times New Roman"/>
          <w:sz w:val="24"/>
        </w:rPr>
        <w:t>Formulate a complete 7-stage organizational data lifecycle diagram aligned with DAMA-DMBOK2 and an end-to-end system architecture diagram.</w:t>
      </w:r>
    </w:p>
    <w:p>
      <w:pPr>
        <w:pStyle w:val="ListBullet"/>
        <w:spacing w:before="20" w:after="60" w:line="276" w:lineRule="auto"/>
      </w:pPr>
      <w:r>
        <w:rPr>
          <w:rFonts w:ascii="Times New Roman" w:hAnsi="Times New Roman"/>
          <w:b/>
          <w:sz w:val="24"/>
        </w:rPr>
        <w:t xml:space="preserve">Requirement 7: [Documentation of Technical Problems]: </w:t>
      </w:r>
      <w:r>
        <w:rPr>
          <w:rFonts w:ascii="Times New Roman" w:hAnsi="Times New Roman"/>
          <w:sz w:val="24"/>
        </w:rPr>
        <w:t>Document all engineering obstacles encountered during development with error tracebacks, diagnostic analysis, resolution steps, and visual screenshot evidence.</w:t>
      </w:r>
    </w:p>
    <w:p>
      <w:pPr>
        <w:pStyle w:val="ListBullet"/>
        <w:spacing w:before="20" w:after="60" w:line="276" w:lineRule="auto"/>
      </w:pPr>
      <w:r>
        <w:rPr>
          <w:rFonts w:ascii="Times New Roman" w:hAnsi="Times New Roman"/>
          <w:b/>
          <w:sz w:val="24"/>
        </w:rPr>
        <w:t xml:space="preserve">Requirement 8: [Reproducibility &amp; GitHub Deployment]: </w:t>
      </w:r>
      <w:r>
        <w:rPr>
          <w:rFonts w:ascii="Times New Roman" w:hAnsi="Times New Roman"/>
          <w:sz w:val="24"/>
        </w:rPr>
        <w:t>Provide a self-contained, reproducible submission package and host all code, data, notebooks, and models in a public GitHub repository under user Tasik1.</w:t>
      </w:r>
    </w:p>
    <w:p>
      <w:pPr>
        <w:keepNext/>
        <w:spacing w:before="240" w:after="80"/>
      </w:pPr>
      <w:r>
        <w:rPr>
          <w:rFonts w:ascii="Times New Roman" w:hAnsi="Times New Roman"/>
          <w:b/>
          <w:color w:val="000000"/>
          <w:sz w:val="33"/>
        </w:rPr>
        <w:t>Key Concepts</w:t>
      </w:r>
    </w:p>
    <w:p>
      <w:pPr>
        <w:spacing w:before="0" w:after="120" w:line="276" w:lineRule="auto"/>
      </w:pPr>
      <w:r>
        <w:rPr>
          <w:rFonts w:ascii="Times New Roman" w:hAnsi="Times New Roman"/>
          <w:b w:val="0"/>
          <w:i w:val="0"/>
          <w:sz w:val="24"/>
        </w:rPr>
        <w:t>Explain the key theoretical concepts or algorithms relevant to this task:</w:t>
      </w:r>
    </w:p>
    <w:p>
      <w:pPr>
        <w:pStyle w:val="ListBullet"/>
        <w:spacing w:before="20" w:after="60" w:line="276" w:lineRule="auto"/>
      </w:pPr>
      <w:r>
        <w:rPr>
          <w:rFonts w:ascii="Times New Roman" w:hAnsi="Times New Roman"/>
          <w:b/>
          <w:sz w:val="24"/>
        </w:rPr>
        <w:t xml:space="preserve">Concept 1: Organizational Data Lifecycle (DAMA-DMBOK2) [Lecture 1]: </w:t>
      </w:r>
      <w:r>
        <w:rPr>
          <w:rFonts w:ascii="Times New Roman" w:hAnsi="Times New Roman"/>
          <w:sz w:val="24"/>
        </w:rPr>
        <w:t>The structured information value chain through which data moves across an enterprise: Acquisition -&gt; Validation -&gt; Storage -&gt; Transformation -&gt; Training -&gt; Evaluation -&gt; Retention. Each stage adds business value while mitigating security and quality risks.</w:t>
      </w:r>
    </w:p>
    <w:p>
      <w:pPr>
        <w:pStyle w:val="ListBullet"/>
        <w:spacing w:before="20" w:after="60" w:line="276" w:lineRule="auto"/>
      </w:pPr>
      <w:r>
        <w:rPr>
          <w:rFonts w:ascii="Times New Roman" w:hAnsi="Times New Roman"/>
          <w:b/>
          <w:sz w:val="24"/>
        </w:rPr>
        <w:t xml:space="preserve">Concept 2: Data Governance &amp; Ethical Policies [Lecture 2]: </w:t>
      </w:r>
      <w:r>
        <w:rPr>
          <w:rFonts w:ascii="Times New Roman" w:hAnsi="Times New Roman"/>
          <w:sz w:val="24"/>
        </w:rPr>
        <w:t>Formal definition of data roles (Owner, Steward, Custodian), Role-Based Access Control (RBAC), and dual-use ethical guidelines ensuring vulnerability data is used strictly for defensive automated remediation and never for weaponization.</w:t>
      </w:r>
    </w:p>
    <w:p>
      <w:pPr>
        <w:pStyle w:val="ListBullet"/>
        <w:spacing w:before="20" w:after="60" w:line="276" w:lineRule="auto"/>
      </w:pPr>
      <w:r>
        <w:rPr>
          <w:rFonts w:ascii="Times New Roman" w:hAnsi="Times New Roman"/>
          <w:b/>
          <w:sz w:val="24"/>
        </w:rPr>
        <w:t xml:space="preserve">Concept 3: Conceptual Data Modeling &amp; Def-Use Graph Paradigms [Lecture 3]: </w:t>
      </w:r>
      <w:r>
        <w:rPr>
          <w:rFonts w:ascii="Times New Roman" w:hAnsi="Times New Roman"/>
          <w:sz w:val="24"/>
        </w:rPr>
        <w:t>Structuring data relationships through both 3NF relational schemas (functions, CWE categories, commits) and graph paradigms where nodes represent program variables and edges represent value transfer dependencies.</w:t>
      </w:r>
    </w:p>
    <w:p>
      <w:pPr>
        <w:pStyle w:val="ListBullet"/>
        <w:spacing w:before="20" w:after="60" w:line="276" w:lineRule="auto"/>
      </w:pPr>
      <w:r>
        <w:rPr>
          <w:rFonts w:ascii="Times New Roman" w:hAnsi="Times New Roman"/>
          <w:b/>
          <w:sz w:val="24"/>
        </w:rPr>
        <w:t xml:space="preserve">Concept 4: Data Warehousing, Lakehouses &amp; ETL Pipelines [Lecture 4]: </w:t>
      </w:r>
      <w:r>
        <w:rPr>
          <w:rFonts w:ascii="Times New Roman" w:hAnsi="Times New Roman"/>
          <w:sz w:val="24"/>
        </w:rPr>
        <w:t>Automated extraction of raw commit streams, transformation into standardized JSONL formats, and loading into tensor buffers for neural ingestion.</w:t>
      </w:r>
    </w:p>
    <w:p>
      <w:pPr>
        <w:pStyle w:val="ListBullet"/>
        <w:spacing w:before="20" w:after="60" w:line="276" w:lineRule="auto"/>
      </w:pPr>
      <w:r>
        <w:rPr>
          <w:rFonts w:ascii="Times New Roman" w:hAnsi="Times New Roman"/>
          <w:b/>
          <w:sz w:val="24"/>
        </w:rPr>
        <w:t xml:space="preserve">Concept 5: Data Quality Assessment (ISO/IEC 25012) [Lecture 5]: </w:t>
      </w:r>
      <w:r>
        <w:rPr>
          <w:rFonts w:ascii="Times New Roman" w:hAnsi="Times New Roman"/>
          <w:sz w:val="24"/>
        </w:rPr>
        <w:t>Quantitative measurement of data quality dimensions: Completeness (100%), Uniqueness (100%), Validity (100%), and Consistency (100%), ensuring training data integrity.</w:t>
      </w:r>
    </w:p>
    <w:p>
      <w:pPr>
        <w:pStyle w:val="ListBullet"/>
        <w:spacing w:before="20" w:after="60" w:line="276" w:lineRule="auto"/>
      </w:pPr>
      <w:r>
        <w:rPr>
          <w:rFonts w:ascii="Times New Roman" w:hAnsi="Times New Roman"/>
          <w:b/>
          <w:sz w:val="24"/>
        </w:rPr>
        <w:t xml:space="preserve">Concept 6: Data Security &amp; Poisoning Defense [Lecture 6]: </w:t>
      </w:r>
      <w:r>
        <w:rPr>
          <w:rFonts w:ascii="Times New Roman" w:hAnsi="Times New Roman"/>
          <w:sz w:val="24"/>
        </w:rPr>
        <w:t>Confidentiality and integrity protection via AES-256 storage encryption, TLS 1.3 transit encryption, credential scrubbing, and SHA-256 cryptographic hashing to prevent adversarial training set poisoning.</w:t>
      </w:r>
    </w:p>
    <w:p>
      <w:pPr>
        <w:pStyle w:val="ListBullet"/>
        <w:spacing w:before="20" w:after="60" w:line="276" w:lineRule="auto"/>
      </w:pPr>
      <w:r>
        <w:rPr>
          <w:rFonts w:ascii="Times New Roman" w:hAnsi="Times New Roman"/>
          <w:b/>
          <w:sz w:val="24"/>
        </w:rPr>
        <w:t xml:space="preserve">Concept 7: GraphCodeBERT &amp; Graph Attention Pooling [Lecture 7]: </w:t>
      </w:r>
      <w:r>
        <w:rPr>
          <w:rFonts w:ascii="Times New Roman" w:hAnsi="Times New Roman"/>
          <w:sz w:val="24"/>
        </w:rPr>
        <w:t>A 12-layer Transformer backbone pre-trained on code and data flow, combined with a 4-Head Graph Attention Pooling (GAT) layer that dynamically weights def-use edges via adjacency matrix A.</w:t>
      </w:r>
    </w:p>
    <w:p>
      <w:pPr>
        <w:keepNext/>
        <w:spacing w:before="360" w:after="160"/>
      </w:pPr>
      <w:r>
        <w:rPr>
          <w:rFonts w:ascii="Times New Roman" w:hAnsi="Times New Roman"/>
          <w:b/>
          <w:color w:val="000000"/>
          <w:sz w:val="42"/>
        </w:rPr>
        <w:t>3. Execution and Methodology</w:t>
      </w:r>
    </w:p>
    <w:p>
      <w:pPr>
        <w:keepNext/>
        <w:spacing w:before="240" w:after="80"/>
      </w:pPr>
      <w:r>
        <w:rPr>
          <w:rFonts w:ascii="Times New Roman" w:hAnsi="Times New Roman"/>
          <w:b/>
          <w:color w:val="000000"/>
          <w:sz w:val="33"/>
        </w:rPr>
        <w:t>Materials and Tools Required</w:t>
      </w:r>
    </w:p>
    <w:p>
      <w:pPr>
        <w:spacing w:before="0" w:after="120" w:line="276" w:lineRule="auto"/>
      </w:pPr>
      <w:r>
        <w:rPr>
          <w:rFonts w:ascii="Times New Roman" w:hAnsi="Times New Roman"/>
          <w:b w:val="0"/>
          <w:i w:val="0"/>
          <w:sz w:val="24"/>
        </w:rPr>
        <w:t>The development and experimental evaluation of this project utilized the following hardware and software environment:</w:t>
      </w:r>
    </w:p>
    <w:p>
      <w:pPr>
        <w:pStyle w:val="ListBullet"/>
        <w:spacing w:before="20" w:after="60" w:line="276" w:lineRule="auto"/>
      </w:pPr>
      <w:r>
        <w:rPr>
          <w:rFonts w:ascii="Times New Roman" w:hAnsi="Times New Roman"/>
          <w:b/>
          <w:sz w:val="24"/>
        </w:rPr>
        <w:t xml:space="preserve">Hardware Environment: </w:t>
      </w:r>
      <w:r>
        <w:rPr>
          <w:rFonts w:ascii="Times New Roman" w:hAnsi="Times New Roman"/>
          <w:sz w:val="24"/>
        </w:rPr>
        <w:t>Intel Core i7-12700H (14 cores, 20 logical threads @ 4.7 GHz max turbo), 16.0 GB DDR5 RAM, NVIDIA GeForce RTX 3050 Laptop GPU (4.0 GB GDDR6 VRAM, CUDA Compute Capability 8.6), 1.0 TB NVMe PCIe 4.0 SSD.</w:t>
      </w:r>
    </w:p>
    <w:p>
      <w:pPr>
        <w:pStyle w:val="ListBullet"/>
        <w:spacing w:before="20" w:after="60" w:line="276" w:lineRule="auto"/>
      </w:pPr>
      <w:r>
        <w:rPr>
          <w:rFonts w:ascii="Times New Roman" w:hAnsi="Times New Roman"/>
          <w:b/>
          <w:sz w:val="24"/>
        </w:rPr>
        <w:t xml:space="preserve">Operating System: </w:t>
      </w:r>
      <w:r>
        <w:rPr>
          <w:rFonts w:ascii="Times New Roman" w:hAnsi="Times New Roman"/>
          <w:sz w:val="24"/>
        </w:rPr>
        <w:t>Microsoft Windows 11 Enterprise (64-bit, Build 26100), Windows PowerShell 7.4 / Command Prompt.</w:t>
      </w:r>
    </w:p>
    <w:p>
      <w:pPr>
        <w:pStyle w:val="ListBullet"/>
        <w:spacing w:before="20" w:after="60" w:line="276" w:lineRule="auto"/>
      </w:pPr>
      <w:r>
        <w:rPr>
          <w:rFonts w:ascii="Times New Roman" w:hAnsi="Times New Roman"/>
          <w:b/>
          <w:sz w:val="24"/>
        </w:rPr>
        <w:t xml:space="preserve">Programming Language &amp; Core Libraries: </w:t>
      </w:r>
      <w:r>
        <w:rPr>
          <w:rFonts w:ascii="Times New Roman" w:hAnsi="Times New Roman"/>
          <w:sz w:val="24"/>
        </w:rPr>
        <w:t>Python 3.12.7, PyTorch 2.14.1 (CUDA 12.1 acceleration), HuggingFace Transformers 4.49.0 (GraphCodeBERT implementation), Tree-sitter 0.21.3 (Java AST parsing), Scikit-Learn 1.6.1, NumPy 1.26.4, Pandas 2.2.3, SciPy 1.15.2.</w:t>
      </w:r>
    </w:p>
    <w:p>
      <w:pPr>
        <w:pStyle w:val="ListBullet"/>
        <w:spacing w:before="20" w:after="60" w:line="276" w:lineRule="auto"/>
      </w:pPr>
      <w:r>
        <w:rPr>
          <w:rFonts w:ascii="Times New Roman" w:hAnsi="Times New Roman"/>
          <w:b/>
          <w:sz w:val="24"/>
        </w:rPr>
        <w:t xml:space="preserve">Visualization &amp; Reporting Tools: </w:t>
      </w:r>
      <w:r>
        <w:rPr>
          <w:rFonts w:ascii="Times New Roman" w:hAnsi="Times New Roman"/>
          <w:sz w:val="24"/>
        </w:rPr>
        <w:t>Matplotlib 3.10.0, Seaborn 0.13.2, Python-Docx 1.1.2, Python-PPTX 1.0.2, Jupyter Notebook / JupyterLab.</w:t>
      </w:r>
    </w:p>
    <w:p>
      <w:pPr>
        <w:pStyle w:val="ListBullet"/>
        <w:spacing w:before="20" w:after="60" w:line="276" w:lineRule="auto"/>
      </w:pPr>
      <w:r>
        <w:rPr>
          <w:rFonts w:ascii="Times New Roman" w:hAnsi="Times New Roman"/>
          <w:b/>
          <w:sz w:val="24"/>
        </w:rPr>
        <w:t xml:space="preserve">Version Control &amp; Network Infrastructure: </w:t>
      </w:r>
      <w:r>
        <w:rPr>
          <w:rFonts w:ascii="Times New Roman" w:hAnsi="Times New Roman"/>
          <w:sz w:val="24"/>
        </w:rPr>
        <w:t>Git 2.45.2, GitHub CLI, Custom Local HTTP CONNECT Proxy (github_proxy.py on port 8989).</w:t>
      </w:r>
    </w:p>
    <w:p>
      <w:pPr>
        <w:keepNext/>
        <w:spacing w:before="240" w:after="80"/>
      </w:pPr>
      <w:r>
        <w:rPr>
          <w:rFonts w:ascii="Times New Roman" w:hAnsi="Times New Roman"/>
          <w:b/>
          <w:color w:val="000000"/>
          <w:sz w:val="33"/>
        </w:rPr>
        <w:t>Step-by-Step Procedure</w:t>
      </w:r>
    </w:p>
    <w:p>
      <w:pPr>
        <w:spacing w:before="0" w:after="120" w:line="276" w:lineRule="auto"/>
      </w:pPr>
      <w:r>
        <w:rPr>
          <w:rFonts w:ascii="Times New Roman" w:hAnsi="Times New Roman"/>
          <w:b w:val="0"/>
          <w:i w:val="0"/>
          <w:sz w:val="24"/>
        </w:rPr>
        <w:t>The project execution followed a rigorous six-step procedure covering the entire engineering and modeling lifecycle:</w:t>
      </w:r>
    </w:p>
    <w:p>
      <w:pPr>
        <w:keepNext/>
        <w:spacing w:before="160" w:after="40"/>
      </w:pPr>
      <w:r>
        <w:rPr>
          <w:rFonts w:ascii="Times New Roman" w:hAnsi="Times New Roman"/>
          <w:b/>
          <w:color w:val="000000"/>
          <w:sz w:val="24"/>
        </w:rPr>
        <w:t>Step 1: Dataset Acquisition and Paired Ingestion</w:t>
      </w:r>
    </w:p>
    <w:p>
      <w:pPr>
        <w:spacing w:before="0" w:after="120" w:line="276" w:lineRule="auto"/>
      </w:pPr>
      <w:r>
        <w:rPr>
          <w:rFonts w:ascii="Times New Roman" w:hAnsi="Times New Roman"/>
          <w:b w:val="0"/>
          <w:i w:val="0"/>
          <w:sz w:val="24"/>
        </w:rPr>
        <w:t>[Detailed description of what was done in this step. Explain the approach and reasoning.]</w:t>
        <w:br/>
        <w:t>We acquired the benchmark dataset 'java_k_1_strict_2023_07_03.tar.gz' from the official repository of the reference study (Shestov et al., IEEE Access 2025, DOI: 10.1109/ACCESS.2025.3546700). The dataset contains 1,334 real-world Java methods extracted from GitHub security commit pairs across multiple open-source repositories. In strict paired benchmarking, each vulnerable function (label 1) is matched with its exact patched counterpart (label 0). This provides an exceptionally rigorous test bed because the vulnerable and fixed methods share nearly identical names, token distributions, and class contexts, preventing models from relying on superficial keyword shortcuts.</w:t>
      </w:r>
    </w:p>
    <w:p>
      <w:pPr>
        <w:keepNext/>
        <w:spacing w:before="160" w:after="40"/>
      </w:pPr>
      <w:r>
        <w:rPr>
          <w:rFonts w:ascii="Times New Roman" w:hAnsi="Times New Roman"/>
          <w:b/>
          <w:color w:val="000000"/>
          <w:sz w:val="24"/>
        </w:rPr>
        <w:t>Step 2: ISO/IEC 25012 Data Quality Audit and Sanitization</w:t>
      </w:r>
    </w:p>
    <w:p>
      <w:pPr>
        <w:spacing w:before="0" w:after="120" w:line="276" w:lineRule="auto"/>
      </w:pPr>
      <w:r>
        <w:rPr>
          <w:rFonts w:ascii="Times New Roman" w:hAnsi="Times New Roman"/>
          <w:b w:val="0"/>
          <w:i w:val="0"/>
          <w:sz w:val="24"/>
        </w:rPr>
        <w:t>[Detailed description of what was done in this step.]</w:t>
        <w:br/>
        <w:t>We developed 'pipeline/etl_pipeline.py' to unpack, validate, and audit the raw JSONL records. Each sample was inspected for schema completeness, valid binary target values (0 or 1), non-empty function strings, and valid CWE identifiers. We performed SHA-256 cryptographic hashing across all code bodies to detect and eliminate duplicate records. The audit confirmed 100% Completeness (0 missing fields), 100% Validity (all types valid), and 100% Uniqueness across all 1,334 records (810 Train, 272 Validation, 252 Test). Class distribution profiling verified balanced splits (Train: 49.75% vulnerable; Validation: 51.10% vulnerable; Test: 48.81% vulnerable). An audit report was programmatically generated and saved to 'results/data_quality_report.json'.</w:t>
      </w:r>
    </w:p>
    <w:p>
      <w:pPr>
        <w:keepNext/>
        <w:spacing w:before="160" w:after="40"/>
      </w:pPr>
      <w:r>
        <w:rPr>
          <w:rFonts w:ascii="Times New Roman" w:hAnsi="Times New Roman"/>
          <w:b/>
          <w:color w:val="000000"/>
          <w:sz w:val="24"/>
        </w:rPr>
        <w:t>Step 3: Java Lexical AST Parsing and Data-Flow Graph (DFG) Extraction</w:t>
      </w:r>
    </w:p>
    <w:p>
      <w:pPr>
        <w:spacing w:before="0" w:after="120" w:line="276" w:lineRule="auto"/>
      </w:pPr>
      <w:r>
        <w:rPr>
          <w:rFonts w:ascii="Times New Roman" w:hAnsi="Times New Roman"/>
          <w:b w:val="0"/>
          <w:i w:val="0"/>
          <w:sz w:val="24"/>
        </w:rPr>
        <w:t>[Detailed description of what was done in this step.]</w:t>
        <w:br/>
        <w:t>To enable semantic data-flow learning, we engineered 'models/data_flow_extractor.py'. The module processes each Java method through a lexical AST tokenizer to extract candidate variable identifiers while filtering out reserved Java language keywords. It then traces def-use relationships by identifying variable declarations, assignments (def), and subsequent references in method invocations or conditional guards (use). For each function, a set of DFG variable nodes V_DFG and a directed edge set E_DFG are constructed. The extractor outputs a binary adjacency matrix A of dimension (K x K), where K = min(|V_DFG|, 16), with self-loops added along the diagonal to preserve identity representations.</w:t>
      </w:r>
    </w:p>
    <w:p>
      <w:pPr>
        <w:keepNext/>
        <w:spacing w:before="160" w:after="40"/>
      </w:pPr>
      <w:r>
        <w:rPr>
          <w:rFonts w:ascii="Times New Roman" w:hAnsi="Times New Roman"/>
          <w:b/>
          <w:color w:val="000000"/>
          <w:sz w:val="24"/>
        </w:rPr>
        <w:t>Step 4: GraphCodeBERT Transformer Backbone Feature Representation</w:t>
      </w:r>
    </w:p>
    <w:p>
      <w:pPr>
        <w:spacing w:before="0" w:after="120" w:line="276" w:lineRule="auto"/>
      </w:pPr>
      <w:r>
        <w:rPr>
          <w:rFonts w:ascii="Times New Roman" w:hAnsi="Times New Roman"/>
          <w:b w:val="0"/>
          <w:i w:val="0"/>
          <w:sz w:val="24"/>
        </w:rPr>
        <w:t>[Detailed description of what was done in this step.]</w:t>
        <w:br/>
        <w:t>We integrated Microsoft's pre-trained 'microsoft/graphcodebert-base' model (12 Transformer layers, 12 attention heads, hidden dimensionality d = 768, 125M parameters). GraphCodeBERT is uniquely pre-trained on three multi-task objectives: Masked Language Modeling (MLM), Data Flow Edge Prediction, and Variable-Node Alignment. Source code functions are tokenized into subword tokens with special tokens ([CLS] and [SEP]) and padded to sequence length L = 256. The model maps each token into a contextual embedding vector in R^768.</w:t>
      </w:r>
    </w:p>
    <w:p>
      <w:pPr>
        <w:keepNext/>
        <w:spacing w:before="160" w:after="40"/>
      </w:pPr>
      <w:r>
        <w:rPr>
          <w:rFonts w:ascii="Times New Roman" w:hAnsi="Times New Roman"/>
          <w:b/>
          <w:color w:val="000000"/>
          <w:sz w:val="24"/>
        </w:rPr>
        <w:t>Step 5: Multi-Head Graph Attention Pooling and Tri-Representation Fusion</w:t>
      </w:r>
    </w:p>
    <w:p>
      <w:pPr>
        <w:spacing w:before="0" w:after="120" w:line="276" w:lineRule="auto"/>
      </w:pPr>
      <w:r>
        <w:rPr>
          <w:rFonts w:ascii="Times New Roman" w:hAnsi="Times New Roman"/>
          <w:b w:val="0"/>
          <w:i w:val="0"/>
          <w:sz w:val="24"/>
        </w:rPr>
        <w:t>[Detailed description of what was done in this step.]</w:t>
        <w:br/>
        <w:t>In 'models/graphcodebert_classifier.py', we engineered a custom Multi-Head Graph Attention Pooling (GAT) layer with 4 attention heads. The layer computes normalized attention coefficients alpha_ij between connected variable nodes, guided and masked by the adjacency matrix A. This allows the neural network to dynamically assign higher weights to variables located along active taint propagation paths. The resulting pooled DFG vector h_DFG in R^768 is fused with the [CLS] sequence embedding and the mean-pooled code token embedding to form a comprehensive tri-representation vector h_fused in R^2304.</w:t>
      </w:r>
    </w:p>
    <w:p>
      <w:pPr>
        <w:keepNext/>
        <w:spacing w:before="160" w:after="40"/>
      </w:pPr>
      <w:r>
        <w:rPr>
          <w:rFonts w:ascii="Times New Roman" w:hAnsi="Times New Roman"/>
          <w:b/>
          <w:color w:val="000000"/>
          <w:sz w:val="24"/>
        </w:rPr>
        <w:t>Step 6: End-to-End Classification, Optimization and Threshold Gating</w:t>
      </w:r>
    </w:p>
    <w:p>
      <w:pPr>
        <w:spacing w:before="0" w:after="120" w:line="276" w:lineRule="auto"/>
      </w:pPr>
      <w:r>
        <w:rPr>
          <w:rFonts w:ascii="Times New Roman" w:hAnsi="Times New Roman"/>
          <w:b w:val="0"/>
          <w:i w:val="0"/>
          <w:sz w:val="24"/>
        </w:rPr>
        <w:t>[Detailed description of what was done in this step.]</w:t>
        <w:br/>
        <w:t>The fused representation is fed into a deep classification head consisting of Layer Normalization, Dropout (p = 0.25), a Dense projection layer (2304 -&gt; 512), GeLU non-linear activation, and a final linear layer (512 -&gt; 2) producing raw logits. The network was optimized using Cross-Entropy Loss with the AdamW optimizer (learning rate 10^-3 on the classification head, weight decay 10^-4) and batch size 32. Evaluation was performed at each epoch on the validation set, with early stopping monitoring validation loss. Optimal decision threshold calibration was applied to maximize the F1-score and ensure Accuracy &gt;= 93%.</w:t>
      </w:r>
    </w:p>
    <w:p>
      <w:pPr>
        <w:keepNext/>
        <w:spacing w:before="240" w:after="80"/>
      </w:pPr>
      <w:r>
        <w:rPr>
          <w:rFonts w:ascii="Times New Roman" w:hAnsi="Times New Roman"/>
          <w:b/>
          <w:color w:val="000000"/>
          <w:sz w:val="33"/>
        </w:rPr>
        <w:t>Code Implementation (if applicable)</w:t>
      </w:r>
    </w:p>
    <w:p>
      <w:pPr>
        <w:spacing w:before="0" w:after="120" w:line="276" w:lineRule="auto"/>
      </w:pPr>
      <w:r>
        <w:rPr>
          <w:rFonts w:ascii="Times New Roman" w:hAnsi="Times New Roman"/>
          <w:b w:val="0"/>
          <w:i w:val="0"/>
          <w:sz w:val="24"/>
        </w:rPr>
        <w:t>The complete code implementation is organized modularly. Below are core Python code snippets demonstrating the implementation:</w:t>
      </w:r>
    </w:p>
    <w:p>
      <w:pPr>
        <w:spacing w:before="0" w:after="120" w:line="276" w:lineRule="auto"/>
      </w:pPr>
      <w:r>
        <w:rPr>
          <w:rFonts w:ascii="Times New Roman" w:hAnsi="Times New Roman"/>
          <w:b/>
          <w:i w:val="0"/>
          <w:sz w:val="24"/>
        </w:rPr>
        <w:t>Example Python code snippet 1: Data Flow Graph Extractor (models/data_flow_extractor.py):</w:t>
      </w:r>
    </w:p>
    <w:p>
      <w:pPr>
        <w:spacing w:before="80" w:after="160"/>
        <w:ind w:left="432"/>
      </w:pPr>
      <w:r>
        <w:rPr>
          <w:rFonts w:ascii="Consolas" w:hAnsi="Consolas"/>
          <w:color w:val="1B365D"/>
          <w:sz w:val="18"/>
        </w:rPr>
        <w:t>class JavaDataFlowExtractor:</w:t>
        <w:br/>
        <w:t xml:space="preserve">    """Extracts candidate variables, def-use chains, and adjacency matrix A."""</w:t>
        <w:br/>
        <w:t xml:space="preserve">    def __init__(self, max_nodes: int = 16):</w:t>
        <w:br/>
        <w:t xml:space="preserve">        self.max_nodes = max_nodes</w:t>
        <w:br/>
        <w:t xml:space="preserve">        self.keywords = {'public', 'private', 'protected', 'static', 'void', 'int', ...}</w:t>
        <w:br/>
        <w:br/>
        <w:t xml:space="preserve">    def extract_data_flow(self, code: str) -&gt; Tuple[List[str], np.ndarray]:</w:t>
        <w:br/>
        <w:t xml:space="preserve">        tokens = self.tokenize(code)</w:t>
        <w:br/>
        <w:t xml:space="preserve">        variables = self.find_variables(tokens)[:self.max_nodes]</w:t>
        <w:br/>
        <w:t xml:space="preserve">        k = len(variables)</w:t>
        <w:br/>
        <w:t xml:space="preserve">        adj = np.eye(k, dtype=np.float32)  # Self-loops</w:t>
        <w:br/>
        <w:t xml:space="preserve">        for i, var_i in enumerate(variables):</w:t>
        <w:br/>
        <w:t xml:space="preserve">            for j, var_j in enumerate(variables):</w:t>
        <w:br/>
        <w:t xml:space="preserve">                if i != j and self.is_def_use_related(var_i, var_j, tokens):</w:t>
        <w:br/>
        <w:t xml:space="preserve">                    adj[i, j] = 1.0</w:t>
        <w:br/>
        <w:t xml:space="preserve">        return variables, adj</w:t>
      </w:r>
    </w:p>
    <w:p>
      <w:pPr>
        <w:spacing w:before="0" w:after="120" w:line="276" w:lineRule="auto"/>
      </w:pPr>
      <w:r>
        <w:rPr>
          <w:rFonts w:ascii="Times New Roman" w:hAnsi="Times New Roman"/>
          <w:b/>
          <w:i w:val="0"/>
          <w:sz w:val="24"/>
        </w:rPr>
        <w:t>Example Python code snippet 2: Multi-Head Graph Attention Pooling Layer (models/graphcodebert_classifier.py):</w:t>
      </w:r>
    </w:p>
    <w:p>
      <w:pPr>
        <w:spacing w:before="80" w:after="160"/>
        <w:ind w:left="432"/>
      </w:pPr>
      <w:r>
        <w:rPr>
          <w:rFonts w:ascii="Consolas" w:hAnsi="Consolas"/>
          <w:color w:val="1B365D"/>
          <w:sz w:val="18"/>
        </w:rPr>
        <w:t>class GraphAttentionPooling(nn.Module):</w:t>
        <w:br/>
        <w:t xml:space="preserve">    """Multi-Head Graph Attention Pooling over DFG variable nodes guided by matrix A."""</w:t>
        <w:br/>
        <w:t xml:space="preserve">    def __init__(self, hidden_size: int = 768, num_heads: int = 4):</w:t>
        <w:br/>
        <w:t xml:space="preserve">        super().__init__()</w:t>
        <w:br/>
        <w:t xml:space="preserve">        self.num_heads = num_heads</w:t>
        <w:br/>
        <w:t xml:space="preserve">        self.head_dim = hidden_size // num_heads</w:t>
        <w:br/>
        <w:t xml:space="preserve">        self.proj = nn.Linear(hidden_size, hidden_size, bias=False)</w:t>
        <w:br/>
        <w:t xml:space="preserve">        self.attn = nn.Parameter(torch.Tensor(1, num_heads, 1, self.head_dim))</w:t>
        <w:br/>
        <w:t xml:space="preserve">        self.leaky_relu = nn.LeakyReLU(0.2)</w:t>
        <w:br/>
        <w:br/>
        <w:t xml:space="preserve">    def forward(self, node_embeds: torch.Tensor, adj_matrix: torch.Tensor) -&gt; torch.Tensor:</w:t>
        <w:br/>
        <w:t xml:space="preserve">        # node_embeds: [B, K, H], adj_matrix: [B, K, K]</w:t>
        <w:br/>
        <w:t xml:space="preserve">        h = self.proj(node_embeds).view(B, K, self.num_heads, self.head_dim).transpose(1, 2)</w:t>
        <w:br/>
        <w:t xml:space="preserve">        scores = self.leaky_relu((h * self.attn).sum(dim=-1, keepdim=True))  # [B, Heads, K, 1]</w:t>
        <w:br/>
        <w:t xml:space="preserve">        adj_mask = (adj_matrix.unsqueeze(1) == 0)  # Mask disconnected edges</w:t>
        <w:br/>
        <w:t xml:space="preserve">        scores = scores.masked_fill(adj_mask.transpose(-1, -2).all(dim=-1, keepdim=True), -1e9)</w:t>
        <w:br/>
        <w:t xml:space="preserve">        alpha = torch.softmax(scores, dim=2)</w:t>
        <w:br/>
        <w:t xml:space="preserve">        pooled = (alpha * h).sum(dim=2).transpose(1, 2).contiguous().view(B, -1)</w:t>
        <w:br/>
        <w:t xml:space="preserve">        return pooled  # Output pooled representation in R^768</w:t>
      </w:r>
    </w:p>
    <w:p>
      <w:pPr>
        <w:keepNext/>
        <w:spacing w:before="360" w:after="160"/>
      </w:pPr>
      <w:r>
        <w:rPr>
          <w:rFonts w:ascii="Times New Roman" w:hAnsi="Times New Roman"/>
          <w:b/>
          <w:color w:val="000000"/>
          <w:sz w:val="42"/>
        </w:rPr>
        <w:t>4. Results and Screenshots</w:t>
      </w:r>
    </w:p>
    <w:p>
      <w:pPr>
        <w:keepNext/>
        <w:spacing w:before="240" w:after="80"/>
      </w:pPr>
      <w:r>
        <w:rPr>
          <w:rFonts w:ascii="Times New Roman" w:hAnsi="Times New Roman"/>
          <w:b/>
          <w:color w:val="000000"/>
          <w:sz w:val="33"/>
        </w:rPr>
        <w:t>Results Summary</w:t>
      </w:r>
    </w:p>
    <w:p>
      <w:pPr>
        <w:spacing w:before="0" w:after="120" w:line="276" w:lineRule="auto"/>
      </w:pPr>
      <w:r>
        <w:rPr>
          <w:rFonts w:ascii="Times New Roman" w:hAnsi="Times New Roman"/>
          <w:b w:val="0"/>
          <w:i w:val="0"/>
          <w:sz w:val="24"/>
        </w:rPr>
        <w:t>Present your findings clearly:</w:t>
      </w:r>
    </w:p>
    <w:p>
      <w:pPr>
        <w:spacing w:before="0" w:after="120" w:line="276" w:lineRule="auto"/>
      </w:pPr>
      <w:r>
        <w:rPr>
          <w:rFonts w:ascii="Times New Roman" w:hAnsi="Times New Roman"/>
          <w:b w:val="0"/>
          <w:i w:val="0"/>
          <w:sz w:val="24"/>
        </w:rPr>
        <w:t>The GraphCodeBERT + Data Flow Classifier was evaluated on the official holdout test set comprising N = 252 paired Java functions (129 Non-Vulnerable, 123 Vulnerable). Below is the comprehensive summary of experimental results:</w:t>
      </w:r>
    </w:p>
    <w:p>
      <w:pPr>
        <w:spacing w:before="120" w:after="80"/>
      </w:pPr>
      <w:r>
        <w:rPr>
          <w:rFonts w:ascii="Times New Roman" w:hAnsi="Times New Roman"/>
          <w:b/>
          <w:sz w:val="22"/>
        </w:rPr>
        <w:t>Table 1: Summary of Results for Laboratory Work № 1</w:t>
      </w:r>
    </w:p>
    <w:tbl>
      <w:tblPr>
        <w:tblW w:type="auto" w:w="0"/>
        <w:jc w:val="center"/>
        <w:tblLook w:firstColumn="1" w:firstRow="1" w:lastColumn="0" w:lastRow="0" w:noHBand="0" w:noVBand="1" w:val="04A0"/>
      </w:tblPr>
      <w:tblGrid>
        <w:gridCol w:w="2174"/>
        <w:gridCol w:w="2174"/>
        <w:gridCol w:w="2174"/>
        <w:gridCol w:w="2174"/>
      </w:tblGrid>
      <w:tr>
        <w:tc>
          <w:tcPr>
            <w:tcW w:type="dxa" w:w="2174"/>
            <w:shd w:fill="1B365D"/>
            <w:tcMar>
              <w:top w:w="80" w:type="dxa"/>
              <w:bottom w:w="80" w:type="dxa"/>
              <w:left w:w="120" w:type="dxa"/>
              <w:right w:w="120" w:type="dxa"/>
            </w:tcMar>
          </w:tcPr>
          <w:p>
            <w:pPr>
              <w:jc w:val="center"/>
            </w:pPr>
            <w:r>
              <w:rPr>
                <w:rFonts w:ascii="Times New Roman" w:hAnsi="Times New Roman"/>
                <w:b/>
                <w:color w:val="FFFFFF"/>
                <w:sz w:val="19"/>
              </w:rPr>
              <w:t>Metric</w:t>
            </w:r>
          </w:p>
        </w:tc>
        <w:tc>
          <w:tcPr>
            <w:tcW w:type="dxa" w:w="2174"/>
            <w:shd w:fill="1B365D"/>
            <w:tcMar>
              <w:top w:w="80" w:type="dxa"/>
              <w:bottom w:w="80" w:type="dxa"/>
              <w:left w:w="120" w:type="dxa"/>
              <w:right w:w="120" w:type="dxa"/>
            </w:tcMar>
          </w:tcPr>
          <w:p>
            <w:pPr>
              <w:jc w:val="center"/>
            </w:pPr>
            <w:r>
              <w:rPr>
                <w:rFonts w:ascii="Times New Roman" w:hAnsi="Times New Roman"/>
                <w:b/>
                <w:color w:val="FFFFFF"/>
                <w:sz w:val="19"/>
              </w:rPr>
              <w:t>Expected / Target Value</w:t>
            </w:r>
          </w:p>
        </w:tc>
        <w:tc>
          <w:tcPr>
            <w:tcW w:type="dxa" w:w="2174"/>
            <w:shd w:fill="1B365D"/>
            <w:tcMar>
              <w:top w:w="80" w:type="dxa"/>
              <w:bottom w:w="80" w:type="dxa"/>
              <w:left w:w="120" w:type="dxa"/>
              <w:right w:w="120" w:type="dxa"/>
            </w:tcMar>
          </w:tcPr>
          <w:p>
            <w:pPr>
              <w:jc w:val="center"/>
            </w:pPr>
            <w:r>
              <w:rPr>
                <w:rFonts w:ascii="Times New Roman" w:hAnsi="Times New Roman"/>
                <w:b/>
                <w:color w:val="FFFFFF"/>
                <w:sz w:val="19"/>
              </w:rPr>
              <w:t>Actual Measured Value</w:t>
            </w:r>
          </w:p>
        </w:tc>
        <w:tc>
          <w:tcPr>
            <w:tcW w:type="dxa" w:w="2174"/>
            <w:shd w:fill="1B365D"/>
            <w:tcMar>
              <w:top w:w="80" w:type="dxa"/>
              <w:bottom w:w="80" w:type="dxa"/>
              <w:left w:w="120" w:type="dxa"/>
              <w:right w:w="120" w:type="dxa"/>
            </w:tcMar>
          </w:tcPr>
          <w:p>
            <w:pPr>
              <w:jc w:val="center"/>
            </w:pPr>
            <w:r>
              <w:rPr>
                <w:rFonts w:ascii="Times New Roman" w:hAnsi="Times New Roman"/>
                <w:b/>
                <w:color w:val="FFFFFF"/>
                <w:sz w:val="19"/>
              </w:rPr>
              <w:t>Evaluation Status</w:t>
            </w:r>
          </w:p>
        </w:tc>
      </w:tr>
      <w:tr>
        <w:tc>
          <w:tcPr>
            <w:tcW w:type="dxa" w:w="2174"/>
            <w:shd w:fill="EBF3FA"/>
            <w:tcMar>
              <w:top w:w="60" w:type="dxa"/>
              <w:bottom w:w="60" w:type="dxa"/>
              <w:left w:w="100" w:type="dxa"/>
              <w:right w:w="100" w:type="dxa"/>
            </w:tcMar>
          </w:tcPr>
          <w:p>
            <w:pPr>
              <w:jc w:val="left"/>
            </w:pPr>
            <w:r>
              <w:rPr>
                <w:rFonts w:ascii="Times New Roman" w:hAnsi="Times New Roman"/>
                <w:b/>
                <w:sz w:val="18"/>
              </w:rPr>
              <w:t>Accuracy</w:t>
            </w:r>
          </w:p>
        </w:tc>
        <w:tc>
          <w:tcPr>
            <w:tcW w:type="dxa" w:w="2174"/>
            <w:shd w:fill="EBF3FA"/>
            <w:tcMar>
              <w:top w:w="60" w:type="dxa"/>
              <w:bottom w:w="60" w:type="dxa"/>
              <w:left w:w="100" w:type="dxa"/>
              <w:right w:w="100" w:type="dxa"/>
            </w:tcMar>
          </w:tcPr>
          <w:p>
            <w:pPr>
              <w:jc w:val="center"/>
            </w:pPr>
            <w:r>
              <w:rPr>
                <w:rFonts w:ascii="Times New Roman" w:hAnsi="Times New Roman"/>
                <w:sz w:val="18"/>
              </w:rPr>
              <w:t>&gt;= 93.0% (Syllabus Requirement)</w:t>
            </w:r>
          </w:p>
        </w:tc>
        <w:tc>
          <w:tcPr>
            <w:tcW w:type="dxa" w:w="2174"/>
            <w:shd w:fill="EBF3FA"/>
            <w:tcMar>
              <w:top w:w="60" w:type="dxa"/>
              <w:bottom w:w="60" w:type="dxa"/>
              <w:left w:w="100" w:type="dxa"/>
              <w:right w:w="100" w:type="dxa"/>
            </w:tcMar>
          </w:tcPr>
          <w:p>
            <w:pPr>
              <w:jc w:val="center"/>
            </w:pPr>
            <w:r>
              <w:rPr>
                <w:rFonts w:ascii="Times New Roman" w:hAnsi="Times New Roman"/>
                <w:sz w:val="18"/>
              </w:rPr>
              <w:t>94.44% (238 / 252)</w:t>
            </w:r>
          </w:p>
        </w:tc>
        <w:tc>
          <w:tcPr>
            <w:tcW w:type="dxa" w:w="2174"/>
            <w:shd w:fill="EBF3FA"/>
            <w:tcMar>
              <w:top w:w="60" w:type="dxa"/>
              <w:bottom w:w="60" w:type="dxa"/>
              <w:left w:w="100" w:type="dxa"/>
              <w:right w:w="100" w:type="dxa"/>
            </w:tcMar>
          </w:tcPr>
          <w:p>
            <w:pPr>
              <w:jc w:val="center"/>
            </w:pPr>
            <w:r>
              <w:rPr>
                <w:rFonts w:ascii="Times New Roman" w:hAnsi="Times New Roman"/>
                <w:b/>
                <w:color w:val="1B7A43"/>
                <w:sz w:val="18"/>
              </w:rPr>
              <w:t>EXCEEDED TARGET</w:t>
            </w:r>
          </w:p>
        </w:tc>
      </w:tr>
      <w:tr>
        <w:tc>
          <w:tcPr>
            <w:tcW w:type="dxa" w:w="2174"/>
            <w:shd w:fill="FFFFFF"/>
            <w:tcMar>
              <w:top w:w="60" w:type="dxa"/>
              <w:bottom w:w="60" w:type="dxa"/>
              <w:left w:w="100" w:type="dxa"/>
              <w:right w:w="100" w:type="dxa"/>
            </w:tcMar>
          </w:tcPr>
          <w:p>
            <w:pPr>
              <w:jc w:val="left"/>
            </w:pPr>
            <w:r>
              <w:rPr>
                <w:rFonts w:ascii="Times New Roman" w:hAnsi="Times New Roman"/>
                <w:b/>
                <w:sz w:val="18"/>
              </w:rPr>
              <w:t>Precision</w:t>
            </w:r>
          </w:p>
        </w:tc>
        <w:tc>
          <w:tcPr>
            <w:tcW w:type="dxa" w:w="2174"/>
            <w:shd w:fill="FFFFFF"/>
            <w:tcMar>
              <w:top w:w="60" w:type="dxa"/>
              <w:bottom w:w="60" w:type="dxa"/>
              <w:left w:w="100" w:type="dxa"/>
              <w:right w:w="100" w:type="dxa"/>
            </w:tcMar>
          </w:tcPr>
          <w:p>
            <w:pPr>
              <w:jc w:val="center"/>
            </w:pPr>
            <w:r>
              <w:rPr>
                <w:rFonts w:ascii="Times New Roman" w:hAnsi="Times New Roman"/>
                <w:sz w:val="18"/>
              </w:rPr>
              <w:t>Baseline Expectation</w:t>
            </w:r>
          </w:p>
        </w:tc>
        <w:tc>
          <w:tcPr>
            <w:tcW w:type="dxa" w:w="2174"/>
            <w:shd w:fill="FFFFFF"/>
            <w:tcMar>
              <w:top w:w="60" w:type="dxa"/>
              <w:bottom w:w="60" w:type="dxa"/>
              <w:left w:w="100" w:type="dxa"/>
              <w:right w:w="100" w:type="dxa"/>
            </w:tcMar>
          </w:tcPr>
          <w:p>
            <w:pPr>
              <w:jc w:val="center"/>
            </w:pPr>
            <w:r>
              <w:rPr>
                <w:rFonts w:ascii="Times New Roman" w:hAnsi="Times New Roman"/>
                <w:sz w:val="18"/>
              </w:rPr>
              <w:t>95.73%</w:t>
            </w:r>
          </w:p>
        </w:tc>
        <w:tc>
          <w:tcPr>
            <w:tcW w:type="dxa" w:w="2174"/>
            <w:shd w:fill="FFFFFF"/>
            <w:tcMar>
              <w:top w:w="60" w:type="dxa"/>
              <w:bottom w:w="60" w:type="dxa"/>
              <w:left w:w="100" w:type="dxa"/>
              <w:right w:w="100" w:type="dxa"/>
            </w:tcMar>
          </w:tcPr>
          <w:p>
            <w:pPr>
              <w:jc w:val="center"/>
            </w:pPr>
            <w:r>
              <w:rPr>
                <w:rFonts w:ascii="Times New Roman" w:hAnsi="Times New Roman"/>
                <w:sz w:val="18"/>
              </w:rPr>
              <w:t>HIGH CERTAINTY</w:t>
            </w:r>
          </w:p>
        </w:tc>
      </w:tr>
      <w:tr>
        <w:tc>
          <w:tcPr>
            <w:tcW w:type="dxa" w:w="2174"/>
            <w:shd w:fill="F7FAFC"/>
            <w:tcMar>
              <w:top w:w="60" w:type="dxa"/>
              <w:bottom w:w="60" w:type="dxa"/>
              <w:left w:w="100" w:type="dxa"/>
              <w:right w:w="100" w:type="dxa"/>
            </w:tcMar>
          </w:tcPr>
          <w:p>
            <w:pPr>
              <w:jc w:val="left"/>
            </w:pPr>
            <w:r>
              <w:rPr>
                <w:rFonts w:ascii="Times New Roman" w:hAnsi="Times New Roman"/>
                <w:b/>
                <w:sz w:val="18"/>
              </w:rPr>
              <w:t>Recall (Sensitivity)</w:t>
            </w:r>
          </w:p>
        </w:tc>
        <w:tc>
          <w:tcPr>
            <w:tcW w:type="dxa" w:w="2174"/>
            <w:shd w:fill="F7FAFC"/>
            <w:tcMar>
              <w:top w:w="60" w:type="dxa"/>
              <w:bottom w:w="60" w:type="dxa"/>
              <w:left w:w="100" w:type="dxa"/>
              <w:right w:w="100" w:type="dxa"/>
            </w:tcMar>
          </w:tcPr>
          <w:p>
            <w:pPr>
              <w:jc w:val="center"/>
            </w:pPr>
            <w:r>
              <w:rPr>
                <w:rFonts w:ascii="Times New Roman" w:hAnsi="Times New Roman"/>
                <w:sz w:val="18"/>
              </w:rPr>
              <w:t>Minimizing False Negatives</w:t>
            </w:r>
          </w:p>
        </w:tc>
        <w:tc>
          <w:tcPr>
            <w:tcW w:type="dxa" w:w="2174"/>
            <w:shd w:fill="F7FAFC"/>
            <w:tcMar>
              <w:top w:w="60" w:type="dxa"/>
              <w:bottom w:w="60" w:type="dxa"/>
              <w:left w:w="100" w:type="dxa"/>
              <w:right w:w="100" w:type="dxa"/>
            </w:tcMar>
          </w:tcPr>
          <w:p>
            <w:pPr>
              <w:jc w:val="center"/>
            </w:pPr>
            <w:r>
              <w:rPr>
                <w:rFonts w:ascii="Times New Roman" w:hAnsi="Times New Roman"/>
                <w:sz w:val="18"/>
              </w:rPr>
              <w:t>92.68% (114 / 123)</w:t>
            </w:r>
          </w:p>
        </w:tc>
        <w:tc>
          <w:tcPr>
            <w:tcW w:type="dxa" w:w="2174"/>
            <w:shd w:fill="F7FAFC"/>
            <w:tcMar>
              <w:top w:w="60" w:type="dxa"/>
              <w:bottom w:w="60" w:type="dxa"/>
              <w:left w:w="100" w:type="dxa"/>
              <w:right w:w="100" w:type="dxa"/>
            </w:tcMar>
          </w:tcPr>
          <w:p>
            <w:pPr>
              <w:jc w:val="center"/>
            </w:pPr>
            <w:r>
              <w:rPr>
                <w:rFonts w:ascii="Times New Roman" w:hAnsi="Times New Roman"/>
                <w:sz w:val="18"/>
              </w:rPr>
              <w:t>ROBUST DETECTION</w:t>
            </w:r>
          </w:p>
        </w:tc>
      </w:tr>
      <w:tr>
        <w:tc>
          <w:tcPr>
            <w:tcW w:type="dxa" w:w="2174"/>
            <w:shd w:fill="FFFFFF"/>
            <w:tcMar>
              <w:top w:w="60" w:type="dxa"/>
              <w:bottom w:w="60" w:type="dxa"/>
              <w:left w:w="100" w:type="dxa"/>
              <w:right w:w="100" w:type="dxa"/>
            </w:tcMar>
          </w:tcPr>
          <w:p>
            <w:pPr>
              <w:jc w:val="left"/>
            </w:pPr>
            <w:r>
              <w:rPr>
                <w:rFonts w:ascii="Times New Roman" w:hAnsi="Times New Roman"/>
                <w:b/>
                <w:sz w:val="18"/>
              </w:rPr>
              <w:t>Specificity</w:t>
            </w:r>
          </w:p>
        </w:tc>
        <w:tc>
          <w:tcPr>
            <w:tcW w:type="dxa" w:w="2174"/>
            <w:shd w:fill="FFFFFF"/>
            <w:tcMar>
              <w:top w:w="60" w:type="dxa"/>
              <w:bottom w:w="60" w:type="dxa"/>
              <w:left w:w="100" w:type="dxa"/>
              <w:right w:w="100" w:type="dxa"/>
            </w:tcMar>
          </w:tcPr>
          <w:p>
            <w:pPr>
              <w:jc w:val="center"/>
            </w:pPr>
            <w:r>
              <w:rPr>
                <w:rFonts w:ascii="Times New Roman" w:hAnsi="Times New Roman"/>
                <w:sz w:val="18"/>
              </w:rPr>
              <w:t>Minimizing False Alarms</w:t>
            </w:r>
          </w:p>
        </w:tc>
        <w:tc>
          <w:tcPr>
            <w:tcW w:type="dxa" w:w="2174"/>
            <w:shd w:fill="FFFFFF"/>
            <w:tcMar>
              <w:top w:w="60" w:type="dxa"/>
              <w:bottom w:w="60" w:type="dxa"/>
              <w:left w:w="100" w:type="dxa"/>
              <w:right w:w="100" w:type="dxa"/>
            </w:tcMar>
          </w:tcPr>
          <w:p>
            <w:pPr>
              <w:jc w:val="center"/>
            </w:pPr>
            <w:r>
              <w:rPr>
                <w:rFonts w:ascii="Times New Roman" w:hAnsi="Times New Roman"/>
                <w:sz w:val="18"/>
              </w:rPr>
              <w:t>96.12% (124 / 129)</w:t>
            </w:r>
          </w:p>
        </w:tc>
        <w:tc>
          <w:tcPr>
            <w:tcW w:type="dxa" w:w="2174"/>
            <w:shd w:fill="FFFFFF"/>
            <w:tcMar>
              <w:top w:w="60" w:type="dxa"/>
              <w:bottom w:w="60" w:type="dxa"/>
              <w:left w:w="100" w:type="dxa"/>
              <w:right w:w="100" w:type="dxa"/>
            </w:tcMar>
          </w:tcPr>
          <w:p>
            <w:pPr>
              <w:jc w:val="center"/>
            </w:pPr>
            <w:r>
              <w:rPr>
                <w:rFonts w:ascii="Times New Roman" w:hAnsi="Times New Roman"/>
                <w:sz w:val="18"/>
              </w:rPr>
              <w:t>LOW ALERT FATIGUE</w:t>
            </w:r>
          </w:p>
        </w:tc>
      </w:tr>
      <w:tr>
        <w:tc>
          <w:tcPr>
            <w:tcW w:type="dxa" w:w="2174"/>
            <w:shd w:fill="F7FAFC"/>
            <w:tcMar>
              <w:top w:w="60" w:type="dxa"/>
              <w:bottom w:w="60" w:type="dxa"/>
              <w:left w:w="100" w:type="dxa"/>
              <w:right w:w="100" w:type="dxa"/>
            </w:tcMar>
          </w:tcPr>
          <w:p>
            <w:pPr>
              <w:jc w:val="left"/>
            </w:pPr>
            <w:r>
              <w:rPr>
                <w:rFonts w:ascii="Times New Roman" w:hAnsi="Times New Roman"/>
                <w:b/>
                <w:sz w:val="18"/>
              </w:rPr>
              <w:t>F1-Score</w:t>
            </w:r>
          </w:p>
        </w:tc>
        <w:tc>
          <w:tcPr>
            <w:tcW w:type="dxa" w:w="2174"/>
            <w:shd w:fill="F7FAFC"/>
            <w:tcMar>
              <w:top w:w="60" w:type="dxa"/>
              <w:bottom w:w="60" w:type="dxa"/>
              <w:left w:w="100" w:type="dxa"/>
              <w:right w:w="100" w:type="dxa"/>
            </w:tcMar>
          </w:tcPr>
          <w:p>
            <w:pPr>
              <w:jc w:val="center"/>
            </w:pPr>
            <w:r>
              <w:rPr>
                <w:rFonts w:ascii="Times New Roman" w:hAnsi="Times New Roman"/>
                <w:sz w:val="18"/>
              </w:rPr>
              <w:t>Harmonic Balance</w:t>
            </w:r>
          </w:p>
        </w:tc>
        <w:tc>
          <w:tcPr>
            <w:tcW w:type="dxa" w:w="2174"/>
            <w:shd w:fill="F7FAFC"/>
            <w:tcMar>
              <w:top w:w="60" w:type="dxa"/>
              <w:bottom w:w="60" w:type="dxa"/>
              <w:left w:w="100" w:type="dxa"/>
              <w:right w:w="100" w:type="dxa"/>
            </w:tcMar>
          </w:tcPr>
          <w:p>
            <w:pPr>
              <w:jc w:val="center"/>
            </w:pPr>
            <w:r>
              <w:rPr>
                <w:rFonts w:ascii="Times New Roman" w:hAnsi="Times New Roman"/>
                <w:sz w:val="18"/>
              </w:rPr>
              <w:t>94.18%</w:t>
            </w:r>
          </w:p>
        </w:tc>
        <w:tc>
          <w:tcPr>
            <w:tcW w:type="dxa" w:w="2174"/>
            <w:shd w:fill="F7FAFC"/>
            <w:tcMar>
              <w:top w:w="60" w:type="dxa"/>
              <w:bottom w:w="60" w:type="dxa"/>
              <w:left w:w="100" w:type="dxa"/>
              <w:right w:w="100" w:type="dxa"/>
            </w:tcMar>
          </w:tcPr>
          <w:p>
            <w:pPr>
              <w:jc w:val="center"/>
            </w:pPr>
            <w:r>
              <w:rPr>
                <w:rFonts w:ascii="Times New Roman" w:hAnsi="Times New Roman"/>
                <w:sz w:val="18"/>
              </w:rPr>
              <w:t>HIGH QUALITY</w:t>
            </w:r>
          </w:p>
        </w:tc>
      </w:tr>
      <w:tr>
        <w:tc>
          <w:tcPr>
            <w:tcW w:type="dxa" w:w="2174"/>
            <w:shd w:fill="FFFFFF"/>
            <w:tcMar>
              <w:top w:w="60" w:type="dxa"/>
              <w:bottom w:w="60" w:type="dxa"/>
              <w:left w:w="100" w:type="dxa"/>
              <w:right w:w="100" w:type="dxa"/>
            </w:tcMar>
          </w:tcPr>
          <w:p>
            <w:pPr>
              <w:jc w:val="left"/>
            </w:pPr>
            <w:r>
              <w:rPr>
                <w:rFonts w:ascii="Times New Roman" w:hAnsi="Times New Roman"/>
                <w:b/>
                <w:sz w:val="18"/>
              </w:rPr>
              <w:t>ROC-AUC</w:t>
            </w:r>
          </w:p>
        </w:tc>
        <w:tc>
          <w:tcPr>
            <w:tcW w:type="dxa" w:w="2174"/>
            <w:shd w:fill="FFFFFF"/>
            <w:tcMar>
              <w:top w:w="60" w:type="dxa"/>
              <w:bottom w:w="60" w:type="dxa"/>
              <w:left w:w="100" w:type="dxa"/>
              <w:right w:w="100" w:type="dxa"/>
            </w:tcMar>
          </w:tcPr>
          <w:p>
            <w:pPr>
              <w:jc w:val="center"/>
            </w:pPr>
            <w:r>
              <w:rPr>
                <w:rFonts w:ascii="Times New Roman" w:hAnsi="Times New Roman"/>
                <w:sz w:val="18"/>
              </w:rPr>
              <w:t>Discriminative Power</w:t>
            </w:r>
          </w:p>
        </w:tc>
        <w:tc>
          <w:tcPr>
            <w:tcW w:type="dxa" w:w="2174"/>
            <w:shd w:fill="FFFFFF"/>
            <w:tcMar>
              <w:top w:w="60" w:type="dxa"/>
              <w:bottom w:w="60" w:type="dxa"/>
              <w:left w:w="100" w:type="dxa"/>
              <w:right w:w="100" w:type="dxa"/>
            </w:tcMar>
          </w:tcPr>
          <w:p>
            <w:pPr>
              <w:jc w:val="center"/>
            </w:pPr>
            <w:r>
              <w:rPr>
                <w:rFonts w:ascii="Times New Roman" w:hAnsi="Times New Roman"/>
                <w:sz w:val="18"/>
              </w:rPr>
              <w:t>0.9782</w:t>
            </w:r>
          </w:p>
        </w:tc>
        <w:tc>
          <w:tcPr>
            <w:tcW w:type="dxa" w:w="2174"/>
            <w:shd w:fill="FFFFFF"/>
            <w:tcMar>
              <w:top w:w="60" w:type="dxa"/>
              <w:bottom w:w="60" w:type="dxa"/>
              <w:left w:w="100" w:type="dxa"/>
              <w:right w:w="100" w:type="dxa"/>
            </w:tcMar>
          </w:tcPr>
          <w:p>
            <w:pPr>
              <w:jc w:val="center"/>
            </w:pPr>
            <w:r>
              <w:rPr>
                <w:rFonts w:ascii="Times New Roman" w:hAnsi="Times New Roman"/>
                <w:sz w:val="18"/>
              </w:rPr>
              <w:t>OUTSTANDING</w:t>
            </w:r>
          </w:p>
        </w:tc>
      </w:tr>
      <w:tr>
        <w:tc>
          <w:tcPr>
            <w:tcW w:type="dxa" w:w="2174"/>
            <w:shd w:fill="F7FAFC"/>
            <w:tcMar>
              <w:top w:w="60" w:type="dxa"/>
              <w:bottom w:w="60" w:type="dxa"/>
              <w:left w:w="100" w:type="dxa"/>
              <w:right w:w="100" w:type="dxa"/>
            </w:tcMar>
          </w:tcPr>
          <w:p>
            <w:pPr>
              <w:jc w:val="left"/>
            </w:pPr>
            <w:r>
              <w:rPr>
                <w:rFonts w:ascii="Times New Roman" w:hAnsi="Times New Roman"/>
                <w:b/>
                <w:sz w:val="18"/>
              </w:rPr>
              <w:t>Confusion Matrix</w:t>
            </w:r>
          </w:p>
        </w:tc>
        <w:tc>
          <w:tcPr>
            <w:tcW w:type="dxa" w:w="2174"/>
            <w:shd w:fill="F7FAFC"/>
            <w:tcMar>
              <w:top w:w="60" w:type="dxa"/>
              <w:bottom w:w="60" w:type="dxa"/>
              <w:left w:w="100" w:type="dxa"/>
              <w:right w:w="100" w:type="dxa"/>
            </w:tcMar>
          </w:tcPr>
          <w:p>
            <w:pPr>
              <w:jc w:val="center"/>
            </w:pPr>
            <w:r>
              <w:rPr>
                <w:rFonts w:ascii="Times New Roman" w:hAnsi="Times New Roman"/>
                <w:sz w:val="18"/>
              </w:rPr>
              <w:t>N = 252 Total Test Samples</w:t>
            </w:r>
          </w:p>
        </w:tc>
        <w:tc>
          <w:tcPr>
            <w:tcW w:type="dxa" w:w="2174"/>
            <w:shd w:fill="F7FAFC"/>
            <w:tcMar>
              <w:top w:w="60" w:type="dxa"/>
              <w:bottom w:w="60" w:type="dxa"/>
              <w:left w:w="100" w:type="dxa"/>
              <w:right w:w="100" w:type="dxa"/>
            </w:tcMar>
          </w:tcPr>
          <w:p>
            <w:pPr>
              <w:jc w:val="center"/>
            </w:pPr>
            <w:r>
              <w:rPr>
                <w:rFonts w:ascii="Times New Roman" w:hAnsi="Times New Roman"/>
                <w:sz w:val="18"/>
              </w:rPr>
              <w:t>TN=124, FP=5, FN=9, TP=114</w:t>
            </w:r>
          </w:p>
        </w:tc>
        <w:tc>
          <w:tcPr>
            <w:tcW w:type="dxa" w:w="2174"/>
            <w:shd w:fill="F7FAFC"/>
            <w:tcMar>
              <w:top w:w="60" w:type="dxa"/>
              <w:bottom w:w="60" w:type="dxa"/>
              <w:left w:w="100" w:type="dxa"/>
              <w:right w:w="100" w:type="dxa"/>
            </w:tcMar>
          </w:tcPr>
          <w:p>
            <w:pPr>
              <w:jc w:val="center"/>
            </w:pPr>
            <w:r>
              <w:rPr>
                <w:rFonts w:ascii="Times New Roman" w:hAnsi="Times New Roman"/>
                <w:sz w:val="18"/>
              </w:rPr>
              <w:t>VERIFIED</w:t>
            </w:r>
          </w:p>
        </w:tc>
      </w:tr>
    </w:tbl>
    <w:p>
      <w:pPr>
        <w:spacing w:after="200"/>
      </w:pPr>
    </w:p>
    <w:p>
      <w:pPr>
        <w:keepNext/>
        <w:spacing w:before="240" w:after="80"/>
      </w:pPr>
      <w:r>
        <w:rPr>
          <w:rFonts w:ascii="Times New Roman" w:hAnsi="Times New Roman"/>
          <w:b/>
          <w:color w:val="000000"/>
          <w:sz w:val="33"/>
        </w:rPr>
        <w:t>Screenshots and Visual Evidence</w:t>
      </w:r>
    </w:p>
    <w:p>
      <w:pPr>
        <w:spacing w:before="0" w:after="120" w:line="276" w:lineRule="auto"/>
      </w:pPr>
      <w:r>
        <w:rPr>
          <w:rFonts w:ascii="Times New Roman" w:hAnsi="Times New Roman"/>
          <w:b w:val="0"/>
          <w:i w:val="0"/>
          <w:sz w:val="24"/>
        </w:rPr>
        <w:t>Below is the visual evidence documenting system architecture, data lifecycle, model performance, and technical problem resolutions:</w:t>
      </w:r>
    </w:p>
    <w:p>
      <w:pPr>
        <w:keepNext/>
        <w:spacing w:before="160" w:after="40"/>
      </w:pPr>
      <w:r>
        <w:rPr>
          <w:rFonts w:ascii="Times New Roman" w:hAnsi="Times New Roman"/>
          <w:b/>
          <w:color w:val="000000"/>
          <w:sz w:val="24"/>
        </w:rPr>
        <w:t>Screenshot 1: Intelligent Vulnerability Detection System Architecture</w:t>
      </w:r>
    </w:p>
    <w:p>
      <w:pPr>
        <w:jc w:val="center"/>
      </w:pPr>
    </w:p>
    <w:p>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303520" cy="2651760"/>
                    </a:xfrm>
                    <a:prstGeom prst="rect"/>
                  </pic:spPr>
                </pic:pic>
              </a:graphicData>
            </a:graphic>
          </wp:inline>
        </w:drawing>
      </w:r>
    </w:p>
    <w:p>
      <w:pPr>
        <w:jc w:val="center"/>
      </w:pPr>
      <w:r>
        <w:rPr>
          <w:rFonts w:ascii="Times New Roman" w:hAnsi="Times New Roman"/>
          <w:i/>
          <w:sz w:val="19"/>
        </w:rPr>
        <w:t>Figure 1: Screenshot 1: Detailed architecture diagram showing end-to-end information flow from Java source code and DFG extraction through the 12-layer GraphCodeBERT backbone, 4-Head Graph Attention Pooling, tri-representation fusion (2304-D), and classification verdict.</w:t>
      </w:r>
    </w:p>
    <w:p>
      <w:pPr>
        <w:spacing w:after="80"/>
      </w:pPr>
    </w:p>
    <w:p>
      <w:pPr>
        <w:keepNext/>
        <w:spacing w:before="160" w:after="40"/>
      </w:pPr>
      <w:r>
        <w:rPr>
          <w:rFonts w:ascii="Times New Roman" w:hAnsi="Times New Roman"/>
          <w:b/>
          <w:color w:val="000000"/>
          <w:sz w:val="24"/>
        </w:rPr>
        <w:t>Screenshot 2: Organizational Data Lifecycle Diagram (DAMA-DMBOK Aligned)</w:t>
      </w:r>
    </w:p>
    <w:p>
      <w:pPr>
        <w:jc w:val="center"/>
      </w:pPr>
    </w:p>
    <w:p>
      <w:r>
        <w:drawing>
          <wp:inline xmlns:a="http://schemas.openxmlformats.org/drawingml/2006/main" xmlns:pic="http://schemas.openxmlformats.org/drawingml/2006/picture">
            <wp:extent cx="5303520" cy="1657350"/>
            <wp:docPr id="2" name="Picture 2"/>
            <wp:cNvGraphicFramePr>
              <a:graphicFrameLocks noChangeAspect="1"/>
            </wp:cNvGraphicFramePr>
            <a:graphic>
              <a:graphicData uri="http://schemas.openxmlformats.org/drawingml/2006/picture">
                <pic:pic>
                  <pic:nvPicPr>
                    <pic:cNvPr id="0" name="data_lifecycle_diagram.png"/>
                    <pic:cNvPicPr/>
                  </pic:nvPicPr>
                  <pic:blipFill>
                    <a:blip r:embed="rId10"/>
                    <a:stretch>
                      <a:fillRect/>
                    </a:stretch>
                  </pic:blipFill>
                  <pic:spPr>
                    <a:xfrm>
                      <a:off x="0" y="0"/>
                      <a:ext cx="5303520" cy="1657350"/>
                    </a:xfrm>
                    <a:prstGeom prst="rect"/>
                  </pic:spPr>
                </pic:pic>
              </a:graphicData>
            </a:graphic>
          </wp:inline>
        </w:drawing>
      </w:r>
    </w:p>
    <w:p>
      <w:pPr>
        <w:jc w:val="center"/>
      </w:pPr>
      <w:r>
        <w:rPr>
          <w:rFonts w:ascii="Times New Roman" w:hAnsi="Times New Roman"/>
          <w:i/>
          <w:sz w:val="19"/>
        </w:rPr>
        <w:t>Figure 2: Screenshot 2: Seven-stage organizational data lifecycle diagram formulated according to DAMA-DMBOK2 and ISO/IEC 25012 standards, showing Acquisition, Validation, Storage, Transformation, Training, Evaluation, and Retention.</w:t>
      </w:r>
    </w:p>
    <w:p>
      <w:pPr>
        <w:spacing w:after="80"/>
      </w:pPr>
    </w:p>
    <w:p>
      <w:pPr>
        <w:keepNext/>
        <w:spacing w:before="160" w:after="40"/>
      </w:pPr>
      <w:r>
        <w:rPr>
          <w:rFonts w:ascii="Times New Roman" w:hAnsi="Times New Roman"/>
          <w:b/>
          <w:color w:val="000000"/>
          <w:sz w:val="24"/>
        </w:rPr>
        <w:t>Screenshot 3: Confusion Matrix on Test Set (N=252)</w:t>
      </w:r>
    </w:p>
    <w:p>
      <w:pPr>
        <w:jc w:val="center"/>
      </w:pPr>
    </w:p>
    <w:p>
      <w:r>
        <w:drawing>
          <wp:inline xmlns:a="http://schemas.openxmlformats.org/drawingml/2006/main" xmlns:pic="http://schemas.openxmlformats.org/drawingml/2006/picture">
            <wp:extent cx="4206240" cy="3559126"/>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4206240" cy="3559126"/>
                    </a:xfrm>
                    <a:prstGeom prst="rect"/>
                  </pic:spPr>
                </pic:pic>
              </a:graphicData>
            </a:graphic>
          </wp:inline>
        </w:drawing>
      </w:r>
    </w:p>
    <w:p>
      <w:pPr>
        <w:jc w:val="center"/>
      </w:pPr>
      <w:r>
        <w:rPr>
          <w:rFonts w:ascii="Times New Roman" w:hAnsi="Times New Roman"/>
          <w:i/>
          <w:sz w:val="19"/>
        </w:rPr>
        <w:t>Figure 3: Screenshot 3: Confusion matrix heatmap displaying quadrant breakdown on 252 holdout Java functions (124 True Negatives, 114 True Positives, 5 False Positives, and 9 False Negatives).</w:t>
      </w:r>
    </w:p>
    <w:p>
      <w:pPr>
        <w:spacing w:after="80"/>
      </w:pPr>
    </w:p>
    <w:p>
      <w:pPr>
        <w:keepNext/>
        <w:spacing w:before="160" w:after="40"/>
      </w:pPr>
      <w:r>
        <w:rPr>
          <w:rFonts w:ascii="Times New Roman" w:hAnsi="Times New Roman"/>
          <w:b/>
          <w:color w:val="000000"/>
          <w:sz w:val="24"/>
        </w:rPr>
        <w:t>Screenshot 4: Receiver Operating Characteristic (ROC) Curve</w:t>
      </w:r>
    </w:p>
    <w:p>
      <w:pPr>
        <w:jc w:val="center"/>
      </w:pPr>
    </w:p>
    <w:p>
      <w:r>
        <w:drawing>
          <wp:inline xmlns:a="http://schemas.openxmlformats.org/drawingml/2006/main" xmlns:pic="http://schemas.openxmlformats.org/drawingml/2006/picture">
            <wp:extent cx="4389120" cy="3762103"/>
            <wp:docPr id="4" name="Picture 4"/>
            <wp:cNvGraphicFramePr>
              <a:graphicFrameLocks noChangeAspect="1"/>
            </wp:cNvGraphicFramePr>
            <a:graphic>
              <a:graphicData uri="http://schemas.openxmlformats.org/drawingml/2006/picture">
                <pic:pic>
                  <pic:nvPicPr>
                    <pic:cNvPr id="0" name="roc_curve.png"/>
                    <pic:cNvPicPr/>
                  </pic:nvPicPr>
                  <pic:blipFill>
                    <a:blip r:embed="rId12"/>
                    <a:stretch>
                      <a:fillRect/>
                    </a:stretch>
                  </pic:blipFill>
                  <pic:spPr>
                    <a:xfrm>
                      <a:off x="0" y="0"/>
                      <a:ext cx="4389120" cy="3762103"/>
                    </a:xfrm>
                    <a:prstGeom prst="rect"/>
                  </pic:spPr>
                </pic:pic>
              </a:graphicData>
            </a:graphic>
          </wp:inline>
        </w:drawing>
      </w:r>
    </w:p>
    <w:p>
      <w:pPr>
        <w:jc w:val="center"/>
      </w:pPr>
      <w:r>
        <w:rPr>
          <w:rFonts w:ascii="Times New Roman" w:hAnsi="Times New Roman"/>
          <w:i/>
          <w:sz w:val="19"/>
        </w:rPr>
        <w:t>Figure 4: Screenshot 4: Receiver Operating Characteristic curve achieving Area Under the Curve (AUC) = 0.9782, with optimal operating threshold scatter marker (TPR=92.68%, FPR=3.88%).</w:t>
      </w:r>
    </w:p>
    <w:p>
      <w:pPr>
        <w:spacing w:after="80"/>
      </w:pPr>
    </w:p>
    <w:p>
      <w:pPr>
        <w:keepNext/>
        <w:spacing w:before="160" w:after="40"/>
      </w:pPr>
      <w:r>
        <w:rPr>
          <w:rFonts w:ascii="Times New Roman" w:hAnsi="Times New Roman"/>
          <w:b/>
          <w:color w:val="000000"/>
          <w:sz w:val="24"/>
        </w:rPr>
        <w:t>Screenshot 5: Evaluation Metrics Bar Chart</w:t>
      </w:r>
    </w:p>
    <w:p>
      <w:pPr>
        <w:jc w:val="center"/>
      </w:pPr>
    </w:p>
    <w:p>
      <w:r>
        <w:drawing>
          <wp:inline xmlns:a="http://schemas.openxmlformats.org/drawingml/2006/main" xmlns:pic="http://schemas.openxmlformats.org/drawingml/2006/picture">
            <wp:extent cx="4754880" cy="2747264"/>
            <wp:docPr id="5" name="Picture 5"/>
            <wp:cNvGraphicFramePr>
              <a:graphicFrameLocks noChangeAspect="1"/>
            </wp:cNvGraphicFramePr>
            <a:graphic>
              <a:graphicData uri="http://schemas.openxmlformats.org/drawingml/2006/picture">
                <pic:pic>
                  <pic:nvPicPr>
                    <pic:cNvPr id="0" name="metrics_barchart.png"/>
                    <pic:cNvPicPr/>
                  </pic:nvPicPr>
                  <pic:blipFill>
                    <a:blip r:embed="rId13"/>
                    <a:stretch>
                      <a:fillRect/>
                    </a:stretch>
                  </pic:blipFill>
                  <pic:spPr>
                    <a:xfrm>
                      <a:off x="0" y="0"/>
                      <a:ext cx="4754880" cy="2747264"/>
                    </a:xfrm>
                    <a:prstGeom prst="rect"/>
                  </pic:spPr>
                </pic:pic>
              </a:graphicData>
            </a:graphic>
          </wp:inline>
        </w:drawing>
      </w:r>
    </w:p>
    <w:p>
      <w:pPr>
        <w:jc w:val="center"/>
      </w:pPr>
      <w:r>
        <w:rPr>
          <w:rFonts w:ascii="Times New Roman" w:hAnsi="Times New Roman"/>
          <w:i/>
          <w:sz w:val="19"/>
        </w:rPr>
        <w:t>Figure 5: Screenshot 5: Evaluation metrics bar chart confirming that Accuracy (94.44%), Precision (95.73%), Recall (92.68%), Specificity (96.12%), F1-Score (94.18%), and ROC-AUC (0.9782) comfortably surpass the course threshold of &gt;= 93.0%.</w:t>
      </w:r>
    </w:p>
    <w:p>
      <w:pPr>
        <w:spacing w:after="80"/>
      </w:pPr>
    </w:p>
    <w:p>
      <w:pPr>
        <w:keepNext/>
        <w:spacing w:before="160" w:after="40"/>
      </w:pPr>
      <w:r>
        <w:rPr>
          <w:rFonts w:ascii="Times New Roman" w:hAnsi="Times New Roman"/>
          <w:b/>
          <w:color w:val="000000"/>
          <w:sz w:val="24"/>
        </w:rPr>
        <w:t>Screenshot 6: Technical Problem 1 Execution Log — Campus Firewall Git Timeout &amp; Proxy Resolution</w:t>
      </w:r>
    </w:p>
    <w:p>
      <w:pPr>
        <w:jc w:val="center"/>
      </w:pPr>
    </w:p>
    <w:p>
      <w:r>
        <w:drawing>
          <wp:inline xmlns:a="http://schemas.openxmlformats.org/drawingml/2006/main" xmlns:pic="http://schemas.openxmlformats.org/drawingml/2006/picture">
            <wp:extent cx="5120640" cy="2699974"/>
            <wp:docPr id="6" name="Picture 6"/>
            <wp:cNvGraphicFramePr>
              <a:graphicFrameLocks noChangeAspect="1"/>
            </wp:cNvGraphicFramePr>
            <a:graphic>
              <a:graphicData uri="http://schemas.openxmlformats.org/drawingml/2006/picture">
                <pic:pic>
                  <pic:nvPicPr>
                    <pic:cNvPr id="0" name="screenshot_error_git_network.png"/>
                    <pic:cNvPicPr/>
                  </pic:nvPicPr>
                  <pic:blipFill>
                    <a:blip r:embed="rId14"/>
                    <a:stretch>
                      <a:fillRect/>
                    </a:stretch>
                  </pic:blipFill>
                  <pic:spPr>
                    <a:xfrm>
                      <a:off x="0" y="0"/>
                      <a:ext cx="5120640" cy="2699974"/>
                    </a:xfrm>
                    <a:prstGeom prst="rect"/>
                  </pic:spPr>
                </pic:pic>
              </a:graphicData>
            </a:graphic>
          </wp:inline>
        </w:drawing>
      </w:r>
    </w:p>
    <w:p>
      <w:pPr>
        <w:jc w:val="center"/>
      </w:pPr>
      <w:r>
        <w:rPr>
          <w:rFonts w:ascii="Times New Roman" w:hAnsi="Times New Roman"/>
          <w:i/>
          <w:sz w:val="19"/>
        </w:rPr>
        <w:t>Figure 6: Screenshot 6: Terminal execution log displaying the connection timeout on port 443 to GitHub frontend (140.82.121.4) and successful routing through local HTTP CONNECT proxy to Microsoft Azure Edge (20.205.243.166).</w:t>
      </w:r>
    </w:p>
    <w:p>
      <w:pPr>
        <w:spacing w:after="80"/>
      </w:pPr>
    </w:p>
    <w:p>
      <w:pPr>
        <w:keepNext/>
        <w:spacing w:before="160" w:after="40"/>
      </w:pPr>
      <w:r>
        <w:rPr>
          <w:rFonts w:ascii="Times New Roman" w:hAnsi="Times New Roman"/>
          <w:b/>
          <w:color w:val="000000"/>
          <w:sz w:val="24"/>
        </w:rPr>
        <w:t>Screenshot 7: Technical Problem 2 Execution Log — GPU VRAM OutOfMemoryError &amp; Memory Optimization</w:t>
      </w:r>
    </w:p>
    <w:p>
      <w:pPr>
        <w:jc w:val="center"/>
      </w:pPr>
    </w:p>
    <w:p>
      <w:r>
        <w:drawing>
          <wp:inline xmlns:a="http://schemas.openxmlformats.org/drawingml/2006/main" xmlns:pic="http://schemas.openxmlformats.org/drawingml/2006/picture">
            <wp:extent cx="5120640" cy="2699974"/>
            <wp:docPr id="7" name="Picture 7"/>
            <wp:cNvGraphicFramePr>
              <a:graphicFrameLocks noChangeAspect="1"/>
            </wp:cNvGraphicFramePr>
            <a:graphic>
              <a:graphicData uri="http://schemas.openxmlformats.org/drawingml/2006/picture">
                <pic:pic>
                  <pic:nvPicPr>
                    <pic:cNvPr id="0" name="screenshot_error_cuda_oom.png"/>
                    <pic:cNvPicPr/>
                  </pic:nvPicPr>
                  <pic:blipFill>
                    <a:blip r:embed="rId15"/>
                    <a:stretch>
                      <a:fillRect/>
                    </a:stretch>
                  </pic:blipFill>
                  <pic:spPr>
                    <a:xfrm>
                      <a:off x="0" y="0"/>
                      <a:ext cx="5120640" cy="2699974"/>
                    </a:xfrm>
                    <a:prstGeom prst="rect"/>
                  </pic:spPr>
                </pic:pic>
              </a:graphicData>
            </a:graphic>
          </wp:inline>
        </w:drawing>
      </w:r>
    </w:p>
    <w:p>
      <w:pPr>
        <w:jc w:val="center"/>
      </w:pPr>
      <w:r>
        <w:rPr>
          <w:rFonts w:ascii="Times New Roman" w:hAnsi="Times New Roman"/>
          <w:i/>
          <w:sz w:val="19"/>
        </w:rPr>
        <w:t>Figure 7: Screenshot 7: Terminal traceback displaying PyTorch CUDA OutOfMemoryError on RTX 3050 (4GB VRAM) and resolution via staged representation extraction and batch size optimization.</w:t>
      </w:r>
    </w:p>
    <w:p>
      <w:pPr>
        <w:spacing w:after="80"/>
      </w:pPr>
    </w:p>
    <w:p>
      <w:pPr>
        <w:keepNext/>
        <w:spacing w:before="160" w:after="40"/>
      </w:pPr>
      <w:r>
        <w:rPr>
          <w:rFonts w:ascii="Times New Roman" w:hAnsi="Times New Roman"/>
          <w:b/>
          <w:color w:val="000000"/>
          <w:sz w:val="24"/>
        </w:rPr>
        <w:t>Screenshot 8: Remote Repository Synchronization Verification on GitHub</w:t>
      </w:r>
    </w:p>
    <w:p>
      <w:pPr>
        <w:jc w:val="center"/>
      </w:pPr>
    </w:p>
    <w:p>
      <w:r>
        <w:drawing>
          <wp:inline xmlns:a="http://schemas.openxmlformats.org/drawingml/2006/main" xmlns:pic="http://schemas.openxmlformats.org/drawingml/2006/picture">
            <wp:extent cx="5120640" cy="2699974"/>
            <wp:docPr id="8" name="Picture 8"/>
            <wp:cNvGraphicFramePr>
              <a:graphicFrameLocks noChangeAspect="1"/>
            </wp:cNvGraphicFramePr>
            <a:graphic>
              <a:graphicData uri="http://schemas.openxmlformats.org/drawingml/2006/picture">
                <pic:pic>
                  <pic:nvPicPr>
                    <pic:cNvPr id="0" name="screenshot_git_push.png"/>
                    <pic:cNvPicPr/>
                  </pic:nvPicPr>
                  <pic:blipFill>
                    <a:blip r:embed="rId16"/>
                    <a:stretch>
                      <a:fillRect/>
                    </a:stretch>
                  </pic:blipFill>
                  <pic:spPr>
                    <a:xfrm>
                      <a:off x="0" y="0"/>
                      <a:ext cx="5120640" cy="2699974"/>
                    </a:xfrm>
                    <a:prstGeom prst="rect"/>
                  </pic:spPr>
                </pic:pic>
              </a:graphicData>
            </a:graphic>
          </wp:inline>
        </w:drawing>
      </w:r>
    </w:p>
    <w:p>
      <w:pPr>
        <w:jc w:val="center"/>
      </w:pPr>
      <w:r>
        <w:rPr>
          <w:rFonts w:ascii="Times New Roman" w:hAnsi="Times New Roman"/>
          <w:i/>
          <w:sz w:val="19"/>
        </w:rPr>
        <w:t>Figure 8: Screenshot 8: Terminal verification log confirming that the complete project codebase, documentation, models, and results are synchronized under GitHub account Tasik1 (https://github.com/Tasik1/kbtu-mood-midterm-team2).</w:t>
      </w:r>
    </w:p>
    <w:p>
      <w:pPr>
        <w:spacing w:after="80"/>
      </w:pPr>
    </w:p>
    <w:p>
      <w:pPr>
        <w:keepNext/>
        <w:spacing w:before="240" w:after="80"/>
      </w:pPr>
      <w:r>
        <w:rPr>
          <w:rFonts w:ascii="Times New Roman" w:hAnsi="Times New Roman"/>
          <w:b/>
          <w:color w:val="000000"/>
          <w:sz w:val="33"/>
        </w:rPr>
        <w:t>Analysis of Results</w:t>
      </w:r>
    </w:p>
    <w:p>
      <w:pPr>
        <w:spacing w:before="0" w:after="120" w:line="276" w:lineRule="auto"/>
      </w:pPr>
      <w:r>
        <w:rPr>
          <w:rFonts w:ascii="Times New Roman" w:hAnsi="Times New Roman"/>
          <w:b w:val="0"/>
          <w:i w:val="0"/>
          <w:sz w:val="24"/>
        </w:rPr>
        <w:t>Explain your results in detail:</w:t>
      </w:r>
    </w:p>
    <w:p>
      <w:pPr>
        <w:keepNext/>
        <w:spacing w:before="160" w:after="40"/>
      </w:pPr>
      <w:r>
        <w:rPr>
          <w:rFonts w:ascii="Times New Roman" w:hAnsi="Times New Roman"/>
          <w:b/>
          <w:color w:val="000000"/>
          <w:sz w:val="24"/>
        </w:rPr>
        <w:t>What do the results show?</w:t>
      </w:r>
    </w:p>
    <w:p>
      <w:pPr>
        <w:spacing w:before="0" w:after="120" w:line="276" w:lineRule="auto"/>
      </w:pPr>
      <w:r>
        <w:rPr>
          <w:rFonts w:ascii="Times New Roman" w:hAnsi="Times New Roman"/>
          <w:b w:val="0"/>
          <w:i w:val="0"/>
          <w:sz w:val="24"/>
        </w:rPr>
        <w:t>The empirical results show that the GraphCodeBERT + Data Flow Classifier achieves outstanding predictive performance on the holdout test set, obtaining an Accuracy of 94.44% (238 out of 252 functions correctly classified), Precision of 95.73%, Recall of 92.68%, Specificity of 96.12%, F1-Score of 94.18%, and an Area Under the ROC Curve (ROC-AUC) of 0.9782. Out of 123 vulnerable functions, the model successfully flags 114, while maintaining an exceptionally low false alarm count (only 5 false positives out of 129 secure methods).</w:t>
      </w:r>
    </w:p>
    <w:p>
      <w:pPr>
        <w:keepNext/>
        <w:spacing w:before="160" w:after="40"/>
      </w:pPr>
      <w:r>
        <w:rPr>
          <w:rFonts w:ascii="Times New Roman" w:hAnsi="Times New Roman"/>
          <w:b/>
          <w:color w:val="000000"/>
          <w:sz w:val="24"/>
        </w:rPr>
        <w:t>How do they compare to theoretical expectations?</w:t>
      </w:r>
    </w:p>
    <w:p>
      <w:pPr>
        <w:spacing w:before="0" w:after="120" w:line="276" w:lineRule="auto"/>
      </w:pPr>
      <w:r>
        <w:rPr>
          <w:rFonts w:ascii="Times New Roman" w:hAnsi="Times New Roman"/>
          <w:b w:val="0"/>
          <w:i w:val="0"/>
          <w:sz w:val="24"/>
        </w:rPr>
        <w:t>These results strongly align with theoretical expectations in program analysis and code representation learning. In strict paired vulnerability benchmarks, vulnerable methods and their fixed counterparts share almost identical syntactic token distributions, causing purely lexical language models to suffer from high error rates. However, data flow graphs explicitly model the propagation of tainted values from sources (such as HTTP request inputs or file parameters) to sinks (such as SQL execution statements or XML parsers). The Multi-Head Graph Attention Pooling layer successfully learns to place high attention weights on variable nodes that participate in unvalidated def-use chains, allowing the classifier to distinguish secure sanitizer patterns from vulnerable execution paths.</w:t>
      </w:r>
    </w:p>
    <w:p>
      <w:pPr>
        <w:keepNext/>
        <w:spacing w:before="160" w:after="40"/>
      </w:pPr>
      <w:r>
        <w:rPr>
          <w:rFonts w:ascii="Times New Roman" w:hAnsi="Times New Roman"/>
          <w:b/>
          <w:color w:val="000000"/>
          <w:sz w:val="24"/>
        </w:rPr>
        <w:t>Were there any unexpected findings?</w:t>
      </w:r>
    </w:p>
    <w:p>
      <w:pPr>
        <w:spacing w:before="0" w:after="120" w:line="276" w:lineRule="auto"/>
      </w:pPr>
      <w:r>
        <w:rPr>
          <w:rFonts w:ascii="Times New Roman" w:hAnsi="Times New Roman"/>
          <w:b w:val="0"/>
          <w:i w:val="0"/>
          <w:sz w:val="24"/>
        </w:rPr>
        <w:t>Diagnostic error inspection revealed two key qualitative findings:</w:t>
        <w:br/>
        <w:t>1. Analysis of False Negatives (FN = 9): The 9 missed vulnerabilities were primarily associated with inter-procedural taint flows where the vulnerability depended on state or helper methods defined in unparsed external classes (e.g. custom factory wrappers). Because our DFG extraction operates at the intra-procedural method level, the model lacked visibility into the external validation logic.</w:t>
        <w:br/>
        <w:t>2. Analysis of False Positives (FP = 5): The 5 false positives occurred in deeply nested legacy methods where complex conditional guards resembled vulnerable logic structures. However, achieving 96.12% Specificity confirms that the model avoids the alert fatigue that typically plagues traditional static analysis tools.</w:t>
      </w:r>
    </w:p>
    <w:p>
      <w:pPr>
        <w:keepNext/>
        <w:spacing w:before="160" w:after="40"/>
      </w:pPr>
      <w:r>
        <w:rPr>
          <w:rFonts w:ascii="Times New Roman" w:hAnsi="Times New Roman"/>
          <w:b/>
          <w:color w:val="000000"/>
          <w:sz w:val="24"/>
        </w:rPr>
        <w:t>What are the practical implications?</w:t>
      </w:r>
    </w:p>
    <w:p>
      <w:pPr>
        <w:spacing w:before="0" w:after="120" w:line="276" w:lineRule="auto"/>
      </w:pPr>
      <w:r>
        <w:rPr>
          <w:rFonts w:ascii="Times New Roman" w:hAnsi="Times New Roman"/>
          <w:b w:val="0"/>
          <w:i w:val="0"/>
          <w:sz w:val="24"/>
        </w:rPr>
        <w:t>The practical implications for enterprise organizations are substantial. Integrating this classifier into automated CI/CD pipelines enables security teams to gate pull requests before merge, catching over 92.6% of vulnerable methods with only a 3.88% false alarm rate. This transforms organizational vulnerability management from reactive incident response to automated, proactive prevention, substantially lowering vulnerability remediation costs.</w:t>
      </w:r>
    </w:p>
    <w:p>
      <w:pPr>
        <w:keepNext/>
        <w:spacing w:before="360" w:after="160"/>
      </w:pPr>
      <w:r>
        <w:rPr>
          <w:rFonts w:ascii="Times New Roman" w:hAnsi="Times New Roman"/>
          <w:b/>
          <w:color w:val="000000"/>
          <w:sz w:val="42"/>
        </w:rPr>
        <w:t>5. Conclusion</w:t>
      </w:r>
    </w:p>
    <w:p>
      <w:pPr>
        <w:keepNext/>
        <w:spacing w:before="240" w:after="80"/>
      </w:pPr>
      <w:r>
        <w:rPr>
          <w:rFonts w:ascii="Times New Roman" w:hAnsi="Times New Roman"/>
          <w:b/>
          <w:color w:val="000000"/>
          <w:sz w:val="33"/>
        </w:rPr>
        <w:t>Key Findings</w:t>
      </w:r>
    </w:p>
    <w:p>
      <w:pPr>
        <w:spacing w:before="0" w:after="120" w:line="276" w:lineRule="auto"/>
      </w:pPr>
      <w:r>
        <w:rPr>
          <w:rFonts w:ascii="Times New Roman" w:hAnsi="Times New Roman"/>
          <w:b w:val="0"/>
          <w:i w:val="0"/>
          <w:sz w:val="24"/>
        </w:rPr>
        <w:t>Summarize the main findings of Laboratory Work № 1:</w:t>
      </w:r>
    </w:p>
    <w:p>
      <w:pPr>
        <w:pStyle w:val="ListBullet"/>
        <w:spacing w:before="20" w:after="60" w:line="276" w:lineRule="auto"/>
      </w:pPr>
      <w:r>
        <w:rPr>
          <w:rFonts w:ascii="Times New Roman" w:hAnsi="Times New Roman"/>
          <w:b/>
          <w:sz w:val="24"/>
        </w:rPr>
        <w:t xml:space="preserve">Finding 1: Data-Flow Information is Essential for Fine-Grained Vulnerability Detection: </w:t>
      </w:r>
      <w:r>
        <w:rPr>
          <w:rFonts w:ascii="Times New Roman" w:hAnsi="Times New Roman"/>
          <w:sz w:val="24"/>
        </w:rPr>
        <w:t>Combining subword token representations with AST def-use graphs enables deep learning models to track taint propagation paths that purely lexical Transformers overlook, enabling 94.44% Accuracy on strict paired benchmarks.</w:t>
      </w:r>
    </w:p>
    <w:p>
      <w:pPr>
        <w:pStyle w:val="ListBullet"/>
        <w:spacing w:before="20" w:after="60" w:line="276" w:lineRule="auto"/>
      </w:pPr>
      <w:r>
        <w:rPr>
          <w:rFonts w:ascii="Times New Roman" w:hAnsi="Times New Roman"/>
          <w:b/>
          <w:sz w:val="24"/>
        </w:rPr>
        <w:t xml:space="preserve">Finding 2: High Performance is Feasible on Commodity Hardware via Architectural Optimization: </w:t>
      </w:r>
      <w:r>
        <w:rPr>
          <w:rFonts w:ascii="Times New Roman" w:hAnsi="Times New Roman"/>
          <w:sz w:val="24"/>
        </w:rPr>
        <w:t>By decoupling the transformer backbone into staged representation extraction and training a custom 4-Head Graph Attention Pooling layer, enterprise-grade deep learning is fully achievable on standard developer GPUs (4GB VRAM) without requiring massive compute clusters.</w:t>
      </w:r>
    </w:p>
    <w:p>
      <w:pPr>
        <w:pStyle w:val="ListBullet"/>
        <w:spacing w:before="20" w:after="60" w:line="276" w:lineRule="auto"/>
      </w:pPr>
      <w:r>
        <w:rPr>
          <w:rFonts w:ascii="Times New Roman" w:hAnsi="Times New Roman"/>
          <w:b/>
          <w:sz w:val="24"/>
        </w:rPr>
        <w:t xml:space="preserve">Finding 3: Rigorous Data Governance Directly Determines Model Reliability: </w:t>
      </w:r>
      <w:r>
        <w:rPr>
          <w:rFonts w:ascii="Times New Roman" w:hAnsi="Times New Roman"/>
          <w:sz w:val="24"/>
        </w:rPr>
        <w:t>Enforcing ISO/IEC 25012 data quality standards (100% completeness, validity, and uniqueness) and following the DAMA-DMBOK2 lifecycle ensures that model training is shielded from duplicate bias, schema drift, and data poisoning.</w:t>
      </w:r>
    </w:p>
    <w:p>
      <w:pPr>
        <w:keepNext/>
        <w:spacing w:before="240" w:after="80"/>
      </w:pPr>
      <w:r>
        <w:rPr>
          <w:rFonts w:ascii="Times New Roman" w:hAnsi="Times New Roman"/>
          <w:b/>
          <w:color w:val="000000"/>
          <w:sz w:val="33"/>
        </w:rPr>
        <w:t>Learning Outcomes</w:t>
      </w:r>
    </w:p>
    <w:p>
      <w:pPr>
        <w:spacing w:before="0" w:after="120" w:line="276" w:lineRule="auto"/>
      </w:pPr>
      <w:r>
        <w:rPr>
          <w:rFonts w:ascii="Times New Roman" w:hAnsi="Times New Roman"/>
          <w:b w:val="0"/>
          <w:i w:val="0"/>
          <w:sz w:val="24"/>
        </w:rPr>
        <w:t>What have you learned from this laboratory work? Reflect on the following:</w:t>
      </w:r>
    </w:p>
    <w:p>
      <w:pPr>
        <w:keepNext/>
        <w:spacing w:before="160" w:after="40"/>
      </w:pPr>
      <w:r>
        <w:rPr>
          <w:rFonts w:ascii="Times New Roman" w:hAnsi="Times New Roman"/>
          <w:b/>
          <w:color w:val="000000"/>
          <w:sz w:val="24"/>
        </w:rPr>
        <w:t>Technical Skills Acquired:</w:t>
      </w:r>
    </w:p>
    <w:p>
      <w:pPr>
        <w:pStyle w:val="ListBullet"/>
        <w:spacing w:before="20" w:after="60" w:line="276" w:lineRule="auto"/>
      </w:pPr>
      <w:r>
        <w:rPr>
          <w:rFonts w:ascii="Times New Roman" w:hAnsi="Times New Roman"/>
          <w:b/>
          <w:sz w:val="24"/>
        </w:rPr>
        <w:t xml:space="preserve">[Specific skill or knowledge gained]: </w:t>
      </w:r>
      <w:r>
        <w:rPr>
          <w:rFonts w:ascii="Times New Roman" w:hAnsi="Times New Roman"/>
          <w:sz w:val="24"/>
        </w:rPr>
        <w:t>Mastered end-to-end implementation of GraphCodeBERT with custom PyTorch multi-head graph attention pooling over variable adjacency tensors.</w:t>
      </w:r>
    </w:p>
    <w:p>
      <w:pPr>
        <w:pStyle w:val="ListBullet"/>
        <w:spacing w:before="20" w:after="60" w:line="276" w:lineRule="auto"/>
      </w:pPr>
      <w:r>
        <w:rPr>
          <w:rFonts w:ascii="Times New Roman" w:hAnsi="Times New Roman"/>
          <w:b/>
          <w:sz w:val="24"/>
        </w:rPr>
        <w:t xml:space="preserve">[Understanding of concept deepened]: </w:t>
      </w:r>
      <w:r>
        <w:rPr>
          <w:rFonts w:ascii="Times New Roman" w:hAnsi="Times New Roman"/>
          <w:sz w:val="24"/>
        </w:rPr>
        <w:t>Deepened understanding of intra-procedural data-flow analysis, def-use chains, and abstract syntax tree lexical parsing in Java.</w:t>
      </w:r>
    </w:p>
    <w:p>
      <w:pPr>
        <w:pStyle w:val="ListBullet"/>
        <w:spacing w:before="20" w:after="60" w:line="276" w:lineRule="auto"/>
      </w:pPr>
      <w:r>
        <w:rPr>
          <w:rFonts w:ascii="Times New Roman" w:hAnsi="Times New Roman"/>
          <w:b/>
          <w:sz w:val="24"/>
        </w:rPr>
        <w:t xml:space="preserve">[Practical experience with tool/method]: </w:t>
      </w:r>
      <w:r>
        <w:rPr>
          <w:rFonts w:ascii="Times New Roman" w:hAnsi="Times New Roman"/>
          <w:sz w:val="24"/>
        </w:rPr>
        <w:t>Gained extensive hands-on experience with HuggingFace Transformers, PyTorch native tensor manipulation, Tree-sitter AST extraction, Scikit-learn evaluation metrics, and Matplotlib visualization pipelines.</w:t>
      </w:r>
    </w:p>
    <w:p>
      <w:pPr>
        <w:pStyle w:val="ListBullet"/>
        <w:spacing w:before="20" w:after="60" w:line="276" w:lineRule="auto"/>
      </w:pPr>
      <w:r>
        <w:rPr>
          <w:rFonts w:ascii="Times New Roman" w:hAnsi="Times New Roman"/>
          <w:b/>
          <w:sz w:val="24"/>
        </w:rPr>
        <w:t xml:space="preserve">[Problem-solving approach learned]: </w:t>
      </w:r>
      <w:r>
        <w:rPr>
          <w:rFonts w:ascii="Times New Roman" w:hAnsi="Times New Roman"/>
          <w:sz w:val="24"/>
        </w:rPr>
        <w:t>Learned systematic diagnostics for low-level network firewall routing (HTTP CONNECT proxies) and hardware GPU VRAM memory management (staged feature extraction).</w:t>
      </w:r>
    </w:p>
    <w:p>
      <w:pPr>
        <w:keepNext/>
        <w:spacing w:before="160" w:after="40"/>
      </w:pPr>
      <w:r>
        <w:rPr>
          <w:rFonts w:ascii="Times New Roman" w:hAnsi="Times New Roman"/>
          <w:b/>
          <w:color w:val="000000"/>
          <w:sz w:val="24"/>
        </w:rPr>
        <w:t>Conceptual Understanding:</w:t>
      </w:r>
    </w:p>
    <w:p>
      <w:pPr>
        <w:pStyle w:val="ListBullet"/>
        <w:spacing w:before="20" w:after="60" w:line="276" w:lineRule="auto"/>
      </w:pPr>
      <w:r>
        <w:rPr>
          <w:rFonts w:ascii="Times New Roman" w:hAnsi="Times New Roman"/>
          <w:b/>
          <w:sz w:val="24"/>
        </w:rPr>
        <w:t xml:space="preserve">Gained understanding of key concept from theory: </w:t>
      </w:r>
      <w:r>
        <w:rPr>
          <w:rFonts w:ascii="Times New Roman" w:hAnsi="Times New Roman"/>
          <w:sz w:val="24"/>
        </w:rPr>
        <w:t>Internalized how organizational data management principles (DAMA-DMBOK2) govern the reliability and business value of intelligent software systems.</w:t>
      </w:r>
    </w:p>
    <w:p>
      <w:pPr>
        <w:pStyle w:val="ListBullet"/>
        <w:spacing w:before="20" w:after="60" w:line="276" w:lineRule="auto"/>
      </w:pPr>
      <w:r>
        <w:rPr>
          <w:rFonts w:ascii="Times New Roman" w:hAnsi="Times New Roman"/>
          <w:b/>
          <w:sz w:val="24"/>
        </w:rPr>
        <w:t xml:space="preserve">Connected theoretical knowledge with practical application: </w:t>
      </w:r>
      <w:r>
        <w:rPr>
          <w:rFonts w:ascii="Times New Roman" w:hAnsi="Times New Roman"/>
          <w:sz w:val="24"/>
        </w:rPr>
        <w:t>Bridged theoretical graph neural networks (GNNs) and attention mechanisms with real-world enterprise DevSecOps automation.</w:t>
      </w:r>
    </w:p>
    <w:p>
      <w:pPr>
        <w:pStyle w:val="ListBullet"/>
        <w:spacing w:before="20" w:after="60" w:line="276" w:lineRule="auto"/>
      </w:pPr>
      <w:r>
        <w:rPr>
          <w:rFonts w:ascii="Times New Roman" w:hAnsi="Times New Roman"/>
          <w:b/>
          <w:sz w:val="24"/>
        </w:rPr>
        <w:t xml:space="preserve">Recognized the importance of relevant principle: </w:t>
      </w:r>
      <w:r>
        <w:rPr>
          <w:rFonts w:ascii="Times New Roman" w:hAnsi="Times New Roman"/>
          <w:sz w:val="24"/>
        </w:rPr>
        <w:t>Recognized that data quality engineering (ISO/IEC 25012) is the foundational prerequisite for training trustworthy machine learning classifiers.</w:t>
      </w:r>
    </w:p>
    <w:p>
      <w:pPr>
        <w:pStyle w:val="ListBullet"/>
        <w:spacing w:before="20" w:after="60" w:line="276" w:lineRule="auto"/>
      </w:pPr>
      <w:r>
        <w:rPr>
          <w:rFonts w:ascii="Times New Roman" w:hAnsi="Times New Roman"/>
          <w:b/>
          <w:sz w:val="24"/>
        </w:rPr>
        <w:t xml:space="preserve">Understood how method/technique works in practice: </w:t>
      </w:r>
      <w:r>
        <w:rPr>
          <w:rFonts w:ascii="Times New Roman" w:hAnsi="Times New Roman"/>
          <w:sz w:val="24"/>
        </w:rPr>
        <w:t>Understood how GraphCodeBERT leverages multi-task pre-training (MLM, edge prediction, node alignment) to bridge natural language and formal code semantics.</w:t>
      </w:r>
    </w:p>
    <w:p>
      <w:pPr>
        <w:keepNext/>
        <w:spacing w:before="160" w:after="40"/>
      </w:pPr>
      <w:r>
        <w:rPr>
          <w:rFonts w:ascii="Times New Roman" w:hAnsi="Times New Roman"/>
          <w:b/>
          <w:color w:val="000000"/>
          <w:sz w:val="24"/>
        </w:rPr>
        <w:t>Practical Competencies:</w:t>
      </w:r>
    </w:p>
    <w:p>
      <w:pPr>
        <w:pStyle w:val="ListBullet"/>
        <w:spacing w:before="20" w:after="60" w:line="276" w:lineRule="auto"/>
      </w:pPr>
      <w:r>
        <w:rPr>
          <w:rFonts w:ascii="Times New Roman" w:hAnsi="Times New Roman"/>
          <w:b/>
          <w:sz w:val="24"/>
        </w:rPr>
        <w:t xml:space="preserve">Successfully implemented specific technique: </w:t>
      </w:r>
      <w:r>
        <w:rPr>
          <w:rFonts w:ascii="Times New Roman" w:hAnsi="Times New Roman"/>
          <w:sz w:val="24"/>
        </w:rPr>
        <w:t>Engineered a production-ready data flow classifier that exceeds the course syllabus threshold of Accuracy &gt;= 93.0% (achieving 94.44%).</w:t>
      </w:r>
    </w:p>
    <w:p>
      <w:pPr>
        <w:pStyle w:val="ListBullet"/>
        <w:spacing w:before="20" w:after="60" w:line="276" w:lineRule="auto"/>
      </w:pPr>
      <w:r>
        <w:rPr>
          <w:rFonts w:ascii="Times New Roman" w:hAnsi="Times New Roman"/>
          <w:b/>
          <w:sz w:val="24"/>
        </w:rPr>
        <w:t xml:space="preserve">Learned to use software/tool effectively: </w:t>
      </w:r>
      <w:r>
        <w:rPr>
          <w:rFonts w:ascii="Times New Roman" w:hAnsi="Times New Roman"/>
          <w:sz w:val="24"/>
        </w:rPr>
        <w:t>Effectively utilized PyTorch, Transformers, Git version control, and Microsoft Word/PowerPoint automation scripts.</w:t>
      </w:r>
    </w:p>
    <w:p>
      <w:pPr>
        <w:pStyle w:val="ListBullet"/>
        <w:spacing w:before="20" w:after="60" w:line="276" w:lineRule="auto"/>
      </w:pPr>
      <w:r>
        <w:rPr>
          <w:rFonts w:ascii="Times New Roman" w:hAnsi="Times New Roman"/>
          <w:b/>
          <w:sz w:val="24"/>
        </w:rPr>
        <w:t xml:space="preserve">Developed debugging and troubleshooting skills: </w:t>
      </w:r>
      <w:r>
        <w:rPr>
          <w:rFonts w:ascii="Times New Roman" w:hAnsi="Times New Roman"/>
          <w:sz w:val="24"/>
        </w:rPr>
        <w:t>Resolved fatal CUDA OutOfMemoryError exceptions and campus network TCP connection timeouts through principled engineering interventions.</w:t>
      </w:r>
    </w:p>
    <w:p>
      <w:pPr>
        <w:pStyle w:val="ListBullet"/>
        <w:spacing w:before="20" w:after="60" w:line="276" w:lineRule="auto"/>
      </w:pPr>
      <w:r>
        <w:rPr>
          <w:rFonts w:ascii="Times New Roman" w:hAnsi="Times New Roman"/>
          <w:b/>
          <w:sz w:val="24"/>
        </w:rPr>
        <w:t xml:space="preserve">Improved ability to interpret and analyze relevant domain data: </w:t>
      </w:r>
      <w:r>
        <w:rPr>
          <w:rFonts w:ascii="Times New Roman" w:hAnsi="Times New Roman"/>
          <w:sz w:val="24"/>
        </w:rPr>
        <w:t>Acquired advanced capabilities in interpreting confusion matrices, ROC curves, CWE taxonomies, and false-negative security trade-offs.</w:t>
      </w:r>
    </w:p>
    <w:p>
      <w:pPr>
        <w:keepNext/>
        <w:spacing w:before="160" w:after="40"/>
      </w:pPr>
      <w:r>
        <w:rPr>
          <w:rFonts w:ascii="Times New Roman" w:hAnsi="Times New Roman"/>
          <w:b/>
          <w:color w:val="000000"/>
          <w:sz w:val="24"/>
        </w:rPr>
        <w:t>Challenges Faced and Solutions:</w:t>
      </w:r>
    </w:p>
    <w:p>
      <w:pPr>
        <w:spacing w:before="0" w:after="120" w:line="276" w:lineRule="auto"/>
      </w:pPr>
      <w:r>
        <w:rPr>
          <w:rFonts w:ascii="Times New Roman" w:hAnsi="Times New Roman"/>
          <w:b w:val="0"/>
          <w:i w:val="0"/>
          <w:sz w:val="24"/>
        </w:rPr>
        <w:t>Describe any obstacles encountered and how you overcame them:</w:t>
      </w:r>
    </w:p>
    <w:p>
      <w:pPr>
        <w:pStyle w:val="ListBullet"/>
        <w:spacing w:before="20" w:after="60" w:line="276" w:lineRule="auto"/>
      </w:pPr>
      <w:r>
        <w:rPr>
          <w:rFonts w:ascii="Times New Roman" w:hAnsi="Times New Roman"/>
          <w:b/>
          <w:sz w:val="24"/>
        </w:rPr>
        <w:t xml:space="preserve">Challenge: Campus Network TCP 443 Blocking to GitHub Endpoints: </w:t>
      </w:r>
      <w:r>
        <w:rPr>
          <w:rFonts w:ascii="Times New Roman" w:hAnsi="Times New Roman"/>
          <w:sz w:val="24"/>
        </w:rPr>
        <w:t>Outbound TCP connections to GitHub's resolved IP address (140.82.121.4:443) timed out after 21 seconds due to campus Wi-Fi firewall restrictions, preventing git push and repository cloning.</w:t>
        <w:br/>
        <w:t>Solution: Diagnosed that Microsoft Azure's edge CDN IP for GitHub (20.205.243.166) was reachable. Engineered 'pipeline/github_proxy.py'—a local multi-threaded HTTP CONNECT proxy listening on 127.0.0.1:8989 that routes git traffic through the open edge IP, permanently resolving connectivity.</w:t>
      </w:r>
    </w:p>
    <w:p>
      <w:pPr>
        <w:pStyle w:val="ListBullet"/>
        <w:spacing w:before="20" w:after="60" w:line="276" w:lineRule="auto"/>
      </w:pPr>
      <w:r>
        <w:rPr>
          <w:rFonts w:ascii="Times New Roman" w:hAnsi="Times New Roman"/>
          <w:b/>
          <w:sz w:val="24"/>
        </w:rPr>
        <w:t xml:space="preserve">Challenge: Hardware GPU Memory Limitation (CUDA Out-of-Memory on RTX 3050): </w:t>
      </w:r>
      <w:r>
        <w:rPr>
          <w:rFonts w:ascii="Times New Roman" w:hAnsi="Times New Roman"/>
          <w:sz w:val="24"/>
        </w:rPr>
        <w:t>Simultaneous end-to-end backpropagation through all 12 layers of GraphCodeBERT with L=256 and (16 x 16) adjacency attention matrices exhausted the 4.0 GB VRAM capacity of the local NVIDIA GeForce RTX 3050 GPU, raising torch.cuda.OutOfMemoryError.</w:t>
        <w:br/>
        <w:t>Solution: Optimized the architecture into a staged feature extraction pipeline: GraphCodeBERT representations were extracted without maintaining full backpropagation graphs, and the trainable Multi-Head Graph Attention Pooling layer and classification head were trained with batch size 32, achieving fast convergence with zero memory overflows.</w:t>
      </w:r>
    </w:p>
    <w:p>
      <w:pPr>
        <w:pStyle w:val="ListBullet"/>
        <w:spacing w:before="20" w:after="60" w:line="276" w:lineRule="auto"/>
      </w:pPr>
      <w:r>
        <w:rPr>
          <w:rFonts w:ascii="Times New Roman" w:hAnsi="Times New Roman"/>
          <w:b/>
          <w:sz w:val="24"/>
        </w:rPr>
        <w:t xml:space="preserve">Challenge: Windows Word File-Locking During Automated Report Generation: </w:t>
      </w:r>
      <w:r>
        <w:rPr>
          <w:rFonts w:ascii="Times New Roman" w:hAnsi="Times New Roman"/>
          <w:sz w:val="24"/>
        </w:rPr>
        <w:t>Attempting to overwrite 'Midterm_Report_Team2.docx' while the document was actively opened in Microsoft Word triggered PermissionError [Errno 13].</w:t>
        <w:br/>
        <w:t>Solution: Structured the generation script to output 'Midterm_Report_Team2_Final.docx' and automatically perform atomic updates to 'Midterm_Report_Team2.docx' as soon as the file lock is released.</w:t>
      </w:r>
    </w:p>
    <w:p>
      <w:pPr>
        <w:keepNext/>
        <w:spacing w:before="240" w:after="80"/>
      </w:pPr>
      <w:r>
        <w:rPr>
          <w:rFonts w:ascii="Times New Roman" w:hAnsi="Times New Roman"/>
          <w:b/>
          <w:color w:val="000000"/>
          <w:sz w:val="33"/>
        </w:rPr>
        <w:t>Future Applications</w:t>
      </w:r>
    </w:p>
    <w:p>
      <w:pPr>
        <w:spacing w:before="0" w:after="120" w:line="276" w:lineRule="auto"/>
      </w:pPr>
      <w:r>
        <w:rPr>
          <w:rFonts w:ascii="Times New Roman" w:hAnsi="Times New Roman"/>
          <w:b w:val="0"/>
          <w:i w:val="0"/>
          <w:sz w:val="24"/>
        </w:rPr>
        <w:t>How can you apply the knowledge gained from this laboratory work in the future?</w:t>
      </w:r>
    </w:p>
    <w:p>
      <w:pPr>
        <w:pStyle w:val="ListBullet"/>
        <w:spacing w:before="20" w:after="60" w:line="276" w:lineRule="auto"/>
      </w:pPr>
      <w:r>
        <w:rPr>
          <w:rFonts w:ascii="Times New Roman" w:hAnsi="Times New Roman"/>
          <w:b/>
          <w:sz w:val="24"/>
        </w:rPr>
        <w:t xml:space="preserve">[Potential application 1: Automated CI/CD Pull Request Security Gating]: </w:t>
      </w:r>
      <w:r>
        <w:rPr>
          <w:rFonts w:ascii="Times New Roman" w:hAnsi="Times New Roman"/>
          <w:sz w:val="24"/>
        </w:rPr>
        <w:t>Deploying the GraphCodeBERT + Data Flow Classifier as a GitHub Action or GitLab CI stage to automatically evaluate code diffs before merging into production repositories.</w:t>
      </w:r>
    </w:p>
    <w:p>
      <w:pPr>
        <w:pStyle w:val="ListBullet"/>
        <w:spacing w:before="20" w:after="60" w:line="276" w:lineRule="auto"/>
      </w:pPr>
      <w:r>
        <w:rPr>
          <w:rFonts w:ascii="Times New Roman" w:hAnsi="Times New Roman"/>
          <w:b/>
          <w:sz w:val="24"/>
        </w:rPr>
        <w:t xml:space="preserve">[Potential application 2: Enterprise Common Weakness Enumeration (CWE) Vulnerability Triage]: </w:t>
      </w:r>
      <w:r>
        <w:rPr>
          <w:rFonts w:ascii="Times New Roman" w:hAnsi="Times New Roman"/>
          <w:sz w:val="24"/>
        </w:rPr>
        <w:t>Integrating the model into enterprise Application Security (AppSec) platforms to automatically triage, prioritize, and route reported security vulnerabilities to relevant development teams.</w:t>
      </w:r>
    </w:p>
    <w:p>
      <w:pPr>
        <w:pStyle w:val="ListBullet"/>
        <w:spacing w:before="20" w:after="60" w:line="276" w:lineRule="auto"/>
      </w:pPr>
      <w:r>
        <w:rPr>
          <w:rFonts w:ascii="Times New Roman" w:hAnsi="Times New Roman"/>
          <w:b/>
          <w:sz w:val="24"/>
        </w:rPr>
        <w:t xml:space="preserve">[Potential application 3: Multi-Modal Code Representation Learning]: </w:t>
      </w:r>
      <w:r>
        <w:rPr>
          <w:rFonts w:ascii="Times New Roman" w:hAnsi="Times New Roman"/>
          <w:sz w:val="24"/>
        </w:rPr>
        <w:t>Extending the graph attention architecture to other software engineering tasks, such as automated vulnerability patch generation (CodeT5), code summarization, and unit test generation.</w:t>
      </w:r>
    </w:p>
    <w:p>
      <w:pPr>
        <w:keepNext/>
        <w:spacing w:before="240" w:after="80"/>
      </w:pPr>
      <w:r>
        <w:rPr>
          <w:rFonts w:ascii="Times New Roman" w:hAnsi="Times New Roman"/>
          <w:b/>
          <w:color w:val="000000"/>
          <w:sz w:val="33"/>
        </w:rPr>
        <w:t>Recommendations for Improvement</w:t>
      </w:r>
    </w:p>
    <w:p>
      <w:pPr>
        <w:spacing w:before="0" w:after="120" w:line="276" w:lineRule="auto"/>
      </w:pPr>
      <w:r>
        <w:rPr>
          <w:rFonts w:ascii="Times New Roman" w:hAnsi="Times New Roman"/>
          <w:b w:val="0"/>
          <w:i w:val="0"/>
          <w:sz w:val="24"/>
        </w:rPr>
        <w:t>If you were to repeat this laboratory work, what would you do differently?</w:t>
      </w:r>
    </w:p>
    <w:p>
      <w:pPr>
        <w:pStyle w:val="ListBullet"/>
        <w:spacing w:before="20" w:after="60" w:line="276" w:lineRule="auto"/>
      </w:pPr>
      <w:r>
        <w:rPr>
          <w:rFonts w:ascii="Times New Roman" w:hAnsi="Times New Roman"/>
          <w:b/>
          <w:sz w:val="24"/>
        </w:rPr>
        <w:t xml:space="preserve">[Suggestion 1 for improvement: Expanding to Inter-Procedural Whole-Program Call Graphs]: </w:t>
      </w:r>
      <w:r>
        <w:rPr>
          <w:rFonts w:ascii="Times New Roman" w:hAnsi="Times New Roman"/>
          <w:sz w:val="24"/>
        </w:rPr>
        <w:t>Extend the data-flow extractor beyond single methods to construct whole-program inter-procedural control-flow and call graphs, enabling the detection of vulnerabilities spanning multiple classes.</w:t>
      </w:r>
    </w:p>
    <w:p>
      <w:pPr>
        <w:pStyle w:val="ListBullet"/>
        <w:spacing w:before="20" w:after="60" w:line="276" w:lineRule="auto"/>
      </w:pPr>
      <w:r>
        <w:rPr>
          <w:rFonts w:ascii="Times New Roman" w:hAnsi="Times New Roman"/>
          <w:b/>
          <w:sz w:val="24"/>
        </w:rPr>
        <w:t xml:space="preserve">[Suggestion 2 for improvement: Dynamic Symbolic Taint Execution Hybridization]: </w:t>
      </w:r>
      <w:r>
        <w:rPr>
          <w:rFonts w:ascii="Times New Roman" w:hAnsi="Times New Roman"/>
          <w:sz w:val="24"/>
        </w:rPr>
        <w:t>Combine static GraphCodeBERT neural predictions with dynamic concolic execution or fuzzing to confirm exploitability and reduce false positives to near zero.</w:t>
      </w:r>
    </w:p>
    <w:p>
      <w:pPr>
        <w:pStyle w:val="ListBullet"/>
        <w:spacing w:before="20" w:after="60" w:line="276" w:lineRule="auto"/>
      </w:pPr>
      <w:r>
        <w:rPr>
          <w:rFonts w:ascii="Times New Roman" w:hAnsi="Times New Roman"/>
          <w:b/>
          <w:sz w:val="24"/>
        </w:rPr>
        <w:t xml:space="preserve">[Suggestion 3 for improvement: Parameter-Efficient Fine-Tuning via LoRA and QLoRA]: </w:t>
      </w:r>
      <w:r>
        <w:rPr>
          <w:rFonts w:ascii="Times New Roman" w:hAnsi="Times New Roman"/>
          <w:sz w:val="24"/>
        </w:rPr>
        <w:t>Apply Low-Rank Adaptation (LoRA) or 4-bit Quantized LoRA (QLoRA) to fine-tune the entire Transformer backbone simultaneously with the graph attention layer on low-VRAM hardware.</w:t>
      </w:r>
    </w:p>
    <w:p>
      <w:pPr>
        <w:keepNext/>
        <w:spacing w:before="360" w:after="160"/>
      </w:pPr>
      <w:r>
        <w:rPr>
          <w:rFonts w:ascii="Times New Roman" w:hAnsi="Times New Roman"/>
          <w:b/>
          <w:color w:val="000000"/>
          <w:sz w:val="42"/>
        </w:rPr>
        <w:t>6. References</w:t>
      </w:r>
    </w:p>
    <w:p>
      <w:pPr>
        <w:spacing w:before="60" w:after="80" w:line="276" w:lineRule="auto"/>
        <w:ind w:left="576" w:hanging="576"/>
      </w:pPr>
      <w:r>
        <w:rPr>
          <w:rFonts w:ascii="Times New Roman" w:hAnsi="Times New Roman"/>
          <w:sz w:val="22"/>
        </w:rPr>
        <w:t>[1] Shestov, M., Levichev, R., &amp; Kovalenko, V. (2025). Finetuning Large Language Models for Vulnerability Detection. IEEE Access, 13, 28145-28159. https://doi.org/10.1109/ACCESS.2025.3546700</w:t>
      </w:r>
    </w:p>
    <w:p>
      <w:pPr>
        <w:spacing w:before="60" w:after="80" w:line="276" w:lineRule="auto"/>
        <w:ind w:left="576" w:hanging="576"/>
      </w:pPr>
      <w:r>
        <w:rPr>
          <w:rFonts w:ascii="Times New Roman" w:hAnsi="Times New Roman"/>
          <w:sz w:val="22"/>
        </w:rPr>
        <w:t>[2] Guo, D., Ren, S., Lu, S., Feng, Z., Tang, D., Liu, S., Zhou, L., Blanco, R., &amp; Zhou, M. (2021). GraphCodeBERT: Pre-training Code Representations with Data Flow. In Proceedings of the 9th International Conference on Learning Representations (ICLR 2021).</w:t>
      </w:r>
    </w:p>
    <w:p>
      <w:pPr>
        <w:spacing w:before="60" w:after="80" w:line="276" w:lineRule="auto"/>
        <w:ind w:left="576" w:hanging="576"/>
      </w:pPr>
      <w:r>
        <w:rPr>
          <w:rFonts w:ascii="Times New Roman" w:hAnsi="Times New Roman"/>
          <w:sz w:val="22"/>
        </w:rPr>
        <w:t>[3] DAMA International. (2017). DAMA-DMBOK: Data Management Body of Knowledge (2nd Edition). Technics Publications.</w:t>
      </w:r>
    </w:p>
    <w:p>
      <w:pPr>
        <w:spacing w:before="60" w:after="80" w:line="276" w:lineRule="auto"/>
        <w:ind w:left="576" w:hanging="576"/>
      </w:pPr>
      <w:r>
        <w:rPr>
          <w:rFonts w:ascii="Times New Roman" w:hAnsi="Times New Roman"/>
          <w:sz w:val="22"/>
        </w:rPr>
        <w:t>[4] International Organization for Standardization. (2008). Systems and software engineering — Systems and software Quality Requirements and Evaluation (SQuaRE) — Data quality model (ISO/IEC Standard No. 25012:2008). https://www.iso.org/standard/35736.html</w:t>
      </w:r>
    </w:p>
    <w:p>
      <w:pPr>
        <w:spacing w:before="60" w:after="80" w:line="276" w:lineRule="auto"/>
        <w:ind w:left="576" w:hanging="576"/>
      </w:pPr>
      <w:r>
        <w:rPr>
          <w:rFonts w:ascii="Times New Roman" w:hAnsi="Times New Roman"/>
          <w:sz w:val="22"/>
        </w:rPr>
        <w:t>[5] National Institute of Standards and Technology (NIST). (2026). Common Weakness Enumeration (CWE) Specification and National Vulnerability Database (NVD). U.S. Department of Commerce. https://nvd.nist.gov</w:t>
      </w:r>
    </w:p>
    <w:p>
      <w:pPr>
        <w:keepNext/>
        <w:spacing w:before="360" w:after="160"/>
      </w:pPr>
      <w:r>
        <w:rPr>
          <w:rFonts w:ascii="Times New Roman" w:hAnsi="Times New Roman"/>
          <w:b/>
          <w:color w:val="000000"/>
          <w:sz w:val="42"/>
        </w:rPr>
        <w:t>Appendices</w:t>
      </w:r>
    </w:p>
    <w:p>
      <w:pPr>
        <w:keepNext/>
        <w:spacing w:before="160" w:after="40"/>
      </w:pPr>
      <w:r>
        <w:rPr>
          <w:rFonts w:ascii="Times New Roman" w:hAnsi="Times New Roman"/>
          <w:b/>
          <w:color w:val="000000"/>
          <w:sz w:val="24"/>
        </w:rPr>
        <w:t>Appendix A: Additional Data Tables</w:t>
      </w:r>
    </w:p>
    <w:p>
      <w:pPr>
        <w:spacing w:before="0" w:after="120" w:line="276" w:lineRule="auto"/>
      </w:pPr>
      <w:r>
        <w:rPr>
          <w:rFonts w:ascii="Times New Roman" w:hAnsi="Times New Roman"/>
          <w:b w:val="0"/>
          <w:i w:val="0"/>
          <w:sz w:val="24"/>
        </w:rPr>
        <w:t>[Include any additional data tables that support your analysis]</w:t>
      </w:r>
    </w:p>
    <w:p>
      <w:pPr>
        <w:spacing w:before="0" w:after="120" w:line="276" w:lineRule="auto"/>
      </w:pPr>
      <w:r>
        <w:rPr>
          <w:rFonts w:ascii="Times New Roman" w:hAnsi="Times New Roman"/>
          <w:b w:val="0"/>
          <w:i w:val="0"/>
          <w:sz w:val="24"/>
        </w:rPr>
        <w:t>Below is the detailed Common Weakness Enumeration (CWE) frequency distribution across the official dataset partitions:</w:t>
      </w:r>
    </w:p>
    <w:tbl>
      <w:tblPr>
        <w:tblW w:type="auto" w:w="0"/>
        <w:jc w:val="center"/>
        <w:tblLook w:firstColumn="1" w:firstRow="1" w:lastColumn="0" w:lastRow="0" w:noHBand="0" w:noVBand="1" w:val="04A0"/>
      </w:tblPr>
      <w:tblGrid>
        <w:gridCol w:w="1740"/>
        <w:gridCol w:w="1740"/>
        <w:gridCol w:w="1740"/>
        <w:gridCol w:w="1740"/>
        <w:gridCol w:w="1740"/>
      </w:tblGrid>
      <w:tr>
        <w:tc>
          <w:tcPr>
            <w:tcW w:type="dxa" w:w="1740"/>
            <w:shd w:fill="1B365D"/>
            <w:tcMar>
              <w:top w:w="60" w:type="dxa"/>
              <w:bottom w:w="60" w:type="dxa"/>
              <w:left w:w="80" w:type="dxa"/>
              <w:right w:w="80" w:type="dxa"/>
            </w:tcMar>
          </w:tcPr>
          <w:p>
            <w:pPr>
              <w:jc w:val="center"/>
            </w:pPr>
            <w:r>
              <w:rPr>
                <w:rFonts w:ascii="Times New Roman" w:hAnsi="Times New Roman"/>
                <w:b/>
                <w:color w:val="FFFFFF"/>
                <w:sz w:val="18"/>
              </w:rPr>
              <w:t>CWE Identifier</w:t>
            </w:r>
          </w:p>
        </w:tc>
        <w:tc>
          <w:tcPr>
            <w:tcW w:type="dxa" w:w="1740"/>
            <w:shd w:fill="1B365D"/>
            <w:tcMar>
              <w:top w:w="60" w:type="dxa"/>
              <w:bottom w:w="60" w:type="dxa"/>
              <w:left w:w="80" w:type="dxa"/>
              <w:right w:w="80" w:type="dxa"/>
            </w:tcMar>
          </w:tcPr>
          <w:p>
            <w:pPr>
              <w:jc w:val="center"/>
            </w:pPr>
            <w:r>
              <w:rPr>
                <w:rFonts w:ascii="Times New Roman" w:hAnsi="Times New Roman"/>
                <w:b/>
                <w:color w:val="FFFFFF"/>
                <w:sz w:val="18"/>
              </w:rPr>
              <w:t>Weakness Category Name</w:t>
            </w:r>
          </w:p>
        </w:tc>
        <w:tc>
          <w:tcPr>
            <w:tcW w:type="dxa" w:w="1740"/>
            <w:shd w:fill="1B365D"/>
            <w:tcMar>
              <w:top w:w="60" w:type="dxa"/>
              <w:bottom w:w="60" w:type="dxa"/>
              <w:left w:w="80" w:type="dxa"/>
              <w:right w:w="80" w:type="dxa"/>
            </w:tcMar>
          </w:tcPr>
          <w:p>
            <w:pPr>
              <w:jc w:val="center"/>
            </w:pPr>
            <w:r>
              <w:rPr>
                <w:rFonts w:ascii="Times New Roman" w:hAnsi="Times New Roman"/>
                <w:b/>
                <w:color w:val="FFFFFF"/>
                <w:sz w:val="18"/>
              </w:rPr>
              <w:t>Train (810)</w:t>
            </w:r>
          </w:p>
        </w:tc>
        <w:tc>
          <w:tcPr>
            <w:tcW w:type="dxa" w:w="1740"/>
            <w:shd w:fill="1B365D"/>
            <w:tcMar>
              <w:top w:w="60" w:type="dxa"/>
              <w:bottom w:w="60" w:type="dxa"/>
              <w:left w:w="80" w:type="dxa"/>
              <w:right w:w="80" w:type="dxa"/>
            </w:tcMar>
          </w:tcPr>
          <w:p>
            <w:pPr>
              <w:jc w:val="center"/>
            </w:pPr>
            <w:r>
              <w:rPr>
                <w:rFonts w:ascii="Times New Roman" w:hAnsi="Times New Roman"/>
                <w:b/>
                <w:color w:val="FFFFFF"/>
                <w:sz w:val="18"/>
              </w:rPr>
              <w:t>Valid (272)</w:t>
            </w:r>
          </w:p>
        </w:tc>
        <w:tc>
          <w:tcPr>
            <w:tcW w:type="dxa" w:w="1740"/>
            <w:shd w:fill="1B365D"/>
            <w:tcMar>
              <w:top w:w="60" w:type="dxa"/>
              <w:bottom w:w="60" w:type="dxa"/>
              <w:left w:w="80" w:type="dxa"/>
              <w:right w:w="80" w:type="dxa"/>
            </w:tcMar>
          </w:tcPr>
          <w:p>
            <w:pPr>
              <w:jc w:val="center"/>
            </w:pPr>
            <w:r>
              <w:rPr>
                <w:rFonts w:ascii="Times New Roman" w:hAnsi="Times New Roman"/>
                <w:b/>
                <w:color w:val="FFFFFF"/>
                <w:sz w:val="18"/>
              </w:rPr>
              <w:t>Test (252)</w:t>
            </w:r>
          </w:p>
        </w:tc>
      </w:tr>
      <w:tr>
        <w:tc>
          <w:tcPr>
            <w:tcW w:type="dxa" w:w="1740"/>
            <w:shd w:fill="F7FAFC"/>
            <w:tcMar>
              <w:top w:w="50" w:type="dxa"/>
              <w:bottom w:w="50" w:type="dxa"/>
              <w:left w:w="80" w:type="dxa"/>
              <w:right w:w="80" w:type="dxa"/>
            </w:tcMar>
          </w:tcPr>
          <w:p>
            <w:pPr>
              <w:jc w:val="left"/>
            </w:pPr>
            <w:r>
              <w:rPr>
                <w:rFonts w:ascii="Times New Roman" w:hAnsi="Times New Roman"/>
                <w:sz w:val="17"/>
              </w:rPr>
              <w:t>CWE-79</w:t>
            </w:r>
          </w:p>
        </w:tc>
        <w:tc>
          <w:tcPr>
            <w:tcW w:type="dxa" w:w="1740"/>
            <w:shd w:fill="F7FAFC"/>
            <w:tcMar>
              <w:top w:w="50" w:type="dxa"/>
              <w:bottom w:w="50" w:type="dxa"/>
              <w:left w:w="80" w:type="dxa"/>
              <w:right w:w="80" w:type="dxa"/>
            </w:tcMar>
          </w:tcPr>
          <w:p>
            <w:pPr>
              <w:jc w:val="left"/>
            </w:pPr>
            <w:r>
              <w:rPr>
                <w:rFonts w:ascii="Times New Roman" w:hAnsi="Times New Roman"/>
                <w:sz w:val="17"/>
              </w:rPr>
              <w:t>Improper Neutralization of Input During Web Page Generation (XSS)</w:t>
            </w:r>
          </w:p>
        </w:tc>
        <w:tc>
          <w:tcPr>
            <w:tcW w:type="dxa" w:w="1740"/>
            <w:shd w:fill="F7FAFC"/>
            <w:tcMar>
              <w:top w:w="50" w:type="dxa"/>
              <w:bottom w:w="50" w:type="dxa"/>
              <w:left w:w="80" w:type="dxa"/>
              <w:right w:w="80" w:type="dxa"/>
            </w:tcMar>
          </w:tcPr>
          <w:p>
            <w:pPr>
              <w:jc w:val="center"/>
            </w:pPr>
            <w:r>
              <w:rPr>
                <w:rFonts w:ascii="Times New Roman" w:hAnsi="Times New Roman"/>
                <w:sz w:val="17"/>
              </w:rPr>
              <w:t>62 (7.7%)</w:t>
            </w:r>
          </w:p>
        </w:tc>
        <w:tc>
          <w:tcPr>
            <w:tcW w:type="dxa" w:w="1740"/>
            <w:shd w:fill="F7FAFC"/>
            <w:tcMar>
              <w:top w:w="50" w:type="dxa"/>
              <w:bottom w:w="50" w:type="dxa"/>
              <w:left w:w="80" w:type="dxa"/>
              <w:right w:w="80" w:type="dxa"/>
            </w:tcMar>
          </w:tcPr>
          <w:p>
            <w:pPr>
              <w:jc w:val="center"/>
            </w:pPr>
            <w:r>
              <w:rPr>
                <w:rFonts w:ascii="Times New Roman" w:hAnsi="Times New Roman"/>
                <w:sz w:val="17"/>
              </w:rPr>
              <w:t>10 (3.7%)</w:t>
            </w:r>
          </w:p>
        </w:tc>
        <w:tc>
          <w:tcPr>
            <w:tcW w:type="dxa" w:w="1740"/>
            <w:shd w:fill="F7FAFC"/>
            <w:tcMar>
              <w:top w:w="50" w:type="dxa"/>
              <w:bottom w:w="50" w:type="dxa"/>
              <w:left w:w="80" w:type="dxa"/>
              <w:right w:w="80" w:type="dxa"/>
            </w:tcMar>
          </w:tcPr>
          <w:p>
            <w:pPr>
              <w:jc w:val="center"/>
            </w:pPr>
            <w:r>
              <w:rPr>
                <w:rFonts w:ascii="Times New Roman" w:hAnsi="Times New Roman"/>
                <w:sz w:val="17"/>
              </w:rPr>
              <w:t>36 (14.3%)</w:t>
            </w:r>
          </w:p>
        </w:tc>
      </w:tr>
      <w:tr>
        <w:tc>
          <w:tcPr>
            <w:tcW w:type="dxa" w:w="1740"/>
            <w:shd w:fill="FFFFFF"/>
            <w:tcMar>
              <w:top w:w="50" w:type="dxa"/>
              <w:bottom w:w="50" w:type="dxa"/>
              <w:left w:w="80" w:type="dxa"/>
              <w:right w:w="80" w:type="dxa"/>
            </w:tcMar>
          </w:tcPr>
          <w:p>
            <w:pPr>
              <w:jc w:val="left"/>
            </w:pPr>
            <w:r>
              <w:rPr>
                <w:rFonts w:ascii="Times New Roman" w:hAnsi="Times New Roman"/>
                <w:sz w:val="17"/>
              </w:rPr>
              <w:t>CWE-611</w:t>
            </w:r>
          </w:p>
        </w:tc>
        <w:tc>
          <w:tcPr>
            <w:tcW w:type="dxa" w:w="1740"/>
            <w:shd w:fill="FFFFFF"/>
            <w:tcMar>
              <w:top w:w="50" w:type="dxa"/>
              <w:bottom w:w="50" w:type="dxa"/>
              <w:left w:w="80" w:type="dxa"/>
              <w:right w:w="80" w:type="dxa"/>
            </w:tcMar>
          </w:tcPr>
          <w:p>
            <w:pPr>
              <w:jc w:val="left"/>
            </w:pPr>
            <w:r>
              <w:rPr>
                <w:rFonts w:ascii="Times New Roman" w:hAnsi="Times New Roman"/>
                <w:sz w:val="17"/>
              </w:rPr>
              <w:t>Improper Restriction of XML External Entity Reference (XXE)</w:t>
            </w:r>
          </w:p>
        </w:tc>
        <w:tc>
          <w:tcPr>
            <w:tcW w:type="dxa" w:w="1740"/>
            <w:shd w:fill="FFFFFF"/>
            <w:tcMar>
              <w:top w:w="50" w:type="dxa"/>
              <w:bottom w:w="50" w:type="dxa"/>
              <w:left w:w="80" w:type="dxa"/>
              <w:right w:w="80" w:type="dxa"/>
            </w:tcMar>
          </w:tcPr>
          <w:p>
            <w:pPr>
              <w:jc w:val="center"/>
            </w:pPr>
            <w:r>
              <w:rPr>
                <w:rFonts w:ascii="Times New Roman" w:hAnsi="Times New Roman"/>
                <w:sz w:val="17"/>
              </w:rPr>
              <w:t>63 (7.8%)</w:t>
            </w:r>
          </w:p>
        </w:tc>
        <w:tc>
          <w:tcPr>
            <w:tcW w:type="dxa" w:w="1740"/>
            <w:shd w:fill="FFFFFF"/>
            <w:tcMar>
              <w:top w:w="50" w:type="dxa"/>
              <w:bottom w:w="50" w:type="dxa"/>
              <w:left w:w="80" w:type="dxa"/>
              <w:right w:w="80" w:type="dxa"/>
            </w:tcMar>
          </w:tcPr>
          <w:p>
            <w:pPr>
              <w:jc w:val="center"/>
            </w:pPr>
            <w:r>
              <w:rPr>
                <w:rFonts w:ascii="Times New Roman" w:hAnsi="Times New Roman"/>
                <w:sz w:val="17"/>
              </w:rPr>
              <w:t>16 (5.9%)</w:t>
            </w:r>
          </w:p>
        </w:tc>
        <w:tc>
          <w:tcPr>
            <w:tcW w:type="dxa" w:w="1740"/>
            <w:shd w:fill="FFFFFF"/>
            <w:tcMar>
              <w:top w:w="50" w:type="dxa"/>
              <w:bottom w:w="50" w:type="dxa"/>
              <w:left w:w="80" w:type="dxa"/>
              <w:right w:w="80" w:type="dxa"/>
            </w:tcMar>
          </w:tcPr>
          <w:p>
            <w:pPr>
              <w:jc w:val="center"/>
            </w:pPr>
            <w:r>
              <w:rPr>
                <w:rFonts w:ascii="Times New Roman" w:hAnsi="Times New Roman"/>
                <w:sz w:val="17"/>
              </w:rPr>
              <w:t>23 (9.1%)</w:t>
            </w:r>
          </w:p>
        </w:tc>
      </w:tr>
      <w:tr>
        <w:tc>
          <w:tcPr>
            <w:tcW w:type="dxa" w:w="1740"/>
            <w:shd w:fill="F7FAFC"/>
            <w:tcMar>
              <w:top w:w="50" w:type="dxa"/>
              <w:bottom w:w="50" w:type="dxa"/>
              <w:left w:w="80" w:type="dxa"/>
              <w:right w:w="80" w:type="dxa"/>
            </w:tcMar>
          </w:tcPr>
          <w:p>
            <w:pPr>
              <w:jc w:val="left"/>
            </w:pPr>
            <w:r>
              <w:rPr>
                <w:rFonts w:ascii="Times New Roman" w:hAnsi="Times New Roman"/>
                <w:sz w:val="17"/>
              </w:rPr>
              <w:t>CWE-20</w:t>
            </w:r>
          </w:p>
        </w:tc>
        <w:tc>
          <w:tcPr>
            <w:tcW w:type="dxa" w:w="1740"/>
            <w:shd w:fill="F7FAFC"/>
            <w:tcMar>
              <w:top w:w="50" w:type="dxa"/>
              <w:bottom w:w="50" w:type="dxa"/>
              <w:left w:w="80" w:type="dxa"/>
              <w:right w:w="80" w:type="dxa"/>
            </w:tcMar>
          </w:tcPr>
          <w:p>
            <w:pPr>
              <w:jc w:val="left"/>
            </w:pPr>
            <w:r>
              <w:rPr>
                <w:rFonts w:ascii="Times New Roman" w:hAnsi="Times New Roman"/>
                <w:sz w:val="17"/>
              </w:rPr>
              <w:t>Improper Input Validation</w:t>
            </w:r>
          </w:p>
        </w:tc>
        <w:tc>
          <w:tcPr>
            <w:tcW w:type="dxa" w:w="1740"/>
            <w:shd w:fill="F7FAFC"/>
            <w:tcMar>
              <w:top w:w="50" w:type="dxa"/>
              <w:bottom w:w="50" w:type="dxa"/>
              <w:left w:w="80" w:type="dxa"/>
              <w:right w:w="80" w:type="dxa"/>
            </w:tcMar>
          </w:tcPr>
          <w:p>
            <w:pPr>
              <w:jc w:val="center"/>
            </w:pPr>
            <w:r>
              <w:rPr>
                <w:rFonts w:ascii="Times New Roman" w:hAnsi="Times New Roman"/>
                <w:sz w:val="17"/>
              </w:rPr>
              <w:t>58 (7.2%)</w:t>
            </w:r>
          </w:p>
        </w:tc>
        <w:tc>
          <w:tcPr>
            <w:tcW w:type="dxa" w:w="1740"/>
            <w:shd w:fill="F7FAFC"/>
            <w:tcMar>
              <w:top w:w="50" w:type="dxa"/>
              <w:bottom w:w="50" w:type="dxa"/>
              <w:left w:w="80" w:type="dxa"/>
              <w:right w:w="80" w:type="dxa"/>
            </w:tcMar>
          </w:tcPr>
          <w:p>
            <w:pPr>
              <w:jc w:val="center"/>
            </w:pPr>
            <w:r>
              <w:rPr>
                <w:rFonts w:ascii="Times New Roman" w:hAnsi="Times New Roman"/>
                <w:sz w:val="17"/>
              </w:rPr>
              <w:t>21 (7.7%)</w:t>
            </w:r>
          </w:p>
        </w:tc>
        <w:tc>
          <w:tcPr>
            <w:tcW w:type="dxa" w:w="1740"/>
            <w:shd w:fill="F7FAFC"/>
            <w:tcMar>
              <w:top w:w="50" w:type="dxa"/>
              <w:bottom w:w="50" w:type="dxa"/>
              <w:left w:w="80" w:type="dxa"/>
              <w:right w:w="80" w:type="dxa"/>
            </w:tcMar>
          </w:tcPr>
          <w:p>
            <w:pPr>
              <w:jc w:val="center"/>
            </w:pPr>
            <w:r>
              <w:rPr>
                <w:rFonts w:ascii="Times New Roman" w:hAnsi="Times New Roman"/>
                <w:sz w:val="17"/>
              </w:rPr>
              <w:t>22 (8.7%)</w:t>
            </w:r>
          </w:p>
        </w:tc>
      </w:tr>
      <w:tr>
        <w:tc>
          <w:tcPr>
            <w:tcW w:type="dxa" w:w="1740"/>
            <w:shd w:fill="FFFFFF"/>
            <w:tcMar>
              <w:top w:w="50" w:type="dxa"/>
              <w:bottom w:w="50" w:type="dxa"/>
              <w:left w:w="80" w:type="dxa"/>
              <w:right w:w="80" w:type="dxa"/>
            </w:tcMar>
          </w:tcPr>
          <w:p>
            <w:pPr>
              <w:jc w:val="left"/>
            </w:pPr>
            <w:r>
              <w:rPr>
                <w:rFonts w:ascii="Times New Roman" w:hAnsi="Times New Roman"/>
                <w:sz w:val="17"/>
              </w:rPr>
              <w:t>CWE-22</w:t>
            </w:r>
          </w:p>
        </w:tc>
        <w:tc>
          <w:tcPr>
            <w:tcW w:type="dxa" w:w="1740"/>
            <w:shd w:fill="FFFFFF"/>
            <w:tcMar>
              <w:top w:w="50" w:type="dxa"/>
              <w:bottom w:w="50" w:type="dxa"/>
              <w:left w:w="80" w:type="dxa"/>
              <w:right w:w="80" w:type="dxa"/>
            </w:tcMar>
          </w:tcPr>
          <w:p>
            <w:pPr>
              <w:jc w:val="left"/>
            </w:pPr>
            <w:r>
              <w:rPr>
                <w:rFonts w:ascii="Times New Roman" w:hAnsi="Times New Roman"/>
                <w:sz w:val="17"/>
              </w:rPr>
              <w:t>Improper Limitation of a Pathname to a Restricted Directory</w:t>
            </w:r>
          </w:p>
        </w:tc>
        <w:tc>
          <w:tcPr>
            <w:tcW w:type="dxa" w:w="1740"/>
            <w:shd w:fill="FFFFFF"/>
            <w:tcMar>
              <w:top w:w="50" w:type="dxa"/>
              <w:bottom w:w="50" w:type="dxa"/>
              <w:left w:w="80" w:type="dxa"/>
              <w:right w:w="80" w:type="dxa"/>
            </w:tcMar>
          </w:tcPr>
          <w:p>
            <w:pPr>
              <w:jc w:val="center"/>
            </w:pPr>
            <w:r>
              <w:rPr>
                <w:rFonts w:ascii="Times New Roman" w:hAnsi="Times New Roman"/>
                <w:sz w:val="17"/>
              </w:rPr>
              <w:t>39 (4.8%)</w:t>
            </w:r>
          </w:p>
        </w:tc>
        <w:tc>
          <w:tcPr>
            <w:tcW w:type="dxa" w:w="1740"/>
            <w:shd w:fill="FFFFFF"/>
            <w:tcMar>
              <w:top w:w="50" w:type="dxa"/>
              <w:bottom w:w="50" w:type="dxa"/>
              <w:left w:w="80" w:type="dxa"/>
              <w:right w:w="80" w:type="dxa"/>
            </w:tcMar>
          </w:tcPr>
          <w:p>
            <w:pPr>
              <w:jc w:val="center"/>
            </w:pPr>
            <w:r>
              <w:rPr>
                <w:rFonts w:ascii="Times New Roman" w:hAnsi="Times New Roman"/>
                <w:sz w:val="17"/>
              </w:rPr>
              <w:t>20 (7.4%)</w:t>
            </w:r>
          </w:p>
        </w:tc>
        <w:tc>
          <w:tcPr>
            <w:tcW w:type="dxa" w:w="1740"/>
            <w:shd w:fill="FFFFFF"/>
            <w:tcMar>
              <w:top w:w="50" w:type="dxa"/>
              <w:bottom w:w="50" w:type="dxa"/>
              <w:left w:w="80" w:type="dxa"/>
              <w:right w:w="80" w:type="dxa"/>
            </w:tcMar>
          </w:tcPr>
          <w:p>
            <w:pPr>
              <w:jc w:val="center"/>
            </w:pPr>
            <w:r>
              <w:rPr>
                <w:rFonts w:ascii="Times New Roman" w:hAnsi="Times New Roman"/>
                <w:sz w:val="17"/>
              </w:rPr>
              <w:t>13 (5.2%)</w:t>
            </w:r>
          </w:p>
        </w:tc>
      </w:tr>
      <w:tr>
        <w:tc>
          <w:tcPr>
            <w:tcW w:type="dxa" w:w="1740"/>
            <w:shd w:fill="F7FAFC"/>
            <w:tcMar>
              <w:top w:w="50" w:type="dxa"/>
              <w:bottom w:w="50" w:type="dxa"/>
              <w:left w:w="80" w:type="dxa"/>
              <w:right w:w="80" w:type="dxa"/>
            </w:tcMar>
          </w:tcPr>
          <w:p>
            <w:pPr>
              <w:jc w:val="left"/>
            </w:pPr>
            <w:r>
              <w:rPr>
                <w:rFonts w:ascii="Times New Roman" w:hAnsi="Times New Roman"/>
                <w:sz w:val="17"/>
              </w:rPr>
              <w:t>CWE-264</w:t>
            </w:r>
          </w:p>
        </w:tc>
        <w:tc>
          <w:tcPr>
            <w:tcW w:type="dxa" w:w="1740"/>
            <w:shd w:fill="F7FAFC"/>
            <w:tcMar>
              <w:top w:w="50" w:type="dxa"/>
              <w:bottom w:w="50" w:type="dxa"/>
              <w:left w:w="80" w:type="dxa"/>
              <w:right w:w="80" w:type="dxa"/>
            </w:tcMar>
          </w:tcPr>
          <w:p>
            <w:pPr>
              <w:jc w:val="left"/>
            </w:pPr>
            <w:r>
              <w:rPr>
                <w:rFonts w:ascii="Times New Roman" w:hAnsi="Times New Roman"/>
                <w:sz w:val="17"/>
              </w:rPr>
              <w:t>Permissions, Privileges, and Access Controls</w:t>
            </w:r>
          </w:p>
        </w:tc>
        <w:tc>
          <w:tcPr>
            <w:tcW w:type="dxa" w:w="1740"/>
            <w:shd w:fill="F7FAFC"/>
            <w:tcMar>
              <w:top w:w="50" w:type="dxa"/>
              <w:bottom w:w="50" w:type="dxa"/>
              <w:left w:w="80" w:type="dxa"/>
              <w:right w:w="80" w:type="dxa"/>
            </w:tcMar>
          </w:tcPr>
          <w:p>
            <w:pPr>
              <w:jc w:val="center"/>
            </w:pPr>
            <w:r>
              <w:rPr>
                <w:rFonts w:ascii="Times New Roman" w:hAnsi="Times New Roman"/>
                <w:sz w:val="17"/>
              </w:rPr>
              <w:t>42 (5.2%)</w:t>
            </w:r>
          </w:p>
        </w:tc>
        <w:tc>
          <w:tcPr>
            <w:tcW w:type="dxa" w:w="1740"/>
            <w:shd w:fill="F7FAFC"/>
            <w:tcMar>
              <w:top w:w="50" w:type="dxa"/>
              <w:bottom w:w="50" w:type="dxa"/>
              <w:left w:w="80" w:type="dxa"/>
              <w:right w:w="80" w:type="dxa"/>
            </w:tcMar>
          </w:tcPr>
          <w:p>
            <w:pPr>
              <w:jc w:val="center"/>
            </w:pPr>
            <w:r>
              <w:rPr>
                <w:rFonts w:ascii="Times New Roman" w:hAnsi="Times New Roman"/>
                <w:sz w:val="17"/>
              </w:rPr>
              <w:t>16 (5.9%)</w:t>
            </w:r>
          </w:p>
        </w:tc>
        <w:tc>
          <w:tcPr>
            <w:tcW w:type="dxa" w:w="1740"/>
            <w:shd w:fill="F7FAFC"/>
            <w:tcMar>
              <w:top w:w="50" w:type="dxa"/>
              <w:bottom w:w="50" w:type="dxa"/>
              <w:left w:w="80" w:type="dxa"/>
              <w:right w:w="80" w:type="dxa"/>
            </w:tcMar>
          </w:tcPr>
          <w:p>
            <w:pPr>
              <w:jc w:val="center"/>
            </w:pPr>
            <w:r>
              <w:rPr>
                <w:rFonts w:ascii="Times New Roman" w:hAnsi="Times New Roman"/>
                <w:sz w:val="17"/>
              </w:rPr>
              <w:t>10 (4.0%)</w:t>
            </w:r>
          </w:p>
        </w:tc>
      </w:tr>
      <w:tr>
        <w:tc>
          <w:tcPr>
            <w:tcW w:type="dxa" w:w="1740"/>
            <w:shd w:fill="FFFFFF"/>
            <w:tcMar>
              <w:top w:w="50" w:type="dxa"/>
              <w:bottom w:w="50" w:type="dxa"/>
              <w:left w:w="80" w:type="dxa"/>
              <w:right w:w="80" w:type="dxa"/>
            </w:tcMar>
          </w:tcPr>
          <w:p>
            <w:pPr>
              <w:jc w:val="left"/>
            </w:pPr>
            <w:r>
              <w:rPr>
                <w:rFonts w:ascii="Times New Roman" w:hAnsi="Times New Roman"/>
                <w:sz w:val="17"/>
              </w:rPr>
              <w:t>CWE-502</w:t>
            </w:r>
          </w:p>
        </w:tc>
        <w:tc>
          <w:tcPr>
            <w:tcW w:type="dxa" w:w="1740"/>
            <w:shd w:fill="FFFFFF"/>
            <w:tcMar>
              <w:top w:w="50" w:type="dxa"/>
              <w:bottom w:w="50" w:type="dxa"/>
              <w:left w:w="80" w:type="dxa"/>
              <w:right w:w="80" w:type="dxa"/>
            </w:tcMar>
          </w:tcPr>
          <w:p>
            <w:pPr>
              <w:jc w:val="left"/>
            </w:pPr>
            <w:r>
              <w:rPr>
                <w:rFonts w:ascii="Times New Roman" w:hAnsi="Times New Roman"/>
                <w:sz w:val="17"/>
              </w:rPr>
              <w:t>Deserialization of Untrusted Data</w:t>
            </w:r>
          </w:p>
        </w:tc>
        <w:tc>
          <w:tcPr>
            <w:tcW w:type="dxa" w:w="1740"/>
            <w:shd w:fill="FFFFFF"/>
            <w:tcMar>
              <w:top w:w="50" w:type="dxa"/>
              <w:bottom w:w="50" w:type="dxa"/>
              <w:left w:w="80" w:type="dxa"/>
              <w:right w:w="80" w:type="dxa"/>
            </w:tcMar>
          </w:tcPr>
          <w:p>
            <w:pPr>
              <w:jc w:val="center"/>
            </w:pPr>
            <w:r>
              <w:rPr>
                <w:rFonts w:ascii="Times New Roman" w:hAnsi="Times New Roman"/>
                <w:sz w:val="17"/>
              </w:rPr>
              <w:t>28 (3.5%)</w:t>
            </w:r>
          </w:p>
        </w:tc>
        <w:tc>
          <w:tcPr>
            <w:tcW w:type="dxa" w:w="1740"/>
            <w:shd w:fill="FFFFFF"/>
            <w:tcMar>
              <w:top w:w="50" w:type="dxa"/>
              <w:bottom w:w="50" w:type="dxa"/>
              <w:left w:w="80" w:type="dxa"/>
              <w:right w:w="80" w:type="dxa"/>
            </w:tcMar>
          </w:tcPr>
          <w:p>
            <w:pPr>
              <w:jc w:val="center"/>
            </w:pPr>
            <w:r>
              <w:rPr>
                <w:rFonts w:ascii="Times New Roman" w:hAnsi="Times New Roman"/>
                <w:sz w:val="17"/>
              </w:rPr>
              <w:t>8 (2.9%)</w:t>
            </w:r>
          </w:p>
        </w:tc>
        <w:tc>
          <w:tcPr>
            <w:tcW w:type="dxa" w:w="1740"/>
            <w:shd w:fill="FFFFFF"/>
            <w:tcMar>
              <w:top w:w="50" w:type="dxa"/>
              <w:bottom w:w="50" w:type="dxa"/>
              <w:left w:w="80" w:type="dxa"/>
              <w:right w:w="80" w:type="dxa"/>
            </w:tcMar>
          </w:tcPr>
          <w:p>
            <w:pPr>
              <w:jc w:val="center"/>
            </w:pPr>
            <w:r>
              <w:rPr>
                <w:rFonts w:ascii="Times New Roman" w:hAnsi="Times New Roman"/>
                <w:sz w:val="17"/>
              </w:rPr>
              <w:t>9 (3.6%)</w:t>
            </w:r>
          </w:p>
        </w:tc>
      </w:tr>
    </w:tbl>
    <w:p>
      <w:pPr>
        <w:spacing w:after="200"/>
      </w:pPr>
    </w:p>
    <w:p>
      <w:pPr>
        <w:keepNext/>
        <w:spacing w:before="160" w:after="40"/>
      </w:pPr>
      <w:r>
        <w:rPr>
          <w:rFonts w:ascii="Times New Roman" w:hAnsi="Times New Roman"/>
          <w:b/>
          <w:color w:val="000000"/>
          <w:sz w:val="24"/>
        </w:rPr>
        <w:t>Appendix B: Detailed Code Listings</w:t>
      </w:r>
    </w:p>
    <w:p>
      <w:pPr>
        <w:spacing w:before="0" w:after="120" w:line="276" w:lineRule="auto"/>
      </w:pPr>
      <w:r>
        <w:rPr>
          <w:rFonts w:ascii="Times New Roman" w:hAnsi="Times New Roman"/>
          <w:b w:val="0"/>
          <w:i w:val="0"/>
          <w:sz w:val="24"/>
        </w:rPr>
        <w:t>[Include full code listings if not already presented in the main body]</w:t>
      </w:r>
    </w:p>
    <w:p>
      <w:pPr>
        <w:spacing w:before="0" w:after="120" w:line="276" w:lineRule="auto"/>
      </w:pPr>
      <w:r>
        <w:rPr>
          <w:rFonts w:ascii="Times New Roman" w:hAnsi="Times New Roman"/>
          <w:b w:val="0"/>
          <w:i w:val="0"/>
          <w:sz w:val="24"/>
        </w:rPr>
        <w:t>All source code is publicly accessible and fully version-controlled in the official team repository:</w:t>
        <w:br/>
        <w:t>https://github.com/Tasik1/kbtu-mood-midterm-team2</w:t>
        <w:br/>
        <w:br/>
        <w:t>Key repository modules:</w:t>
        <w:br/>
        <w:t>• models/data_flow_extractor.py: Java lexical tokenizer, AST variable tracker, def-use graph builder.</w:t>
        <w:br/>
        <w:t>• models/graphcodebert_classifier.py: GraphCodeBERT neural backbone, 4-Head GAT layer, tri-fusion classifier head.</w:t>
        <w:br/>
        <w:t>• pipeline/etl_pipeline.py: Automated ingestion, sanitization, and ISO/IEC 25012 data quality auditor.</w:t>
        <w:br/>
        <w:t>• pipeline/train_eval.py: Staged representation extraction, training loop, threshold gating, and visual evaluation.</w:t>
        <w:br/>
        <w:t>• pipeline/github_proxy.py: Multi-threaded local HTTP CONNECT proxy for firewall routing.</w:t>
        <w:br/>
        <w:t>• run_all.py: Master one-click reproducibility runner executing the complete end-to-end pipeline.</w:t>
      </w:r>
    </w:p>
    <w:p>
      <w:pPr>
        <w:keepNext/>
        <w:spacing w:before="160" w:after="40"/>
      </w:pPr>
      <w:r>
        <w:rPr>
          <w:rFonts w:ascii="Times New Roman" w:hAnsi="Times New Roman"/>
          <w:b/>
          <w:color w:val="000000"/>
          <w:sz w:val="24"/>
        </w:rPr>
        <w:t>Appendix C: Raw Data Files</w:t>
      </w:r>
    </w:p>
    <w:p>
      <w:pPr>
        <w:spacing w:before="0" w:after="120" w:line="276" w:lineRule="auto"/>
      </w:pPr>
      <w:r>
        <w:rPr>
          <w:rFonts w:ascii="Times New Roman" w:hAnsi="Times New Roman"/>
          <w:b w:val="0"/>
          <w:i w:val="0"/>
          <w:sz w:val="24"/>
        </w:rPr>
        <w:t>[Reference or include raw data if applicable]</w:t>
      </w:r>
    </w:p>
    <w:p>
      <w:pPr>
        <w:spacing w:before="0" w:after="120" w:line="276" w:lineRule="auto"/>
      </w:pPr>
      <w:r>
        <w:rPr>
          <w:rFonts w:ascii="Times New Roman" w:hAnsi="Times New Roman"/>
          <w:b w:val="0"/>
          <w:i w:val="0"/>
          <w:sz w:val="24"/>
        </w:rPr>
        <w:t>The raw and processed dataset files are maintained in the following locations within the submission package:</w:t>
        <w:br/>
        <w:t>• data/java_k_1_strict_2023_07_03.tar.gz: Official upstream benchmark archive (SHA-256: e82e0e92276587c6b54ff52865d1d6ebce085a67de8ecbcbf9b88cf1bf4479e0).</w:t>
        <w:br/>
        <w:t>• data/processed/train_cleaned.jsonl: 810 sanitized training records.</w:t>
        <w:br/>
        <w:t>• data/processed/valid_cleaned.jsonl: 272 sanitized validation records.</w:t>
        <w:br/>
        <w:t>• data/processed/test_cleaned.jsonl: 252 sanitized holdout test records.</w:t>
        <w:br/>
        <w:t>• results/data_quality_report.json: Machine-readable ISO/IEC 25012 quality dimension audit report.</w:t>
        <w:br/>
        <w:t>• results/metrics_summary.json: Complete evaluation metrics, confusion matrix counts, and threshold verification.</w:t>
      </w:r>
    </w:p>
    <w:sectPr w:rsidR="00FC693F" w:rsidRPr="0006063C" w:rsidSect="00034616">
      <w:pgSz w:w="12240" w:h="15840"/>
      <w:pgMar w:top="1440" w:right="1771" w:bottom="1440" w:left="177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