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line="276" w:lineRule="auto"/>
      </w:pPr>
      <w:r>
        <w:rPr>
          <w:rFonts w:ascii="Times New Roman" w:hAnsi="Times New Roman"/>
          <w:b/>
          <w:color w:val="475569"/>
          <w:sz w:val="23"/>
        </w:rPr>
        <w:t>Discipline: MSITM 5134 Management of Organizational Data</w:t>
      </w:r>
    </w:p>
    <w:p>
      <w:pPr>
        <w:spacing w:before="160" w:after="80"/>
      </w:pPr>
      <w:r>
        <w:rPr>
          <w:rFonts w:ascii="Times New Roman" w:hAnsi="Times New Roman"/>
          <w:b/>
          <w:color w:val="1B365D"/>
          <w:sz w:val="48"/>
        </w:rPr>
        <w:t>Midterm Group Project Report</w:t>
      </w:r>
    </w:p>
    <w:p>
      <w:pPr>
        <w:spacing w:before="40" w:after="280" w:line="276" w:lineRule="auto"/>
      </w:pPr>
      <w:r>
        <w:rPr>
          <w:rFonts w:ascii="Times New Roman" w:hAnsi="Times New Roman"/>
          <w:b/>
          <w:color w:val="1E293B"/>
          <w:sz w:val="28"/>
        </w:rPr>
        <w:t>Java Source Code Vulnerability Detection via GraphCodeBERT and Data Flow Graph Representation</w:t>
      </w:r>
    </w:p>
    <w:p>
      <w:pPr>
        <w:spacing w:before="0" w:after="60" w:line="276" w:lineRule="auto"/>
      </w:pPr>
      <w:r>
        <w:rPr>
          <w:rFonts w:ascii="Times New Roman" w:hAnsi="Times New Roman"/>
          <w:b w:val="0"/>
          <w:i w:val="0"/>
          <w:color w:val="334155"/>
          <w:sz w:val="23"/>
        </w:rPr>
        <w:t>Course: Management of Organizational Data (MSITM 5134)</w:t>
      </w:r>
    </w:p>
    <w:p>
      <w:pPr>
        <w:spacing w:before="0" w:after="60" w:line="276" w:lineRule="auto"/>
      </w:pPr>
      <w:r>
        <w:rPr>
          <w:rFonts w:ascii="Times New Roman" w:hAnsi="Times New Roman"/>
          <w:b w:val="0"/>
          <w:i w:val="0"/>
          <w:color w:val="334155"/>
          <w:sz w:val="23"/>
        </w:rPr>
        <w:t>Instructor: Nazgul T. Seralina</w:t>
      </w:r>
    </w:p>
    <w:p>
      <w:pPr>
        <w:spacing w:before="0" w:after="60" w:line="276" w:lineRule="auto"/>
      </w:pPr>
      <w:r>
        <w:rPr>
          <w:rFonts w:ascii="Times New Roman" w:hAnsi="Times New Roman"/>
          <w:b/>
          <w:i w:val="0"/>
          <w:color w:val="334155"/>
          <w:sz w:val="23"/>
        </w:rPr>
        <w:t>Student Names: Bidaishiev Shyntas, Ibragim Anzir, Ardak Aruzhan, Amanbayev Farkhad</w:t>
      </w:r>
    </w:p>
    <w:p>
      <w:pPr>
        <w:spacing w:before="0" w:after="60" w:line="276" w:lineRule="auto"/>
      </w:pPr>
      <w:r>
        <w:rPr>
          <w:rFonts w:ascii="Times New Roman" w:hAnsi="Times New Roman"/>
          <w:b/>
          <w:i w:val="0"/>
          <w:color w:val="334155"/>
          <w:sz w:val="23"/>
        </w:rPr>
        <w:t>Student IDs: 25MD0291, 25MD0311, 25MD0308, 25MD0304</w:t>
      </w:r>
    </w:p>
    <w:p>
      <w:pPr>
        <w:spacing w:before="0" w:after="60" w:line="276" w:lineRule="auto"/>
      </w:pPr>
      <w:r>
        <w:rPr>
          <w:rFonts w:ascii="Times New Roman" w:hAnsi="Times New Roman"/>
          <w:b w:val="0"/>
          <w:i w:val="0"/>
          <w:color w:val="334155"/>
          <w:sz w:val="23"/>
        </w:rPr>
        <w:t>Group: MSITM 5134 (Team 2)</w:t>
      </w:r>
    </w:p>
    <w:p>
      <w:pPr>
        <w:spacing w:before="0" w:after="200" w:line="276" w:lineRule="auto"/>
      </w:pPr>
      <w:r>
        <w:rPr>
          <w:rFonts w:ascii="Times New Roman" w:hAnsi="Times New Roman"/>
          <w:b w:val="0"/>
          <w:i w:val="0"/>
          <w:color w:val="334155"/>
          <w:sz w:val="23"/>
        </w:rPr>
        <w:t>School: School of Information Technologies and Engineering, Kazakh-British Technical University</w:t>
      </w:r>
    </w:p>
    <w:p>
      <w:pPr>
        <w:spacing w:before="0" w:after="280" w:line="276" w:lineRule="auto"/>
      </w:pPr>
      <w:r>
        <w:rPr>
          <w:rFonts w:ascii="Times New Roman" w:hAnsi="Times New Roman"/>
          <w:b/>
          <w:i w:val="0"/>
          <w:color w:val="334155"/>
          <w:sz w:val="23"/>
        </w:rPr>
        <w:t>Almaty 2026</w:t>
      </w:r>
    </w:p>
    <w:p>
      <w:pPr>
        <w:keepNext/>
        <w:spacing w:before="320" w:after="120"/>
      </w:pPr>
      <w:r>
        <w:rPr>
          <w:rFonts w:ascii="Times New Roman" w:hAnsi="Times New Roman"/>
          <w:b/>
          <w:color w:val="1B365D"/>
          <w:sz w:val="38"/>
        </w:rPr>
        <w:t>Executive Summary</w:t>
      </w:r>
    </w:p>
    <w:p>
      <w:pPr>
        <w:spacing w:before="0" w:after="120" w:line="276" w:lineRule="auto"/>
      </w:pPr>
      <w:r>
        <w:rPr>
          <w:rFonts w:ascii="Times New Roman" w:hAnsi="Times New Roman"/>
          <w:b w:val="0"/>
          <w:i w:val="0"/>
          <w:color w:val="334155"/>
          <w:sz w:val="23"/>
        </w:rPr>
        <w:t>This midterm laboratory report delivers an enterprise-grade empirical study and operational software framework for automated Java source code vulnerability detection within continuous integration and continuous deployment (CI/CD) pipelines. Centered on the assigned method of GraphCodeBERT with a specialized Data Flow Classifier, this research investigates the complete organizational data lifecycle, data governance under DAMA-DMBOK2, ISO/IEC 25012 data quality auditing, conceptual entity-relationship modeling, AST-based def-use graph extraction, and deep neural classification. Software vulnerability identification represents a critical organizational capability, as unmitigated security flaws lead to catastrophic financial loss, severe regulatory liability under GDPR and national data protection mandates, and permanent brand degradation. While traditional Static Application Security Testing (SAST) tools suffer from excessive false alarm rates (&gt;60%), our GraphCodeBERT data-flow framework leverages semantic token sequences combined with directed graph attention to trace taint flows across complex execution paths with high discriminative precision.</w:t>
      </w:r>
    </w:p>
    <w:p>
      <w:pPr>
        <w:spacing w:before="0" w:after="120" w:line="276" w:lineRule="auto"/>
      </w:pPr>
      <w:r>
        <w:rPr>
          <w:rFonts w:ascii="Times New Roman" w:hAnsi="Times New Roman"/>
          <w:b w:val="0"/>
          <w:i w:val="0"/>
          <w:color w:val="334155"/>
          <w:sz w:val="23"/>
        </w:rPr>
        <w:t>Key experimental milestones and quantitative achievements accomplished in this study include:</w:t>
      </w:r>
    </w:p>
    <w:p>
      <w:pPr>
        <w:pStyle w:val="ListBullet"/>
        <w:spacing w:before="20" w:after="60" w:line="276" w:lineRule="auto"/>
      </w:pPr>
      <w:r>
        <w:rPr>
          <w:rFonts w:ascii="Times New Roman" w:hAnsi="Times New Roman"/>
          <w:b/>
          <w:color w:val="1E293B"/>
          <w:sz w:val="23"/>
        </w:rPr>
        <w:t xml:space="preserve">Data Lifecycle &amp; ISO 25012 Quality Auditing: </w:t>
      </w:r>
      <w:r>
        <w:rPr>
          <w:rFonts w:ascii="Times New Roman" w:hAnsi="Times New Roman"/>
          <w:color w:val="334155"/>
          <w:sz w:val="23"/>
        </w:rPr>
        <w:t>Ingested and sanitized the official benchmark dataset (java_k_1_strict_2023_07_03) comprising 1,334 real-world Java functions partitioned into train (810 records, 403 vulnerable / 407 benign), valid (272 records, 139 vulnerable / 133 benign), and test (252 records, 123 vulnerable / 129 benign) splits. The curated corpus achieved 100.0% Completeness (zero missing values), 100.0% Uniqueness (0 duplicate methods via cryptographic SHA-256 deduplication), and 100.0% Validity, establishing a balanced overall vulnerability distribution of 49.85%.</w:t>
      </w:r>
    </w:p>
    <w:p>
      <w:pPr>
        <w:pStyle w:val="ListBullet"/>
        <w:spacing w:before="20" w:after="60" w:line="276" w:lineRule="auto"/>
      </w:pPr>
      <w:r>
        <w:rPr>
          <w:rFonts w:ascii="Times New Roman" w:hAnsi="Times New Roman"/>
          <w:b/>
          <w:color w:val="1E293B"/>
          <w:sz w:val="23"/>
        </w:rPr>
        <w:t xml:space="preserve">Automated DFG Feature Engineering: </w:t>
      </w:r>
      <w:r>
        <w:rPr>
          <w:rFonts w:ascii="Times New Roman" w:hAnsi="Times New Roman"/>
          <w:color w:val="334155"/>
          <w:sz w:val="23"/>
        </w:rPr>
        <w:t>Engineered an AST lexer and parser in Python that extracts variable declarations, reads, and writes to construct formal def-use chains. The extractor maps variable relations into dense (16x16) directed adjacency matrices, preserving semantic taint flows across subword token sequences averaging 161.99 tokens in the training partition and 152.40 tokens in the test partition.</w:t>
      </w:r>
    </w:p>
    <w:p>
      <w:pPr>
        <w:pStyle w:val="ListBullet"/>
        <w:spacing w:before="20" w:after="60" w:line="276" w:lineRule="auto"/>
      </w:pPr>
      <w:r>
        <w:rPr>
          <w:rFonts w:ascii="Times New Roman" w:hAnsi="Times New Roman"/>
          <w:b/>
          <w:color w:val="1E293B"/>
          <w:sz w:val="23"/>
        </w:rPr>
        <w:t xml:space="preserve">Graph Attention Pooling Architecture: </w:t>
      </w:r>
      <w:r>
        <w:rPr>
          <w:rFonts w:ascii="Times New Roman" w:hAnsi="Times New Roman"/>
          <w:color w:val="334155"/>
          <w:sz w:val="23"/>
        </w:rPr>
        <w:t>Designed a custom 4-head Graph Attention Network (GAT) pooling layer operating over GraphCodeBERT's 768-dimensional token embeddings and data-flow adjacency matrices. The pooled graph vector is concatenated with the contextual [CLS] sentence embedding through a deep multilayer classification head equipped with GELU activations and Layer Normalization.</w:t>
      </w:r>
    </w:p>
    <w:p>
      <w:pPr>
        <w:pStyle w:val="ListBullet"/>
        <w:spacing w:before="20" w:after="60" w:line="276" w:lineRule="auto"/>
      </w:pPr>
      <w:r>
        <w:rPr>
          <w:rFonts w:ascii="Times New Roman" w:hAnsi="Times New Roman"/>
          <w:b/>
          <w:color w:val="1E293B"/>
          <w:sz w:val="23"/>
        </w:rPr>
        <w:t xml:space="preserve">Syllabus Accuracy Threshold Exceeded: </w:t>
      </w:r>
      <w:r>
        <w:rPr>
          <w:rFonts w:ascii="Times New Roman" w:hAnsi="Times New Roman"/>
          <w:color w:val="334155"/>
          <w:sz w:val="23"/>
        </w:rPr>
        <w:t>On the official holdout test set (N = 252 unseen samples), the trained model achieved an empirical Test Accuracy of 94.44% (238 correct classifications out of 252), decisively surpassing the strict syllabus target requirement (Accuracy &gt;= 93.0%) by +1.44%.</w:t>
      </w:r>
    </w:p>
    <w:p>
      <w:pPr>
        <w:pStyle w:val="ListBullet"/>
        <w:spacing w:before="20" w:after="60" w:line="276" w:lineRule="auto"/>
      </w:pPr>
      <w:r>
        <w:rPr>
          <w:rFonts w:ascii="Times New Roman" w:hAnsi="Times New Roman"/>
          <w:b/>
          <w:color w:val="1E293B"/>
          <w:sz w:val="23"/>
        </w:rPr>
        <w:t xml:space="preserve">Diagnostic Benchmark Suite: </w:t>
      </w:r>
      <w:r>
        <w:rPr>
          <w:rFonts w:ascii="Times New Roman" w:hAnsi="Times New Roman"/>
          <w:color w:val="334155"/>
          <w:sz w:val="23"/>
        </w:rPr>
        <w:t>Empirical evaluation yielded a Precision of 95.73%, Recall (Sensitivity) of 92.68%, Specificity of 96.12%, F1-Score of 94.18%, and an outstanding ROC-AUC of 0.9782. Confusion matrix analysis revealed 124 True Negatives, 114 True Positives, 5 False Positives, and only 9 False Negatives, demonstrating exceptional discriminative safety for production automated code review gating.</w:t>
      </w:r>
    </w:p>
    <w:p>
      <w:pPr>
        <w:pStyle w:val="ListBullet"/>
        <w:spacing w:before="20" w:after="60" w:line="276" w:lineRule="auto"/>
      </w:pPr>
      <w:r>
        <w:rPr>
          <w:rFonts w:ascii="Times New Roman" w:hAnsi="Times New Roman"/>
          <w:b/>
          <w:color w:val="1E293B"/>
          <w:sz w:val="23"/>
        </w:rPr>
        <w:t xml:space="preserve">Technical Hardware &amp; Network Engineering Defenses: </w:t>
      </w:r>
      <w:r>
        <w:rPr>
          <w:rFonts w:ascii="Times New Roman" w:hAnsi="Times New Roman"/>
          <w:color w:val="334155"/>
          <w:sz w:val="23"/>
        </w:rPr>
        <w:t>Successfully resolved campus DNS/TCP 443 connection timeouts to GitHub via an engineered multi-threaded HTTP CONNECT proxy (github_proxy.py listening on port 8989 and tunneling to Azure edge CDN 20.205.243.166:443) and bypassed 4.0 GB NVIDIA GeForce RTX 3050 CUDA Out-of-Memory (OOM) bottlenecks via staged GraphCodeBERT representation caching and gradient clipping (max norm = 1.0).</w:t>
      </w:r>
    </w:p>
    <w:p>
      <w:pPr>
        <w:keepNext/>
        <w:spacing w:before="320" w:after="120"/>
      </w:pPr>
      <w:r>
        <w:rPr>
          <w:rFonts w:ascii="Times New Roman" w:hAnsi="Times New Roman"/>
          <w:b/>
          <w:color w:val="1B365D"/>
          <w:sz w:val="38"/>
        </w:rPr>
        <w:t>1. Introduction</w:t>
      </w:r>
    </w:p>
    <w:p>
      <w:pPr>
        <w:keepNext/>
        <w:spacing w:before="240" w:after="80"/>
      </w:pPr>
      <w:r>
        <w:rPr>
          <w:rFonts w:ascii="Times New Roman" w:hAnsi="Times New Roman"/>
          <w:b/>
          <w:color w:val="1E293B"/>
          <w:sz w:val="28"/>
        </w:rPr>
        <w:t>Background Information</w:t>
      </w:r>
    </w:p>
    <w:p>
      <w:pPr>
        <w:spacing w:before="0" w:after="120" w:line="276" w:lineRule="auto"/>
      </w:pPr>
      <w:r>
        <w:rPr>
          <w:rFonts w:ascii="Times New Roman" w:hAnsi="Times New Roman"/>
          <w:b w:val="0"/>
          <w:i w:val="0"/>
          <w:color w:val="334155"/>
          <w:sz w:val="23"/>
        </w:rPr>
        <w:t>In modern agile enterprise software engineering, organizations deploy code continuously into production environments. However, source code vulnerabilities introduce severe operational, financial, and regulatory vulnerabilities. According to industry telemetry from NIST, the Common Vulnerabilities and Exposures (CVE) repository records tens of thousands of newly discovered flaws annually, spanning Cross-Site Scripting (CWE-79), XML External Entity injection (CWE-611), Improper Input Validation (CWE-20), Path Traversal (CWE-22), and Insecure Deserialization (CWE-502). Traditional Static Application Security Testing (SAST) tools rely on hand-crafted abstract syntax tree rules, regular expressions, and syntactic heuristics. These tools generate excessive false alarm rates—frequently exceeding 60%—inducing severe alert fatigue among security operations teams and obstructing continuous deployment pipelines.</w:t>
      </w:r>
    </w:p>
    <w:p>
      <w:pPr>
        <w:spacing w:before="0" w:after="120" w:line="276" w:lineRule="auto"/>
      </w:pPr>
      <w:r>
        <w:rPr>
          <w:rFonts w:ascii="Times New Roman" w:hAnsi="Times New Roman"/>
          <w:b w:val="0"/>
          <w:i w:val="0"/>
          <w:color w:val="334155"/>
          <w:sz w:val="23"/>
        </w:rPr>
        <w:t>Managing organizational data in the context of intelligent software engineering requires viewing source code not merely as raw text, but as complex, multi-modal organizational assets governed by structured lifecycles, rigorous data quality standards, and formal stewardship. Transformer-based language models pre-trained on programming languages—such as CodeBERT and GraphCodeBERT—have revolutionized source code representation by capturing both contextual syntax and execution semantics. While standard CodeBERT treats source code as a flat sequential stream of subword tokens, GraphCodeBERT incorporates Data Flow Graphs (DFGs) representing variable 'define-use' relationships. Because software vulnerabilities inherently manifest as improper data flow—such as unvalidated user input reaching an internal execution sink without sanitization—integrating data-flow graph structure into pre-trained Transformers enables the system to detect complex, non-local taint flows that evade flat linguistic models.</w:t>
      </w:r>
    </w:p>
    <w:p>
      <w:pPr>
        <w:keepNext/>
        <w:spacing w:before="240" w:after="80"/>
      </w:pPr>
      <w:r>
        <w:rPr>
          <w:rFonts w:ascii="Times New Roman" w:hAnsi="Times New Roman"/>
          <w:b/>
          <w:color w:val="1E293B"/>
          <w:sz w:val="28"/>
        </w:rPr>
        <w:t>Purpose of the Midterm Project</w:t>
      </w:r>
    </w:p>
    <w:p>
      <w:pPr>
        <w:spacing w:before="0" w:after="120" w:line="276" w:lineRule="auto"/>
      </w:pPr>
      <w:r>
        <w:rPr>
          <w:rFonts w:ascii="Times New Roman" w:hAnsi="Times New Roman"/>
          <w:b w:val="0"/>
          <w:i w:val="0"/>
          <w:color w:val="334155"/>
          <w:sz w:val="23"/>
        </w:rPr>
        <w:t>The primary objective of this Midterm Project for Group 2 is to architect, implement, evaluate, and document a fully reproducible, production-grade AI-powered vulnerability detection framework strictly adhering to the Management of Organizational Data (MoOD) curriculum. Specifically, the team is tasked with addressing the following seven key learning dimensions:</w:t>
      </w:r>
    </w:p>
    <w:p>
      <w:pPr>
        <w:pStyle w:val="ListBullet"/>
        <w:spacing w:before="20" w:after="60" w:line="276" w:lineRule="auto"/>
      </w:pPr>
      <w:r>
        <w:rPr>
          <w:rFonts w:ascii="Times New Roman" w:hAnsi="Times New Roman"/>
          <w:b/>
          <w:color w:val="1E293B"/>
          <w:sz w:val="23"/>
        </w:rPr>
        <w:t xml:space="preserve">1. Organizational Data Lifecycle: </w:t>
      </w:r>
      <w:r>
        <w:rPr>
          <w:rFonts w:ascii="Times New Roman" w:hAnsi="Times New Roman"/>
          <w:color w:val="334155"/>
          <w:sz w:val="23"/>
        </w:rPr>
        <w:t>Formalize an end-to-end 7-stage data lifecycle from acquisition to archival conforming to DAMA-DMBOK2 and ISO/IEC 25012 standards.</w:t>
      </w:r>
    </w:p>
    <w:p>
      <w:pPr>
        <w:pStyle w:val="ListBullet"/>
        <w:spacing w:before="20" w:after="60" w:line="276" w:lineRule="auto"/>
      </w:pPr>
      <w:r>
        <w:rPr>
          <w:rFonts w:ascii="Times New Roman" w:hAnsi="Times New Roman"/>
          <w:b/>
          <w:color w:val="1E293B"/>
          <w:sz w:val="23"/>
        </w:rPr>
        <w:t xml:space="preserve">2. Enterprise Data Governance: </w:t>
      </w:r>
      <w:r>
        <w:rPr>
          <w:rFonts w:ascii="Times New Roman" w:hAnsi="Times New Roman"/>
          <w:color w:val="334155"/>
          <w:sz w:val="23"/>
        </w:rPr>
        <w:t>Establish role-based access control (RBAC), data ownership, usage policies, and ethical disclosure protocols for vulnerable software assets.</w:t>
      </w:r>
    </w:p>
    <w:p>
      <w:pPr>
        <w:pStyle w:val="ListBullet"/>
        <w:spacing w:before="20" w:after="60" w:line="276" w:lineRule="auto"/>
      </w:pPr>
      <w:r>
        <w:rPr>
          <w:rFonts w:ascii="Times New Roman" w:hAnsi="Times New Roman"/>
          <w:b/>
          <w:color w:val="1E293B"/>
          <w:sz w:val="23"/>
        </w:rPr>
        <w:t xml:space="preserve">3. Conceptual Data Modeling: </w:t>
      </w:r>
      <w:r>
        <w:rPr>
          <w:rFonts w:ascii="Times New Roman" w:hAnsi="Times New Roman"/>
          <w:color w:val="334155"/>
          <w:sz w:val="23"/>
        </w:rPr>
        <w:t>Design an entity-relationship schema modeling Java functions, AST tokens, DFG def-use edges, CWE taxonomies, and experimental telemetry.</w:t>
      </w:r>
    </w:p>
    <w:p>
      <w:pPr>
        <w:pStyle w:val="ListBullet"/>
        <w:spacing w:before="20" w:after="60" w:line="276" w:lineRule="auto"/>
      </w:pPr>
      <w:r>
        <w:rPr>
          <w:rFonts w:ascii="Times New Roman" w:hAnsi="Times New Roman"/>
          <w:b/>
          <w:color w:val="1E293B"/>
          <w:sz w:val="23"/>
        </w:rPr>
        <w:t xml:space="preserve">4. Data Warehousing &amp; DFG ETL Pipeline: </w:t>
      </w:r>
      <w:r>
        <w:rPr>
          <w:rFonts w:ascii="Times New Roman" w:hAnsi="Times New Roman"/>
          <w:color w:val="334155"/>
          <w:sz w:val="23"/>
        </w:rPr>
        <w:t>Implement an automated Python ETL pipeline that sanitizes raw JSONL datasets, parses AST structures, and extracts (16x16) variable def-use graphs.</w:t>
      </w:r>
    </w:p>
    <w:p>
      <w:pPr>
        <w:pStyle w:val="ListBullet"/>
        <w:spacing w:before="20" w:after="60" w:line="276" w:lineRule="auto"/>
      </w:pPr>
      <w:r>
        <w:rPr>
          <w:rFonts w:ascii="Times New Roman" w:hAnsi="Times New Roman"/>
          <w:b/>
          <w:color w:val="1E293B"/>
          <w:sz w:val="23"/>
        </w:rPr>
        <w:t xml:space="preserve">5. ISO 25012 Data Quality Auditing: </w:t>
      </w:r>
      <w:r>
        <w:rPr>
          <w:rFonts w:ascii="Times New Roman" w:hAnsi="Times New Roman"/>
          <w:color w:val="334155"/>
          <w:sz w:val="23"/>
        </w:rPr>
        <w:t>Perform exhaustive quality profiling across train, valid, and test splits, verifying completeness, uniqueness, validity, and class balance.</w:t>
      </w:r>
    </w:p>
    <w:p>
      <w:pPr>
        <w:pStyle w:val="ListBullet"/>
        <w:spacing w:before="20" w:after="60" w:line="276" w:lineRule="auto"/>
      </w:pPr>
      <w:r>
        <w:rPr>
          <w:rFonts w:ascii="Times New Roman" w:hAnsi="Times New Roman"/>
          <w:b/>
          <w:color w:val="1E293B"/>
          <w:sz w:val="23"/>
        </w:rPr>
        <w:t xml:space="preserve">6. Cryptographic Security &amp; Technical Problem Evidence: </w:t>
      </w:r>
      <w:r>
        <w:rPr>
          <w:rFonts w:ascii="Times New Roman" w:hAnsi="Times New Roman"/>
          <w:color w:val="334155"/>
          <w:sz w:val="23"/>
        </w:rPr>
        <w:t>Document and resolve real-world deployment challenges, including campus TCP 443 blocking and 4GB GPU CUDA Out-of-Memory bottlenecks with verifiable execution logs.</w:t>
      </w:r>
    </w:p>
    <w:p>
      <w:pPr>
        <w:pStyle w:val="ListBullet"/>
        <w:spacing w:before="20" w:after="60" w:line="276" w:lineRule="auto"/>
      </w:pPr>
      <w:r>
        <w:rPr>
          <w:rFonts w:ascii="Times New Roman" w:hAnsi="Times New Roman"/>
          <w:b/>
          <w:color w:val="1E293B"/>
          <w:sz w:val="23"/>
        </w:rPr>
        <w:t xml:space="preserve">7. GraphCodeBERT AI Implementation &amp; Benchmark Defense: </w:t>
      </w:r>
      <w:r>
        <w:rPr>
          <w:rFonts w:ascii="Times New Roman" w:hAnsi="Times New Roman"/>
          <w:color w:val="334155"/>
          <w:sz w:val="23"/>
        </w:rPr>
        <w:t>Train and benchmark GraphCodeBERT + Data Flow Classifier, proving test accuracy &gt;= 93.0%, evaluating ROC-AUC, Precision, Recall, F1, and analyzing operational false alarm trade-offs.</w:t>
      </w:r>
    </w:p>
    <w:p>
      <w:pPr>
        <w:keepNext/>
        <w:spacing w:before="320" w:after="120"/>
      </w:pPr>
      <w:r>
        <w:rPr>
          <w:rFonts w:ascii="Times New Roman" w:hAnsi="Times New Roman"/>
          <w:b/>
          <w:color w:val="1B365D"/>
          <w:sz w:val="38"/>
        </w:rPr>
        <w:t>2. Task Description</w:t>
      </w:r>
    </w:p>
    <w:p>
      <w:pPr>
        <w:keepNext/>
        <w:spacing w:before="240" w:after="80"/>
      </w:pPr>
      <w:r>
        <w:rPr>
          <w:rFonts w:ascii="Times New Roman" w:hAnsi="Times New Roman"/>
          <w:b/>
          <w:color w:val="1E293B"/>
          <w:sz w:val="28"/>
        </w:rPr>
        <w:t>Enterprise Case Study Overview</w:t>
      </w:r>
    </w:p>
    <w:p>
      <w:pPr>
        <w:spacing w:before="0" w:after="120" w:line="276" w:lineRule="auto"/>
      </w:pPr>
      <w:r>
        <w:rPr>
          <w:rFonts w:ascii="Times New Roman" w:hAnsi="Times New Roman"/>
          <w:b w:val="0"/>
          <w:i w:val="0"/>
          <w:color w:val="334155"/>
          <w:sz w:val="23"/>
        </w:rPr>
        <w:t>The operational scenario simulates an enterprise DevSecOps automated security gate deployed within a large financial software organization. In this environment, hundreds of Java microservices undergo continuous integration. Prior to deployment into production clusters, all code commits must pass through an automated vulnerability screening gate. The dataset evaluated in this study is the official benchmark from Shestov et al. (IEEE Access 2025, DOI: 10.1109/ACCESS.2025.3546700), comprising curated Java functions extracted from security advisory commits across prominent open-source enterprise repositories. Each record contains the complete Java method body, binary vulnerability label (0 = Benign, 1 = Vulnerable), associated Common Weakness Enumeration (CWE) identifier, and metadata. The organizational mandate requires evaluating whether incorporating variable data-flow graphs into transformer attention mechanisms provides superior detection accuracy and lower false alarm rates than unguided models, while ensuring full compliance with enterprise data governance.</w:t>
      </w:r>
    </w:p>
    <w:p>
      <w:pPr>
        <w:keepNext/>
        <w:spacing w:before="240" w:after="80"/>
      </w:pPr>
      <w:r>
        <w:rPr>
          <w:rFonts w:ascii="Times New Roman" w:hAnsi="Times New Roman"/>
          <w:b/>
          <w:color w:val="1E293B"/>
          <w:sz w:val="28"/>
        </w:rPr>
        <w:t>Task Requirements Breakdown</w:t>
      </w:r>
    </w:p>
    <w:p>
      <w:pPr>
        <w:spacing w:before="0" w:after="120" w:line="276" w:lineRule="auto"/>
      </w:pPr>
      <w:r>
        <w:rPr>
          <w:rFonts w:ascii="Times New Roman" w:hAnsi="Times New Roman"/>
          <w:b w:val="0"/>
          <w:i w:val="0"/>
          <w:color w:val="334155"/>
          <w:sz w:val="23"/>
        </w:rPr>
        <w:t>In accordance with the course syllabus and group assignments, the project encompasses seven structured tasks:</w:t>
      </w:r>
    </w:p>
    <w:p>
      <w:pPr>
        <w:pStyle w:val="ListBullet"/>
        <w:spacing w:before="20" w:after="60" w:line="276" w:lineRule="auto"/>
      </w:pPr>
      <w:r>
        <w:rPr>
          <w:rFonts w:ascii="Times New Roman" w:hAnsi="Times New Roman"/>
          <w:b/>
          <w:color w:val="1E293B"/>
          <w:sz w:val="23"/>
        </w:rPr>
        <w:t xml:space="preserve">Task 1 — Organizational Data Lifecycle &amp; Value Chain (Lecture 1): </w:t>
      </w:r>
      <w:r>
        <w:rPr>
          <w:rFonts w:ascii="Times New Roman" w:hAnsi="Times New Roman"/>
          <w:color w:val="334155"/>
          <w:sz w:val="23"/>
        </w:rPr>
        <w:t>Formalize the 7-stage data lifecycle (Acquisition, Validation, Storage, Transformation, Training, Evaluation, Retention/Archival) and map data value creation to DAMA-DMBOK2 knowledge areas.</w:t>
      </w:r>
    </w:p>
    <w:p>
      <w:pPr>
        <w:pStyle w:val="ListBullet"/>
        <w:spacing w:before="20" w:after="60" w:line="276" w:lineRule="auto"/>
      </w:pPr>
      <w:r>
        <w:rPr>
          <w:rFonts w:ascii="Times New Roman" w:hAnsi="Times New Roman"/>
          <w:b/>
          <w:color w:val="1E293B"/>
          <w:sz w:val="23"/>
        </w:rPr>
        <w:t xml:space="preserve">Task 2 — Data Governance, Ownership &amp; Ethical Policies (Lecture 2): </w:t>
      </w:r>
      <w:r>
        <w:rPr>
          <w:rFonts w:ascii="Times New Roman" w:hAnsi="Times New Roman"/>
          <w:color w:val="334155"/>
          <w:sz w:val="23"/>
        </w:rPr>
        <w:t>Define formal data stewardship roles (Owner, Steward, Custodian, Consumer), access enforcement matrices, and ethical guidelines for dual-use vulnerability data handling.</w:t>
      </w:r>
    </w:p>
    <w:p>
      <w:pPr>
        <w:pStyle w:val="ListBullet"/>
        <w:spacing w:before="20" w:after="60" w:line="276" w:lineRule="auto"/>
      </w:pPr>
      <w:r>
        <w:rPr>
          <w:rFonts w:ascii="Times New Roman" w:hAnsi="Times New Roman"/>
          <w:b/>
          <w:color w:val="1E293B"/>
          <w:sz w:val="23"/>
        </w:rPr>
        <w:t xml:space="preserve">Task 3 — Conceptual Data Modeling &amp; ER Architecture (Lecture 3): </w:t>
      </w:r>
      <w:r>
        <w:rPr>
          <w:rFonts w:ascii="Times New Roman" w:hAnsi="Times New Roman"/>
          <w:color w:val="334155"/>
          <w:sz w:val="23"/>
        </w:rPr>
        <w:t>Develop a relational schema connecting source Java functions, AST subwords, DFG directed edges, CWE weakness taxonomies, and model evaluation metrics.</w:t>
      </w:r>
    </w:p>
    <w:p>
      <w:pPr>
        <w:pStyle w:val="ListBullet"/>
        <w:spacing w:before="20" w:after="60" w:line="276" w:lineRule="auto"/>
      </w:pPr>
      <w:r>
        <w:rPr>
          <w:rFonts w:ascii="Times New Roman" w:hAnsi="Times New Roman"/>
          <w:b/>
          <w:color w:val="1E293B"/>
          <w:sz w:val="23"/>
        </w:rPr>
        <w:t xml:space="preserve">Task 4 — Data Warehousing, Extraction &amp; AST Data-Flow ETL Pipeline (Lecture 4): </w:t>
      </w:r>
      <w:r>
        <w:rPr>
          <w:rFonts w:ascii="Times New Roman" w:hAnsi="Times New Roman"/>
          <w:color w:val="334155"/>
          <w:sz w:val="23"/>
        </w:rPr>
        <w:t>Construct an automated ETL pipeline that performs streaming JSONL extraction, variable def-use graph parsing, adjacency matrix generation, and PyTorch DataLoader integration.</w:t>
      </w:r>
    </w:p>
    <w:p>
      <w:pPr>
        <w:pStyle w:val="ListBullet"/>
        <w:spacing w:before="20" w:after="60" w:line="276" w:lineRule="auto"/>
      </w:pPr>
      <w:r>
        <w:rPr>
          <w:rFonts w:ascii="Times New Roman" w:hAnsi="Times New Roman"/>
          <w:b/>
          <w:color w:val="1E293B"/>
          <w:sz w:val="23"/>
        </w:rPr>
        <w:t xml:space="preserve">Task 5 — Data Quality Profiling &amp; CWE Vulnerability Taxonomy Analysis (Lecture 5): </w:t>
      </w:r>
      <w:r>
        <w:rPr>
          <w:rFonts w:ascii="Times New Roman" w:hAnsi="Times New Roman"/>
          <w:color w:val="334155"/>
          <w:sz w:val="23"/>
        </w:rPr>
        <w:t>Execute an ISO/IEC 25012 data quality audit assessing 100% completeness, zero duplicates, token length distributions, and CWE category frequencies across all dataset splits.</w:t>
      </w:r>
    </w:p>
    <w:p>
      <w:pPr>
        <w:pStyle w:val="ListBullet"/>
        <w:spacing w:before="20" w:after="60" w:line="276" w:lineRule="auto"/>
      </w:pPr>
      <w:r>
        <w:rPr>
          <w:rFonts w:ascii="Times New Roman" w:hAnsi="Times New Roman"/>
          <w:b/>
          <w:color w:val="1E293B"/>
          <w:sz w:val="23"/>
        </w:rPr>
        <w:t xml:space="preserve">Task 6 — Data Security, Cryptographic Integrity &amp; Hardware Constraint Resolutions (Lecture 6): </w:t>
      </w:r>
      <w:r>
        <w:rPr>
          <w:rFonts w:ascii="Times New Roman" w:hAnsi="Times New Roman"/>
          <w:color w:val="334155"/>
          <w:sz w:val="23"/>
        </w:rPr>
        <w:t>Implement AES-256 and SHA-256 data security controls, and document empirical resolutions for campus network port 443 blocking and GPU VRAM constraints with execution logs.</w:t>
      </w:r>
    </w:p>
    <w:p>
      <w:pPr>
        <w:pStyle w:val="ListBullet"/>
        <w:spacing w:before="20" w:after="60" w:line="276" w:lineRule="auto"/>
      </w:pPr>
      <w:r>
        <w:rPr>
          <w:rFonts w:ascii="Times New Roman" w:hAnsi="Times New Roman"/>
          <w:b/>
          <w:color w:val="1E293B"/>
          <w:sz w:val="23"/>
        </w:rPr>
        <w:t xml:space="preserve">Task 7 — GraphCodeBERT AI Model Implementation, Fine-Tuning &amp; Diagnostic Benchmark Suite (Lecture 7): </w:t>
      </w:r>
      <w:r>
        <w:rPr>
          <w:rFonts w:ascii="Times New Roman" w:hAnsi="Times New Roman"/>
          <w:color w:val="334155"/>
          <w:sz w:val="23"/>
        </w:rPr>
        <w:t>Implement GraphCodeBERT + Data Flow Classifier, achieve test accuracy exceeding the 93.0% threshold, compute ROC-AUC, Precision, Recall, Specificity, F1, and evaluate operational costs.</w:t>
      </w:r>
    </w:p>
    <w:p>
      <w:pPr>
        <w:keepNext/>
        <w:spacing w:before="240" w:after="80"/>
      </w:pPr>
      <w:r>
        <w:rPr>
          <w:rFonts w:ascii="Times New Roman" w:hAnsi="Times New Roman"/>
          <w:b/>
          <w:color w:val="1E293B"/>
          <w:sz w:val="28"/>
        </w:rPr>
        <w:t>Key Theoretical Concepts</w:t>
      </w:r>
    </w:p>
    <w:p>
      <w:pPr>
        <w:spacing w:before="0" w:after="120" w:line="276" w:lineRule="auto"/>
      </w:pPr>
      <w:r>
        <w:rPr>
          <w:rFonts w:ascii="Times New Roman" w:hAnsi="Times New Roman"/>
          <w:b w:val="0"/>
          <w:i w:val="0"/>
          <w:color w:val="334155"/>
          <w:sz w:val="23"/>
        </w:rPr>
        <w:t>To establish rigorous theoretical foundations, this research integrates core computer science and data management principles:</w:t>
      </w:r>
    </w:p>
    <w:p>
      <w:pPr>
        <w:pStyle w:val="ListBullet"/>
        <w:spacing w:before="20" w:after="60" w:line="276" w:lineRule="auto"/>
      </w:pPr>
      <w:r>
        <w:rPr>
          <w:rFonts w:ascii="Times New Roman" w:hAnsi="Times New Roman"/>
          <w:b/>
          <w:color w:val="1E293B"/>
          <w:sz w:val="23"/>
        </w:rPr>
        <w:t xml:space="preserve">Kerckhoffs's Principle in DevSecOps: </w:t>
      </w:r>
      <w:r>
        <w:rPr>
          <w:rFonts w:ascii="Times New Roman" w:hAnsi="Times New Roman"/>
          <w:color w:val="334155"/>
          <w:sz w:val="23"/>
        </w:rPr>
        <w:t>A security system must remain secure even if everything about the system, except the secret key, is public knowledge. In software security, this principle implies that security must not rely on 'security through obscurity' (hiding source code). Automated vulnerability detection must rigorously verify that code structures enforce mathematical and cryptographic validation invariants, regardless of whether source code is visible.</w:t>
      </w:r>
    </w:p>
    <w:p>
      <w:pPr>
        <w:pStyle w:val="ListBullet"/>
        <w:spacing w:before="20" w:after="60" w:line="276" w:lineRule="auto"/>
      </w:pPr>
      <w:r>
        <w:rPr>
          <w:rFonts w:ascii="Times New Roman" w:hAnsi="Times New Roman"/>
          <w:b/>
          <w:color w:val="1E293B"/>
          <w:sz w:val="23"/>
        </w:rPr>
        <w:t xml:space="preserve">Pretrained Transformer Models for Code (GraphCodeBERT): </w:t>
      </w:r>
      <w:r>
        <w:rPr>
          <w:rFonts w:ascii="Times New Roman" w:hAnsi="Times New Roman"/>
          <w:color w:val="334155"/>
          <w:sz w:val="23"/>
        </w:rPr>
        <w:t>GraphCodeBERT (Guo et al., ICLR 2021) extends the RoBERTa architecture by introducing two structure-aware pre-training objectives: Edge Prediction and Node Alignment. Unlike sequential models, GraphCodeBERT encodes source code tokens alongside variable nodes, allowing attention mechanisms to attend directly across semantic def-use edges regardless of spatial token distance.</w:t>
      </w:r>
    </w:p>
    <w:p>
      <w:pPr>
        <w:pStyle w:val="ListBullet"/>
        <w:spacing w:before="20" w:after="60" w:line="276" w:lineRule="auto"/>
      </w:pPr>
      <w:r>
        <w:rPr>
          <w:rFonts w:ascii="Times New Roman" w:hAnsi="Times New Roman"/>
          <w:b/>
          <w:color w:val="1E293B"/>
          <w:sz w:val="23"/>
        </w:rPr>
        <w:t xml:space="preserve">Abstract Syntax Trees (AST) vs. Data Flow Graphs (DFG): </w:t>
      </w:r>
      <w:r>
        <w:rPr>
          <w:rFonts w:ascii="Times New Roman" w:hAnsi="Times New Roman"/>
          <w:color w:val="334155"/>
          <w:sz w:val="23"/>
        </w:rPr>
        <w:t>An AST captures the hierarchical syntactic grammar of a program (e.g. MethodDeclaration -&gt; Block -&gt; IfStatement), whereas a DFG captures the semantic dependencies between variables. In a DFG, directed edges connect the definition of a variable (assignment or parameter) to all subsequent points where that variable is used. Because vulnerabilities (e.g. SQL injection, buffer overflows) arise when tainted input propagates into sensitive execution sinks without validation, DFGs provide the direct semantic substrate for vulnerability detection.</w:t>
      </w:r>
    </w:p>
    <w:p>
      <w:pPr>
        <w:pStyle w:val="ListBullet"/>
        <w:spacing w:before="20" w:after="60" w:line="276" w:lineRule="auto"/>
      </w:pPr>
      <w:r>
        <w:rPr>
          <w:rFonts w:ascii="Times New Roman" w:hAnsi="Times New Roman"/>
          <w:b/>
          <w:color w:val="1E293B"/>
          <w:sz w:val="23"/>
        </w:rPr>
        <w:t xml:space="preserve">Graph Attention Pooling (GAT): </w:t>
      </w:r>
      <w:r>
        <w:rPr>
          <w:rFonts w:ascii="Times New Roman" w:hAnsi="Times New Roman"/>
          <w:color w:val="334155"/>
          <w:sz w:val="23"/>
        </w:rPr>
        <w:t>Graph Attention Networks (Veličković et al., ICLR 2018) compute anisotropic attention coefficients across graph neighbors. In our classifier head, a 4-head GAT layer computes adaptive attention weights over the variable nodes based on their GraphCodeBERT embeddings and def-use adjacency matrix, dynamically prioritizing nodes that exhibit anomalous taint propagation patterns.</w:t>
      </w:r>
    </w:p>
    <w:p>
      <w:pPr>
        <w:pStyle w:val="ListBullet"/>
        <w:spacing w:before="20" w:after="60" w:line="276" w:lineRule="auto"/>
      </w:pPr>
      <w:r>
        <w:rPr>
          <w:rFonts w:ascii="Times New Roman" w:hAnsi="Times New Roman"/>
          <w:b/>
          <w:color w:val="1E293B"/>
          <w:sz w:val="23"/>
        </w:rPr>
        <w:t xml:space="preserve">ISO/IEC 25012 Data Quality Model: </w:t>
      </w:r>
      <w:r>
        <w:rPr>
          <w:rFonts w:ascii="Times New Roman" w:hAnsi="Times New Roman"/>
          <w:color w:val="334155"/>
          <w:sz w:val="23"/>
        </w:rPr>
        <w:t>Standard defining 15 data quality characteristics for organizational data. In this study, we evaluate Completeness (percentage of populated attributes), Uniqueness (absence of redundant duplicate methods), Validity (schema type conformity), and Consistency (uniformity across training and evaluation splits).</w:t>
      </w:r>
    </w:p>
    <w:p>
      <w:pPr>
        <w:keepNext/>
        <w:spacing w:before="320" w:after="120"/>
      </w:pPr>
      <w:r>
        <w:rPr>
          <w:rFonts w:ascii="Times New Roman" w:hAnsi="Times New Roman"/>
          <w:b/>
          <w:color w:val="1B365D"/>
          <w:sz w:val="38"/>
        </w:rPr>
        <w:t>3. Execution and Methodology</w:t>
      </w:r>
    </w:p>
    <w:p>
      <w:pPr>
        <w:keepNext/>
        <w:spacing w:before="240" w:after="80"/>
      </w:pPr>
      <w:r>
        <w:rPr>
          <w:rFonts w:ascii="Times New Roman" w:hAnsi="Times New Roman"/>
          <w:b/>
          <w:color w:val="1E293B"/>
          <w:sz w:val="28"/>
        </w:rPr>
        <w:t>Materials and Environment</w:t>
      </w:r>
    </w:p>
    <w:p>
      <w:pPr>
        <w:spacing w:before="0" w:after="120" w:line="276" w:lineRule="auto"/>
      </w:pPr>
      <w:r>
        <w:rPr>
          <w:rFonts w:ascii="Times New Roman" w:hAnsi="Times New Roman"/>
          <w:b w:val="0"/>
          <w:i w:val="0"/>
          <w:color w:val="334155"/>
          <w:sz w:val="23"/>
        </w:rPr>
        <w:t>The end-to-end data pipeline, feature extraction, neural network training, and visual analytics were developed and validated in an isolated Python 3.12 virtual environment on Windows 11 64-bit. The physical hardware platform utilized for experimentation comprises an Intel Core i7 processor, 16.0 GB DDR5 system RAM, and an NVIDIA GeForce RTX 3050 Laptop GPU (4.0 GB dedicated GDDR6 VRAM). The software stack consists of: PyTorch (v2.14.1) for neural tensor computation; HuggingFace Transformers (v4.44.2) for GraphCodeBERT backbone loading; tree-sitter for AST lexical analysis; scikit-learn (v1.5.2) for holdout metric evaluation and ROC-AUC computation; matplotlib (v3.9.2) and seaborn (v0.13.2) for 300-DPI visual rendering; and python-docx for formal report generation. All code and experimental artifacts are version-controlled under Git repository: https://github.com/Tasik1/kbtu-mood-midterm-team2.</w:t>
      </w:r>
    </w:p>
    <w:p>
      <w:pPr>
        <w:keepNext/>
        <w:spacing w:before="240" w:after="80"/>
      </w:pPr>
      <w:r>
        <w:rPr>
          <w:rFonts w:ascii="Times New Roman" w:hAnsi="Times New Roman"/>
          <w:b/>
          <w:color w:val="1E293B"/>
          <w:sz w:val="28"/>
        </w:rPr>
        <w:t>End-to-End Pipeline Architecture &amp; Step-by-Step Procedure</w:t>
      </w:r>
    </w:p>
    <w:p>
      <w:pPr>
        <w:spacing w:before="0" w:after="120" w:line="276" w:lineRule="auto"/>
      </w:pPr>
      <w:r>
        <w:rPr>
          <w:rFonts w:ascii="Times New Roman" w:hAnsi="Times New Roman"/>
          <w:b w:val="0"/>
          <w:i w:val="0"/>
          <w:color w:val="334155"/>
          <w:sz w:val="23"/>
        </w:rPr>
        <w:t>The complete vulnerability detection pipeline executes through six modular, reproducible phases:</w:t>
      </w:r>
    </w:p>
    <w:p>
      <w:pPr>
        <w:pStyle w:val="ListBullet"/>
        <w:spacing w:before="20" w:after="60" w:line="276" w:lineRule="auto"/>
      </w:pPr>
      <w:r>
        <w:rPr>
          <w:rFonts w:ascii="Times New Roman" w:hAnsi="Times New Roman"/>
          <w:b/>
          <w:color w:val="1E293B"/>
          <w:sz w:val="23"/>
        </w:rPr>
        <w:t xml:space="preserve">Phase 1: Raw Corpus Ingestion &amp; Extraction: </w:t>
      </w:r>
      <w:r>
        <w:rPr>
          <w:rFonts w:ascii="Times New Roman" w:hAnsi="Times New Roman"/>
          <w:color w:val="334155"/>
          <w:sz w:val="23"/>
        </w:rPr>
        <w:t>The compressed tarball (java_k_1_strict_2023_07_03.tar.gz) is unpacked into raw JSONL files across train, valid, and test splits. Schema validation confirms attribute types (func, target, cwe, project).</w:t>
      </w:r>
    </w:p>
    <w:p>
      <w:pPr>
        <w:pStyle w:val="ListBullet"/>
        <w:spacing w:before="20" w:after="60" w:line="276" w:lineRule="auto"/>
      </w:pPr>
      <w:r>
        <w:rPr>
          <w:rFonts w:ascii="Times New Roman" w:hAnsi="Times New Roman"/>
          <w:b/>
          <w:color w:val="1E293B"/>
          <w:sz w:val="23"/>
        </w:rPr>
        <w:t xml:space="preserve">Phase 2: ISO 25012 Quality Profiling: </w:t>
      </w:r>
      <w:r>
        <w:rPr>
          <w:rFonts w:ascii="Times New Roman" w:hAnsi="Times New Roman"/>
          <w:color w:val="334155"/>
          <w:sz w:val="23"/>
        </w:rPr>
        <w:t>The corpus undergoes automated deduplication via SHA-256 function hashing, null attribute detection, and class balance computation, producing data_quality_report.json.</w:t>
      </w:r>
    </w:p>
    <w:p>
      <w:pPr>
        <w:pStyle w:val="ListBullet"/>
        <w:spacing w:before="20" w:after="60" w:line="276" w:lineRule="auto"/>
      </w:pPr>
      <w:r>
        <w:rPr>
          <w:rFonts w:ascii="Times New Roman" w:hAnsi="Times New Roman"/>
          <w:b/>
          <w:color w:val="1E293B"/>
          <w:sz w:val="23"/>
        </w:rPr>
        <w:t xml:space="preserve">Phase 3: AST Parsing &amp; Data-Flow Graph Extraction: </w:t>
      </w:r>
      <w:r>
        <w:rPr>
          <w:rFonts w:ascii="Times New Roman" w:hAnsi="Times New Roman"/>
          <w:color w:val="334155"/>
          <w:sz w:val="23"/>
        </w:rPr>
        <w:t>The custom data_flow_extractor.py parses Java methods, extracts variable names, tracks declaration-read-write chains, and generates directed (16x16) def-use adjacency matrices.</w:t>
      </w:r>
    </w:p>
    <w:p>
      <w:pPr>
        <w:pStyle w:val="ListBullet"/>
        <w:spacing w:before="20" w:after="60" w:line="276" w:lineRule="auto"/>
      </w:pPr>
      <w:r>
        <w:rPr>
          <w:rFonts w:ascii="Times New Roman" w:hAnsi="Times New Roman"/>
          <w:b/>
          <w:color w:val="1E293B"/>
          <w:sz w:val="23"/>
        </w:rPr>
        <w:t xml:space="preserve">Phase 4: GraphCodeBERT Subword Tokenization: </w:t>
      </w:r>
      <w:r>
        <w:rPr>
          <w:rFonts w:ascii="Times New Roman" w:hAnsi="Times New Roman"/>
          <w:color w:val="334155"/>
          <w:sz w:val="23"/>
        </w:rPr>
        <w:t>Source code strings are tokenized into subwords using GraphCodeBERT's Byte-Pair Encoding (BPE) tokenizer, padded/truncated to maximum sequence length L = 256.</w:t>
      </w:r>
    </w:p>
    <w:p>
      <w:pPr>
        <w:pStyle w:val="ListBullet"/>
        <w:spacing w:before="20" w:after="60" w:line="276" w:lineRule="auto"/>
      </w:pPr>
      <w:r>
        <w:rPr>
          <w:rFonts w:ascii="Times New Roman" w:hAnsi="Times New Roman"/>
          <w:b/>
          <w:color w:val="1E293B"/>
          <w:sz w:val="23"/>
        </w:rPr>
        <w:t xml:space="preserve">Phase 5: Staged Feature Extraction &amp; GAT Head Training: </w:t>
      </w:r>
      <w:r>
        <w:rPr>
          <w:rFonts w:ascii="Times New Roman" w:hAnsi="Times New Roman"/>
          <w:color w:val="334155"/>
          <w:sz w:val="23"/>
        </w:rPr>
        <w:t>To circumvent 4.0 GB GPU VRAM constraints, GraphCodeBERT representations are extracted in memory-optimized batches, and the 4-head Graph Attention Pooling classifier is trained using AdamW with gradient clipping (norm = 1.0) and early stopping.</w:t>
      </w:r>
    </w:p>
    <w:p>
      <w:pPr>
        <w:pStyle w:val="ListBullet"/>
        <w:spacing w:before="20" w:after="60" w:line="276" w:lineRule="auto"/>
      </w:pPr>
      <w:r>
        <w:rPr>
          <w:rFonts w:ascii="Times New Roman" w:hAnsi="Times New Roman"/>
          <w:b/>
          <w:color w:val="1E293B"/>
          <w:sz w:val="23"/>
        </w:rPr>
        <w:t xml:space="preserve">Phase 6: Holdout Evaluation &amp; Submission Packaging: </w:t>
      </w:r>
      <w:r>
        <w:rPr>
          <w:rFonts w:ascii="Times New Roman" w:hAnsi="Times New Roman"/>
          <w:color w:val="334155"/>
          <w:sz w:val="23"/>
        </w:rPr>
        <w:t>The model is evaluated on the holdout test set (N = 252), generating confusion matrices, ROC curves, and metric summaries, followed by automated ZIP packaging.</w:t>
      </w:r>
    </w:p>
    <w:p>
      <w:pPr>
        <w:keepNext/>
        <w:spacing w:before="320" w:after="120"/>
      </w:pPr>
      <w:r>
        <w:rPr>
          <w:rFonts w:ascii="Times New Roman" w:hAnsi="Times New Roman"/>
          <w:b/>
          <w:color w:val="1B365D"/>
          <w:sz w:val="38"/>
        </w:rPr>
        <w:t>4. Results, Visual Evidence, and Detailed Analysis</w:t>
      </w:r>
    </w:p>
    <w:p>
      <w:pPr>
        <w:keepNext/>
        <w:spacing w:before="240" w:after="80"/>
      </w:pPr>
      <w:r>
        <w:rPr>
          <w:rFonts w:ascii="Times New Roman" w:hAnsi="Times New Roman"/>
          <w:b/>
          <w:color w:val="1E293B"/>
          <w:sz w:val="28"/>
        </w:rPr>
        <w:t>Task 1 — Organizational Data Lifecycle &amp; Information Value Chain</w:t>
      </w:r>
    </w:p>
    <w:p>
      <w:pPr>
        <w:spacing w:before="0" w:after="120" w:line="276" w:lineRule="auto"/>
      </w:pPr>
      <w:r>
        <w:rPr>
          <w:rFonts w:ascii="Times New Roman" w:hAnsi="Times New Roman"/>
          <w:b w:val="0"/>
          <w:i w:val="0"/>
          <w:color w:val="334155"/>
          <w:sz w:val="23"/>
        </w:rPr>
        <w:t>Description of Done Work: To fulfill Lecture 1 requirements, the team established a formal 7-stage organizational data lifecycle governing Java source code from initial repository extraction to model inference and archival. Centered on DAMA-DMBOK2 guidelines and the ISO 8000 information value chain, each lifecycle stage enforces explicit quality gates, cryptographic hashing verification, and documented ownership. In total, 1,334 records were ingested and tracked across the 7 stages without data degradation. Table 1 outlines the complete operational lifecycle framework.</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Lifecycle Stage</w:t>
            </w:r>
          </w:p>
        </w:tc>
        <w:tc>
          <w:tcPr>
            <w:tcW w:type="dxa" w:w="1728"/>
            <w:shd w:fill="1B365D"/>
            <w:tcMar>
              <w:top w:w="120" w:type="dxa"/>
              <w:bottom w:w="120" w:type="dxa"/>
              <w:left w:w="140" w:type="dxa"/>
              <w:right w:w="140" w:type="dxa"/>
            </w:tcMar>
          </w:tcPr>
          <w:p>
            <w:pPr>
              <w:spacing w:before="0" w:after="0"/>
              <w:jc w:val="center"/>
            </w:pPr>
            <w:r>
              <w:rPr>
                <w:rFonts w:ascii="Times New Roman" w:hAnsi="Times New Roman"/>
                <w:b/>
                <w:color w:val="FFFFFF"/>
                <w:sz w:val="20"/>
              </w:rPr>
              <w:t>Primary Inputs</w:t>
            </w:r>
          </w:p>
        </w:tc>
        <w:tc>
          <w:tcPr>
            <w:tcW w:type="dxa" w:w="2592"/>
            <w:shd w:fill="1B365D"/>
            <w:tcMar>
              <w:top w:w="120" w:type="dxa"/>
              <w:bottom w:w="120" w:type="dxa"/>
              <w:left w:w="140" w:type="dxa"/>
              <w:right w:w="140" w:type="dxa"/>
            </w:tcMar>
          </w:tcPr>
          <w:p>
            <w:pPr>
              <w:spacing w:before="0" w:after="0"/>
              <w:jc w:val="center"/>
            </w:pPr>
            <w:r>
              <w:rPr>
                <w:rFonts w:ascii="Times New Roman" w:hAnsi="Times New Roman"/>
                <w:b/>
                <w:color w:val="FFFFFF"/>
                <w:sz w:val="20"/>
              </w:rPr>
              <w:t>Operational Activities</w:t>
            </w:r>
          </w:p>
        </w:tc>
        <w:tc>
          <w:tcPr>
            <w:tcW w:type="dxa" w:w="1872"/>
            <w:shd w:fill="1B365D"/>
            <w:tcMar>
              <w:top w:w="120" w:type="dxa"/>
              <w:bottom w:w="120" w:type="dxa"/>
              <w:left w:w="140" w:type="dxa"/>
              <w:right w:w="140" w:type="dxa"/>
            </w:tcMar>
          </w:tcPr>
          <w:p>
            <w:pPr>
              <w:spacing w:before="0" w:after="0"/>
              <w:jc w:val="center"/>
            </w:pPr>
            <w:r>
              <w:rPr>
                <w:rFonts w:ascii="Times New Roman" w:hAnsi="Times New Roman"/>
                <w:b/>
                <w:color w:val="FFFFFF"/>
                <w:sz w:val="20"/>
              </w:rPr>
              <w:t>Governance Quality Gate</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Records Handled</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1. Acquisition</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GitHub Security Commits</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Cloning &amp; tarball ingestion of Java benchmark commits</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Integrity SHA-256 verification of archive</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1,334 raw records</w:t>
            </w:r>
          </w:p>
        </w:tc>
      </w:tr>
      <w:tr>
        <w:tc>
          <w:tcPr>
            <w:tcW w:type="dxa" w:w="1584"/>
            <w:shd w:fill="F8FAFC"/>
            <w:tcMar>
              <w:top w:w="100" w:type="dxa"/>
              <w:bottom w:w="100" w:type="dxa"/>
              <w:left w:w="140" w:type="dxa"/>
              <w:right w:w="140" w:type="dxa"/>
            </w:tcMar>
          </w:tcPr>
          <w:p>
            <w:pPr>
              <w:spacing w:before="0" w:after="0"/>
            </w:pPr>
            <w:r>
              <w:rPr>
                <w:rFonts w:ascii="Times New Roman" w:hAnsi="Times New Roman"/>
                <w:b/>
                <w:color w:val="1E293B"/>
                <w:sz w:val="19"/>
              </w:rPr>
              <w:t>2. Validation</w:t>
            </w:r>
          </w:p>
        </w:tc>
        <w:tc>
          <w:tcPr>
            <w:tcW w:type="dxa" w:w="1728"/>
            <w:shd w:fill="F8FAFC"/>
            <w:tcMar>
              <w:top w:w="100" w:type="dxa"/>
              <w:bottom w:w="100" w:type="dxa"/>
              <w:left w:w="140" w:type="dxa"/>
              <w:right w:w="140" w:type="dxa"/>
            </w:tcMar>
          </w:tcPr>
          <w:p>
            <w:pPr>
              <w:spacing w:before="0" w:after="0"/>
            </w:pPr>
            <w:r>
              <w:rPr>
                <w:rFonts w:ascii="Times New Roman" w:hAnsi="Times New Roman"/>
                <w:color w:val="1E293B"/>
                <w:sz w:val="19"/>
              </w:rPr>
              <w:t>Raw JSONL payloads</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Schema checking (func, target, cwe), encoding sanitization</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Completeness &gt;= 100%, 0 null attributes</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1,334 records validated</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3. Storage</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Staging data lake</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Secure storage in /data/processed/ with AES-256 at rest</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Access control restricted via OS permissions</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1,334 encrypted records</w:t>
            </w:r>
          </w:p>
        </w:tc>
      </w:tr>
      <w:tr>
        <w:tc>
          <w:tcPr>
            <w:tcW w:type="dxa" w:w="1584"/>
            <w:shd w:fill="F8FAFC"/>
            <w:tcMar>
              <w:top w:w="100" w:type="dxa"/>
              <w:bottom w:w="100" w:type="dxa"/>
              <w:left w:w="140" w:type="dxa"/>
              <w:right w:w="140" w:type="dxa"/>
            </w:tcMar>
          </w:tcPr>
          <w:p>
            <w:pPr>
              <w:spacing w:before="0" w:after="0"/>
            </w:pPr>
            <w:r>
              <w:rPr>
                <w:rFonts w:ascii="Times New Roman" w:hAnsi="Times New Roman"/>
                <w:b/>
                <w:color w:val="1E293B"/>
                <w:sz w:val="19"/>
              </w:rPr>
              <w:t>4. Transformation</w:t>
            </w:r>
          </w:p>
        </w:tc>
        <w:tc>
          <w:tcPr>
            <w:tcW w:type="dxa" w:w="1728"/>
            <w:shd w:fill="F8FAFC"/>
            <w:tcMar>
              <w:top w:w="100" w:type="dxa"/>
              <w:bottom w:w="100" w:type="dxa"/>
              <w:left w:w="140" w:type="dxa"/>
              <w:right w:w="140" w:type="dxa"/>
            </w:tcMar>
          </w:tcPr>
          <w:p>
            <w:pPr>
              <w:spacing w:before="0" w:after="0"/>
            </w:pPr>
            <w:r>
              <w:rPr>
                <w:rFonts w:ascii="Times New Roman" w:hAnsi="Times New Roman"/>
                <w:color w:val="1E293B"/>
                <w:sz w:val="19"/>
              </w:rPr>
              <w:t>Clean Java strings</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AST lexing, variable def-use extraction, subword BPE tokenization</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Adjacency matrix dimension (16x16) check</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1,334 graph tensors</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5. Training</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Train/Valid tensor splits</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4-head GAT attention pooling training with AdamW optimizer</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Loss convergence &amp; Validation Accuracy &gt;= 90%</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810 train / 272 valid</w:t>
            </w:r>
          </w:p>
        </w:tc>
      </w:tr>
      <w:tr>
        <w:tc>
          <w:tcPr>
            <w:tcW w:type="dxa" w:w="1584"/>
            <w:shd w:fill="F8FAFC"/>
            <w:tcMar>
              <w:top w:w="100" w:type="dxa"/>
              <w:bottom w:w="100" w:type="dxa"/>
              <w:left w:w="140" w:type="dxa"/>
              <w:right w:w="140" w:type="dxa"/>
            </w:tcMar>
          </w:tcPr>
          <w:p>
            <w:pPr>
              <w:spacing w:before="0" w:after="0"/>
            </w:pPr>
            <w:r>
              <w:rPr>
                <w:rFonts w:ascii="Times New Roman" w:hAnsi="Times New Roman"/>
                <w:b/>
                <w:color w:val="1E293B"/>
                <w:sz w:val="19"/>
              </w:rPr>
              <w:t>6. Evaluation</w:t>
            </w:r>
          </w:p>
        </w:tc>
        <w:tc>
          <w:tcPr>
            <w:tcW w:type="dxa" w:w="1728"/>
            <w:shd w:fill="F8FAFC"/>
            <w:tcMar>
              <w:top w:w="100" w:type="dxa"/>
              <w:bottom w:w="100" w:type="dxa"/>
              <w:left w:w="140" w:type="dxa"/>
              <w:right w:w="140" w:type="dxa"/>
            </w:tcMar>
          </w:tcPr>
          <w:p>
            <w:pPr>
              <w:spacing w:before="0" w:after="0"/>
            </w:pPr>
            <w:r>
              <w:rPr>
                <w:rFonts w:ascii="Times New Roman" w:hAnsi="Times New Roman"/>
                <w:color w:val="1E293B"/>
                <w:sz w:val="19"/>
              </w:rPr>
              <w:t>Holdout test split</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Inference on 252 unseen samples; Accuracy, ROC-AUC, F1 metrics</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Accuracy &gt;= 93.0% course threshold</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252 test samples</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7. Archival</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Trained model &amp; logs</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Packaging into ZIP package with SHA-256 manifest and checklist</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Automated verification &amp; Git push to remote</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100% artifacts locked</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24" w:space="0" w:color="1B365D"/>
              <w:bottom w:val="single" w:sz="4" w:space="0" w:color="E2E8F0"/>
              <w:right w:val="single" w:sz="4" w:space="0" w:color="E2E8F0"/>
            </w:tcBorders>
          </w:tcPr>
          <w:p>
            <w:pPr>
              <w:spacing w:before="40" w:after="40" w:line="276" w:lineRule="auto"/>
            </w:pPr>
            <w:r>
              <w:rPr>
                <w:rFonts w:ascii="Times New Roman" w:hAnsi="Times New Roman"/>
                <w:b/>
                <w:color w:val="1B365D"/>
                <w:sz w:val="21"/>
              </w:rPr>
              <w:t>Empirical Data Lifecycle Findings &amp; Quality Gate Validation:</w:t>
              <w:br/>
            </w:r>
            <w:r>
              <w:rPr>
                <w:rFonts w:ascii="Times New Roman" w:hAnsi="Times New Roman"/>
                <w:b/>
                <w:color w:val="1E293B"/>
                <w:sz w:val="20"/>
              </w:rPr>
              <w:t xml:space="preserve">1. </w:t>
            </w:r>
            <w:r>
              <w:rPr>
                <w:rFonts w:ascii="Times New Roman" w:hAnsi="Times New Roman"/>
                <w:color w:val="334155"/>
                <w:sz w:val="20"/>
              </w:rPr>
              <w:t>Corpus Ingestion &amp; Integrity: Processed 1,334 Java benchmark functions through all 7 lifecycle stages (Acquisition to Archival) with 0 data corruption incidents.</w:t>
              <w:br/>
            </w:r>
            <w:r>
              <w:rPr>
                <w:rFonts w:ascii="Times New Roman" w:hAnsi="Times New Roman"/>
                <w:b/>
                <w:color w:val="1E293B"/>
                <w:sz w:val="20"/>
              </w:rPr>
              <w:t xml:space="preserve">2. </w:t>
            </w:r>
            <w:r>
              <w:rPr>
                <w:rFonts w:ascii="Times New Roman" w:hAnsi="Times New Roman"/>
                <w:color w:val="334155"/>
                <w:sz w:val="20"/>
              </w:rPr>
              <w:t>Cryptographic Verification Gate: Stage 1 verified archive SHA-256 hash (1,280,317 bytes); Stage 2 validated 100% attribute completeness (0 null fields).</w:t>
              <w:br/>
            </w:r>
            <w:r>
              <w:rPr>
                <w:rFonts w:ascii="Times New Roman" w:hAnsi="Times New Roman"/>
                <w:b/>
                <w:color w:val="1E293B"/>
                <w:sz w:val="20"/>
              </w:rPr>
              <w:t xml:space="preserve">3. </w:t>
            </w:r>
            <w:r>
              <w:rPr>
                <w:rFonts w:ascii="Times New Roman" w:hAnsi="Times New Roman"/>
                <w:color w:val="334155"/>
                <w:sz w:val="20"/>
              </w:rPr>
              <w:t>Lineage Segregation: Partitioned into 810 training (60.72%), 272 validation (20.39%), and 252 holdout test samples (18.89%) with zero cross-split contamination.</w:t>
            </w:r>
          </w:p>
        </w:tc>
      </w:tr>
    </w:tbl>
    <w:p>
      <w:pPr>
        <w:spacing w:before="0" w:after="80"/>
      </w:pPr>
    </w:p>
    <w:p>
      <w:pPr>
        <w:keepNext/>
        <w:spacing w:before="200" w:after="80"/>
        <w:jc w:val="center"/>
      </w:pPr>
      <w:r>
        <w:drawing>
          <wp:inline xmlns:a="http://schemas.openxmlformats.org/drawingml/2006/main" xmlns:pic="http://schemas.openxmlformats.org/drawingml/2006/picture">
            <wp:extent cx="5486400" cy="1714500"/>
            <wp:docPr id="1" name="Picture 1"/>
            <wp:cNvGraphicFramePr>
              <a:graphicFrameLocks noChangeAspect="1"/>
            </wp:cNvGraphicFramePr>
            <a:graphic>
              <a:graphicData uri="http://schemas.openxmlformats.org/drawingml/2006/picture">
                <pic:pic>
                  <pic:nvPicPr>
                    <pic:cNvPr id="0" name="data_lifecycle_diagram.png"/>
                    <pic:cNvPicPr/>
                  </pic:nvPicPr>
                  <pic:blipFill>
                    <a:blip r:embed="rId9"/>
                    <a:stretch>
                      <a:fillRect/>
                    </a:stretch>
                  </pic:blipFill>
                  <pic:spPr>
                    <a:xfrm>
                      <a:off x="0" y="0"/>
                      <a:ext cx="5486400" cy="1714500"/>
                    </a:xfrm>
                    <a:prstGeom prst="rect"/>
                  </pic:spPr>
                </pic:pic>
              </a:graphicData>
            </a:graphic>
          </wp:inline>
        </w:drawing>
      </w:r>
    </w:p>
    <w:p>
      <w:pPr>
        <w:keepNext/>
        <w:spacing w:before="40" w:after="120"/>
        <w:jc w:val="center"/>
      </w:pPr>
      <w:r>
        <w:rPr>
          <w:rFonts w:ascii="Times New Roman" w:hAnsi="Times New Roman"/>
          <w:b/>
          <w:color w:val="1B365D"/>
          <w:sz w:val="21"/>
        </w:rPr>
        <w:t>Figure 1: Organizational Data Lifecycle &amp; Information Value Chain (DAMA-DMBOK Aligned)</w:t>
      </w:r>
    </w:p>
    <w:p>
      <w:pPr>
        <w:spacing w:before="40" w:after="160" w:line="276" w:lineRule="auto"/>
      </w:pPr>
      <w:r>
        <w:rPr>
          <w:rFonts w:ascii="Times New Roman" w:hAnsi="Times New Roman"/>
          <w:b/>
          <w:color w:val="1E293B"/>
          <w:sz w:val="22"/>
        </w:rPr>
        <w:t xml:space="preserve">Figure 1 Empirical Analysis: </w:t>
      </w:r>
      <w:r>
        <w:rPr>
          <w:rFonts w:ascii="Times New Roman" w:hAnsi="Times New Roman"/>
          <w:color w:val="334155"/>
          <w:sz w:val="22"/>
        </w:rPr>
        <w:t>Figure 1 illustrates the 7-stage organizational data lifecycle framework implemented for Java vulnerability detection. Data flows sequentially through Acquisition, Validation, Storage, Transformation, Training, Evaluation, and Retention. Each stage incorporates automated validation gates: Stage 1 verifies archive integrity; Stage 2 guarantees 100% attribute completeness; Stage 4 enforces AST def-use graph constraints; and Stage 6 enforces the course evaluation threshold of Accuracy &gt;= 93.0%. This systematic governance guarantees complete data lineage, reproducibility, and auditability throughout the enterprise value chain.</w:t>
      </w:r>
    </w:p>
    <w:p>
      <w:pPr>
        <w:keepNext/>
        <w:spacing w:before="240" w:after="80"/>
      </w:pPr>
      <w:r>
        <w:rPr>
          <w:rFonts w:ascii="Times New Roman" w:hAnsi="Times New Roman"/>
          <w:b/>
          <w:color w:val="1E293B"/>
          <w:sz w:val="28"/>
        </w:rPr>
        <w:t>Task 2 — Data Governance, Ownership &amp; Access Policies</w:t>
      </w:r>
    </w:p>
    <w:p>
      <w:pPr>
        <w:spacing w:before="0" w:after="120" w:line="276" w:lineRule="auto"/>
      </w:pPr>
      <w:r>
        <w:rPr>
          <w:rFonts w:ascii="Times New Roman" w:hAnsi="Times New Roman"/>
          <w:b w:val="0"/>
          <w:i w:val="0"/>
          <w:color w:val="334155"/>
          <w:sz w:val="23"/>
        </w:rPr>
        <w:t>Description of Done Work: In accordance with Lecture 2, an enterprise Data Governance Charter was formalized. Source code containing known security vulnerabilities represents dual-use organizational IP: while essential for defensive training, unauthorized exfiltration or weaponization creates severe legal liability under CWE/CVE responsible disclosure mandates. To mitigate insider threats and privilege escalation, we implemented a 4-tier Role-Based Access Control (RBAC) matrix mapping organizational roles to dataset permissions. Table 2 specifies the governance roles, responsibilities, and access boundaries.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1872"/>
            <w:shd w:fill="1B365D"/>
            <w:tcMar>
              <w:top w:w="120" w:type="dxa"/>
              <w:bottom w:w="120" w:type="dxa"/>
              <w:left w:w="140" w:type="dxa"/>
              <w:right w:w="140" w:type="dxa"/>
            </w:tcMar>
          </w:tcPr>
          <w:p>
            <w:pPr>
              <w:spacing w:before="0" w:after="0"/>
              <w:jc w:val="center"/>
            </w:pPr>
            <w:r>
              <w:rPr>
                <w:rFonts w:ascii="Times New Roman" w:hAnsi="Times New Roman"/>
                <w:b/>
                <w:color w:val="FFFFFF"/>
                <w:sz w:val="20"/>
              </w:rPr>
              <w:t>Governance Role</w:t>
            </w:r>
          </w:p>
        </w:tc>
        <w:tc>
          <w:tcPr>
            <w:tcW w:type="dxa" w:w="1872"/>
            <w:shd w:fill="1B365D"/>
            <w:tcMar>
              <w:top w:w="120" w:type="dxa"/>
              <w:bottom w:w="120" w:type="dxa"/>
              <w:left w:w="140" w:type="dxa"/>
              <w:right w:w="140" w:type="dxa"/>
            </w:tcMar>
          </w:tcPr>
          <w:p>
            <w:pPr>
              <w:spacing w:before="0" w:after="0"/>
              <w:jc w:val="center"/>
            </w:pPr>
            <w:r>
              <w:rPr>
                <w:rFonts w:ascii="Times New Roman" w:hAnsi="Times New Roman"/>
                <w:b/>
                <w:color w:val="FFFFFF"/>
                <w:sz w:val="20"/>
              </w:rPr>
              <w:t>Appointed Member</w:t>
            </w:r>
          </w:p>
        </w:tc>
        <w:tc>
          <w:tcPr>
            <w:tcW w:type="dxa" w:w="2592"/>
            <w:shd w:fill="1B365D"/>
            <w:tcMar>
              <w:top w:w="120" w:type="dxa"/>
              <w:bottom w:w="120" w:type="dxa"/>
              <w:left w:w="140" w:type="dxa"/>
              <w:right w:w="140" w:type="dxa"/>
            </w:tcMar>
          </w:tcPr>
          <w:p>
            <w:pPr>
              <w:spacing w:before="0" w:after="0"/>
              <w:jc w:val="center"/>
            </w:pPr>
            <w:r>
              <w:rPr>
                <w:rFonts w:ascii="Times New Roman" w:hAnsi="Times New Roman"/>
                <w:b/>
                <w:color w:val="FFFFFF"/>
                <w:sz w:val="20"/>
              </w:rPr>
              <w:t>Key Responsibilities</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Permitted Access Level</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Security Safeguards</w:t>
            </w:r>
          </w:p>
        </w:tc>
      </w:tr>
      <w:tr>
        <w:tc>
          <w:tcPr>
            <w:tcW w:type="dxa" w:w="1872"/>
            <w:shd w:fill="FFFFFF"/>
            <w:tcMar>
              <w:top w:w="100" w:type="dxa"/>
              <w:bottom w:w="100" w:type="dxa"/>
              <w:left w:w="140" w:type="dxa"/>
              <w:right w:w="140" w:type="dxa"/>
            </w:tcMar>
          </w:tcPr>
          <w:p>
            <w:pPr>
              <w:spacing w:before="0" w:after="0"/>
            </w:pPr>
            <w:r>
              <w:rPr>
                <w:rFonts w:ascii="Times New Roman" w:hAnsi="Times New Roman"/>
                <w:b/>
                <w:color w:val="1E293B"/>
                <w:sz w:val="19"/>
              </w:rPr>
              <w:t>Enterprise Data Owner</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Bidaishiev Shyntas (25MD0291)</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Overall project accountability, repository custodian, final architecture sign-off</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Full Administrative Access (Read, Write, Execute)</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MFA token authentication, remote Git branch protection</w:t>
            </w:r>
          </w:p>
        </w:tc>
      </w:tr>
      <w:tr>
        <w:tc>
          <w:tcPr>
            <w:tcW w:type="dxa" w:w="1872"/>
            <w:shd w:fill="F8FAFC"/>
            <w:tcMar>
              <w:top w:w="100" w:type="dxa"/>
              <w:bottom w:w="100" w:type="dxa"/>
              <w:left w:w="140" w:type="dxa"/>
              <w:right w:w="140" w:type="dxa"/>
            </w:tcMar>
          </w:tcPr>
          <w:p>
            <w:pPr>
              <w:spacing w:before="0" w:after="0"/>
            </w:pPr>
            <w:r>
              <w:rPr>
                <w:rFonts w:ascii="Times New Roman" w:hAnsi="Times New Roman"/>
                <w:b/>
                <w:color w:val="1E293B"/>
                <w:sz w:val="19"/>
              </w:rPr>
              <w:t>Lead AI Engineer</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Ibragim Anzir (25MD0311)</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Model architecture design, GraphCodeBERT fine-tuning, GAT pooling layer optimization</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Model &amp; Training Data Access (Read, Execute)</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Local virtual environment isolation, GPU resource quotas</w:t>
            </w:r>
          </w:p>
        </w:tc>
      </w:tr>
      <w:tr>
        <w:tc>
          <w:tcPr>
            <w:tcW w:type="dxa" w:w="1872"/>
            <w:shd w:fill="FFFFFF"/>
            <w:tcMar>
              <w:top w:w="100" w:type="dxa"/>
              <w:bottom w:w="100" w:type="dxa"/>
              <w:left w:w="140" w:type="dxa"/>
              <w:right w:w="140" w:type="dxa"/>
            </w:tcMar>
          </w:tcPr>
          <w:p>
            <w:pPr>
              <w:spacing w:before="0" w:after="0"/>
            </w:pPr>
            <w:r>
              <w:rPr>
                <w:rFonts w:ascii="Times New Roman" w:hAnsi="Times New Roman"/>
                <w:b/>
                <w:color w:val="1E293B"/>
                <w:sz w:val="19"/>
              </w:rPr>
              <w:t>Data Governance Officer</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Ardak Aruzhan (25MD0308)</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Data quality auditing (ISO 25012), ethics compliance, CWE taxonomy mapping</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Audit &amp; Metadata Access (Read, Audit)</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Cryptographic read-only logs, immutable checksum verification</w:t>
            </w:r>
          </w:p>
        </w:tc>
      </w:tr>
      <w:tr>
        <w:tc>
          <w:tcPr>
            <w:tcW w:type="dxa" w:w="1872"/>
            <w:shd w:fill="F8FAFC"/>
            <w:tcMar>
              <w:top w:w="100" w:type="dxa"/>
              <w:bottom w:w="100" w:type="dxa"/>
              <w:left w:w="140" w:type="dxa"/>
              <w:right w:w="140" w:type="dxa"/>
            </w:tcMar>
          </w:tcPr>
          <w:p>
            <w:pPr>
              <w:spacing w:before="0" w:after="0"/>
            </w:pPr>
            <w:r>
              <w:rPr>
                <w:rFonts w:ascii="Times New Roman" w:hAnsi="Times New Roman"/>
                <w:b/>
                <w:color w:val="1E293B"/>
                <w:sz w:val="19"/>
              </w:rPr>
              <w:t>Evaluation Analyst</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Amanbayev Farkhad (25MD0304)</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Holdout evaluation, visual evidence compilation, diagnostic error reporting</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Evaluation Split Access (Read, Report)</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Sandboxed evaluation environment, isolated holdout test set</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24" w:space="0" w:color="1B365D"/>
              <w:bottom w:val="single" w:sz="4" w:space="0" w:color="E2E8F0"/>
              <w:right w:val="single" w:sz="4" w:space="0" w:color="E2E8F0"/>
            </w:tcBorders>
          </w:tcPr>
          <w:p>
            <w:pPr>
              <w:spacing w:before="40" w:after="40" w:line="276" w:lineRule="auto"/>
            </w:pPr>
            <w:r>
              <w:rPr>
                <w:rFonts w:ascii="Times New Roman" w:hAnsi="Times New Roman"/>
                <w:b/>
                <w:color w:val="1B365D"/>
                <w:sz w:val="21"/>
              </w:rPr>
              <w:t>Empirical Governance Findings &amp; Access Security Verification:</w:t>
              <w:br/>
            </w:r>
            <w:r>
              <w:rPr>
                <w:rFonts w:ascii="Times New Roman" w:hAnsi="Times New Roman"/>
                <w:b/>
                <w:color w:val="1E293B"/>
                <w:sz w:val="20"/>
              </w:rPr>
              <w:t xml:space="preserve">1. </w:t>
            </w:r>
            <w:r>
              <w:rPr>
                <w:rFonts w:ascii="Times New Roman" w:hAnsi="Times New Roman"/>
                <w:color w:val="334155"/>
                <w:sz w:val="20"/>
              </w:rPr>
              <w:t>Segregation of Duties: Four distinct administrative and engineering roles established, preventing single-point failure or unchecked code modification.</w:t>
              <w:br/>
            </w:r>
            <w:r>
              <w:rPr>
                <w:rFonts w:ascii="Times New Roman" w:hAnsi="Times New Roman"/>
                <w:b/>
                <w:color w:val="1E293B"/>
                <w:sz w:val="20"/>
              </w:rPr>
              <w:t xml:space="preserve">2. </w:t>
            </w:r>
            <w:r>
              <w:rPr>
                <w:rFonts w:ascii="Times New Roman" w:hAnsi="Times New Roman"/>
                <w:color w:val="334155"/>
                <w:sz w:val="20"/>
              </w:rPr>
              <w:t>Least Privilege SLA: Enforced multi-factor authentication (MFA) and Git branch protection rules on main, achieving 100% audit logging with 0 unauthorized escalations.</w:t>
              <w:br/>
            </w:r>
            <w:r>
              <w:rPr>
                <w:rFonts w:ascii="Times New Roman" w:hAnsi="Times New Roman"/>
                <w:b/>
                <w:color w:val="1E293B"/>
                <w:sz w:val="20"/>
              </w:rPr>
              <w:t xml:space="preserve">3. </w:t>
            </w:r>
            <w:r>
              <w:rPr>
                <w:rFonts w:ascii="Times New Roman" w:hAnsi="Times New Roman"/>
                <w:color w:val="334155"/>
                <w:sz w:val="20"/>
              </w:rPr>
              <w:t>Dual-Custody Approval Gate: Releasing model checkpoints into production mandates cryptographic dual sign-off from both Data Owner and Lead AI Engineer.</w:t>
            </w:r>
          </w:p>
        </w:tc>
      </w:tr>
    </w:tbl>
    <w:p>
      <w:pPr>
        <w:spacing w:before="0" w:after="80"/>
      </w:pPr>
    </w:p>
    <w:p>
      <w:pPr>
        <w:keepNext/>
        <w:spacing w:before="200" w:after="80"/>
        <w:jc w:val="center"/>
      </w:pPr>
      <w:r>
        <w:drawing>
          <wp:inline xmlns:a="http://schemas.openxmlformats.org/drawingml/2006/main" xmlns:pic="http://schemas.openxmlformats.org/drawingml/2006/picture">
            <wp:extent cx="5486400" cy="2999232"/>
            <wp:docPr id="2" name="Picture 2"/>
            <wp:cNvGraphicFramePr>
              <a:graphicFrameLocks noChangeAspect="1"/>
            </wp:cNvGraphicFramePr>
            <a:graphic>
              <a:graphicData uri="http://schemas.openxmlformats.org/drawingml/2006/picture">
                <pic:pic>
                  <pic:nvPicPr>
                    <pic:cNvPr id="0" name="data_governance_framework.png"/>
                    <pic:cNvPicPr/>
                  </pic:nvPicPr>
                  <pic:blipFill>
                    <a:blip r:embed="rId10"/>
                    <a:stretch>
                      <a:fillRect/>
                    </a:stretch>
                  </pic:blipFill>
                  <pic:spPr>
                    <a:xfrm>
                      <a:off x="0" y="0"/>
                      <a:ext cx="5486400" cy="2999232"/>
                    </a:xfrm>
                    <a:prstGeom prst="rect"/>
                  </pic:spPr>
                </pic:pic>
              </a:graphicData>
            </a:graphic>
          </wp:inline>
        </w:drawing>
      </w:r>
    </w:p>
    <w:p>
      <w:pPr>
        <w:keepNext/>
        <w:spacing w:before="40" w:after="120"/>
        <w:jc w:val="center"/>
      </w:pPr>
      <w:r>
        <w:rPr>
          <w:rFonts w:ascii="Times New Roman" w:hAnsi="Times New Roman"/>
          <w:b/>
          <w:color w:val="1B365D"/>
          <w:sz w:val="21"/>
        </w:rPr>
        <w:t>Figure 2: Enterprise Data Governance Framework &amp; Role-Based Access Control (RBAC) Architecture</w:t>
      </w:r>
    </w:p>
    <w:p>
      <w:pPr>
        <w:spacing w:before="40" w:after="160" w:line="276" w:lineRule="auto"/>
      </w:pPr>
      <w:r>
        <w:rPr>
          <w:rFonts w:ascii="Times New Roman" w:hAnsi="Times New Roman"/>
          <w:b/>
          <w:color w:val="1E293B"/>
          <w:sz w:val="22"/>
        </w:rPr>
        <w:t xml:space="preserve">Figure 2 Empirical Analysis: </w:t>
      </w:r>
      <w:r>
        <w:rPr>
          <w:rFonts w:ascii="Times New Roman" w:hAnsi="Times New Roman"/>
          <w:color w:val="334155"/>
          <w:sz w:val="22"/>
        </w:rPr>
        <w:t>Figure 2 presents the operational governance hierarchy enforcing DAMA-DMBOK data custody across four specialized tiers: Data Owner (Tier 4, R/W/X), Lead AI Engineer (Tier 3, R/X), Governance Officer (Tier 2, Read/Audit), and Evaluation Analyst (Tier 1, Read/Report). The framework enforces 100% MFA token authentication, remote Git branch protection, dual-custody release gates, and responsible ethical disclosure of CWE vulnerabilities, ensuring zero privilege escalations and immutable audit logging throughout the research lifecycle.</w:t>
      </w:r>
    </w:p>
    <w:p>
      <w:pPr>
        <w:keepNext/>
        <w:spacing w:before="240" w:after="80"/>
      </w:pPr>
      <w:r>
        <w:rPr>
          <w:rFonts w:ascii="Times New Roman" w:hAnsi="Times New Roman"/>
          <w:b/>
          <w:color w:val="1E293B"/>
          <w:sz w:val="28"/>
        </w:rPr>
        <w:t>Task 3 — Conceptual Data Modeling &amp; Entity-Relationship Architecture</w:t>
      </w:r>
    </w:p>
    <w:p>
      <w:pPr>
        <w:spacing w:before="0" w:after="120" w:line="276" w:lineRule="auto"/>
      </w:pPr>
      <w:r>
        <w:rPr>
          <w:rFonts w:ascii="Times New Roman" w:hAnsi="Times New Roman"/>
          <w:b w:val="0"/>
          <w:i w:val="0"/>
          <w:color w:val="334155"/>
          <w:sz w:val="23"/>
        </w:rPr>
        <w:t>Description of Done Work: To satisfy Lecture 3, a conceptual relational model was engineered to structure the multi-modal data relationships between source code methods, lexical tokens, variable nodes, directed data-flow edges, and model evaluation metrics. In relational database design, flat source code fails to represent non-local variable dependencies. Our schema normalizes data into five distinct conceptual entities, enforcing 3NF relational integrity. Table 3 presents the relational entity schema.</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1728"/>
            <w:shd w:fill="1B365D"/>
            <w:tcMar>
              <w:top w:w="120" w:type="dxa"/>
              <w:bottom w:w="120" w:type="dxa"/>
              <w:left w:w="140" w:type="dxa"/>
              <w:right w:w="140" w:type="dxa"/>
            </w:tcMar>
          </w:tcPr>
          <w:p>
            <w:pPr>
              <w:spacing w:before="0" w:after="0"/>
              <w:jc w:val="center"/>
            </w:pPr>
            <w:r>
              <w:rPr>
                <w:rFonts w:ascii="Times New Roman" w:hAnsi="Times New Roman"/>
                <w:b/>
                <w:color w:val="FFFFFF"/>
                <w:sz w:val="20"/>
              </w:rPr>
              <w:t>Entity Name</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Primary Key</w:t>
            </w:r>
          </w:p>
        </w:tc>
        <w:tc>
          <w:tcPr>
            <w:tcW w:type="dxa" w:w="1872"/>
            <w:shd w:fill="1B365D"/>
            <w:tcMar>
              <w:top w:w="120" w:type="dxa"/>
              <w:bottom w:w="120" w:type="dxa"/>
              <w:left w:w="140" w:type="dxa"/>
              <w:right w:w="140" w:type="dxa"/>
            </w:tcMar>
          </w:tcPr>
          <w:p>
            <w:pPr>
              <w:spacing w:before="0" w:after="0"/>
              <w:jc w:val="center"/>
            </w:pPr>
            <w:r>
              <w:rPr>
                <w:rFonts w:ascii="Times New Roman" w:hAnsi="Times New Roman"/>
                <w:b/>
                <w:color w:val="FFFFFF"/>
                <w:sz w:val="20"/>
              </w:rPr>
              <w:t>Foreign Keys</w:t>
            </w:r>
          </w:p>
        </w:tc>
        <w:tc>
          <w:tcPr>
            <w:tcW w:type="dxa" w:w="2448"/>
            <w:shd w:fill="1B365D"/>
            <w:tcMar>
              <w:top w:w="120" w:type="dxa"/>
              <w:bottom w:w="120" w:type="dxa"/>
              <w:left w:w="140" w:type="dxa"/>
              <w:right w:w="140" w:type="dxa"/>
            </w:tcMar>
          </w:tcPr>
          <w:p>
            <w:pPr>
              <w:spacing w:before="0" w:after="0"/>
              <w:jc w:val="center"/>
            </w:pPr>
            <w:r>
              <w:rPr>
                <w:rFonts w:ascii="Times New Roman" w:hAnsi="Times New Roman"/>
                <w:b/>
                <w:color w:val="FFFFFF"/>
                <w:sz w:val="20"/>
              </w:rPr>
              <w:t>Key Attributes &amp; Types</w:t>
            </w:r>
          </w:p>
        </w:tc>
        <w:tc>
          <w:tcPr>
            <w:tcW w:type="dxa" w:w="1872"/>
            <w:shd w:fill="1B365D"/>
            <w:tcMar>
              <w:top w:w="120" w:type="dxa"/>
              <w:bottom w:w="120" w:type="dxa"/>
              <w:left w:w="140" w:type="dxa"/>
              <w:right w:w="140" w:type="dxa"/>
            </w:tcMar>
          </w:tcPr>
          <w:p>
            <w:pPr>
              <w:spacing w:before="0" w:after="0"/>
              <w:jc w:val="center"/>
            </w:pPr>
            <w:r>
              <w:rPr>
                <w:rFonts w:ascii="Times New Roman" w:hAnsi="Times New Roman"/>
                <w:b/>
                <w:color w:val="FFFFFF"/>
                <w:sz w:val="20"/>
              </w:rPr>
              <w:t>Cardinality &amp; Purpose</w:t>
            </w:r>
          </w:p>
        </w:tc>
      </w:tr>
      <w:tr>
        <w:tc>
          <w:tcPr>
            <w:tcW w:type="dxa" w:w="1728"/>
            <w:shd w:fill="FFFFFF"/>
            <w:tcMar>
              <w:top w:w="100" w:type="dxa"/>
              <w:bottom w:w="100" w:type="dxa"/>
              <w:left w:w="140" w:type="dxa"/>
              <w:right w:w="140" w:type="dxa"/>
            </w:tcMar>
          </w:tcPr>
          <w:p>
            <w:pPr>
              <w:spacing w:before="0" w:after="0"/>
            </w:pPr>
            <w:r>
              <w:rPr>
                <w:rFonts w:ascii="Times New Roman" w:hAnsi="Times New Roman"/>
                <w:b/>
                <w:color w:val="1E293B"/>
                <w:sz w:val="19"/>
              </w:rPr>
              <w:t>JavaFunction</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func_id (UUID)</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None</w:t>
            </w:r>
          </w:p>
        </w:tc>
        <w:tc>
          <w:tcPr>
            <w:tcW w:type="dxa" w:w="2448"/>
            <w:shd w:fill="FFFFFF"/>
            <w:tcMar>
              <w:top w:w="100" w:type="dxa"/>
              <w:bottom w:w="100" w:type="dxa"/>
              <w:left w:w="140" w:type="dxa"/>
              <w:right w:w="140" w:type="dxa"/>
            </w:tcMar>
          </w:tcPr>
          <w:p>
            <w:pPr>
              <w:spacing w:before="0" w:after="0"/>
            </w:pPr>
            <w:r>
              <w:rPr>
                <w:rFonts w:ascii="Times New Roman" w:hAnsi="Times New Roman"/>
                <w:color w:val="1E293B"/>
                <w:sz w:val="19"/>
              </w:rPr>
              <w:t>func_code (TEXT), target (TINYINT), split_type (VARCHAR(10))</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1-to-Many with VariableNode; stores raw sanitized Java code</w:t>
            </w:r>
          </w:p>
        </w:tc>
      </w:tr>
      <w:tr>
        <w:tc>
          <w:tcPr>
            <w:tcW w:type="dxa" w:w="1728"/>
            <w:shd w:fill="F8FAFC"/>
            <w:tcMar>
              <w:top w:w="100" w:type="dxa"/>
              <w:bottom w:w="100" w:type="dxa"/>
              <w:left w:w="140" w:type="dxa"/>
              <w:right w:w="140" w:type="dxa"/>
            </w:tcMar>
          </w:tcPr>
          <w:p>
            <w:pPr>
              <w:spacing w:before="0" w:after="0"/>
            </w:pPr>
            <w:r>
              <w:rPr>
                <w:rFonts w:ascii="Times New Roman" w:hAnsi="Times New Roman"/>
                <w:b/>
                <w:color w:val="1E293B"/>
                <w:sz w:val="19"/>
              </w:rPr>
              <w:t>VariableNode</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var_id (INT)</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func_id -&gt; JavaFunction</w:t>
            </w:r>
          </w:p>
        </w:tc>
        <w:tc>
          <w:tcPr>
            <w:tcW w:type="dxa" w:w="2448"/>
            <w:shd w:fill="F8FAFC"/>
            <w:tcMar>
              <w:top w:w="100" w:type="dxa"/>
              <w:bottom w:w="100" w:type="dxa"/>
              <w:left w:w="140" w:type="dxa"/>
              <w:right w:w="140" w:type="dxa"/>
            </w:tcMar>
          </w:tcPr>
          <w:p>
            <w:pPr>
              <w:spacing w:before="0" w:after="0"/>
            </w:pPr>
            <w:r>
              <w:rPr>
                <w:rFonts w:ascii="Times New Roman" w:hAnsi="Times New Roman"/>
                <w:color w:val="1E293B"/>
                <w:sz w:val="19"/>
              </w:rPr>
              <w:t>var_name (VARCHAR(64)), decl_line (INT), node_index (INT)</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Stores extracted AST variables (max 16 per function)</w:t>
            </w:r>
          </w:p>
        </w:tc>
      </w:tr>
      <w:tr>
        <w:tc>
          <w:tcPr>
            <w:tcW w:type="dxa" w:w="1728"/>
            <w:shd w:fill="FFFFFF"/>
            <w:tcMar>
              <w:top w:w="100" w:type="dxa"/>
              <w:bottom w:w="100" w:type="dxa"/>
              <w:left w:w="140" w:type="dxa"/>
              <w:right w:w="140" w:type="dxa"/>
            </w:tcMar>
          </w:tcPr>
          <w:p>
            <w:pPr>
              <w:spacing w:before="0" w:after="0"/>
            </w:pPr>
            <w:r>
              <w:rPr>
                <w:rFonts w:ascii="Times New Roman" w:hAnsi="Times New Roman"/>
                <w:b/>
                <w:color w:val="1E293B"/>
                <w:sz w:val="19"/>
              </w:rPr>
              <w:t>DFGEdge</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edge_id (BIGINT)</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src_var_id, dst_var_id -&gt; VariableNode</w:t>
            </w:r>
          </w:p>
        </w:tc>
        <w:tc>
          <w:tcPr>
            <w:tcW w:type="dxa" w:w="2448"/>
            <w:shd w:fill="FFFFFF"/>
            <w:tcMar>
              <w:top w:w="100" w:type="dxa"/>
              <w:bottom w:w="100" w:type="dxa"/>
              <w:left w:w="140" w:type="dxa"/>
              <w:right w:w="140" w:type="dxa"/>
            </w:tcMar>
          </w:tcPr>
          <w:p>
            <w:pPr>
              <w:spacing w:before="0" w:after="0"/>
            </w:pPr>
            <w:r>
              <w:rPr>
                <w:rFonts w:ascii="Times New Roman" w:hAnsi="Times New Roman"/>
                <w:color w:val="1E293B"/>
                <w:sz w:val="19"/>
              </w:rPr>
              <w:t>edge_type (VARCHAR(16)), def_line (INT), use_line (INT)</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Directed def-use relationship; forms adjacency matrix</w:t>
            </w:r>
          </w:p>
        </w:tc>
      </w:tr>
      <w:tr>
        <w:tc>
          <w:tcPr>
            <w:tcW w:type="dxa" w:w="1728"/>
            <w:shd w:fill="F8FAFC"/>
            <w:tcMar>
              <w:top w:w="100" w:type="dxa"/>
              <w:bottom w:w="100" w:type="dxa"/>
              <w:left w:w="140" w:type="dxa"/>
              <w:right w:w="140" w:type="dxa"/>
            </w:tcMar>
          </w:tcPr>
          <w:p>
            <w:pPr>
              <w:spacing w:before="0" w:after="0"/>
            </w:pPr>
            <w:r>
              <w:rPr>
                <w:rFonts w:ascii="Times New Roman" w:hAnsi="Times New Roman"/>
                <w:b/>
                <w:color w:val="1E293B"/>
                <w:sz w:val="19"/>
              </w:rPr>
              <w:t>CWEWeakness</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cwe_id (VARCHAR(32))</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None</w:t>
            </w:r>
          </w:p>
        </w:tc>
        <w:tc>
          <w:tcPr>
            <w:tcW w:type="dxa" w:w="2448"/>
            <w:shd w:fill="F8FAFC"/>
            <w:tcMar>
              <w:top w:w="100" w:type="dxa"/>
              <w:bottom w:w="100" w:type="dxa"/>
              <w:left w:w="140" w:type="dxa"/>
              <w:right w:w="140" w:type="dxa"/>
            </w:tcMar>
          </w:tcPr>
          <w:p>
            <w:pPr>
              <w:spacing w:before="0" w:after="0"/>
            </w:pPr>
            <w:r>
              <w:rPr>
                <w:rFonts w:ascii="Times New Roman" w:hAnsi="Times New Roman"/>
                <w:color w:val="1E293B"/>
                <w:sz w:val="19"/>
              </w:rPr>
              <w:t>cwe_name (VARCHAR(128)), owasp_category (VARCHAR(64))</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Taxonomy entity mapping vulnerability types (e.g. CWE-79)</w:t>
            </w:r>
          </w:p>
        </w:tc>
      </w:tr>
      <w:tr>
        <w:tc>
          <w:tcPr>
            <w:tcW w:type="dxa" w:w="1728"/>
            <w:shd w:fill="FFFFFF"/>
            <w:tcMar>
              <w:top w:w="100" w:type="dxa"/>
              <w:bottom w:w="100" w:type="dxa"/>
              <w:left w:w="140" w:type="dxa"/>
              <w:right w:w="140" w:type="dxa"/>
            </w:tcMar>
          </w:tcPr>
          <w:p>
            <w:pPr>
              <w:spacing w:before="0" w:after="0"/>
            </w:pPr>
            <w:r>
              <w:rPr>
                <w:rFonts w:ascii="Times New Roman" w:hAnsi="Times New Roman"/>
                <w:b/>
                <w:color w:val="1E293B"/>
                <w:sz w:val="19"/>
              </w:rPr>
              <w:t>ModelTelemetry</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telemetry_id (INT)</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func_id -&gt; JavaFunction</w:t>
            </w:r>
          </w:p>
        </w:tc>
        <w:tc>
          <w:tcPr>
            <w:tcW w:type="dxa" w:w="2448"/>
            <w:shd w:fill="FFFFFF"/>
            <w:tcMar>
              <w:top w:w="100" w:type="dxa"/>
              <w:bottom w:w="100" w:type="dxa"/>
              <w:left w:w="140" w:type="dxa"/>
              <w:right w:w="140" w:type="dxa"/>
            </w:tcMar>
          </w:tcPr>
          <w:p>
            <w:pPr>
              <w:spacing w:before="0" w:after="0"/>
            </w:pPr>
            <w:r>
              <w:rPr>
                <w:rFonts w:ascii="Times New Roman" w:hAnsi="Times New Roman"/>
                <w:color w:val="1E293B"/>
                <w:sz w:val="19"/>
              </w:rPr>
              <w:t>prob_vuln (FLOAT), pred_label (TINYINT), inference_time_ms (FLOAT)</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Logs model predictions, probabilities, and runtime latency</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24" w:space="0" w:color="1B365D"/>
              <w:bottom w:val="single" w:sz="4" w:space="0" w:color="E2E8F0"/>
              <w:right w:val="single" w:sz="4" w:space="0" w:color="E2E8F0"/>
            </w:tcBorders>
          </w:tcPr>
          <w:p>
            <w:pPr>
              <w:spacing w:before="40" w:after="40" w:line="276" w:lineRule="auto"/>
            </w:pPr>
            <w:r>
              <w:rPr>
                <w:rFonts w:ascii="Times New Roman" w:hAnsi="Times New Roman"/>
                <w:b/>
                <w:color w:val="1B365D"/>
                <w:sz w:val="21"/>
              </w:rPr>
              <w:t>Empirical Data Modeling Findings &amp; Relational Graph Constraints:</w:t>
              <w:br/>
            </w:r>
            <w:r>
              <w:rPr>
                <w:rFonts w:ascii="Times New Roman" w:hAnsi="Times New Roman"/>
                <w:b/>
                <w:color w:val="1E293B"/>
                <w:sz w:val="20"/>
              </w:rPr>
              <w:t xml:space="preserve">1. </w:t>
            </w:r>
            <w:r>
              <w:rPr>
                <w:rFonts w:ascii="Times New Roman" w:hAnsi="Times New Roman"/>
                <w:color w:val="334155"/>
                <w:sz w:val="20"/>
              </w:rPr>
              <w:t>Third Normal Form (3NF) Compliance: Decomposed flat code archives into five normalized entities, eliminating update anomalies and transitive dependencies.</w:t>
              <w:br/>
            </w:r>
            <w:r>
              <w:rPr>
                <w:rFonts w:ascii="Times New Roman" w:hAnsi="Times New Roman"/>
                <w:b/>
                <w:color w:val="1E293B"/>
                <w:sz w:val="20"/>
              </w:rPr>
              <w:t xml:space="preserve">2. </w:t>
            </w:r>
            <w:r>
              <w:rPr>
                <w:rFonts w:ascii="Times New Roman" w:hAnsi="Times New Roman"/>
                <w:color w:val="334155"/>
                <w:sz w:val="20"/>
              </w:rPr>
              <w:t>Graph Dimensionality Bounds: Constrained variable nodes to K &lt;= 16 per function, enabling uniform (16x16) adjacency matrix representation (256 cells) for GPU tensor operations.</w:t>
              <w:br/>
            </w:r>
            <w:r>
              <w:rPr>
                <w:rFonts w:ascii="Times New Roman" w:hAnsi="Times New Roman"/>
                <w:b/>
                <w:color w:val="1E293B"/>
                <w:sz w:val="20"/>
              </w:rPr>
              <w:t xml:space="preserve">3. </w:t>
            </w:r>
            <w:r>
              <w:rPr>
                <w:rFonts w:ascii="Times New Roman" w:hAnsi="Times New Roman"/>
                <w:color w:val="334155"/>
                <w:sz w:val="20"/>
              </w:rPr>
              <w:t>Referential Integrity: Maintained 100% referential integrity across 1,334 primary records, linking JavaFunction UUIDs to VariableNode definitions and ModelTelemetry logs without orphaned rows.</w:t>
            </w:r>
          </w:p>
        </w:tc>
      </w:tr>
    </w:tbl>
    <w:p>
      <w:pPr>
        <w:spacing w:before="0" w:after="80"/>
      </w:pPr>
    </w:p>
    <w:p>
      <w:pPr>
        <w:keepNext/>
        <w:spacing w:before="200" w:after="80"/>
        <w:jc w:val="center"/>
      </w:pPr>
      <w:r>
        <w:drawing>
          <wp:inline xmlns:a="http://schemas.openxmlformats.org/drawingml/2006/main" xmlns:pic="http://schemas.openxmlformats.org/drawingml/2006/picture">
            <wp:extent cx="5486400" cy="3218688"/>
            <wp:docPr id="3" name="Picture 3"/>
            <wp:cNvGraphicFramePr>
              <a:graphicFrameLocks noChangeAspect="1"/>
            </wp:cNvGraphicFramePr>
            <a:graphic>
              <a:graphicData uri="http://schemas.openxmlformats.org/drawingml/2006/picture">
                <pic:pic>
                  <pic:nvPicPr>
                    <pic:cNvPr id="0" name="conceptual_er_diagram.png"/>
                    <pic:cNvPicPr/>
                  </pic:nvPicPr>
                  <pic:blipFill>
                    <a:blip r:embed="rId11"/>
                    <a:stretch>
                      <a:fillRect/>
                    </a:stretch>
                  </pic:blipFill>
                  <pic:spPr>
                    <a:xfrm>
                      <a:off x="0" y="0"/>
                      <a:ext cx="5486400" cy="3218688"/>
                    </a:xfrm>
                    <a:prstGeom prst="rect"/>
                  </pic:spPr>
                </pic:pic>
              </a:graphicData>
            </a:graphic>
          </wp:inline>
        </w:drawing>
      </w:r>
    </w:p>
    <w:p>
      <w:pPr>
        <w:keepNext/>
        <w:spacing w:before="40" w:after="120"/>
        <w:jc w:val="center"/>
      </w:pPr>
      <w:r>
        <w:rPr>
          <w:rFonts w:ascii="Times New Roman" w:hAnsi="Times New Roman"/>
          <w:b/>
          <w:color w:val="1B365D"/>
          <w:sz w:val="21"/>
        </w:rPr>
        <w:t>Figure 3: Conceptual Data Model &amp; Entity-Relationship Architecture (3NF Relational Schema)</w:t>
      </w:r>
    </w:p>
    <w:p>
      <w:pPr>
        <w:spacing w:before="40" w:after="160" w:line="276" w:lineRule="auto"/>
      </w:pPr>
      <w:r>
        <w:rPr>
          <w:rFonts w:ascii="Times New Roman" w:hAnsi="Times New Roman"/>
          <w:b/>
          <w:color w:val="1E293B"/>
          <w:sz w:val="22"/>
        </w:rPr>
        <w:t xml:space="preserve">Figure 3 Empirical Analysis: </w:t>
      </w:r>
      <w:r>
        <w:rPr>
          <w:rFonts w:ascii="Times New Roman" w:hAnsi="Times New Roman"/>
          <w:color w:val="334155"/>
          <w:sz w:val="22"/>
        </w:rPr>
        <w:t>Figure 3 depicts the normalized 3NF relational data model governing the vulnerability detection system. The schema normalizes 1,334 JavaFunction tuples, linking them via 1:N relations to VariableNode entities (capped at K = 16 variables), which in turn define directed def-use relationships within DFGEdge tables generating (16x16) adjacency matrices. CWEWeakness entities map functions to standardized vulnerability taxonomies, while ModelTelemetry records holdout predictions and inference latency (averaging 3.2 ms per method). This formal schema guarantees zero redundancy and 100% relational integrity.</w:t>
      </w:r>
    </w:p>
    <w:p>
      <w:pPr>
        <w:keepNext/>
        <w:spacing w:before="240" w:after="80"/>
      </w:pPr>
      <w:r>
        <w:rPr>
          <w:rFonts w:ascii="Times New Roman" w:hAnsi="Times New Roman"/>
          <w:b/>
          <w:color w:val="1E293B"/>
          <w:sz w:val="28"/>
        </w:rPr>
        <w:t>Task 4 — Data Warehousing, Extraction &amp; AST Data-Flow Graph ETL Pipeline</w:t>
      </w:r>
    </w:p>
    <w:p>
      <w:pPr>
        <w:spacing w:before="0" w:after="120" w:line="276" w:lineRule="auto"/>
      </w:pPr>
      <w:r>
        <w:rPr>
          <w:rFonts w:ascii="Times New Roman" w:hAnsi="Times New Roman"/>
          <w:b w:val="0"/>
          <w:i w:val="0"/>
          <w:color w:val="334155"/>
          <w:sz w:val="23"/>
        </w:rPr>
        <w:t>Description of Done Work: Fulfilling Lecture 4 requirements, an end-to-end automated ETL pipeline (pipeline/etl_pipeline.py) was engineered. The pipeline ingests compressed JSONL datasets, validates schema types, extracts lexical AST elements, and identifies variable definition-use relationships to construct directed data-flow graphs. The extractor limits graph nodes to K = 16 variables per function to maintain fixed-size tensor representations for neural batching. Across all 1,334 Java functions, the pipeline achieved a 100.0% extraction success rate without runtime exceptions. Table 4 specifies the ETL pipeline parameters.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160"/>
            <w:shd w:fill="1B365D"/>
            <w:tcMar>
              <w:top w:w="120" w:type="dxa"/>
              <w:bottom w:w="120" w:type="dxa"/>
              <w:left w:w="140" w:type="dxa"/>
              <w:right w:w="140" w:type="dxa"/>
            </w:tcMar>
          </w:tcPr>
          <w:p>
            <w:pPr>
              <w:spacing w:before="0" w:after="0"/>
              <w:jc w:val="center"/>
            </w:pPr>
            <w:r>
              <w:rPr>
                <w:rFonts w:ascii="Times New Roman" w:hAnsi="Times New Roman"/>
                <w:b/>
                <w:color w:val="FFFFFF"/>
                <w:sz w:val="20"/>
              </w:rPr>
              <w:t>ETL Pipeline Parameter</w:t>
            </w:r>
          </w:p>
        </w:tc>
        <w:tc>
          <w:tcPr>
            <w:tcW w:type="dxa" w:w="1728"/>
            <w:shd w:fill="1B365D"/>
            <w:tcMar>
              <w:top w:w="120" w:type="dxa"/>
              <w:bottom w:w="120" w:type="dxa"/>
              <w:left w:w="140" w:type="dxa"/>
              <w:right w:w="140" w:type="dxa"/>
            </w:tcMar>
          </w:tcPr>
          <w:p>
            <w:pPr>
              <w:spacing w:before="0" w:after="0"/>
              <w:jc w:val="center"/>
            </w:pPr>
            <w:r>
              <w:rPr>
                <w:rFonts w:ascii="Times New Roman" w:hAnsi="Times New Roman"/>
                <w:b/>
                <w:color w:val="FFFFFF"/>
                <w:sz w:val="20"/>
              </w:rPr>
              <w:t>Configured Value</w:t>
            </w:r>
          </w:p>
        </w:tc>
        <w:tc>
          <w:tcPr>
            <w:tcW w:type="dxa" w:w="2304"/>
            <w:shd w:fill="1B365D"/>
            <w:tcMar>
              <w:top w:w="120" w:type="dxa"/>
              <w:bottom w:w="120" w:type="dxa"/>
              <w:left w:w="140" w:type="dxa"/>
              <w:right w:w="140" w:type="dxa"/>
            </w:tcMar>
          </w:tcPr>
          <w:p>
            <w:pPr>
              <w:spacing w:before="0" w:after="0"/>
              <w:jc w:val="center"/>
            </w:pPr>
            <w:r>
              <w:rPr>
                <w:rFonts w:ascii="Times New Roman" w:hAnsi="Times New Roman"/>
                <w:b/>
                <w:color w:val="FFFFFF"/>
                <w:sz w:val="20"/>
              </w:rPr>
              <w:t>Operational Function</w:t>
            </w:r>
          </w:p>
        </w:tc>
        <w:tc>
          <w:tcPr>
            <w:tcW w:type="dxa" w:w="2592"/>
            <w:shd w:fill="1B365D"/>
            <w:tcMar>
              <w:top w:w="120" w:type="dxa"/>
              <w:bottom w:w="120" w:type="dxa"/>
              <w:left w:w="140" w:type="dxa"/>
              <w:right w:w="140" w:type="dxa"/>
            </w:tcMar>
          </w:tcPr>
          <w:p>
            <w:pPr>
              <w:spacing w:before="0" w:after="0"/>
              <w:jc w:val="center"/>
            </w:pPr>
            <w:r>
              <w:rPr>
                <w:rFonts w:ascii="Times New Roman" w:hAnsi="Times New Roman"/>
                <w:b/>
                <w:color w:val="FFFFFF"/>
                <w:sz w:val="20"/>
              </w:rPr>
              <w:t>Engineering Rationale</w:t>
            </w:r>
          </w:p>
        </w:tc>
      </w:tr>
      <w:tr>
        <w:tc>
          <w:tcPr>
            <w:tcW w:type="dxa" w:w="2160"/>
            <w:shd w:fill="FFFFFF"/>
            <w:tcMar>
              <w:top w:w="100" w:type="dxa"/>
              <w:bottom w:w="100" w:type="dxa"/>
              <w:left w:w="140" w:type="dxa"/>
              <w:right w:w="140" w:type="dxa"/>
            </w:tcMar>
          </w:tcPr>
          <w:p>
            <w:pPr>
              <w:spacing w:before="0" w:after="0"/>
            </w:pPr>
            <w:r>
              <w:rPr>
                <w:rFonts w:ascii="Times New Roman" w:hAnsi="Times New Roman"/>
                <w:b/>
                <w:color w:val="1E293B"/>
                <w:sz w:val="19"/>
              </w:rPr>
              <w:t>Max Sequence Length (L)</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256 subwords</w:t>
            </w:r>
          </w:p>
        </w:tc>
        <w:tc>
          <w:tcPr>
            <w:tcW w:type="dxa" w:w="2304"/>
            <w:shd w:fill="FFFFFF"/>
            <w:tcMar>
              <w:top w:w="100" w:type="dxa"/>
              <w:bottom w:w="100" w:type="dxa"/>
              <w:left w:w="140" w:type="dxa"/>
              <w:right w:w="140" w:type="dxa"/>
            </w:tcMar>
          </w:tcPr>
          <w:p>
            <w:pPr>
              <w:spacing w:before="0" w:after="0"/>
            </w:pPr>
            <w:r>
              <w:rPr>
                <w:rFonts w:ascii="Times New Roman" w:hAnsi="Times New Roman"/>
                <w:color w:val="1E293B"/>
                <w:sz w:val="19"/>
              </w:rPr>
              <w:t>Token truncation &amp; padding boundary</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Balances contextual coverage with quadratic transformer memory</w:t>
            </w:r>
          </w:p>
        </w:tc>
      </w:tr>
      <w:tr>
        <w:tc>
          <w:tcPr>
            <w:tcW w:type="dxa" w:w="2160"/>
            <w:shd w:fill="F8FAFC"/>
            <w:tcMar>
              <w:top w:w="100" w:type="dxa"/>
              <w:bottom w:w="100" w:type="dxa"/>
              <w:left w:w="140" w:type="dxa"/>
              <w:right w:w="140" w:type="dxa"/>
            </w:tcMar>
          </w:tcPr>
          <w:p>
            <w:pPr>
              <w:spacing w:before="0" w:after="0"/>
            </w:pPr>
            <w:r>
              <w:rPr>
                <w:rFonts w:ascii="Times New Roman" w:hAnsi="Times New Roman"/>
                <w:b/>
                <w:color w:val="1E293B"/>
                <w:sz w:val="19"/>
              </w:rPr>
              <w:t>Max Variable Nodes (K)</w:t>
            </w:r>
          </w:p>
        </w:tc>
        <w:tc>
          <w:tcPr>
            <w:tcW w:type="dxa" w:w="1728"/>
            <w:shd w:fill="F8FAFC"/>
            <w:tcMar>
              <w:top w:w="100" w:type="dxa"/>
              <w:bottom w:w="100" w:type="dxa"/>
              <w:left w:w="140" w:type="dxa"/>
              <w:right w:w="140" w:type="dxa"/>
            </w:tcMar>
          </w:tcPr>
          <w:p>
            <w:pPr>
              <w:spacing w:before="0" w:after="0"/>
            </w:pPr>
            <w:r>
              <w:rPr>
                <w:rFonts w:ascii="Times New Roman" w:hAnsi="Times New Roman"/>
                <w:color w:val="1E293B"/>
                <w:sz w:val="19"/>
              </w:rPr>
              <w:t>16 variables</w:t>
            </w:r>
          </w:p>
        </w:tc>
        <w:tc>
          <w:tcPr>
            <w:tcW w:type="dxa" w:w="2304"/>
            <w:shd w:fill="F8FAFC"/>
            <w:tcMar>
              <w:top w:w="100" w:type="dxa"/>
              <w:bottom w:w="100" w:type="dxa"/>
              <w:left w:w="140" w:type="dxa"/>
              <w:right w:w="140" w:type="dxa"/>
            </w:tcMar>
          </w:tcPr>
          <w:p>
            <w:pPr>
              <w:spacing w:before="0" w:after="0"/>
            </w:pPr>
            <w:r>
              <w:rPr>
                <w:rFonts w:ascii="Times New Roman" w:hAnsi="Times New Roman"/>
                <w:color w:val="1E293B"/>
                <w:sz w:val="19"/>
              </w:rPr>
              <w:t>Def-use graph node dimension</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Captures 98.4% of all local variable chains in benchmark corpus</w:t>
            </w:r>
          </w:p>
        </w:tc>
      </w:tr>
      <w:tr>
        <w:tc>
          <w:tcPr>
            <w:tcW w:type="dxa" w:w="2160"/>
            <w:shd w:fill="FFFFFF"/>
            <w:tcMar>
              <w:top w:w="100" w:type="dxa"/>
              <w:bottom w:w="100" w:type="dxa"/>
              <w:left w:w="140" w:type="dxa"/>
              <w:right w:w="140" w:type="dxa"/>
            </w:tcMar>
          </w:tcPr>
          <w:p>
            <w:pPr>
              <w:spacing w:before="0" w:after="0"/>
            </w:pPr>
            <w:r>
              <w:rPr>
                <w:rFonts w:ascii="Times New Roman" w:hAnsi="Times New Roman"/>
                <w:b/>
                <w:color w:val="1E293B"/>
                <w:sz w:val="19"/>
              </w:rPr>
              <w:t>Adjacency Matrix Shape</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(16, 16) binary float</w:t>
            </w:r>
          </w:p>
        </w:tc>
        <w:tc>
          <w:tcPr>
            <w:tcW w:type="dxa" w:w="2304"/>
            <w:shd w:fill="FFFFFF"/>
            <w:tcMar>
              <w:top w:w="100" w:type="dxa"/>
              <w:bottom w:w="100" w:type="dxa"/>
              <w:left w:w="140" w:type="dxa"/>
              <w:right w:w="140" w:type="dxa"/>
            </w:tcMar>
          </w:tcPr>
          <w:p>
            <w:pPr>
              <w:spacing w:before="0" w:after="0"/>
            </w:pPr>
            <w:r>
              <w:rPr>
                <w:rFonts w:ascii="Times New Roman" w:hAnsi="Times New Roman"/>
                <w:color w:val="1E293B"/>
                <w:sz w:val="19"/>
              </w:rPr>
              <w:t>Directed data-flow edge connectivity</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Enables GPU-accelerated parallel graph attention pooling</w:t>
            </w:r>
          </w:p>
        </w:tc>
      </w:tr>
      <w:tr>
        <w:tc>
          <w:tcPr>
            <w:tcW w:type="dxa" w:w="2160"/>
            <w:shd w:fill="F8FAFC"/>
            <w:tcMar>
              <w:top w:w="100" w:type="dxa"/>
              <w:bottom w:w="100" w:type="dxa"/>
              <w:left w:w="140" w:type="dxa"/>
              <w:right w:w="140" w:type="dxa"/>
            </w:tcMar>
          </w:tcPr>
          <w:p>
            <w:pPr>
              <w:spacing w:before="0" w:after="0"/>
            </w:pPr>
            <w:r>
              <w:rPr>
                <w:rFonts w:ascii="Times New Roman" w:hAnsi="Times New Roman"/>
                <w:b/>
                <w:color w:val="1E293B"/>
                <w:sz w:val="19"/>
              </w:rPr>
              <w:t>Subword Tokenizer</w:t>
            </w:r>
          </w:p>
        </w:tc>
        <w:tc>
          <w:tcPr>
            <w:tcW w:type="dxa" w:w="1728"/>
            <w:shd w:fill="F8FAFC"/>
            <w:tcMar>
              <w:top w:w="100" w:type="dxa"/>
              <w:bottom w:w="100" w:type="dxa"/>
              <w:left w:w="140" w:type="dxa"/>
              <w:right w:w="140" w:type="dxa"/>
            </w:tcMar>
          </w:tcPr>
          <w:p>
            <w:pPr>
              <w:spacing w:before="0" w:after="0"/>
            </w:pPr>
            <w:r>
              <w:rPr>
                <w:rFonts w:ascii="Times New Roman" w:hAnsi="Times New Roman"/>
                <w:color w:val="1E293B"/>
                <w:sz w:val="19"/>
              </w:rPr>
              <w:t>GraphCodeBERT BPE</w:t>
            </w:r>
          </w:p>
        </w:tc>
        <w:tc>
          <w:tcPr>
            <w:tcW w:type="dxa" w:w="2304"/>
            <w:shd w:fill="F8FAFC"/>
            <w:tcMar>
              <w:top w:w="100" w:type="dxa"/>
              <w:bottom w:w="100" w:type="dxa"/>
              <w:left w:w="140" w:type="dxa"/>
              <w:right w:w="140" w:type="dxa"/>
            </w:tcMar>
          </w:tcPr>
          <w:p>
            <w:pPr>
              <w:spacing w:before="0" w:after="0"/>
            </w:pPr>
            <w:r>
              <w:rPr>
                <w:rFonts w:ascii="Times New Roman" w:hAnsi="Times New Roman"/>
                <w:color w:val="1E293B"/>
                <w:sz w:val="19"/>
              </w:rPr>
              <w:t>Subword token vocabulary (50,265 tokens)</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Prevents Out-Of-Vocabulary (OOV) tokens on camelCase identifiers</w:t>
            </w:r>
          </w:p>
        </w:tc>
      </w:tr>
      <w:tr>
        <w:tc>
          <w:tcPr>
            <w:tcW w:type="dxa" w:w="2160"/>
            <w:shd w:fill="FFFFFF"/>
            <w:tcMar>
              <w:top w:w="100" w:type="dxa"/>
              <w:bottom w:w="100" w:type="dxa"/>
              <w:left w:w="140" w:type="dxa"/>
              <w:right w:w="140" w:type="dxa"/>
            </w:tcMar>
          </w:tcPr>
          <w:p>
            <w:pPr>
              <w:spacing w:before="0" w:after="0"/>
            </w:pPr>
            <w:r>
              <w:rPr>
                <w:rFonts w:ascii="Times New Roman" w:hAnsi="Times New Roman"/>
                <w:b/>
                <w:color w:val="1E293B"/>
                <w:sz w:val="19"/>
              </w:rPr>
              <w:t>DataLoader Batch Size</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32 samples</w:t>
            </w:r>
          </w:p>
        </w:tc>
        <w:tc>
          <w:tcPr>
            <w:tcW w:type="dxa" w:w="2304"/>
            <w:shd w:fill="FFFFFF"/>
            <w:tcMar>
              <w:top w:w="100" w:type="dxa"/>
              <w:bottom w:w="100" w:type="dxa"/>
              <w:left w:w="140" w:type="dxa"/>
              <w:right w:w="140" w:type="dxa"/>
            </w:tcMar>
          </w:tcPr>
          <w:p>
            <w:pPr>
              <w:spacing w:before="0" w:after="0"/>
            </w:pPr>
            <w:r>
              <w:rPr>
                <w:rFonts w:ascii="Times New Roman" w:hAnsi="Times New Roman"/>
                <w:color w:val="1E293B"/>
                <w:sz w:val="19"/>
              </w:rPr>
              <w:t>Mini-batch size for staged feature extraction</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Eliminates CUDA Out-of-Memory on 4GB GPU VRAM</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24" w:space="0" w:color="1B365D"/>
              <w:bottom w:val="single" w:sz="4" w:space="0" w:color="E2E8F0"/>
              <w:right w:val="single" w:sz="4" w:space="0" w:color="E2E8F0"/>
            </w:tcBorders>
          </w:tcPr>
          <w:p>
            <w:pPr>
              <w:spacing w:before="40" w:after="40" w:line="276" w:lineRule="auto"/>
            </w:pPr>
            <w:r>
              <w:rPr>
                <w:rFonts w:ascii="Times New Roman" w:hAnsi="Times New Roman"/>
                <w:b/>
                <w:color w:val="1B365D"/>
                <w:sz w:val="21"/>
              </w:rPr>
              <w:t>Empirical ETL Pipeline Findings &amp; Graph Feature Extraction Metrics:</w:t>
              <w:br/>
            </w:r>
            <w:r>
              <w:rPr>
                <w:rFonts w:ascii="Times New Roman" w:hAnsi="Times New Roman"/>
                <w:b/>
                <w:color w:val="1E293B"/>
                <w:sz w:val="20"/>
              </w:rPr>
              <w:t xml:space="preserve">1. </w:t>
            </w:r>
            <w:r>
              <w:rPr>
                <w:rFonts w:ascii="Times New Roman" w:hAnsi="Times New Roman"/>
                <w:color w:val="334155"/>
                <w:sz w:val="20"/>
              </w:rPr>
              <w:t>High Extraction Throughput: Successfully extracted AST syntax and def-use variable chains across all 1,334 records in 0.19 seconds with zero extraction failures.</w:t>
              <w:br/>
            </w:r>
            <w:r>
              <w:rPr>
                <w:rFonts w:ascii="Times New Roman" w:hAnsi="Times New Roman"/>
                <w:b/>
                <w:color w:val="1E293B"/>
                <w:sz w:val="20"/>
              </w:rPr>
              <w:t xml:space="preserve">2. </w:t>
            </w:r>
            <w:r>
              <w:rPr>
                <w:rFonts w:ascii="Times New Roman" w:hAnsi="Times New Roman"/>
                <w:color w:val="334155"/>
                <w:sz w:val="20"/>
              </w:rPr>
              <w:t>Fixed Dimension Tensorization: Constructed binary (16, 16) def-use adjacency matrices matching K = 16 variable nodes, capturing 98.4% of all local variable dependencies.</w:t>
              <w:br/>
            </w:r>
            <w:r>
              <w:rPr>
                <w:rFonts w:ascii="Times New Roman" w:hAnsi="Times New Roman"/>
                <w:b/>
                <w:color w:val="1E293B"/>
                <w:sz w:val="20"/>
              </w:rPr>
              <w:t xml:space="preserve">3. </w:t>
            </w:r>
            <w:r>
              <w:rPr>
                <w:rFonts w:ascii="Times New Roman" w:hAnsi="Times New Roman"/>
                <w:color w:val="334155"/>
                <w:sz w:val="20"/>
              </w:rPr>
              <w:t>Subword Vocabulary Alignment: Leveraged GraphCodeBERT's Byte-Pair Encoding (50,265 tokens) with max sequence length L = 256, eliminating out-of-vocabulary identifier errors.</w:t>
            </w:r>
          </w:p>
        </w:tc>
      </w:tr>
    </w:tbl>
    <w:p>
      <w:pPr>
        <w:spacing w:before="0" w:after="80"/>
      </w:pPr>
    </w:p>
    <w:p>
      <w:pPr>
        <w:keepNext/>
        <w:spacing w:before="200" w:after="80"/>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486400" cy="2743200"/>
                    </a:xfrm>
                    <a:prstGeom prst="rect"/>
                  </pic:spPr>
                </pic:pic>
              </a:graphicData>
            </a:graphic>
          </wp:inline>
        </w:drawing>
      </w:r>
    </w:p>
    <w:p>
      <w:pPr>
        <w:keepNext/>
        <w:spacing w:before="40" w:after="120"/>
        <w:jc w:val="center"/>
      </w:pPr>
      <w:r>
        <w:rPr>
          <w:rFonts w:ascii="Times New Roman" w:hAnsi="Times New Roman"/>
          <w:b/>
          <w:color w:val="1B365D"/>
          <w:sz w:val="21"/>
        </w:rPr>
        <w:t>Figure 4: End-to-End System Architecture: GraphCodeBERT Backbone + Data Flow Graph Classifier</w:t>
      </w:r>
    </w:p>
    <w:p>
      <w:pPr>
        <w:spacing w:before="40" w:after="160" w:line="276" w:lineRule="auto"/>
      </w:pPr>
      <w:r>
        <w:rPr>
          <w:rFonts w:ascii="Times New Roman" w:hAnsi="Times New Roman"/>
          <w:b/>
          <w:color w:val="1E293B"/>
          <w:sz w:val="22"/>
        </w:rPr>
        <w:t xml:space="preserve">Figure 4 Empirical Analysis: </w:t>
      </w:r>
      <w:r>
        <w:rPr>
          <w:rFonts w:ascii="Times New Roman" w:hAnsi="Times New Roman"/>
          <w:color w:val="334155"/>
          <w:sz w:val="22"/>
        </w:rPr>
        <w:t>Figure 4 depicts the modular system architecture connecting the ETL data engineering layer with the deep learning classification engine. Raw Java functions are parsed into subword token sequences and directed (16x16) data-flow graph adjacency matrices. GraphCodeBERT extracts 768-dimensional token embeddings, which are guided into a custom 4-head Graph Attention Network (GAT) pooling layer. The graph-pooled representation is concatenated with the [CLS] sequence embedding, passing through a multi-layer classifier head equipped with Layer Normalization and Dropout (p = 0.1) to yield calibrated binary vulnerability probabilities.</w:t>
      </w:r>
    </w:p>
    <w:p>
      <w:pPr>
        <w:keepNext/>
        <w:spacing w:before="240" w:after="80"/>
      </w:pPr>
      <w:r>
        <w:rPr>
          <w:rFonts w:ascii="Times New Roman" w:hAnsi="Times New Roman"/>
          <w:b/>
          <w:color w:val="1E293B"/>
          <w:sz w:val="28"/>
        </w:rPr>
        <w:t>Task 5 — Data Quality Profiling &amp; CWE Vulnerability Taxonomy Analysis</w:t>
      </w:r>
    </w:p>
    <w:p>
      <w:pPr>
        <w:spacing w:before="0" w:after="120" w:line="276" w:lineRule="auto"/>
      </w:pPr>
      <w:r>
        <w:rPr>
          <w:rFonts w:ascii="Times New Roman" w:hAnsi="Times New Roman"/>
          <w:b w:val="0"/>
          <w:i w:val="0"/>
          <w:color w:val="334155"/>
          <w:sz w:val="23"/>
        </w:rPr>
        <w:t>Description of Done Work: In accordance with Lecture 5, an exhaustive ISO/IEC 25012 data quality audit was executed. The complete dataset of 1,334 records was evaluated across four primary quality dimensions: Completeness, Uniqueness, Validity, and Consistency. Zero duplicate functions were detected (Uniqueness = 100.0%), zero missing attributes were observed (Completeness = 100.0%), and all records conformed strictly to the expected schema (Validity = 100.0%). The overall dataset exhibits near-perfect class balance with 665 vulnerable functions (49.85%) and 669 benign functions (50.15%). Token length profiling showed an average token length of 161.99 in train, 159.05 in valid, and 152.40 in test. Table 5 presents the complete ISO 25012 quality audit across splits, and Table 6 details the top-10 CWE weaknesses.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040"/>
        <w:gridCol w:w="1040"/>
        <w:gridCol w:w="1040"/>
        <w:gridCol w:w="1040"/>
        <w:gridCol w:w="1040"/>
        <w:gridCol w:w="1040"/>
        <w:gridCol w:w="1040"/>
        <w:gridCol w:w="1040"/>
        <w:gridCol w:w="1040"/>
      </w:tblGrid>
      <w:tr>
        <w:tc>
          <w:tcPr>
            <w:tcW w:type="dxa" w:w="1440"/>
            <w:shd w:fill="1B365D"/>
            <w:tcMar>
              <w:top w:w="120" w:type="dxa"/>
              <w:bottom w:w="120" w:type="dxa"/>
              <w:left w:w="140" w:type="dxa"/>
              <w:right w:w="140" w:type="dxa"/>
            </w:tcMar>
          </w:tcPr>
          <w:p>
            <w:pPr>
              <w:spacing w:before="0" w:after="0"/>
              <w:jc w:val="center"/>
            </w:pPr>
            <w:r>
              <w:rPr>
                <w:rFonts w:ascii="Times New Roman" w:hAnsi="Times New Roman"/>
                <w:b/>
                <w:color w:val="FFFFFF"/>
                <w:sz w:val="20"/>
              </w:rPr>
              <w:t>Dataset Partition</w:t>
            </w:r>
          </w:p>
        </w:tc>
        <w:tc>
          <w:tcPr>
            <w:tcW w:type="dxa" w:w="1008"/>
            <w:shd w:fill="1B365D"/>
            <w:tcMar>
              <w:top w:w="120" w:type="dxa"/>
              <w:bottom w:w="120" w:type="dxa"/>
              <w:left w:w="140" w:type="dxa"/>
              <w:right w:w="140" w:type="dxa"/>
            </w:tcMar>
          </w:tcPr>
          <w:p>
            <w:pPr>
              <w:spacing w:before="0" w:after="0"/>
              <w:jc w:val="center"/>
            </w:pPr>
            <w:r>
              <w:rPr>
                <w:rFonts w:ascii="Times New Roman" w:hAnsi="Times New Roman"/>
                <w:b/>
                <w:color w:val="FFFFFF"/>
                <w:sz w:val="20"/>
              </w:rPr>
              <w:t>Raw Records</w:t>
            </w:r>
          </w:p>
        </w:tc>
        <w:tc>
          <w:tcPr>
            <w:tcW w:type="dxa" w:w="1008"/>
            <w:shd w:fill="1B365D"/>
            <w:tcMar>
              <w:top w:w="120" w:type="dxa"/>
              <w:bottom w:w="120" w:type="dxa"/>
              <w:left w:w="140" w:type="dxa"/>
              <w:right w:w="140" w:type="dxa"/>
            </w:tcMar>
          </w:tcPr>
          <w:p>
            <w:pPr>
              <w:spacing w:before="0" w:after="0"/>
              <w:jc w:val="center"/>
            </w:pPr>
            <w:r>
              <w:rPr>
                <w:rFonts w:ascii="Times New Roman" w:hAnsi="Times New Roman"/>
                <w:b/>
                <w:color w:val="FFFFFF"/>
                <w:sz w:val="20"/>
              </w:rPr>
              <w:t>Cleaned Records</w:t>
            </w:r>
          </w:p>
        </w:tc>
        <w:tc>
          <w:tcPr>
            <w:tcW w:type="dxa" w:w="1296"/>
            <w:shd w:fill="1B365D"/>
            <w:tcMar>
              <w:top w:w="120" w:type="dxa"/>
              <w:bottom w:w="120" w:type="dxa"/>
              <w:left w:w="140" w:type="dxa"/>
              <w:right w:w="140" w:type="dxa"/>
            </w:tcMar>
          </w:tcPr>
          <w:p>
            <w:pPr>
              <w:spacing w:before="0" w:after="0"/>
              <w:jc w:val="center"/>
            </w:pPr>
            <w:r>
              <w:rPr>
                <w:rFonts w:ascii="Times New Roman" w:hAnsi="Times New Roman"/>
                <w:b/>
                <w:color w:val="FFFFFF"/>
                <w:sz w:val="20"/>
              </w:rPr>
              <w:t>Duplicates Removed</w:t>
            </w:r>
          </w:p>
        </w:tc>
        <w:tc>
          <w:tcPr>
            <w:tcW w:type="dxa" w:w="1152"/>
            <w:shd w:fill="1B365D"/>
            <w:tcMar>
              <w:top w:w="120" w:type="dxa"/>
              <w:bottom w:w="120" w:type="dxa"/>
              <w:left w:w="140" w:type="dxa"/>
              <w:right w:w="140" w:type="dxa"/>
            </w:tcMar>
          </w:tcPr>
          <w:p>
            <w:pPr>
              <w:spacing w:before="0" w:after="0"/>
              <w:jc w:val="center"/>
            </w:pPr>
            <w:r>
              <w:rPr>
                <w:rFonts w:ascii="Times New Roman" w:hAnsi="Times New Roman"/>
                <w:b/>
                <w:color w:val="FFFFFF"/>
                <w:sz w:val="20"/>
              </w:rPr>
              <w:t>Completeness</w:t>
            </w:r>
          </w:p>
        </w:tc>
        <w:tc>
          <w:tcPr>
            <w:tcW w:type="dxa" w:w="1152"/>
            <w:shd w:fill="1B365D"/>
            <w:tcMar>
              <w:top w:w="120" w:type="dxa"/>
              <w:bottom w:w="120" w:type="dxa"/>
              <w:left w:w="140" w:type="dxa"/>
              <w:right w:w="140" w:type="dxa"/>
            </w:tcMar>
          </w:tcPr>
          <w:p>
            <w:pPr>
              <w:spacing w:before="0" w:after="0"/>
              <w:jc w:val="center"/>
            </w:pPr>
            <w:r>
              <w:rPr>
                <w:rFonts w:ascii="Times New Roman" w:hAnsi="Times New Roman"/>
                <w:b/>
                <w:color w:val="FFFFFF"/>
                <w:sz w:val="20"/>
              </w:rPr>
              <w:t>Benign (0)</w:t>
            </w:r>
          </w:p>
        </w:tc>
        <w:tc>
          <w:tcPr>
            <w:tcW w:type="dxa" w:w="1152"/>
            <w:shd w:fill="1B365D"/>
            <w:tcMar>
              <w:top w:w="120" w:type="dxa"/>
              <w:bottom w:w="120" w:type="dxa"/>
              <w:left w:w="140" w:type="dxa"/>
              <w:right w:w="140" w:type="dxa"/>
            </w:tcMar>
          </w:tcPr>
          <w:p>
            <w:pPr>
              <w:spacing w:before="0" w:after="0"/>
              <w:jc w:val="center"/>
            </w:pPr>
            <w:r>
              <w:rPr>
                <w:rFonts w:ascii="Times New Roman" w:hAnsi="Times New Roman"/>
                <w:b/>
                <w:color w:val="FFFFFF"/>
                <w:sz w:val="20"/>
              </w:rPr>
              <w:t>Vulnerable (1)</w:t>
            </w:r>
          </w:p>
        </w:tc>
        <w:tc>
          <w:tcPr>
            <w:tcW w:type="dxa" w:w="1008"/>
            <w:shd w:fill="1B365D"/>
            <w:tcMar>
              <w:top w:w="120" w:type="dxa"/>
              <w:bottom w:w="120" w:type="dxa"/>
              <w:left w:w="140" w:type="dxa"/>
              <w:right w:w="140" w:type="dxa"/>
            </w:tcMar>
          </w:tcPr>
          <w:p>
            <w:pPr>
              <w:spacing w:before="0" w:after="0"/>
              <w:jc w:val="center"/>
            </w:pPr>
            <w:r>
              <w:rPr>
                <w:rFonts w:ascii="Times New Roman" w:hAnsi="Times New Roman"/>
                <w:b/>
                <w:color w:val="FFFFFF"/>
                <w:sz w:val="20"/>
              </w:rPr>
              <w:t>Vuln. Rate</w:t>
            </w:r>
          </w:p>
        </w:tc>
        <w:tc>
          <w:tcPr>
            <w:tcW w:type="dxa" w:w="1296"/>
            <w:shd w:fill="1B365D"/>
            <w:tcMar>
              <w:top w:w="120" w:type="dxa"/>
              <w:bottom w:w="120" w:type="dxa"/>
              <w:left w:w="140" w:type="dxa"/>
              <w:right w:w="140" w:type="dxa"/>
            </w:tcMar>
          </w:tcPr>
          <w:p>
            <w:pPr>
              <w:spacing w:before="0" w:after="0"/>
              <w:jc w:val="center"/>
            </w:pPr>
            <w:r>
              <w:rPr>
                <w:rFonts w:ascii="Times New Roman" w:hAnsi="Times New Roman"/>
                <w:b/>
                <w:color w:val="FFFFFF"/>
                <w:sz w:val="20"/>
              </w:rPr>
              <w:t>Avg Token Length</w:t>
            </w:r>
          </w:p>
        </w:tc>
      </w:tr>
      <w:tr>
        <w:tc>
          <w:tcPr>
            <w:tcW w:type="dxa" w:w="1440"/>
            <w:shd w:fill="FFFFFF"/>
            <w:tcMar>
              <w:top w:w="100" w:type="dxa"/>
              <w:bottom w:w="100" w:type="dxa"/>
              <w:left w:w="140" w:type="dxa"/>
              <w:right w:w="140" w:type="dxa"/>
            </w:tcMar>
          </w:tcPr>
          <w:p>
            <w:pPr>
              <w:spacing w:before="0" w:after="0"/>
            </w:pPr>
            <w:r>
              <w:rPr>
                <w:rFonts w:ascii="Times New Roman" w:hAnsi="Times New Roman"/>
                <w:b/>
                <w:color w:val="1E293B"/>
                <w:sz w:val="19"/>
              </w:rPr>
              <w:t>Train Split</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810</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810</w:t>
            </w:r>
          </w:p>
        </w:tc>
        <w:tc>
          <w:tcPr>
            <w:tcW w:type="dxa" w:w="1296"/>
            <w:shd w:fill="FFFFFF"/>
            <w:tcMar>
              <w:top w:w="100" w:type="dxa"/>
              <w:bottom w:w="100" w:type="dxa"/>
              <w:left w:w="140" w:type="dxa"/>
              <w:right w:w="140" w:type="dxa"/>
            </w:tcMar>
          </w:tcPr>
          <w:p>
            <w:pPr>
              <w:spacing w:before="0" w:after="0"/>
            </w:pPr>
            <w:r>
              <w:rPr>
                <w:rFonts w:ascii="Times New Roman" w:hAnsi="Times New Roman"/>
                <w:color w:val="1E293B"/>
                <w:sz w:val="19"/>
              </w:rPr>
              <w:t>0 (100% Unique)</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100.0%</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407 (50.25%)</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403 (49.75%)</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49.75%</w:t>
            </w:r>
          </w:p>
        </w:tc>
        <w:tc>
          <w:tcPr>
            <w:tcW w:type="dxa" w:w="1296"/>
            <w:shd w:fill="FFFFFF"/>
            <w:tcMar>
              <w:top w:w="100" w:type="dxa"/>
              <w:bottom w:w="100" w:type="dxa"/>
              <w:left w:w="140" w:type="dxa"/>
              <w:right w:w="140" w:type="dxa"/>
            </w:tcMar>
          </w:tcPr>
          <w:p>
            <w:pPr>
              <w:spacing w:before="0" w:after="0"/>
            </w:pPr>
            <w:r>
              <w:rPr>
                <w:rFonts w:ascii="Times New Roman" w:hAnsi="Times New Roman"/>
                <w:color w:val="1E293B"/>
                <w:sz w:val="19"/>
              </w:rPr>
              <w:t>161.99 tokens</w:t>
            </w:r>
          </w:p>
        </w:tc>
      </w:tr>
      <w:tr>
        <w:tc>
          <w:tcPr>
            <w:tcW w:type="dxa" w:w="1440"/>
            <w:shd w:fill="F8FAFC"/>
            <w:tcMar>
              <w:top w:w="100" w:type="dxa"/>
              <w:bottom w:w="100" w:type="dxa"/>
              <w:left w:w="140" w:type="dxa"/>
              <w:right w:w="140" w:type="dxa"/>
            </w:tcMar>
          </w:tcPr>
          <w:p>
            <w:pPr>
              <w:spacing w:before="0" w:after="0"/>
            </w:pPr>
            <w:r>
              <w:rPr>
                <w:rFonts w:ascii="Times New Roman" w:hAnsi="Times New Roman"/>
                <w:b/>
                <w:color w:val="1E293B"/>
                <w:sz w:val="19"/>
              </w:rPr>
              <w:t>Validation Split</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272</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272</w:t>
            </w:r>
          </w:p>
        </w:tc>
        <w:tc>
          <w:tcPr>
            <w:tcW w:type="dxa" w:w="1296"/>
            <w:shd w:fill="F8FAFC"/>
            <w:tcMar>
              <w:top w:w="100" w:type="dxa"/>
              <w:bottom w:w="100" w:type="dxa"/>
              <w:left w:w="140" w:type="dxa"/>
              <w:right w:w="140" w:type="dxa"/>
            </w:tcMar>
          </w:tcPr>
          <w:p>
            <w:pPr>
              <w:spacing w:before="0" w:after="0"/>
            </w:pPr>
            <w:r>
              <w:rPr>
                <w:rFonts w:ascii="Times New Roman" w:hAnsi="Times New Roman"/>
                <w:color w:val="1E293B"/>
                <w:sz w:val="19"/>
              </w:rPr>
              <w:t>0 (100% Unique)</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100.0%</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133 (48.90%)</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139 (51.10%)</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51.10%</w:t>
            </w:r>
          </w:p>
        </w:tc>
        <w:tc>
          <w:tcPr>
            <w:tcW w:type="dxa" w:w="1296"/>
            <w:shd w:fill="F8FAFC"/>
            <w:tcMar>
              <w:top w:w="100" w:type="dxa"/>
              <w:bottom w:w="100" w:type="dxa"/>
              <w:left w:w="140" w:type="dxa"/>
              <w:right w:w="140" w:type="dxa"/>
            </w:tcMar>
          </w:tcPr>
          <w:p>
            <w:pPr>
              <w:spacing w:before="0" w:after="0"/>
            </w:pPr>
            <w:r>
              <w:rPr>
                <w:rFonts w:ascii="Times New Roman" w:hAnsi="Times New Roman"/>
                <w:color w:val="1E293B"/>
                <w:sz w:val="19"/>
              </w:rPr>
              <w:t>159.05 tokens</w:t>
            </w:r>
          </w:p>
        </w:tc>
      </w:tr>
      <w:tr>
        <w:tc>
          <w:tcPr>
            <w:tcW w:type="dxa" w:w="1440"/>
            <w:shd w:fill="FFFFFF"/>
            <w:tcMar>
              <w:top w:w="100" w:type="dxa"/>
              <w:bottom w:w="100" w:type="dxa"/>
              <w:left w:w="140" w:type="dxa"/>
              <w:right w:w="140" w:type="dxa"/>
            </w:tcMar>
          </w:tcPr>
          <w:p>
            <w:pPr>
              <w:spacing w:before="0" w:after="0"/>
            </w:pPr>
            <w:r>
              <w:rPr>
                <w:rFonts w:ascii="Times New Roman" w:hAnsi="Times New Roman"/>
                <w:b/>
                <w:color w:val="1E293B"/>
                <w:sz w:val="19"/>
              </w:rPr>
              <w:t>Test Split (Holdout)</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252</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252</w:t>
            </w:r>
          </w:p>
        </w:tc>
        <w:tc>
          <w:tcPr>
            <w:tcW w:type="dxa" w:w="1296"/>
            <w:shd w:fill="FFFFFF"/>
            <w:tcMar>
              <w:top w:w="100" w:type="dxa"/>
              <w:bottom w:w="100" w:type="dxa"/>
              <w:left w:w="140" w:type="dxa"/>
              <w:right w:w="140" w:type="dxa"/>
            </w:tcMar>
          </w:tcPr>
          <w:p>
            <w:pPr>
              <w:spacing w:before="0" w:after="0"/>
            </w:pPr>
            <w:r>
              <w:rPr>
                <w:rFonts w:ascii="Times New Roman" w:hAnsi="Times New Roman"/>
                <w:color w:val="1E293B"/>
                <w:sz w:val="19"/>
              </w:rPr>
              <w:t>0 (100% Unique)</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100.0%</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129 (51.19%)</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123 (48.81%)</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48.81%</w:t>
            </w:r>
          </w:p>
        </w:tc>
        <w:tc>
          <w:tcPr>
            <w:tcW w:type="dxa" w:w="1296"/>
            <w:shd w:fill="FFFFFF"/>
            <w:tcMar>
              <w:top w:w="100" w:type="dxa"/>
              <w:bottom w:w="100" w:type="dxa"/>
              <w:left w:w="140" w:type="dxa"/>
              <w:right w:w="140" w:type="dxa"/>
            </w:tcMar>
          </w:tcPr>
          <w:p>
            <w:pPr>
              <w:spacing w:before="0" w:after="0"/>
            </w:pPr>
            <w:r>
              <w:rPr>
                <w:rFonts w:ascii="Times New Roman" w:hAnsi="Times New Roman"/>
                <w:color w:val="1E293B"/>
                <w:sz w:val="19"/>
              </w:rPr>
              <w:t>152.40 tokens</w:t>
            </w:r>
          </w:p>
        </w:tc>
      </w:tr>
      <w:tr>
        <w:tc>
          <w:tcPr>
            <w:tcW w:type="dxa" w:w="1440"/>
            <w:shd w:fill="F8FAFC"/>
            <w:tcMar>
              <w:top w:w="100" w:type="dxa"/>
              <w:bottom w:w="100" w:type="dxa"/>
              <w:left w:w="140" w:type="dxa"/>
              <w:right w:w="140" w:type="dxa"/>
            </w:tcMar>
          </w:tcPr>
          <w:p>
            <w:pPr>
              <w:spacing w:before="0" w:after="0"/>
            </w:pPr>
            <w:r>
              <w:rPr>
                <w:rFonts w:ascii="Times New Roman" w:hAnsi="Times New Roman"/>
                <w:b/>
                <w:color w:val="1E293B"/>
                <w:sz w:val="19"/>
              </w:rPr>
              <w:t>Overall Corpus</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1,334</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1,334</w:t>
            </w:r>
          </w:p>
        </w:tc>
        <w:tc>
          <w:tcPr>
            <w:tcW w:type="dxa" w:w="1296"/>
            <w:shd w:fill="F8FAFC"/>
            <w:tcMar>
              <w:top w:w="100" w:type="dxa"/>
              <w:bottom w:w="100" w:type="dxa"/>
              <w:left w:w="140" w:type="dxa"/>
              <w:right w:w="140" w:type="dxa"/>
            </w:tcMar>
          </w:tcPr>
          <w:p>
            <w:pPr>
              <w:spacing w:before="0" w:after="0"/>
            </w:pPr>
            <w:r>
              <w:rPr>
                <w:rFonts w:ascii="Times New Roman" w:hAnsi="Times New Roman"/>
                <w:color w:val="1E293B"/>
                <w:sz w:val="19"/>
              </w:rPr>
              <w:t>0 (100% Unique)</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100.0%</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669 (50.15%)</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665 (49.85%)</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49.85%</w:t>
            </w:r>
          </w:p>
        </w:tc>
        <w:tc>
          <w:tcPr>
            <w:tcW w:type="dxa" w:w="1296"/>
            <w:shd w:fill="F8FAFC"/>
            <w:tcMar>
              <w:top w:w="100" w:type="dxa"/>
              <w:bottom w:w="100" w:type="dxa"/>
              <w:left w:w="140" w:type="dxa"/>
              <w:right w:w="140" w:type="dxa"/>
            </w:tcMar>
          </w:tcPr>
          <w:p>
            <w:pPr>
              <w:spacing w:before="0" w:after="0"/>
            </w:pPr>
            <w:r>
              <w:rPr>
                <w:rFonts w:ascii="Times New Roman" w:hAnsi="Times New Roman"/>
                <w:color w:val="1E293B"/>
                <w:sz w:val="19"/>
              </w:rPr>
              <w:t>158.48 tokens</w:t>
            </w:r>
          </w:p>
        </w:tc>
      </w:tr>
    </w:tbl>
    <w:p>
      <w:pPr>
        <w:spacing w:before="0" w:after="120"/>
      </w:pP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337"/>
        <w:gridCol w:w="1337"/>
        <w:gridCol w:w="1337"/>
        <w:gridCol w:w="1337"/>
        <w:gridCol w:w="1337"/>
        <w:gridCol w:w="1337"/>
        <w:gridCol w:w="1337"/>
      </w:tblGrid>
      <w:tr>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CWE Identifier</w:t>
            </w:r>
          </w:p>
        </w:tc>
        <w:tc>
          <w:tcPr>
            <w:tcW w:type="dxa" w:w="2448"/>
            <w:shd w:fill="1B365D"/>
            <w:tcMar>
              <w:top w:w="120" w:type="dxa"/>
              <w:bottom w:w="120" w:type="dxa"/>
              <w:left w:w="140" w:type="dxa"/>
              <w:right w:w="140" w:type="dxa"/>
            </w:tcMar>
          </w:tcPr>
          <w:p>
            <w:pPr>
              <w:spacing w:before="0" w:after="0"/>
              <w:jc w:val="center"/>
            </w:pPr>
            <w:r>
              <w:rPr>
                <w:rFonts w:ascii="Times New Roman" w:hAnsi="Times New Roman"/>
                <w:b/>
                <w:color w:val="FFFFFF"/>
                <w:sz w:val="20"/>
              </w:rPr>
              <w:t>Common Weakness Name</w:t>
            </w:r>
          </w:p>
        </w:tc>
        <w:tc>
          <w:tcPr>
            <w:tcW w:type="dxa" w:w="1008"/>
            <w:shd w:fill="1B365D"/>
            <w:tcMar>
              <w:top w:w="120" w:type="dxa"/>
              <w:bottom w:w="120" w:type="dxa"/>
              <w:left w:w="140" w:type="dxa"/>
              <w:right w:w="140" w:type="dxa"/>
            </w:tcMar>
          </w:tcPr>
          <w:p>
            <w:pPr>
              <w:spacing w:before="0" w:after="0"/>
              <w:jc w:val="center"/>
            </w:pPr>
            <w:r>
              <w:rPr>
                <w:rFonts w:ascii="Times New Roman" w:hAnsi="Times New Roman"/>
                <w:b/>
                <w:color w:val="FFFFFF"/>
                <w:sz w:val="20"/>
              </w:rPr>
              <w:t>Train Frequency</w:t>
            </w:r>
          </w:p>
        </w:tc>
        <w:tc>
          <w:tcPr>
            <w:tcW w:type="dxa" w:w="1008"/>
            <w:shd w:fill="1B365D"/>
            <w:tcMar>
              <w:top w:w="120" w:type="dxa"/>
              <w:bottom w:w="120" w:type="dxa"/>
              <w:left w:w="140" w:type="dxa"/>
              <w:right w:w="140" w:type="dxa"/>
            </w:tcMar>
          </w:tcPr>
          <w:p>
            <w:pPr>
              <w:spacing w:before="0" w:after="0"/>
              <w:jc w:val="center"/>
            </w:pPr>
            <w:r>
              <w:rPr>
                <w:rFonts w:ascii="Times New Roman" w:hAnsi="Times New Roman"/>
                <w:b/>
                <w:color w:val="FFFFFF"/>
                <w:sz w:val="20"/>
              </w:rPr>
              <w:t>Valid Frequency</w:t>
            </w:r>
          </w:p>
        </w:tc>
        <w:tc>
          <w:tcPr>
            <w:tcW w:type="dxa" w:w="1008"/>
            <w:shd w:fill="1B365D"/>
            <w:tcMar>
              <w:top w:w="120" w:type="dxa"/>
              <w:bottom w:w="120" w:type="dxa"/>
              <w:left w:w="140" w:type="dxa"/>
              <w:right w:w="140" w:type="dxa"/>
            </w:tcMar>
          </w:tcPr>
          <w:p>
            <w:pPr>
              <w:spacing w:before="0" w:after="0"/>
              <w:jc w:val="center"/>
            </w:pPr>
            <w:r>
              <w:rPr>
                <w:rFonts w:ascii="Times New Roman" w:hAnsi="Times New Roman"/>
                <w:b/>
                <w:color w:val="FFFFFF"/>
                <w:sz w:val="20"/>
              </w:rPr>
              <w:t>Test Frequency</w:t>
            </w:r>
          </w:p>
        </w:tc>
        <w:tc>
          <w:tcPr>
            <w:tcW w:type="dxa" w:w="1152"/>
            <w:shd w:fill="1B365D"/>
            <w:tcMar>
              <w:top w:w="120" w:type="dxa"/>
              <w:bottom w:w="120" w:type="dxa"/>
              <w:left w:w="140" w:type="dxa"/>
              <w:right w:w="140" w:type="dxa"/>
            </w:tcMar>
          </w:tcPr>
          <w:p>
            <w:pPr>
              <w:spacing w:before="0" w:after="0"/>
              <w:jc w:val="center"/>
            </w:pPr>
            <w:r>
              <w:rPr>
                <w:rFonts w:ascii="Times New Roman" w:hAnsi="Times New Roman"/>
                <w:b/>
                <w:color w:val="FFFFFF"/>
                <w:sz w:val="20"/>
              </w:rPr>
              <w:t>Total Occurrences</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Risk Impact Tier</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CWE-79</w:t>
            </w:r>
          </w:p>
        </w:tc>
        <w:tc>
          <w:tcPr>
            <w:tcW w:type="dxa" w:w="2448"/>
            <w:shd w:fill="FFFFFF"/>
            <w:tcMar>
              <w:top w:w="100" w:type="dxa"/>
              <w:bottom w:w="100" w:type="dxa"/>
              <w:left w:w="140" w:type="dxa"/>
              <w:right w:w="140" w:type="dxa"/>
            </w:tcMar>
          </w:tcPr>
          <w:p>
            <w:pPr>
              <w:spacing w:before="0" w:after="0"/>
            </w:pPr>
            <w:r>
              <w:rPr>
                <w:rFonts w:ascii="Times New Roman" w:hAnsi="Times New Roman"/>
                <w:color w:val="1E293B"/>
                <w:sz w:val="19"/>
              </w:rPr>
              <w:t>Cross-Site Scripting (XSS)</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62</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10</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36</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108</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Critical (OWASP A03)</w:t>
            </w:r>
          </w:p>
        </w:tc>
      </w:tr>
      <w:tr>
        <w:tc>
          <w:tcPr>
            <w:tcW w:type="dxa" w:w="1584"/>
            <w:shd w:fill="F8FAFC"/>
            <w:tcMar>
              <w:top w:w="100" w:type="dxa"/>
              <w:bottom w:w="100" w:type="dxa"/>
              <w:left w:w="140" w:type="dxa"/>
              <w:right w:w="140" w:type="dxa"/>
            </w:tcMar>
          </w:tcPr>
          <w:p>
            <w:pPr>
              <w:spacing w:before="0" w:after="0"/>
            </w:pPr>
            <w:r>
              <w:rPr>
                <w:rFonts w:ascii="Times New Roman" w:hAnsi="Times New Roman"/>
                <w:b/>
                <w:color w:val="1E293B"/>
                <w:sz w:val="19"/>
              </w:rPr>
              <w:t>CWE-611</w:t>
            </w:r>
          </w:p>
        </w:tc>
        <w:tc>
          <w:tcPr>
            <w:tcW w:type="dxa" w:w="2448"/>
            <w:shd w:fill="F8FAFC"/>
            <w:tcMar>
              <w:top w:w="100" w:type="dxa"/>
              <w:bottom w:w="100" w:type="dxa"/>
              <w:left w:w="140" w:type="dxa"/>
              <w:right w:w="140" w:type="dxa"/>
            </w:tcMar>
          </w:tcPr>
          <w:p>
            <w:pPr>
              <w:spacing w:before="0" w:after="0"/>
            </w:pPr>
            <w:r>
              <w:rPr>
                <w:rFonts w:ascii="Times New Roman" w:hAnsi="Times New Roman"/>
                <w:color w:val="1E293B"/>
                <w:sz w:val="19"/>
              </w:rPr>
              <w:t>XML External Entity (XXE) Injection</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63</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16</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23</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102</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High (OWASP A05)</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CWE-20</w:t>
            </w:r>
          </w:p>
        </w:tc>
        <w:tc>
          <w:tcPr>
            <w:tcW w:type="dxa" w:w="2448"/>
            <w:shd w:fill="FFFFFF"/>
            <w:tcMar>
              <w:top w:w="100" w:type="dxa"/>
              <w:bottom w:w="100" w:type="dxa"/>
              <w:left w:w="140" w:type="dxa"/>
              <w:right w:w="140" w:type="dxa"/>
            </w:tcMar>
          </w:tcPr>
          <w:p>
            <w:pPr>
              <w:spacing w:before="0" w:after="0"/>
            </w:pPr>
            <w:r>
              <w:rPr>
                <w:rFonts w:ascii="Times New Roman" w:hAnsi="Times New Roman"/>
                <w:color w:val="1E293B"/>
                <w:sz w:val="19"/>
              </w:rPr>
              <w:t>Improper Input Validation</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58</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21</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22</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101</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High (OWASP A03)</w:t>
            </w:r>
          </w:p>
        </w:tc>
      </w:tr>
      <w:tr>
        <w:tc>
          <w:tcPr>
            <w:tcW w:type="dxa" w:w="1584"/>
            <w:shd w:fill="F8FAFC"/>
            <w:tcMar>
              <w:top w:w="100" w:type="dxa"/>
              <w:bottom w:w="100" w:type="dxa"/>
              <w:left w:w="140" w:type="dxa"/>
              <w:right w:w="140" w:type="dxa"/>
            </w:tcMar>
          </w:tcPr>
          <w:p>
            <w:pPr>
              <w:spacing w:before="0" w:after="0"/>
            </w:pPr>
            <w:r>
              <w:rPr>
                <w:rFonts w:ascii="Times New Roman" w:hAnsi="Times New Roman"/>
                <w:b/>
                <w:color w:val="1E293B"/>
                <w:sz w:val="19"/>
              </w:rPr>
              <w:t>NVD-CWE-noinfo</w:t>
            </w:r>
          </w:p>
        </w:tc>
        <w:tc>
          <w:tcPr>
            <w:tcW w:type="dxa" w:w="2448"/>
            <w:shd w:fill="F8FAFC"/>
            <w:tcMar>
              <w:top w:w="100" w:type="dxa"/>
              <w:bottom w:w="100" w:type="dxa"/>
              <w:left w:w="140" w:type="dxa"/>
              <w:right w:w="140" w:type="dxa"/>
            </w:tcMar>
          </w:tcPr>
          <w:p>
            <w:pPr>
              <w:spacing w:before="0" w:after="0"/>
            </w:pPr>
            <w:r>
              <w:rPr>
                <w:rFonts w:ascii="Times New Roman" w:hAnsi="Times New Roman"/>
                <w:color w:val="1E293B"/>
                <w:sz w:val="19"/>
              </w:rPr>
              <w:t>Insufficient Vulnerability Information</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84</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21</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19</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124</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Moderate (Unspecified)</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CWE-22</w:t>
            </w:r>
          </w:p>
        </w:tc>
        <w:tc>
          <w:tcPr>
            <w:tcW w:type="dxa" w:w="2448"/>
            <w:shd w:fill="FFFFFF"/>
            <w:tcMar>
              <w:top w:w="100" w:type="dxa"/>
              <w:bottom w:w="100" w:type="dxa"/>
              <w:left w:w="140" w:type="dxa"/>
              <w:right w:w="140" w:type="dxa"/>
            </w:tcMar>
          </w:tcPr>
          <w:p>
            <w:pPr>
              <w:spacing w:before="0" w:after="0"/>
            </w:pPr>
            <w:r>
              <w:rPr>
                <w:rFonts w:ascii="Times New Roman" w:hAnsi="Times New Roman"/>
                <w:color w:val="1E293B"/>
                <w:sz w:val="19"/>
              </w:rPr>
              <w:t>Path Traversal / Arbitrary File Read</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39</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20</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13</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72</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Critical (OWASP A01)</w:t>
            </w:r>
          </w:p>
        </w:tc>
      </w:tr>
      <w:tr>
        <w:tc>
          <w:tcPr>
            <w:tcW w:type="dxa" w:w="1584"/>
            <w:shd w:fill="F8FAFC"/>
            <w:tcMar>
              <w:top w:w="100" w:type="dxa"/>
              <w:bottom w:w="100" w:type="dxa"/>
              <w:left w:w="140" w:type="dxa"/>
              <w:right w:w="140" w:type="dxa"/>
            </w:tcMar>
          </w:tcPr>
          <w:p>
            <w:pPr>
              <w:spacing w:before="0" w:after="0"/>
            </w:pPr>
            <w:r>
              <w:rPr>
                <w:rFonts w:ascii="Times New Roman" w:hAnsi="Times New Roman"/>
                <w:b/>
                <w:color w:val="1E293B"/>
                <w:sz w:val="19"/>
              </w:rPr>
              <w:t>CWE-264</w:t>
            </w:r>
          </w:p>
        </w:tc>
        <w:tc>
          <w:tcPr>
            <w:tcW w:type="dxa" w:w="2448"/>
            <w:shd w:fill="F8FAFC"/>
            <w:tcMar>
              <w:top w:w="100" w:type="dxa"/>
              <w:bottom w:w="100" w:type="dxa"/>
              <w:left w:w="140" w:type="dxa"/>
              <w:right w:w="140" w:type="dxa"/>
            </w:tcMar>
          </w:tcPr>
          <w:p>
            <w:pPr>
              <w:spacing w:before="0" w:after="0"/>
            </w:pPr>
            <w:r>
              <w:rPr>
                <w:rFonts w:ascii="Times New Roman" w:hAnsi="Times New Roman"/>
                <w:color w:val="1E293B"/>
                <w:sz w:val="19"/>
              </w:rPr>
              <w:t>Permissions, Privileges &amp; Access Controls</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42</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16</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10</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68</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High (OWASP A01)</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CWE-502</w:t>
            </w:r>
          </w:p>
        </w:tc>
        <w:tc>
          <w:tcPr>
            <w:tcW w:type="dxa" w:w="2448"/>
            <w:shd w:fill="FFFFFF"/>
            <w:tcMar>
              <w:top w:w="100" w:type="dxa"/>
              <w:bottom w:w="100" w:type="dxa"/>
              <w:left w:w="140" w:type="dxa"/>
              <w:right w:w="140" w:type="dxa"/>
            </w:tcMar>
          </w:tcPr>
          <w:p>
            <w:pPr>
              <w:spacing w:before="0" w:after="0"/>
            </w:pPr>
            <w:r>
              <w:rPr>
                <w:rFonts w:ascii="Times New Roman" w:hAnsi="Times New Roman"/>
                <w:color w:val="1E293B"/>
                <w:sz w:val="19"/>
              </w:rPr>
              <w:t>Deserialization of Untrusted Data</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28</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8</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9</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45</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Critical (OWASP A08)</w:t>
            </w:r>
          </w:p>
        </w:tc>
      </w:tr>
      <w:tr>
        <w:tc>
          <w:tcPr>
            <w:tcW w:type="dxa" w:w="1584"/>
            <w:shd w:fill="F8FAFC"/>
            <w:tcMar>
              <w:top w:w="100" w:type="dxa"/>
              <w:bottom w:w="100" w:type="dxa"/>
              <w:left w:w="140" w:type="dxa"/>
              <w:right w:w="140" w:type="dxa"/>
            </w:tcMar>
          </w:tcPr>
          <w:p>
            <w:pPr>
              <w:spacing w:before="0" w:after="0"/>
            </w:pPr>
            <w:r>
              <w:rPr>
                <w:rFonts w:ascii="Times New Roman" w:hAnsi="Times New Roman"/>
                <w:b/>
                <w:color w:val="1E293B"/>
                <w:sz w:val="19"/>
              </w:rPr>
              <w:t>CWE-352</w:t>
            </w:r>
          </w:p>
        </w:tc>
        <w:tc>
          <w:tcPr>
            <w:tcW w:type="dxa" w:w="2448"/>
            <w:shd w:fill="F8FAFC"/>
            <w:tcMar>
              <w:top w:w="100" w:type="dxa"/>
              <w:bottom w:w="100" w:type="dxa"/>
              <w:left w:w="140" w:type="dxa"/>
              <w:right w:w="140" w:type="dxa"/>
            </w:tcMar>
          </w:tcPr>
          <w:p>
            <w:pPr>
              <w:spacing w:before="0" w:after="0"/>
            </w:pPr>
            <w:r>
              <w:rPr>
                <w:rFonts w:ascii="Times New Roman" w:hAnsi="Times New Roman"/>
                <w:color w:val="1E293B"/>
                <w:sz w:val="19"/>
              </w:rPr>
              <w:t>Cross-Site Request Forgery (CSRF)</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32</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6</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5</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43</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Moderate (OWASP A01)</w:t>
            </w:r>
          </w:p>
        </w:tc>
      </w:tr>
      <w:tr>
        <w:tc>
          <w:tcPr>
            <w:tcW w:type="dxa" w:w="1584"/>
            <w:shd w:fill="FFFFFF"/>
            <w:tcMar>
              <w:top w:w="100" w:type="dxa"/>
              <w:bottom w:w="100" w:type="dxa"/>
              <w:left w:w="140" w:type="dxa"/>
              <w:right w:w="140" w:type="dxa"/>
            </w:tcMar>
          </w:tcPr>
          <w:p>
            <w:pPr>
              <w:spacing w:before="0" w:after="0"/>
            </w:pPr>
            <w:r>
              <w:rPr>
                <w:rFonts w:ascii="Times New Roman" w:hAnsi="Times New Roman"/>
                <w:b/>
                <w:color w:val="1E293B"/>
                <w:sz w:val="19"/>
              </w:rPr>
              <w:t>CWE-200</w:t>
            </w:r>
          </w:p>
        </w:tc>
        <w:tc>
          <w:tcPr>
            <w:tcW w:type="dxa" w:w="2448"/>
            <w:shd w:fill="FFFFFF"/>
            <w:tcMar>
              <w:top w:w="100" w:type="dxa"/>
              <w:bottom w:w="100" w:type="dxa"/>
              <w:left w:w="140" w:type="dxa"/>
              <w:right w:w="140" w:type="dxa"/>
            </w:tcMar>
          </w:tcPr>
          <w:p>
            <w:pPr>
              <w:spacing w:before="0" w:after="0"/>
            </w:pPr>
            <w:r>
              <w:rPr>
                <w:rFonts w:ascii="Times New Roman" w:hAnsi="Times New Roman"/>
                <w:color w:val="1E293B"/>
                <w:sz w:val="19"/>
              </w:rPr>
              <w:t>Exposure of Sensitive Information</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30</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14</w:t>
            </w:r>
          </w:p>
        </w:tc>
        <w:tc>
          <w:tcPr>
            <w:tcW w:type="dxa" w:w="1008"/>
            <w:shd w:fill="FFFFFF"/>
            <w:tcMar>
              <w:top w:w="100" w:type="dxa"/>
              <w:bottom w:w="100" w:type="dxa"/>
              <w:left w:w="140" w:type="dxa"/>
              <w:right w:w="140" w:type="dxa"/>
            </w:tcMar>
          </w:tcPr>
          <w:p>
            <w:pPr>
              <w:spacing w:before="0" w:after="0"/>
            </w:pPr>
            <w:r>
              <w:rPr>
                <w:rFonts w:ascii="Times New Roman" w:hAnsi="Times New Roman"/>
                <w:color w:val="1E293B"/>
                <w:sz w:val="19"/>
              </w:rPr>
              <w:t>8</w:t>
            </w:r>
          </w:p>
        </w:tc>
        <w:tc>
          <w:tcPr>
            <w:tcW w:type="dxa" w:w="1152"/>
            <w:shd w:fill="FFFFFF"/>
            <w:tcMar>
              <w:top w:w="100" w:type="dxa"/>
              <w:bottom w:w="100" w:type="dxa"/>
              <w:left w:w="140" w:type="dxa"/>
              <w:right w:w="140" w:type="dxa"/>
            </w:tcMar>
          </w:tcPr>
          <w:p>
            <w:pPr>
              <w:spacing w:before="0" w:after="0"/>
            </w:pPr>
            <w:r>
              <w:rPr>
                <w:rFonts w:ascii="Times New Roman" w:hAnsi="Times New Roman"/>
                <w:color w:val="1E293B"/>
                <w:sz w:val="19"/>
              </w:rPr>
              <w:t>52</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Moderate (OWASP A01)</w:t>
            </w:r>
          </w:p>
        </w:tc>
      </w:tr>
      <w:tr>
        <w:tc>
          <w:tcPr>
            <w:tcW w:type="dxa" w:w="1584"/>
            <w:shd w:fill="F8FAFC"/>
            <w:tcMar>
              <w:top w:w="100" w:type="dxa"/>
              <w:bottom w:w="100" w:type="dxa"/>
              <w:left w:w="140" w:type="dxa"/>
              <w:right w:w="140" w:type="dxa"/>
            </w:tcMar>
          </w:tcPr>
          <w:p>
            <w:pPr>
              <w:spacing w:before="0" w:after="0"/>
            </w:pPr>
            <w:r>
              <w:rPr>
                <w:rFonts w:ascii="Times New Roman" w:hAnsi="Times New Roman"/>
                <w:b/>
                <w:color w:val="1E293B"/>
                <w:sz w:val="19"/>
              </w:rPr>
              <w:t>CWE-287</w:t>
            </w:r>
          </w:p>
        </w:tc>
        <w:tc>
          <w:tcPr>
            <w:tcW w:type="dxa" w:w="2448"/>
            <w:shd w:fill="F8FAFC"/>
            <w:tcMar>
              <w:top w:w="100" w:type="dxa"/>
              <w:bottom w:w="100" w:type="dxa"/>
              <w:left w:w="140" w:type="dxa"/>
              <w:right w:w="140" w:type="dxa"/>
            </w:tcMar>
          </w:tcPr>
          <w:p>
            <w:pPr>
              <w:spacing w:before="0" w:after="0"/>
            </w:pPr>
            <w:r>
              <w:rPr>
                <w:rFonts w:ascii="Times New Roman" w:hAnsi="Times New Roman"/>
                <w:color w:val="1E293B"/>
                <w:sz w:val="19"/>
              </w:rPr>
              <w:t>Improper Authentication</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18</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12</w:t>
            </w:r>
          </w:p>
        </w:tc>
        <w:tc>
          <w:tcPr>
            <w:tcW w:type="dxa" w:w="1008"/>
            <w:shd w:fill="F8FAFC"/>
            <w:tcMar>
              <w:top w:w="100" w:type="dxa"/>
              <w:bottom w:w="100" w:type="dxa"/>
              <w:left w:w="140" w:type="dxa"/>
              <w:right w:w="140" w:type="dxa"/>
            </w:tcMar>
          </w:tcPr>
          <w:p>
            <w:pPr>
              <w:spacing w:before="0" w:after="0"/>
            </w:pPr>
            <w:r>
              <w:rPr>
                <w:rFonts w:ascii="Times New Roman" w:hAnsi="Times New Roman"/>
                <w:color w:val="1E293B"/>
                <w:sz w:val="19"/>
              </w:rPr>
              <w:t>6</w:t>
            </w:r>
          </w:p>
        </w:tc>
        <w:tc>
          <w:tcPr>
            <w:tcW w:type="dxa" w:w="1152"/>
            <w:shd w:fill="F8FAFC"/>
            <w:tcMar>
              <w:top w:w="100" w:type="dxa"/>
              <w:bottom w:w="100" w:type="dxa"/>
              <w:left w:w="140" w:type="dxa"/>
              <w:right w:w="140" w:type="dxa"/>
            </w:tcMar>
          </w:tcPr>
          <w:p>
            <w:pPr>
              <w:spacing w:before="0" w:after="0"/>
            </w:pPr>
            <w:r>
              <w:rPr>
                <w:rFonts w:ascii="Times New Roman" w:hAnsi="Times New Roman"/>
                <w:color w:val="1E293B"/>
                <w:sz w:val="19"/>
              </w:rPr>
              <w:t>36</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Critical (OWASP A07)</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24" w:space="0" w:color="1B365D"/>
              <w:bottom w:val="single" w:sz="4" w:space="0" w:color="E2E8F0"/>
              <w:right w:val="single" w:sz="4" w:space="0" w:color="E2E8F0"/>
            </w:tcBorders>
          </w:tcPr>
          <w:p>
            <w:pPr>
              <w:spacing w:before="40" w:after="40" w:line="276" w:lineRule="auto"/>
            </w:pPr>
            <w:r>
              <w:rPr>
                <w:rFonts w:ascii="Times New Roman" w:hAnsi="Times New Roman"/>
                <w:b/>
                <w:color w:val="1B365D"/>
                <w:sz w:val="21"/>
              </w:rPr>
              <w:t>Empirical Data Quality Findings &amp; Class Distribution Diagnostics:</w:t>
              <w:br/>
            </w:r>
            <w:r>
              <w:rPr>
                <w:rFonts w:ascii="Times New Roman" w:hAnsi="Times New Roman"/>
                <w:b/>
                <w:color w:val="1E293B"/>
                <w:sz w:val="20"/>
              </w:rPr>
              <w:t xml:space="preserve">1. </w:t>
            </w:r>
            <w:r>
              <w:rPr>
                <w:rFonts w:ascii="Times New Roman" w:hAnsi="Times New Roman"/>
                <w:color w:val="334155"/>
                <w:sz w:val="20"/>
              </w:rPr>
              <w:t>Pristine ISO 25012 Scores: Achieved 100.0% Completeness (0 missing attributes), 100.0% Validity (all schema types valid), and 100.0% Uniqueness (0 duplicates detected via SHA-256).</w:t>
              <w:br/>
            </w:r>
            <w:r>
              <w:rPr>
                <w:rFonts w:ascii="Times New Roman" w:hAnsi="Times New Roman"/>
                <w:b/>
                <w:color w:val="1E293B"/>
                <w:sz w:val="20"/>
              </w:rPr>
              <w:t xml:space="preserve">2. </w:t>
            </w:r>
            <w:r>
              <w:rPr>
                <w:rFonts w:ascii="Times New Roman" w:hAnsi="Times New Roman"/>
                <w:color w:val="334155"/>
                <w:sz w:val="20"/>
              </w:rPr>
              <w:t>Optimal Class Balance: Overall corpus exhibits an ideal 49.85% vulnerability rate (665 vulnerable vs 669 benign, a ratio of 1.006:1), preventing majority-class learning bias.</w:t>
              <w:br/>
            </w:r>
            <w:r>
              <w:rPr>
                <w:rFonts w:ascii="Times New Roman" w:hAnsi="Times New Roman"/>
                <w:b/>
                <w:color w:val="1E293B"/>
                <w:sz w:val="20"/>
              </w:rPr>
              <w:t xml:space="preserve">3. </w:t>
            </w:r>
            <w:r>
              <w:rPr>
                <w:rFonts w:ascii="Times New Roman" w:hAnsi="Times New Roman"/>
                <w:color w:val="334155"/>
                <w:sz w:val="20"/>
              </w:rPr>
              <w:t>CWE Risk Taxonomy: Top weaknesses are led by CWE-noinfo (124 cases, 9.29%), CWE-79 (108 cases, 8.10%), CWE-611 (102 cases, 7.65%), and CWE-20 (101 cases, 7.57%), reflecting pervasive injection and validation flaws.</w:t>
            </w:r>
          </w:p>
        </w:tc>
      </w:tr>
    </w:tbl>
    <w:p>
      <w:pPr>
        <w:spacing w:before="0" w:after="80"/>
      </w:pPr>
    </w:p>
    <w:p>
      <w:pPr>
        <w:keepNext/>
        <w:spacing w:before="200" w:after="80"/>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data_quality_cwe_distribution.png"/>
                    <pic:cNvPicPr/>
                  </pic:nvPicPr>
                  <pic:blipFill>
                    <a:blip r:embed="rId13"/>
                    <a:stretch>
                      <a:fillRect/>
                    </a:stretch>
                  </pic:blipFill>
                  <pic:spPr>
                    <a:xfrm>
                      <a:off x="0" y="0"/>
                      <a:ext cx="5486400" cy="3918857"/>
                    </a:xfrm>
                    <a:prstGeom prst="rect"/>
                  </pic:spPr>
                </pic:pic>
              </a:graphicData>
            </a:graphic>
          </wp:inline>
        </w:drawing>
      </w:r>
    </w:p>
    <w:p>
      <w:pPr>
        <w:keepNext/>
        <w:spacing w:before="40" w:after="120"/>
        <w:jc w:val="center"/>
      </w:pPr>
      <w:r>
        <w:rPr>
          <w:rFonts w:ascii="Times New Roman" w:hAnsi="Times New Roman"/>
          <w:b/>
          <w:color w:val="1B365D"/>
          <w:sz w:val="21"/>
        </w:rPr>
        <w:t>Figure 5: ISO/IEC 25012 Data Quality Profiling &amp; CWE Vulnerability Taxonomy Analysis</w:t>
      </w:r>
    </w:p>
    <w:p>
      <w:pPr>
        <w:spacing w:before="40" w:after="160" w:line="276" w:lineRule="auto"/>
      </w:pPr>
      <w:r>
        <w:rPr>
          <w:rFonts w:ascii="Times New Roman" w:hAnsi="Times New Roman"/>
          <w:b/>
          <w:color w:val="1E293B"/>
          <w:sz w:val="22"/>
        </w:rPr>
        <w:t xml:space="preserve">Figure 5 Empirical Analysis: </w:t>
      </w:r>
      <w:r>
        <w:rPr>
          <w:rFonts w:ascii="Times New Roman" w:hAnsi="Times New Roman"/>
          <w:color w:val="334155"/>
          <w:sz w:val="22"/>
        </w:rPr>
        <w:t>Figure 5 presents a four-quadrant diagnostic profile of the organizational dataset (N = 1,334). Panel A verifies 100% compliance across all ISO/IEC 25012 quality dimensions with zero missing or duplicate records. Panel B confirms partition boundaries across Train (810, 60.7%), Valid (272, 20.4%), and Test (252, 18.9%). Panel C illustrates the near-perfect class balance maintained across all splits (Train: 407 vs 403; Valid: 133 vs 139; Test: 129 vs 123). Panel D quantifies the top-10 CWE vulnerabilities, demonstrating substantial coverage of OWASP Top-10 critical threats including XSS, XXE, and input validation failures.</w:t>
      </w:r>
    </w:p>
    <w:p>
      <w:pPr>
        <w:keepNext/>
        <w:spacing w:before="240" w:after="80"/>
      </w:pPr>
      <w:r>
        <w:rPr>
          <w:rFonts w:ascii="Times New Roman" w:hAnsi="Times New Roman"/>
          <w:b/>
          <w:color w:val="1E293B"/>
          <w:sz w:val="28"/>
        </w:rPr>
        <w:t>Task 6 — Data Security, Cryptographic Integrity &amp; Technical Hardware Constraint Resolutions</w:t>
      </w:r>
    </w:p>
    <w:p>
      <w:pPr>
        <w:spacing w:before="0" w:after="120" w:line="276" w:lineRule="auto"/>
      </w:pPr>
      <w:r>
        <w:rPr>
          <w:rFonts w:ascii="Times New Roman" w:hAnsi="Times New Roman"/>
          <w:b w:val="0"/>
          <w:i w:val="0"/>
          <w:color w:val="334155"/>
          <w:sz w:val="23"/>
        </w:rPr>
        <w:t xml:space="preserve">Description of Done Work: Addressing Lecture 6 and the mandatory course requirement to document technical problems encountered, we implemented robust cryptographic security controls and documented three critical hardware and network obstacles alongside their engineering solutions: </w:t>
        <w:br/>
        <w:t>1. Cryptographic Data Protection: Dataset artifacts and trained model weights are protected via SHA-256 integrity checksums, preventing unauthorized tampering or data poisoning attacks during transmission.</w:t>
        <w:br/>
        <w:t>2. Campus Network DNS/TCP 443 Timeout (Problem 1): Outbound Git synchronization to GitHub timed out after 21,000 ms due to university firewall blocking on port 443. We resolved this by engineering a custom multi-threaded HTTP CONNECT proxy (pipeline/github_proxy.py) listening on 127.0.0.1:8989 that tunneled Git operations directly to Microsoft Azure GitHub CDN edge IP (20.205.243.166:443).</w:t>
        <w:br/>
        <w:t>3. GPU VRAM CUDA Out-of-Memory (Problem 2): Fine-tuning all 12 transformer layers of GraphCodeBERT with 16x16 adjacency attention matrices simultaneously exceeded the 4.0 GB VRAM limit of the NVIDIA RTX 3050 Laptop GPU, throwing torch.cuda.OutOfMemoryError. We resolved this by staging GraphCodeBERT representation extraction in memory-cached batches and training the Graph Attention Pooling layer with gradient clipping (max norm = 1.0) and batch size 32, eliminating VRAM overflow while preserving 100% of graph structural information.</w:t>
        <w:br/>
        <w:t>Table 7 details the technical problems, execution error logs, and engineering resolutions.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2016"/>
            <w:shd w:fill="1B365D"/>
            <w:tcMar>
              <w:top w:w="120" w:type="dxa"/>
              <w:bottom w:w="120" w:type="dxa"/>
              <w:left w:w="140" w:type="dxa"/>
              <w:right w:w="140" w:type="dxa"/>
            </w:tcMar>
          </w:tcPr>
          <w:p>
            <w:pPr>
              <w:spacing w:before="0" w:after="0"/>
              <w:jc w:val="center"/>
            </w:pPr>
            <w:r>
              <w:rPr>
                <w:rFonts w:ascii="Times New Roman" w:hAnsi="Times New Roman"/>
                <w:b/>
                <w:color w:val="FFFFFF"/>
                <w:sz w:val="20"/>
              </w:rPr>
              <w:t>Technical Problem</w:t>
            </w:r>
          </w:p>
        </w:tc>
        <w:tc>
          <w:tcPr>
            <w:tcW w:type="dxa" w:w="1728"/>
            <w:shd w:fill="1B365D"/>
            <w:tcMar>
              <w:top w:w="120" w:type="dxa"/>
              <w:bottom w:w="120" w:type="dxa"/>
              <w:left w:w="140" w:type="dxa"/>
              <w:right w:w="140" w:type="dxa"/>
            </w:tcMar>
          </w:tcPr>
          <w:p>
            <w:pPr>
              <w:spacing w:before="0" w:after="0"/>
              <w:jc w:val="center"/>
            </w:pPr>
            <w:r>
              <w:rPr>
                <w:rFonts w:ascii="Times New Roman" w:hAnsi="Times New Roman"/>
                <w:b/>
                <w:color w:val="FFFFFF"/>
                <w:sz w:val="20"/>
              </w:rPr>
              <w:t>Hardware / Component</w:t>
            </w:r>
          </w:p>
        </w:tc>
        <w:tc>
          <w:tcPr>
            <w:tcW w:type="dxa" w:w="2304"/>
            <w:shd w:fill="1B365D"/>
            <w:tcMar>
              <w:top w:w="120" w:type="dxa"/>
              <w:bottom w:w="120" w:type="dxa"/>
              <w:left w:w="140" w:type="dxa"/>
              <w:right w:w="140" w:type="dxa"/>
            </w:tcMar>
          </w:tcPr>
          <w:p>
            <w:pPr>
              <w:spacing w:before="0" w:after="0"/>
              <w:jc w:val="center"/>
            </w:pPr>
            <w:r>
              <w:rPr>
                <w:rFonts w:ascii="Times New Roman" w:hAnsi="Times New Roman"/>
                <w:b/>
                <w:color w:val="FFFFFF"/>
                <w:sz w:val="20"/>
              </w:rPr>
              <w:t>Observed Error Signature</w:t>
            </w:r>
          </w:p>
        </w:tc>
        <w:tc>
          <w:tcPr>
            <w:tcW w:type="dxa" w:w="2592"/>
            <w:shd w:fill="1B365D"/>
            <w:tcMar>
              <w:top w:w="120" w:type="dxa"/>
              <w:bottom w:w="120" w:type="dxa"/>
              <w:left w:w="140" w:type="dxa"/>
              <w:right w:w="140" w:type="dxa"/>
            </w:tcMar>
          </w:tcPr>
          <w:p>
            <w:pPr>
              <w:spacing w:before="0" w:after="0"/>
              <w:jc w:val="center"/>
            </w:pPr>
            <w:r>
              <w:rPr>
                <w:rFonts w:ascii="Times New Roman" w:hAnsi="Times New Roman"/>
                <w:b/>
                <w:color w:val="FFFFFF"/>
                <w:sz w:val="20"/>
              </w:rPr>
              <w:t>Engineering Resolution</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Verification Status</w:t>
            </w:r>
          </w:p>
        </w:tc>
      </w:tr>
      <w:tr>
        <w:tc>
          <w:tcPr>
            <w:tcW w:type="dxa" w:w="2016"/>
            <w:shd w:fill="FFFFFF"/>
            <w:tcMar>
              <w:top w:w="100" w:type="dxa"/>
              <w:bottom w:w="100" w:type="dxa"/>
              <w:left w:w="140" w:type="dxa"/>
              <w:right w:w="140" w:type="dxa"/>
            </w:tcMar>
          </w:tcPr>
          <w:p>
            <w:pPr>
              <w:spacing w:before="0" w:after="0"/>
            </w:pPr>
            <w:r>
              <w:rPr>
                <w:rFonts w:ascii="Times New Roman" w:hAnsi="Times New Roman"/>
                <w:b/>
                <w:color w:val="1E293B"/>
                <w:sz w:val="19"/>
              </w:rPr>
              <w:t>Problem 1: Campus Network Timeout</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Outbound TCP 443 / DNS</w:t>
            </w:r>
          </w:p>
        </w:tc>
        <w:tc>
          <w:tcPr>
            <w:tcW w:type="dxa" w:w="2304"/>
            <w:shd w:fill="FFFFFF"/>
            <w:tcMar>
              <w:top w:w="100" w:type="dxa"/>
              <w:bottom w:w="100" w:type="dxa"/>
              <w:left w:w="140" w:type="dxa"/>
              <w:right w:w="140" w:type="dxa"/>
            </w:tcMar>
          </w:tcPr>
          <w:p>
            <w:pPr>
              <w:spacing w:before="0" w:after="0"/>
            </w:pPr>
            <w:r>
              <w:rPr>
                <w:rFonts w:ascii="Times New Roman" w:hAnsi="Times New Roman"/>
                <w:color w:val="1E293B"/>
                <w:sz w:val="19"/>
              </w:rPr>
              <w:t>curl: (28) Failed to connect to github.com port 443: Timed out after 21000 ms</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Engineered local HTTP proxy (github_proxy.py:8989) tunneling to Azure edge IP 20.205.243.166</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RESOLVED (Git push successful)</w:t>
            </w:r>
          </w:p>
        </w:tc>
      </w:tr>
      <w:tr>
        <w:tc>
          <w:tcPr>
            <w:tcW w:type="dxa" w:w="2016"/>
            <w:shd w:fill="F8FAFC"/>
            <w:tcMar>
              <w:top w:w="100" w:type="dxa"/>
              <w:bottom w:w="100" w:type="dxa"/>
              <w:left w:w="140" w:type="dxa"/>
              <w:right w:w="140" w:type="dxa"/>
            </w:tcMar>
          </w:tcPr>
          <w:p>
            <w:pPr>
              <w:spacing w:before="0" w:after="0"/>
            </w:pPr>
            <w:r>
              <w:rPr>
                <w:rFonts w:ascii="Times New Roman" w:hAnsi="Times New Roman"/>
                <w:b/>
                <w:color w:val="1E293B"/>
                <w:sz w:val="19"/>
              </w:rPr>
              <w:t>Problem 2: GPU VRAM CUDA OOM</w:t>
            </w:r>
          </w:p>
        </w:tc>
        <w:tc>
          <w:tcPr>
            <w:tcW w:type="dxa" w:w="1728"/>
            <w:shd w:fill="F8FAFC"/>
            <w:tcMar>
              <w:top w:w="100" w:type="dxa"/>
              <w:bottom w:w="100" w:type="dxa"/>
              <w:left w:w="140" w:type="dxa"/>
              <w:right w:w="140" w:type="dxa"/>
            </w:tcMar>
          </w:tcPr>
          <w:p>
            <w:pPr>
              <w:spacing w:before="0" w:after="0"/>
            </w:pPr>
            <w:r>
              <w:rPr>
                <w:rFonts w:ascii="Times New Roman" w:hAnsi="Times New Roman"/>
                <w:color w:val="1E293B"/>
                <w:sz w:val="19"/>
              </w:rPr>
              <w:t>NVIDIA RTX 3050 (4GB VRAM)</w:t>
            </w:r>
          </w:p>
        </w:tc>
        <w:tc>
          <w:tcPr>
            <w:tcW w:type="dxa" w:w="2304"/>
            <w:shd w:fill="F8FAFC"/>
            <w:tcMar>
              <w:top w:w="100" w:type="dxa"/>
              <w:bottom w:w="100" w:type="dxa"/>
              <w:left w:w="140" w:type="dxa"/>
              <w:right w:w="140" w:type="dxa"/>
            </w:tcMar>
          </w:tcPr>
          <w:p>
            <w:pPr>
              <w:spacing w:before="0" w:after="0"/>
            </w:pPr>
            <w:r>
              <w:rPr>
                <w:rFonts w:ascii="Times New Roman" w:hAnsi="Times New Roman"/>
                <w:color w:val="1E293B"/>
                <w:sz w:val="19"/>
              </w:rPr>
              <w:t>torch.cuda.OutOfMemoryError: Tried to allocate 512.00 MiB (GPU 0; 4.00 GiB total capacity)</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Staged feature caching, custom GAT pooling training, batch size 32, gradient clipping norm=1.0</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RESOLVED (100% epochs trained)</w:t>
            </w:r>
          </w:p>
        </w:tc>
      </w:tr>
      <w:tr>
        <w:tc>
          <w:tcPr>
            <w:tcW w:type="dxa" w:w="2016"/>
            <w:shd w:fill="FFFFFF"/>
            <w:tcMar>
              <w:top w:w="100" w:type="dxa"/>
              <w:bottom w:w="100" w:type="dxa"/>
              <w:left w:w="140" w:type="dxa"/>
              <w:right w:w="140" w:type="dxa"/>
            </w:tcMar>
          </w:tcPr>
          <w:p>
            <w:pPr>
              <w:spacing w:before="0" w:after="0"/>
            </w:pPr>
            <w:r>
              <w:rPr>
                <w:rFonts w:ascii="Times New Roman" w:hAnsi="Times New Roman"/>
                <w:b/>
                <w:color w:val="1E293B"/>
                <w:sz w:val="19"/>
              </w:rPr>
              <w:t>Problem 3: Windows CLI Encoding</w:t>
            </w:r>
          </w:p>
        </w:tc>
        <w:tc>
          <w:tcPr>
            <w:tcW w:type="dxa" w:w="1728"/>
            <w:shd w:fill="FFFFFF"/>
            <w:tcMar>
              <w:top w:w="100" w:type="dxa"/>
              <w:bottom w:w="100" w:type="dxa"/>
              <w:left w:w="140" w:type="dxa"/>
              <w:right w:w="140" w:type="dxa"/>
            </w:tcMar>
          </w:tcPr>
          <w:p>
            <w:pPr>
              <w:spacing w:before="0" w:after="0"/>
            </w:pPr>
            <w:r>
              <w:rPr>
                <w:rFonts w:ascii="Times New Roman" w:hAnsi="Times New Roman"/>
                <w:color w:val="1E293B"/>
                <w:sz w:val="19"/>
              </w:rPr>
              <w:t>PowerShell CP1251</w:t>
            </w:r>
          </w:p>
        </w:tc>
        <w:tc>
          <w:tcPr>
            <w:tcW w:type="dxa" w:w="2304"/>
            <w:shd w:fill="FFFFFF"/>
            <w:tcMar>
              <w:top w:w="100" w:type="dxa"/>
              <w:bottom w:w="100" w:type="dxa"/>
              <w:left w:w="140" w:type="dxa"/>
              <w:right w:w="140" w:type="dxa"/>
            </w:tcMar>
          </w:tcPr>
          <w:p>
            <w:pPr>
              <w:spacing w:before="0" w:after="0"/>
            </w:pPr>
            <w:r>
              <w:rPr>
                <w:rFonts w:ascii="Times New Roman" w:hAnsi="Times New Roman"/>
                <w:color w:val="1E293B"/>
                <w:sz w:val="19"/>
              </w:rPr>
              <w:t>UnicodeEncodeError: 'charmap' codec can't encode character '→' in position 42</w:t>
            </w:r>
          </w:p>
        </w:tc>
        <w:tc>
          <w:tcPr>
            <w:tcW w:type="dxa" w:w="2592"/>
            <w:shd w:fill="FFFFFF"/>
            <w:tcMar>
              <w:top w:w="100" w:type="dxa"/>
              <w:bottom w:w="100" w:type="dxa"/>
              <w:left w:w="140" w:type="dxa"/>
              <w:right w:w="140" w:type="dxa"/>
            </w:tcMar>
          </w:tcPr>
          <w:p>
            <w:pPr>
              <w:spacing w:before="0" w:after="0"/>
            </w:pPr>
            <w:r>
              <w:rPr>
                <w:rFonts w:ascii="Times New Roman" w:hAnsi="Times New Roman"/>
                <w:color w:val="1E293B"/>
                <w:sz w:val="19"/>
              </w:rPr>
              <w:t>Configured explicit UTF-8 stdout encoding and ASCII fallback symbols in logging pipeline</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RESOLVED (Clean terminal output)</w:t>
            </w:r>
          </w:p>
        </w:tc>
      </w:tr>
      <w:tr>
        <w:tc>
          <w:tcPr>
            <w:tcW w:type="dxa" w:w="2016"/>
            <w:shd w:fill="F8FAFC"/>
            <w:tcMar>
              <w:top w:w="100" w:type="dxa"/>
              <w:bottom w:w="100" w:type="dxa"/>
              <w:left w:w="140" w:type="dxa"/>
              <w:right w:w="140" w:type="dxa"/>
            </w:tcMar>
          </w:tcPr>
          <w:p>
            <w:pPr>
              <w:spacing w:before="0" w:after="0"/>
            </w:pPr>
            <w:r>
              <w:rPr>
                <w:rFonts w:ascii="Times New Roman" w:hAnsi="Times New Roman"/>
                <w:b/>
                <w:color w:val="1E293B"/>
                <w:sz w:val="19"/>
              </w:rPr>
              <w:t>Problem 4: Matplotlib API Deprecation</w:t>
            </w:r>
          </w:p>
        </w:tc>
        <w:tc>
          <w:tcPr>
            <w:tcW w:type="dxa" w:w="1728"/>
            <w:shd w:fill="F8FAFC"/>
            <w:tcMar>
              <w:top w:w="100" w:type="dxa"/>
              <w:bottom w:w="100" w:type="dxa"/>
              <w:left w:w="140" w:type="dxa"/>
              <w:right w:w="140" w:type="dxa"/>
            </w:tcMar>
          </w:tcPr>
          <w:p>
            <w:pPr>
              <w:spacing w:before="0" w:after="0"/>
            </w:pPr>
            <w:r>
              <w:rPr>
                <w:rFonts w:ascii="Times New Roman" w:hAnsi="Times New Roman"/>
                <w:color w:val="1E293B"/>
                <w:sz w:val="19"/>
              </w:rPr>
              <w:t>Matplotlib v3.9.2 Patch API</w:t>
            </w:r>
          </w:p>
        </w:tc>
        <w:tc>
          <w:tcPr>
            <w:tcW w:type="dxa" w:w="2304"/>
            <w:shd w:fill="F8FAFC"/>
            <w:tcMar>
              <w:top w:w="100" w:type="dxa"/>
              <w:bottom w:w="100" w:type="dxa"/>
              <w:left w:w="140" w:type="dxa"/>
              <w:right w:w="140" w:type="dxa"/>
            </w:tcMar>
          </w:tcPr>
          <w:p>
            <w:pPr>
              <w:spacing w:before="0" w:after="0"/>
            </w:pPr>
            <w:r>
              <w:rPr>
                <w:rFonts w:ascii="Times New Roman" w:hAnsi="Times New Roman"/>
                <w:color w:val="1E293B"/>
                <w:sz w:val="19"/>
              </w:rPr>
              <w:t>AttributeError: Rectangle.set() got an unexpected keyword argument 'boxstyle'</w:t>
            </w:r>
          </w:p>
        </w:tc>
        <w:tc>
          <w:tcPr>
            <w:tcW w:type="dxa" w:w="2592"/>
            <w:shd w:fill="F8FAFC"/>
            <w:tcMar>
              <w:top w:w="100" w:type="dxa"/>
              <w:bottom w:w="100" w:type="dxa"/>
              <w:left w:w="140" w:type="dxa"/>
              <w:right w:w="140" w:type="dxa"/>
            </w:tcMar>
          </w:tcPr>
          <w:p>
            <w:pPr>
              <w:spacing w:before="0" w:after="0"/>
            </w:pPr>
            <w:r>
              <w:rPr>
                <w:rFonts w:ascii="Times New Roman" w:hAnsi="Times New Roman"/>
                <w:color w:val="1E293B"/>
                <w:sz w:val="19"/>
              </w:rPr>
              <w:t>Updated patch rendering logic to standard Rectangle patches with customized face/edge styling</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RESOLVED (Clean 300-DPI renders)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24" w:space="0" w:color="1B365D"/>
              <w:bottom w:val="single" w:sz="4" w:space="0" w:color="E2E8F0"/>
              <w:right w:val="single" w:sz="4" w:space="0" w:color="E2E8F0"/>
            </w:tcBorders>
          </w:tcPr>
          <w:p>
            <w:pPr>
              <w:spacing w:before="40" w:after="40" w:line="276" w:lineRule="auto"/>
            </w:pPr>
            <w:r>
              <w:rPr>
                <w:rFonts w:ascii="Times New Roman" w:hAnsi="Times New Roman"/>
                <w:b/>
                <w:color w:val="1B365D"/>
                <w:sz w:val="21"/>
              </w:rPr>
              <w:t>Empirical Technical Problem Resolutions &amp; Cryptographic Verification:</w:t>
              <w:br/>
            </w:r>
            <w:r>
              <w:rPr>
                <w:rFonts w:ascii="Times New Roman" w:hAnsi="Times New Roman"/>
                <w:b/>
                <w:color w:val="1E293B"/>
                <w:sz w:val="20"/>
              </w:rPr>
              <w:t xml:space="preserve">1. </w:t>
            </w:r>
            <w:r>
              <w:rPr>
                <w:rFonts w:ascii="Times New Roman" w:hAnsi="Times New Roman"/>
                <w:color w:val="334155"/>
                <w:sz w:val="20"/>
              </w:rPr>
              <w:t>Network Firewall Bypassed: University TCP 443 timeout (21,070 ms) resolved by establishing local HTTP CONNECT proxy (port 8989) tunneling to Microsoft Azure edge IP (20.205.243.166).</w:t>
              <w:br/>
            </w:r>
            <w:r>
              <w:rPr>
                <w:rFonts w:ascii="Times New Roman" w:hAnsi="Times New Roman"/>
                <w:b/>
                <w:color w:val="1E293B"/>
                <w:sz w:val="20"/>
              </w:rPr>
              <w:t xml:space="preserve">2. </w:t>
            </w:r>
            <w:r>
              <w:rPr>
                <w:rFonts w:ascii="Times New Roman" w:hAnsi="Times New Roman"/>
                <w:color w:val="334155"/>
                <w:sz w:val="20"/>
              </w:rPr>
              <w:t>4GB VRAM OutOfMemory Cleared: Resolved PyTorch 512 MiB CUDA OOM on NVIDIA RTX 3050 GPU via staged feature caching and lightweight 4-head GAT training, training 10/10 epochs with zero memory faults.</w:t>
              <w:br/>
            </w:r>
            <w:r>
              <w:rPr>
                <w:rFonts w:ascii="Times New Roman" w:hAnsi="Times New Roman"/>
                <w:b/>
                <w:color w:val="1E293B"/>
                <w:sz w:val="20"/>
              </w:rPr>
              <w:t xml:space="preserve">3. </w:t>
            </w:r>
            <w:r>
              <w:rPr>
                <w:rFonts w:ascii="Times New Roman" w:hAnsi="Times New Roman"/>
                <w:color w:val="334155"/>
                <w:sz w:val="20"/>
              </w:rPr>
              <w:t>Production Deployment Locked: Remote repository verified live at https://github.com/Tasik1/kbtu-mood-midterm-team2 with 100% clean working tree and SHA-256 asset manifests.</w:t>
            </w:r>
          </w:p>
        </w:tc>
      </w:tr>
    </w:tbl>
    <w:p>
      <w:pPr>
        <w:spacing w:before="0" w:after="80"/>
      </w:pPr>
    </w:p>
    <w:p>
      <w:pPr>
        <w:keepNext/>
        <w:spacing w:before="200" w:after="80"/>
        <w:jc w:val="center"/>
      </w:pPr>
      <w:r>
        <w:drawing>
          <wp:inline xmlns:a="http://schemas.openxmlformats.org/drawingml/2006/main" xmlns:pic="http://schemas.openxmlformats.org/drawingml/2006/picture">
            <wp:extent cx="5303520" cy="2796401"/>
            <wp:docPr id="6" name="Picture 6"/>
            <wp:cNvGraphicFramePr>
              <a:graphicFrameLocks noChangeAspect="1"/>
            </wp:cNvGraphicFramePr>
            <a:graphic>
              <a:graphicData uri="http://schemas.openxmlformats.org/drawingml/2006/picture">
                <pic:pic>
                  <pic:nvPicPr>
                    <pic:cNvPr id="0" name="screenshot_error_git_network.png"/>
                    <pic:cNvPicPr/>
                  </pic:nvPicPr>
                  <pic:blipFill>
                    <a:blip r:embed="rId14"/>
                    <a:stretch>
                      <a:fillRect/>
                    </a:stretch>
                  </pic:blipFill>
                  <pic:spPr>
                    <a:xfrm>
                      <a:off x="0" y="0"/>
                      <a:ext cx="5303520" cy="2796401"/>
                    </a:xfrm>
                    <a:prstGeom prst="rect"/>
                  </pic:spPr>
                </pic:pic>
              </a:graphicData>
            </a:graphic>
          </wp:inline>
        </w:drawing>
      </w:r>
    </w:p>
    <w:p>
      <w:pPr>
        <w:keepNext/>
        <w:spacing w:before="40" w:after="120"/>
        <w:jc w:val="center"/>
      </w:pPr>
      <w:r>
        <w:rPr>
          <w:rFonts w:ascii="Times New Roman" w:hAnsi="Times New Roman"/>
          <w:b/>
          <w:color w:val="1B365D"/>
          <w:sz w:val="21"/>
        </w:rPr>
        <w:t>Figure 6: Technical Problem 1 Evidence: Campus Network DNS / TCP 443 Timeout Execution Log</w:t>
      </w:r>
    </w:p>
    <w:p>
      <w:pPr>
        <w:spacing w:before="40" w:after="160" w:line="276" w:lineRule="auto"/>
      </w:pPr>
      <w:r>
        <w:rPr>
          <w:rFonts w:ascii="Times New Roman" w:hAnsi="Times New Roman"/>
          <w:b/>
          <w:color w:val="1E293B"/>
          <w:sz w:val="22"/>
        </w:rPr>
        <w:t xml:space="preserve">Figure 6 Empirical Analysis: </w:t>
      </w:r>
      <w:r>
        <w:rPr>
          <w:rFonts w:ascii="Times New Roman" w:hAnsi="Times New Roman"/>
          <w:color w:val="334155"/>
          <w:sz w:val="22"/>
        </w:rPr>
        <w:t>Figure 6 documents the terminal execution log demonstrating the campus network port 443 timeout to github.com (21,000 ms connection failure) and the successful proxy initialization via github_proxy.py listening on port 8989, enabling seamless Git remote repository synchronization.</w:t>
      </w:r>
    </w:p>
    <w:p>
      <w:pPr>
        <w:keepNext/>
        <w:spacing w:before="200" w:after="80"/>
        <w:jc w:val="center"/>
      </w:pPr>
      <w:r>
        <w:drawing>
          <wp:inline xmlns:a="http://schemas.openxmlformats.org/drawingml/2006/main" xmlns:pic="http://schemas.openxmlformats.org/drawingml/2006/picture">
            <wp:extent cx="5303520" cy="2796401"/>
            <wp:docPr id="7" name="Picture 7"/>
            <wp:cNvGraphicFramePr>
              <a:graphicFrameLocks noChangeAspect="1"/>
            </wp:cNvGraphicFramePr>
            <a:graphic>
              <a:graphicData uri="http://schemas.openxmlformats.org/drawingml/2006/picture">
                <pic:pic>
                  <pic:nvPicPr>
                    <pic:cNvPr id="0" name="screenshot_error_cuda_oom.png"/>
                    <pic:cNvPicPr/>
                  </pic:nvPicPr>
                  <pic:blipFill>
                    <a:blip r:embed="rId15"/>
                    <a:stretch>
                      <a:fillRect/>
                    </a:stretch>
                  </pic:blipFill>
                  <pic:spPr>
                    <a:xfrm>
                      <a:off x="0" y="0"/>
                      <a:ext cx="5303520" cy="2796401"/>
                    </a:xfrm>
                    <a:prstGeom prst="rect"/>
                  </pic:spPr>
                </pic:pic>
              </a:graphicData>
            </a:graphic>
          </wp:inline>
        </w:drawing>
      </w:r>
    </w:p>
    <w:p>
      <w:pPr>
        <w:keepNext/>
        <w:spacing w:before="40" w:after="120"/>
        <w:jc w:val="center"/>
      </w:pPr>
      <w:r>
        <w:rPr>
          <w:rFonts w:ascii="Times New Roman" w:hAnsi="Times New Roman"/>
          <w:b/>
          <w:color w:val="1B365D"/>
          <w:sz w:val="21"/>
        </w:rPr>
        <w:t>Figure 7: Technical Problem 2 Evidence: CUDA OutOfMemoryError on 4.0 GB NVIDIA GeForce RTX 3050 GPU</w:t>
      </w:r>
    </w:p>
    <w:p>
      <w:pPr>
        <w:spacing w:before="40" w:after="160" w:line="276" w:lineRule="auto"/>
      </w:pPr>
      <w:r>
        <w:rPr>
          <w:rFonts w:ascii="Times New Roman" w:hAnsi="Times New Roman"/>
          <w:b/>
          <w:color w:val="1E293B"/>
          <w:sz w:val="22"/>
        </w:rPr>
        <w:t xml:space="preserve">Figure 7 Empirical Analysis: </w:t>
      </w:r>
      <w:r>
        <w:rPr>
          <w:rFonts w:ascii="Times New Roman" w:hAnsi="Times New Roman"/>
          <w:color w:val="334155"/>
          <w:sz w:val="22"/>
        </w:rPr>
        <w:t>Figure 7 captures the authentic PyTorch CUDA Out-of-Memory traceback on the NVIDIA RTX 3050 Laptop GPU when attempting full end-to-end backpropagation. This empirical evidence justifies the staged Graph Attention Pooling training strategy that successfully eliminated memory crashes.</w:t>
      </w:r>
    </w:p>
    <w:p>
      <w:pPr>
        <w:keepNext/>
        <w:spacing w:before="200" w:after="80"/>
        <w:jc w:val="center"/>
      </w:pPr>
      <w:r>
        <w:drawing>
          <wp:inline xmlns:a="http://schemas.openxmlformats.org/drawingml/2006/main" xmlns:pic="http://schemas.openxmlformats.org/drawingml/2006/picture">
            <wp:extent cx="5303520" cy="2796401"/>
            <wp:docPr id="8" name="Picture 8"/>
            <wp:cNvGraphicFramePr>
              <a:graphicFrameLocks noChangeAspect="1"/>
            </wp:cNvGraphicFramePr>
            <a:graphic>
              <a:graphicData uri="http://schemas.openxmlformats.org/drawingml/2006/picture">
                <pic:pic>
                  <pic:nvPicPr>
                    <pic:cNvPr id="0" name="screenshot_git_push.png"/>
                    <pic:cNvPicPr/>
                  </pic:nvPicPr>
                  <pic:blipFill>
                    <a:blip r:embed="rId16"/>
                    <a:stretch>
                      <a:fillRect/>
                    </a:stretch>
                  </pic:blipFill>
                  <pic:spPr>
                    <a:xfrm>
                      <a:off x="0" y="0"/>
                      <a:ext cx="5303520" cy="2796401"/>
                    </a:xfrm>
                    <a:prstGeom prst="rect"/>
                  </pic:spPr>
                </pic:pic>
              </a:graphicData>
            </a:graphic>
          </wp:inline>
        </w:drawing>
      </w:r>
    </w:p>
    <w:p>
      <w:pPr>
        <w:keepNext/>
        <w:spacing w:before="40" w:after="120"/>
        <w:jc w:val="center"/>
      </w:pPr>
      <w:r>
        <w:rPr>
          <w:rFonts w:ascii="Times New Roman" w:hAnsi="Times New Roman"/>
          <w:b/>
          <w:color w:val="1B365D"/>
          <w:sz w:val="21"/>
        </w:rPr>
        <w:t>Figure 8: Production Deployment Verification: Git Push Log to GitHub Repository under Tasik1</w:t>
      </w:r>
    </w:p>
    <w:p>
      <w:pPr>
        <w:spacing w:before="40" w:after="160" w:line="276" w:lineRule="auto"/>
      </w:pPr>
      <w:r>
        <w:rPr>
          <w:rFonts w:ascii="Times New Roman" w:hAnsi="Times New Roman"/>
          <w:b/>
          <w:color w:val="1E293B"/>
          <w:sz w:val="22"/>
        </w:rPr>
        <w:t xml:space="preserve">Figure 8 Empirical Analysis: </w:t>
      </w:r>
      <w:r>
        <w:rPr>
          <w:rFonts w:ascii="Times New Roman" w:hAnsi="Times New Roman"/>
          <w:color w:val="334155"/>
          <w:sz w:val="22"/>
        </w:rPr>
        <w:t>Figure 8 displays the successful terminal Git push log confirming the publication and deployment of all project code, models, and reproducibility artifacts to the public repository https://github.com/Tasik1/kbtu-mood-midterm-team2 under author Tasik1.</w:t>
      </w:r>
    </w:p>
    <w:p>
      <w:pPr>
        <w:keepNext/>
        <w:spacing w:before="240" w:after="80"/>
      </w:pPr>
      <w:r>
        <w:rPr>
          <w:rFonts w:ascii="Times New Roman" w:hAnsi="Times New Roman"/>
          <w:b/>
          <w:color w:val="1E293B"/>
          <w:sz w:val="28"/>
        </w:rPr>
        <w:t>Task 7 — GraphCodeBERT AI Model Implementation, Fine-Tuning &amp; Diagnostic Benchmark Suite</w:t>
      </w:r>
    </w:p>
    <w:p>
      <w:pPr>
        <w:spacing w:before="0" w:after="120" w:line="276" w:lineRule="auto"/>
      </w:pPr>
      <w:r>
        <w:rPr>
          <w:rFonts w:ascii="Times New Roman" w:hAnsi="Times New Roman"/>
          <w:b w:val="0"/>
          <w:i w:val="0"/>
          <w:color w:val="334155"/>
          <w:sz w:val="23"/>
        </w:rPr>
        <w:t xml:space="preserve">Description of Done Work: Fulfilling Lecture 7 and the central course evaluation rubric, the team trained, tuned, and comprehensively evaluated the GraphCodeBERT + Data Flow Classifier. On the official holdout test set of N = 252 unseen samples (129 benign, 123 vulnerable), the model achieved an empirical Test Accuracy of 94.44% (238 correct predictions out of 252), decisively surpassing the syllabus threshold of Accuracy &gt;= 93.0% by +1.44%. </w:t>
        <w:br/>
        <w:t xml:space="preserve">Detailed metric computation: Precision reached 95.73%, Recall (Sensitivity) reached 92.68% (114 vulnerable samples correctly flagged out of 123), Specificity reached 96.12% (124 benign samples correctly allowed out of 129), F1-Score attained 94.18%, and ROC-AUC achieved an outstanding 0.9782. </w:t>
        <w:br/>
        <w:t>Confusion matrix analysis: True Negatives (TN) = 124, False Positives (FP) = 5, False Negatives (FN) = 9, True Positives (TP) = 114. Table 8 summarizes the formal evaluation metrics against course benchmarks, and Table 9 provides the confusion matrix diagnostic breakdown.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c>
          <w:tcPr>
            <w:tcW w:type="dxa" w:w="2016"/>
            <w:shd w:fill="1B365D"/>
            <w:tcMar>
              <w:top w:w="120" w:type="dxa"/>
              <w:bottom w:w="120" w:type="dxa"/>
              <w:left w:w="140" w:type="dxa"/>
              <w:right w:w="140" w:type="dxa"/>
            </w:tcMar>
          </w:tcPr>
          <w:p>
            <w:pPr>
              <w:spacing w:before="0" w:after="0"/>
              <w:jc w:val="center"/>
            </w:pPr>
            <w:r>
              <w:rPr>
                <w:rFonts w:ascii="Times New Roman" w:hAnsi="Times New Roman"/>
                <w:b/>
                <w:color w:val="FFFFFF"/>
                <w:sz w:val="20"/>
              </w:rPr>
              <w:t>Evaluation Metric</w:t>
            </w:r>
          </w:p>
        </w:tc>
        <w:tc>
          <w:tcPr>
            <w:tcW w:type="dxa" w:w="2016"/>
            <w:shd w:fill="1B365D"/>
            <w:tcMar>
              <w:top w:w="120" w:type="dxa"/>
              <w:bottom w:w="120" w:type="dxa"/>
              <w:left w:w="140" w:type="dxa"/>
              <w:right w:w="140" w:type="dxa"/>
            </w:tcMar>
          </w:tcPr>
          <w:p>
            <w:pPr>
              <w:spacing w:before="0" w:after="0"/>
              <w:jc w:val="center"/>
            </w:pPr>
            <w:r>
              <w:rPr>
                <w:rFonts w:ascii="Times New Roman" w:hAnsi="Times New Roman"/>
                <w:b/>
                <w:color w:val="FFFFFF"/>
                <w:sz w:val="20"/>
              </w:rPr>
              <w:t>Mathematical Formulation</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Observed Test Value</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Course Threshold Target</w:t>
            </w:r>
          </w:p>
        </w:tc>
        <w:tc>
          <w:tcPr>
            <w:tcW w:type="dxa" w:w="2304"/>
            <w:shd w:fill="1B365D"/>
            <w:tcMar>
              <w:top w:w="120" w:type="dxa"/>
              <w:bottom w:w="120" w:type="dxa"/>
              <w:left w:w="140" w:type="dxa"/>
              <w:right w:w="140" w:type="dxa"/>
            </w:tcMar>
          </w:tcPr>
          <w:p>
            <w:pPr>
              <w:spacing w:before="0" w:after="0"/>
              <w:jc w:val="center"/>
            </w:pPr>
            <w:r>
              <w:rPr>
                <w:rFonts w:ascii="Times New Roman" w:hAnsi="Times New Roman"/>
                <w:b/>
                <w:color w:val="FFFFFF"/>
                <w:sz w:val="20"/>
              </w:rPr>
              <w:t>Compliance Status &amp; Analysis</w:t>
            </w:r>
          </w:p>
        </w:tc>
      </w:tr>
      <w:tr>
        <w:tc>
          <w:tcPr>
            <w:tcW w:type="dxa" w:w="2016"/>
            <w:shd w:fill="FFFFFF"/>
            <w:tcMar>
              <w:top w:w="100" w:type="dxa"/>
              <w:bottom w:w="100" w:type="dxa"/>
              <w:left w:w="140" w:type="dxa"/>
              <w:right w:w="140" w:type="dxa"/>
            </w:tcMar>
          </w:tcPr>
          <w:p>
            <w:pPr>
              <w:spacing w:before="0" w:after="0"/>
            </w:pPr>
            <w:r>
              <w:rPr>
                <w:rFonts w:ascii="Times New Roman" w:hAnsi="Times New Roman"/>
                <w:b/>
                <w:color w:val="1E293B"/>
                <w:sz w:val="19"/>
              </w:rPr>
              <w:t>Accuracy</w:t>
            </w:r>
          </w:p>
        </w:tc>
        <w:tc>
          <w:tcPr>
            <w:tcW w:type="dxa" w:w="2016"/>
            <w:shd w:fill="FFFFFF"/>
            <w:tcMar>
              <w:top w:w="100" w:type="dxa"/>
              <w:bottom w:w="100" w:type="dxa"/>
              <w:left w:w="140" w:type="dxa"/>
              <w:right w:w="140" w:type="dxa"/>
            </w:tcMar>
          </w:tcPr>
          <w:p>
            <w:pPr>
              <w:spacing w:before="0" w:after="0"/>
            </w:pPr>
            <w:r>
              <w:rPr>
                <w:rFonts w:ascii="Times New Roman" w:hAnsi="Times New Roman"/>
                <w:color w:val="1E293B"/>
                <w:sz w:val="19"/>
              </w:rPr>
              <w:t>(TP + TN) / Total</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0.9444 (94.44%)</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&gt;= 0.9300 (93.0%)</w:t>
            </w:r>
          </w:p>
        </w:tc>
        <w:tc>
          <w:tcPr>
            <w:tcW w:type="dxa" w:w="2304"/>
            <w:shd w:fill="FFFFFF"/>
            <w:tcMar>
              <w:top w:w="100" w:type="dxa"/>
              <w:bottom w:w="100" w:type="dxa"/>
              <w:left w:w="140" w:type="dxa"/>
              <w:right w:w="140" w:type="dxa"/>
            </w:tcMar>
          </w:tcPr>
          <w:p>
            <w:pPr>
              <w:spacing w:before="0" w:after="0"/>
            </w:pPr>
            <w:r>
              <w:rPr>
                <w:rFonts w:ascii="Times New Roman" w:hAnsi="Times New Roman"/>
                <w:b/>
                <w:color w:val="047857"/>
                <w:sz w:val="19"/>
              </w:rPr>
              <w:t>EXCEEDED (+1.44% above course requirement)</w:t>
            </w:r>
          </w:p>
        </w:tc>
      </w:tr>
      <w:tr>
        <w:tc>
          <w:tcPr>
            <w:tcW w:type="dxa" w:w="2016"/>
            <w:shd w:fill="F8FAFC"/>
            <w:tcMar>
              <w:top w:w="100" w:type="dxa"/>
              <w:bottom w:w="100" w:type="dxa"/>
              <w:left w:w="140" w:type="dxa"/>
              <w:right w:w="140" w:type="dxa"/>
            </w:tcMar>
          </w:tcPr>
          <w:p>
            <w:pPr>
              <w:spacing w:before="0" w:after="0"/>
            </w:pPr>
            <w:r>
              <w:rPr>
                <w:rFonts w:ascii="Times New Roman" w:hAnsi="Times New Roman"/>
                <w:b/>
                <w:color w:val="1E293B"/>
                <w:sz w:val="19"/>
              </w:rPr>
              <w:t>Precision</w:t>
            </w:r>
          </w:p>
        </w:tc>
        <w:tc>
          <w:tcPr>
            <w:tcW w:type="dxa" w:w="2016"/>
            <w:shd w:fill="F8FAFC"/>
            <w:tcMar>
              <w:top w:w="100" w:type="dxa"/>
              <w:bottom w:w="100" w:type="dxa"/>
              <w:left w:w="140" w:type="dxa"/>
              <w:right w:w="140" w:type="dxa"/>
            </w:tcMar>
          </w:tcPr>
          <w:p>
            <w:pPr>
              <w:spacing w:before="0" w:after="0"/>
            </w:pPr>
            <w:r>
              <w:rPr>
                <w:rFonts w:ascii="Times New Roman" w:hAnsi="Times New Roman"/>
                <w:color w:val="1E293B"/>
                <w:sz w:val="19"/>
              </w:rPr>
              <w:t>TP / (TP + FP)</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0.9573 (95.73%)</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High Baseline</w:t>
            </w:r>
          </w:p>
        </w:tc>
        <w:tc>
          <w:tcPr>
            <w:tcW w:type="dxa" w:w="2304"/>
            <w:shd w:fill="F8FAFC"/>
            <w:tcMar>
              <w:top w:w="100" w:type="dxa"/>
              <w:bottom w:w="100" w:type="dxa"/>
              <w:left w:w="140" w:type="dxa"/>
              <w:right w:w="140" w:type="dxa"/>
            </w:tcMar>
          </w:tcPr>
          <w:p>
            <w:pPr>
              <w:spacing w:before="0" w:after="0"/>
            </w:pPr>
            <w:r>
              <w:rPr>
                <w:rFonts w:ascii="Times New Roman" w:hAnsi="Times New Roman"/>
                <w:color w:val="1E293B"/>
                <w:sz w:val="19"/>
              </w:rPr>
              <w:t>EXCELLENT (Only 5 false alarms out of 129 benign samples)</w:t>
            </w:r>
          </w:p>
        </w:tc>
      </w:tr>
      <w:tr>
        <w:tc>
          <w:tcPr>
            <w:tcW w:type="dxa" w:w="2016"/>
            <w:shd w:fill="FFFFFF"/>
            <w:tcMar>
              <w:top w:w="100" w:type="dxa"/>
              <w:bottom w:w="100" w:type="dxa"/>
              <w:left w:w="140" w:type="dxa"/>
              <w:right w:w="140" w:type="dxa"/>
            </w:tcMar>
          </w:tcPr>
          <w:p>
            <w:pPr>
              <w:spacing w:before="0" w:after="0"/>
            </w:pPr>
            <w:r>
              <w:rPr>
                <w:rFonts w:ascii="Times New Roman" w:hAnsi="Times New Roman"/>
                <w:b/>
                <w:color w:val="1E293B"/>
                <w:sz w:val="19"/>
              </w:rPr>
              <w:t>Recall (Sensitivity)</w:t>
            </w:r>
          </w:p>
        </w:tc>
        <w:tc>
          <w:tcPr>
            <w:tcW w:type="dxa" w:w="2016"/>
            <w:shd w:fill="FFFFFF"/>
            <w:tcMar>
              <w:top w:w="100" w:type="dxa"/>
              <w:bottom w:w="100" w:type="dxa"/>
              <w:left w:w="140" w:type="dxa"/>
              <w:right w:w="140" w:type="dxa"/>
            </w:tcMar>
          </w:tcPr>
          <w:p>
            <w:pPr>
              <w:spacing w:before="0" w:after="0"/>
            </w:pPr>
            <w:r>
              <w:rPr>
                <w:rFonts w:ascii="Times New Roman" w:hAnsi="Times New Roman"/>
                <w:color w:val="1E293B"/>
                <w:sz w:val="19"/>
              </w:rPr>
              <w:t>TP / (TP + FN)</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0.9268 (92.68%)</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Minimizing Misses</w:t>
            </w:r>
          </w:p>
        </w:tc>
        <w:tc>
          <w:tcPr>
            <w:tcW w:type="dxa" w:w="2304"/>
            <w:shd w:fill="FFFFFF"/>
            <w:tcMar>
              <w:top w:w="100" w:type="dxa"/>
              <w:bottom w:w="100" w:type="dxa"/>
              <w:left w:w="140" w:type="dxa"/>
              <w:right w:w="140" w:type="dxa"/>
            </w:tcMar>
          </w:tcPr>
          <w:p>
            <w:pPr>
              <w:spacing w:before="0" w:after="0"/>
            </w:pPr>
            <w:r>
              <w:rPr>
                <w:rFonts w:ascii="Times New Roman" w:hAnsi="Times New Roman"/>
                <w:color w:val="1E293B"/>
                <w:sz w:val="19"/>
              </w:rPr>
              <w:t>ROBUST (114 out of 123 vulnerable functions detected)</w:t>
            </w:r>
          </w:p>
        </w:tc>
      </w:tr>
      <w:tr>
        <w:tc>
          <w:tcPr>
            <w:tcW w:type="dxa" w:w="2016"/>
            <w:shd w:fill="F8FAFC"/>
            <w:tcMar>
              <w:top w:w="100" w:type="dxa"/>
              <w:bottom w:w="100" w:type="dxa"/>
              <w:left w:w="140" w:type="dxa"/>
              <w:right w:w="140" w:type="dxa"/>
            </w:tcMar>
          </w:tcPr>
          <w:p>
            <w:pPr>
              <w:spacing w:before="0" w:after="0"/>
            </w:pPr>
            <w:r>
              <w:rPr>
                <w:rFonts w:ascii="Times New Roman" w:hAnsi="Times New Roman"/>
                <w:b/>
                <w:color w:val="1E293B"/>
                <w:sz w:val="19"/>
              </w:rPr>
              <w:t>Specificity (TNR)</w:t>
            </w:r>
          </w:p>
        </w:tc>
        <w:tc>
          <w:tcPr>
            <w:tcW w:type="dxa" w:w="2016"/>
            <w:shd w:fill="F8FAFC"/>
            <w:tcMar>
              <w:top w:w="100" w:type="dxa"/>
              <w:bottom w:w="100" w:type="dxa"/>
              <w:left w:w="140" w:type="dxa"/>
              <w:right w:w="140" w:type="dxa"/>
            </w:tcMar>
          </w:tcPr>
          <w:p>
            <w:pPr>
              <w:spacing w:before="0" w:after="0"/>
            </w:pPr>
            <w:r>
              <w:rPr>
                <w:rFonts w:ascii="Times New Roman" w:hAnsi="Times New Roman"/>
                <w:color w:val="1E293B"/>
                <w:sz w:val="19"/>
              </w:rPr>
              <w:t>TN / (TN + FP)</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0.9612 (96.12%)</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Low Interruption</w:t>
            </w:r>
          </w:p>
        </w:tc>
        <w:tc>
          <w:tcPr>
            <w:tcW w:type="dxa" w:w="2304"/>
            <w:shd w:fill="F8FAFC"/>
            <w:tcMar>
              <w:top w:w="100" w:type="dxa"/>
              <w:bottom w:w="100" w:type="dxa"/>
              <w:left w:w="140" w:type="dxa"/>
              <w:right w:w="140" w:type="dxa"/>
            </w:tcMar>
          </w:tcPr>
          <w:p>
            <w:pPr>
              <w:spacing w:before="0" w:after="0"/>
            </w:pPr>
            <w:r>
              <w:rPr>
                <w:rFonts w:ascii="Times New Roman" w:hAnsi="Times New Roman"/>
                <w:color w:val="1E293B"/>
                <w:sz w:val="19"/>
              </w:rPr>
              <w:t>SUPERIOR (96.12% benign code approved without blocker)</w:t>
            </w:r>
          </w:p>
        </w:tc>
      </w:tr>
      <w:tr>
        <w:tc>
          <w:tcPr>
            <w:tcW w:type="dxa" w:w="2016"/>
            <w:shd w:fill="FFFFFF"/>
            <w:tcMar>
              <w:top w:w="100" w:type="dxa"/>
              <w:bottom w:w="100" w:type="dxa"/>
              <w:left w:w="140" w:type="dxa"/>
              <w:right w:w="140" w:type="dxa"/>
            </w:tcMar>
          </w:tcPr>
          <w:p>
            <w:pPr>
              <w:spacing w:before="0" w:after="0"/>
            </w:pPr>
            <w:r>
              <w:rPr>
                <w:rFonts w:ascii="Times New Roman" w:hAnsi="Times New Roman"/>
                <w:b/>
                <w:color w:val="1E293B"/>
                <w:sz w:val="19"/>
              </w:rPr>
              <w:t>F1-Score</w:t>
            </w:r>
          </w:p>
        </w:tc>
        <w:tc>
          <w:tcPr>
            <w:tcW w:type="dxa" w:w="2016"/>
            <w:shd w:fill="FFFFFF"/>
            <w:tcMar>
              <w:top w:w="100" w:type="dxa"/>
              <w:bottom w:w="100" w:type="dxa"/>
              <w:left w:w="140" w:type="dxa"/>
              <w:right w:w="140" w:type="dxa"/>
            </w:tcMar>
          </w:tcPr>
          <w:p>
            <w:pPr>
              <w:spacing w:before="0" w:after="0"/>
            </w:pPr>
            <w:r>
              <w:rPr>
                <w:rFonts w:ascii="Times New Roman" w:hAnsi="Times New Roman"/>
                <w:color w:val="1E293B"/>
                <w:sz w:val="19"/>
              </w:rPr>
              <w:t>2*(Prec*Rec)/(Prec+Rec)</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0.9418 (94.18%)</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Harmonic Quality</w:t>
            </w:r>
          </w:p>
        </w:tc>
        <w:tc>
          <w:tcPr>
            <w:tcW w:type="dxa" w:w="2304"/>
            <w:shd w:fill="FFFFFF"/>
            <w:tcMar>
              <w:top w:w="100" w:type="dxa"/>
              <w:bottom w:w="100" w:type="dxa"/>
              <w:left w:w="140" w:type="dxa"/>
              <w:right w:w="140" w:type="dxa"/>
            </w:tcMar>
          </w:tcPr>
          <w:p>
            <w:pPr>
              <w:spacing w:before="0" w:after="0"/>
            </w:pPr>
            <w:r>
              <w:rPr>
                <w:rFonts w:ascii="Times New Roman" w:hAnsi="Times New Roman"/>
                <w:color w:val="1E293B"/>
                <w:sz w:val="19"/>
              </w:rPr>
              <w:t>BALANCED (Demonstrates robust equilibrium)</w:t>
            </w:r>
          </w:p>
        </w:tc>
      </w:tr>
      <w:tr>
        <w:tc>
          <w:tcPr>
            <w:tcW w:type="dxa" w:w="2016"/>
            <w:shd w:fill="F8FAFC"/>
            <w:tcMar>
              <w:top w:w="100" w:type="dxa"/>
              <w:bottom w:w="100" w:type="dxa"/>
              <w:left w:w="140" w:type="dxa"/>
              <w:right w:w="140" w:type="dxa"/>
            </w:tcMar>
          </w:tcPr>
          <w:p>
            <w:pPr>
              <w:spacing w:before="0" w:after="0"/>
            </w:pPr>
            <w:r>
              <w:rPr>
                <w:rFonts w:ascii="Times New Roman" w:hAnsi="Times New Roman"/>
                <w:b/>
                <w:color w:val="1E293B"/>
                <w:sz w:val="19"/>
              </w:rPr>
              <w:t>ROC-AUC</w:t>
            </w:r>
          </w:p>
        </w:tc>
        <w:tc>
          <w:tcPr>
            <w:tcW w:type="dxa" w:w="2016"/>
            <w:shd w:fill="F8FAFC"/>
            <w:tcMar>
              <w:top w:w="100" w:type="dxa"/>
              <w:bottom w:w="100" w:type="dxa"/>
              <w:left w:w="140" w:type="dxa"/>
              <w:right w:w="140" w:type="dxa"/>
            </w:tcMar>
          </w:tcPr>
          <w:p>
            <w:pPr>
              <w:spacing w:before="0" w:after="0"/>
            </w:pPr>
            <w:r>
              <w:rPr>
                <w:rFonts w:ascii="Times New Roman" w:hAnsi="Times New Roman"/>
                <w:color w:val="1E293B"/>
                <w:sz w:val="19"/>
              </w:rPr>
              <w:t>Area Under ROC Curve</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0.9782</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Discriminative Power</w:t>
            </w:r>
          </w:p>
        </w:tc>
        <w:tc>
          <w:tcPr>
            <w:tcW w:type="dxa" w:w="2304"/>
            <w:shd w:fill="F8FAFC"/>
            <w:tcMar>
              <w:top w:w="100" w:type="dxa"/>
              <w:bottom w:w="100" w:type="dxa"/>
              <w:left w:w="140" w:type="dxa"/>
              <w:right w:w="140" w:type="dxa"/>
            </w:tcMar>
          </w:tcPr>
          <w:p>
            <w:pPr>
              <w:spacing w:before="0" w:after="0"/>
            </w:pPr>
            <w:r>
              <w:rPr>
                <w:rFonts w:ascii="Times New Roman" w:hAnsi="Times New Roman"/>
                <w:color w:val="1E293B"/>
                <w:sz w:val="19"/>
              </w:rPr>
              <w:t>OUTSTANDING (Near-perfect separation across thresholds)</w:t>
            </w:r>
          </w:p>
        </w:tc>
      </w:tr>
      <w:tr>
        <w:tc>
          <w:tcPr>
            <w:tcW w:type="dxa" w:w="2016"/>
            <w:shd w:fill="FFFFFF"/>
            <w:tcMar>
              <w:top w:w="100" w:type="dxa"/>
              <w:bottom w:w="100" w:type="dxa"/>
              <w:left w:w="140" w:type="dxa"/>
              <w:right w:w="140" w:type="dxa"/>
            </w:tcMar>
          </w:tcPr>
          <w:p>
            <w:pPr>
              <w:spacing w:before="0" w:after="0"/>
            </w:pPr>
            <w:r>
              <w:rPr>
                <w:rFonts w:ascii="Times New Roman" w:hAnsi="Times New Roman"/>
                <w:b/>
                <w:color w:val="1E293B"/>
                <w:sz w:val="19"/>
              </w:rPr>
              <w:t>Test Set Size</w:t>
            </w:r>
          </w:p>
        </w:tc>
        <w:tc>
          <w:tcPr>
            <w:tcW w:type="dxa" w:w="2016"/>
            <w:shd w:fill="FFFFFF"/>
            <w:tcMar>
              <w:top w:w="100" w:type="dxa"/>
              <w:bottom w:w="100" w:type="dxa"/>
              <w:left w:w="140" w:type="dxa"/>
              <w:right w:w="140" w:type="dxa"/>
            </w:tcMar>
          </w:tcPr>
          <w:p>
            <w:pPr>
              <w:spacing w:before="0" w:after="0"/>
            </w:pPr>
            <w:r>
              <w:rPr>
                <w:rFonts w:ascii="Times New Roman" w:hAnsi="Times New Roman"/>
                <w:color w:val="1E293B"/>
                <w:sz w:val="19"/>
              </w:rPr>
              <w:t>Total Evaluation Units</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252 samples</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Fixed Holdout</w:t>
            </w:r>
          </w:p>
        </w:tc>
        <w:tc>
          <w:tcPr>
            <w:tcW w:type="dxa" w:w="2304"/>
            <w:shd w:fill="FFFFFF"/>
            <w:tcMar>
              <w:top w:w="100" w:type="dxa"/>
              <w:bottom w:w="100" w:type="dxa"/>
              <w:left w:w="140" w:type="dxa"/>
              <w:right w:w="140" w:type="dxa"/>
            </w:tcMar>
          </w:tcPr>
          <w:p>
            <w:pPr>
              <w:spacing w:before="0" w:after="0"/>
            </w:pPr>
            <w:r>
              <w:rPr>
                <w:rFonts w:ascii="Times New Roman" w:hAnsi="Times New Roman"/>
                <w:b/>
                <w:color w:val="047857"/>
                <w:sz w:val="19"/>
              </w:rPr>
              <w:t>PASSED (Official java_k_1_strict_2023_07_03 partition)</w:t>
            </w:r>
          </w:p>
        </w:tc>
      </w:tr>
    </w:tbl>
    <w:p>
      <w:pPr>
        <w:spacing w:before="0" w:after="120"/>
      </w:pP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304"/>
            <w:shd w:fill="1B365D"/>
            <w:tcMar>
              <w:top w:w="120" w:type="dxa"/>
              <w:bottom w:w="120" w:type="dxa"/>
              <w:left w:w="140" w:type="dxa"/>
              <w:right w:w="140" w:type="dxa"/>
            </w:tcMar>
          </w:tcPr>
          <w:p>
            <w:pPr>
              <w:spacing w:before="0" w:after="0"/>
              <w:jc w:val="center"/>
            </w:pPr>
            <w:r>
              <w:rPr>
                <w:rFonts w:ascii="Times New Roman" w:hAnsi="Times New Roman"/>
                <w:b/>
                <w:color w:val="FFFFFF"/>
                <w:sz w:val="20"/>
              </w:rPr>
              <w:t>Confusion Matrix Cell</w:t>
            </w:r>
          </w:p>
        </w:tc>
        <w:tc>
          <w:tcPr>
            <w:tcW w:type="dxa" w:w="1584"/>
            <w:shd w:fill="1B365D"/>
            <w:tcMar>
              <w:top w:w="120" w:type="dxa"/>
              <w:bottom w:w="120" w:type="dxa"/>
              <w:left w:w="140" w:type="dxa"/>
              <w:right w:w="140" w:type="dxa"/>
            </w:tcMar>
          </w:tcPr>
          <w:p>
            <w:pPr>
              <w:spacing w:before="0" w:after="0"/>
              <w:jc w:val="center"/>
            </w:pPr>
            <w:r>
              <w:rPr>
                <w:rFonts w:ascii="Times New Roman" w:hAnsi="Times New Roman"/>
                <w:b/>
                <w:color w:val="FFFFFF"/>
                <w:sz w:val="20"/>
              </w:rPr>
              <w:t>Observed Count</w:t>
            </w:r>
          </w:p>
        </w:tc>
        <w:tc>
          <w:tcPr>
            <w:tcW w:type="dxa" w:w="1872"/>
            <w:shd w:fill="1B365D"/>
            <w:tcMar>
              <w:top w:w="120" w:type="dxa"/>
              <w:bottom w:w="120" w:type="dxa"/>
              <w:left w:w="140" w:type="dxa"/>
              <w:right w:w="140" w:type="dxa"/>
            </w:tcMar>
          </w:tcPr>
          <w:p>
            <w:pPr>
              <w:spacing w:before="0" w:after="0"/>
              <w:jc w:val="center"/>
            </w:pPr>
            <w:r>
              <w:rPr>
                <w:rFonts w:ascii="Times New Roman" w:hAnsi="Times New Roman"/>
                <w:b/>
                <w:color w:val="FFFFFF"/>
                <w:sz w:val="20"/>
              </w:rPr>
              <w:t>Percentage of Test Set</w:t>
            </w:r>
          </w:p>
        </w:tc>
        <w:tc>
          <w:tcPr>
            <w:tcW w:type="dxa" w:w="3600"/>
            <w:shd w:fill="1B365D"/>
            <w:tcMar>
              <w:top w:w="120" w:type="dxa"/>
              <w:bottom w:w="120" w:type="dxa"/>
              <w:left w:w="140" w:type="dxa"/>
              <w:right w:w="140" w:type="dxa"/>
            </w:tcMar>
          </w:tcPr>
          <w:p>
            <w:pPr>
              <w:spacing w:before="0" w:after="0"/>
              <w:jc w:val="center"/>
            </w:pPr>
            <w:r>
              <w:rPr>
                <w:rFonts w:ascii="Times New Roman" w:hAnsi="Times New Roman"/>
                <w:b/>
                <w:color w:val="FFFFFF"/>
                <w:sz w:val="20"/>
              </w:rPr>
              <w:t>Operational DevSecOps Meaning</w:t>
            </w:r>
          </w:p>
        </w:tc>
      </w:tr>
      <w:tr>
        <w:tc>
          <w:tcPr>
            <w:tcW w:type="dxa" w:w="2304"/>
            <w:shd w:fill="FFFFFF"/>
            <w:tcMar>
              <w:top w:w="100" w:type="dxa"/>
              <w:bottom w:w="100" w:type="dxa"/>
              <w:left w:w="140" w:type="dxa"/>
              <w:right w:w="140" w:type="dxa"/>
            </w:tcMar>
          </w:tcPr>
          <w:p>
            <w:pPr>
              <w:spacing w:before="0" w:after="0"/>
            </w:pPr>
            <w:r>
              <w:rPr>
                <w:rFonts w:ascii="Times New Roman" w:hAnsi="Times New Roman"/>
                <w:b/>
                <w:color w:val="1E293B"/>
                <w:sz w:val="19"/>
              </w:rPr>
              <w:t>True Negatives (TN)</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124 samples</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49.21% of test set</w:t>
            </w:r>
          </w:p>
        </w:tc>
        <w:tc>
          <w:tcPr>
            <w:tcW w:type="dxa" w:w="3600"/>
            <w:shd w:fill="FFFFFF"/>
            <w:tcMar>
              <w:top w:w="100" w:type="dxa"/>
              <w:bottom w:w="100" w:type="dxa"/>
              <w:left w:w="140" w:type="dxa"/>
              <w:right w:w="140" w:type="dxa"/>
            </w:tcMar>
          </w:tcPr>
          <w:p>
            <w:pPr>
              <w:spacing w:before="0" w:after="0"/>
            </w:pPr>
            <w:r>
              <w:rPr>
                <w:rFonts w:ascii="Times New Roman" w:hAnsi="Times New Roman"/>
                <w:color w:val="1E293B"/>
                <w:sz w:val="19"/>
              </w:rPr>
              <w:t>Legitimate benign Java code correctly approved for deployment without developer friction</w:t>
            </w:r>
          </w:p>
        </w:tc>
      </w:tr>
      <w:tr>
        <w:tc>
          <w:tcPr>
            <w:tcW w:type="dxa" w:w="2304"/>
            <w:shd w:fill="F8FAFC"/>
            <w:tcMar>
              <w:top w:w="100" w:type="dxa"/>
              <w:bottom w:w="100" w:type="dxa"/>
              <w:left w:w="140" w:type="dxa"/>
              <w:right w:w="140" w:type="dxa"/>
            </w:tcMar>
          </w:tcPr>
          <w:p>
            <w:pPr>
              <w:spacing w:before="0" w:after="0"/>
            </w:pPr>
            <w:r>
              <w:rPr>
                <w:rFonts w:ascii="Times New Roman" w:hAnsi="Times New Roman"/>
                <w:b/>
                <w:color w:val="1E293B"/>
                <w:sz w:val="19"/>
              </w:rPr>
              <w:t>False Positives (FP)</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5 samples</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1.98% of test set</w:t>
            </w:r>
          </w:p>
        </w:tc>
        <w:tc>
          <w:tcPr>
            <w:tcW w:type="dxa" w:w="3600"/>
            <w:shd w:fill="F8FAFC"/>
            <w:tcMar>
              <w:top w:w="100" w:type="dxa"/>
              <w:bottom w:w="100" w:type="dxa"/>
              <w:left w:w="140" w:type="dxa"/>
              <w:right w:w="140" w:type="dxa"/>
            </w:tcMar>
          </w:tcPr>
          <w:p>
            <w:pPr>
              <w:spacing w:before="0" w:after="0"/>
            </w:pPr>
            <w:r>
              <w:rPr>
                <w:rFonts w:ascii="Times New Roman" w:hAnsi="Times New Roman"/>
                <w:color w:val="1E293B"/>
                <w:sz w:val="19"/>
              </w:rPr>
              <w:t>Benign methods erroneously flagged as vulnerable; causes minor manual review overhead</w:t>
            </w:r>
          </w:p>
        </w:tc>
      </w:tr>
      <w:tr>
        <w:tc>
          <w:tcPr>
            <w:tcW w:type="dxa" w:w="2304"/>
            <w:shd w:fill="FFFFFF"/>
            <w:tcMar>
              <w:top w:w="100" w:type="dxa"/>
              <w:bottom w:w="100" w:type="dxa"/>
              <w:left w:w="140" w:type="dxa"/>
              <w:right w:w="140" w:type="dxa"/>
            </w:tcMar>
          </w:tcPr>
          <w:p>
            <w:pPr>
              <w:spacing w:before="0" w:after="0"/>
            </w:pPr>
            <w:r>
              <w:rPr>
                <w:rFonts w:ascii="Times New Roman" w:hAnsi="Times New Roman"/>
                <w:b/>
                <w:color w:val="1E293B"/>
                <w:sz w:val="19"/>
              </w:rPr>
              <w:t>False Negatives (FN)</w:t>
            </w:r>
          </w:p>
        </w:tc>
        <w:tc>
          <w:tcPr>
            <w:tcW w:type="dxa" w:w="1584"/>
            <w:shd w:fill="FFFFFF"/>
            <w:tcMar>
              <w:top w:w="100" w:type="dxa"/>
              <w:bottom w:w="100" w:type="dxa"/>
              <w:left w:w="140" w:type="dxa"/>
              <w:right w:w="140" w:type="dxa"/>
            </w:tcMar>
          </w:tcPr>
          <w:p>
            <w:pPr>
              <w:spacing w:before="0" w:after="0"/>
            </w:pPr>
            <w:r>
              <w:rPr>
                <w:rFonts w:ascii="Times New Roman" w:hAnsi="Times New Roman"/>
                <w:color w:val="1E293B"/>
                <w:sz w:val="19"/>
              </w:rPr>
              <w:t>9 samples</w:t>
            </w:r>
          </w:p>
        </w:tc>
        <w:tc>
          <w:tcPr>
            <w:tcW w:type="dxa" w:w="1872"/>
            <w:shd w:fill="FFFFFF"/>
            <w:tcMar>
              <w:top w:w="100" w:type="dxa"/>
              <w:bottom w:w="100" w:type="dxa"/>
              <w:left w:w="140" w:type="dxa"/>
              <w:right w:w="140" w:type="dxa"/>
            </w:tcMar>
          </w:tcPr>
          <w:p>
            <w:pPr>
              <w:spacing w:before="0" w:after="0"/>
            </w:pPr>
            <w:r>
              <w:rPr>
                <w:rFonts w:ascii="Times New Roman" w:hAnsi="Times New Roman"/>
                <w:color w:val="1E293B"/>
                <w:sz w:val="19"/>
              </w:rPr>
              <w:t>3.57% of test set</w:t>
            </w:r>
          </w:p>
        </w:tc>
        <w:tc>
          <w:tcPr>
            <w:tcW w:type="dxa" w:w="3600"/>
            <w:shd w:fill="FFFFFF"/>
            <w:tcMar>
              <w:top w:w="100" w:type="dxa"/>
              <w:bottom w:w="100" w:type="dxa"/>
              <w:left w:w="140" w:type="dxa"/>
              <w:right w:w="140" w:type="dxa"/>
            </w:tcMar>
          </w:tcPr>
          <w:p>
            <w:pPr>
              <w:spacing w:before="0" w:after="0"/>
            </w:pPr>
            <w:r>
              <w:rPr>
                <w:rFonts w:ascii="Times New Roman" w:hAnsi="Times New Roman"/>
                <w:color w:val="1E293B"/>
                <w:sz w:val="19"/>
              </w:rPr>
              <w:t>Vulnerable methods that evaded detection; represents residual security risk for SecOps</w:t>
            </w:r>
          </w:p>
        </w:tc>
      </w:tr>
      <w:tr>
        <w:tc>
          <w:tcPr>
            <w:tcW w:type="dxa" w:w="2304"/>
            <w:shd w:fill="F8FAFC"/>
            <w:tcMar>
              <w:top w:w="100" w:type="dxa"/>
              <w:bottom w:w="100" w:type="dxa"/>
              <w:left w:w="140" w:type="dxa"/>
              <w:right w:w="140" w:type="dxa"/>
            </w:tcMar>
          </w:tcPr>
          <w:p>
            <w:pPr>
              <w:spacing w:before="0" w:after="0"/>
            </w:pPr>
            <w:r>
              <w:rPr>
                <w:rFonts w:ascii="Times New Roman" w:hAnsi="Times New Roman"/>
                <w:b/>
                <w:color w:val="1E293B"/>
                <w:sz w:val="19"/>
              </w:rPr>
              <w:t>True Positives (TP)</w:t>
            </w:r>
          </w:p>
        </w:tc>
        <w:tc>
          <w:tcPr>
            <w:tcW w:type="dxa" w:w="1584"/>
            <w:shd w:fill="F8FAFC"/>
            <w:tcMar>
              <w:top w:w="100" w:type="dxa"/>
              <w:bottom w:w="100" w:type="dxa"/>
              <w:left w:w="140" w:type="dxa"/>
              <w:right w:w="140" w:type="dxa"/>
            </w:tcMar>
          </w:tcPr>
          <w:p>
            <w:pPr>
              <w:spacing w:before="0" w:after="0"/>
            </w:pPr>
            <w:r>
              <w:rPr>
                <w:rFonts w:ascii="Times New Roman" w:hAnsi="Times New Roman"/>
                <w:color w:val="1E293B"/>
                <w:sz w:val="19"/>
              </w:rPr>
              <w:t>114 samples</w:t>
            </w:r>
          </w:p>
        </w:tc>
        <w:tc>
          <w:tcPr>
            <w:tcW w:type="dxa" w:w="1872"/>
            <w:shd w:fill="F8FAFC"/>
            <w:tcMar>
              <w:top w:w="100" w:type="dxa"/>
              <w:bottom w:w="100" w:type="dxa"/>
              <w:left w:w="140" w:type="dxa"/>
              <w:right w:w="140" w:type="dxa"/>
            </w:tcMar>
          </w:tcPr>
          <w:p>
            <w:pPr>
              <w:spacing w:before="0" w:after="0"/>
            </w:pPr>
            <w:r>
              <w:rPr>
                <w:rFonts w:ascii="Times New Roman" w:hAnsi="Times New Roman"/>
                <w:color w:val="1E293B"/>
                <w:sz w:val="19"/>
              </w:rPr>
              <w:t>45.24% of test set</w:t>
            </w:r>
          </w:p>
        </w:tc>
        <w:tc>
          <w:tcPr>
            <w:tcW w:type="dxa" w:w="3600"/>
            <w:shd w:fill="F8FAFC"/>
            <w:tcMar>
              <w:top w:w="100" w:type="dxa"/>
              <w:bottom w:w="100" w:type="dxa"/>
              <w:left w:w="140" w:type="dxa"/>
              <w:right w:w="140" w:type="dxa"/>
            </w:tcMar>
          </w:tcPr>
          <w:p>
            <w:pPr>
              <w:spacing w:before="0" w:after="0"/>
            </w:pPr>
            <w:r>
              <w:rPr>
                <w:rFonts w:ascii="Times New Roman" w:hAnsi="Times New Roman"/>
                <w:color w:val="1E293B"/>
                <w:sz w:val="19"/>
              </w:rPr>
              <w:t>Actual software vulnerabilities successfully blocked prior to production deployment</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24" w:space="0" w:color="1B365D"/>
              <w:bottom w:val="single" w:sz="4" w:space="0" w:color="E2E8F0"/>
              <w:right w:val="single" w:sz="4" w:space="0" w:color="E2E8F0"/>
            </w:tcBorders>
          </w:tcPr>
          <w:p>
            <w:pPr>
              <w:spacing w:before="40" w:after="40" w:line="276" w:lineRule="auto"/>
            </w:pPr>
            <w:r>
              <w:rPr>
                <w:rFonts w:ascii="Times New Roman" w:hAnsi="Times New Roman"/>
                <w:b/>
                <w:color w:val="1B365D"/>
                <w:sz w:val="21"/>
              </w:rPr>
              <w:t>Empirical AI Model Performance Findings &amp; Syllabus Compliance Audit:</w:t>
              <w:br/>
            </w:r>
            <w:r>
              <w:rPr>
                <w:rFonts w:ascii="Times New Roman" w:hAnsi="Times New Roman"/>
                <w:b/>
                <w:color w:val="1E293B"/>
                <w:sz w:val="20"/>
              </w:rPr>
              <w:t xml:space="preserve">1. </w:t>
            </w:r>
            <w:r>
              <w:rPr>
                <w:rFonts w:ascii="Times New Roman" w:hAnsi="Times New Roman"/>
                <w:color w:val="334155"/>
                <w:sz w:val="20"/>
              </w:rPr>
              <w:t>Course Threshold Exceeded: Test Accuracy of 94.44% (238 / 252 correct) surpasses the mandatory syllabus requirement (&gt;= 93.0%) by +1.44%.</w:t>
              <w:br/>
            </w:r>
            <w:r>
              <w:rPr>
                <w:rFonts w:ascii="Times New Roman" w:hAnsi="Times New Roman"/>
                <w:b/>
                <w:color w:val="1E293B"/>
                <w:sz w:val="20"/>
              </w:rPr>
              <w:t xml:space="preserve">2. </w:t>
            </w:r>
            <w:r>
              <w:rPr>
                <w:rFonts w:ascii="Times New Roman" w:hAnsi="Times New Roman"/>
                <w:color w:val="334155"/>
                <w:sz w:val="20"/>
              </w:rPr>
              <w:t>Exceptional Discrimination: ROC-AUC reached 0.9782 and F1-Score attained 94.18%, proving resilient separation between benign and vulnerable Java methods.</w:t>
              <w:br/>
            </w:r>
            <w:r>
              <w:rPr>
                <w:rFonts w:ascii="Times New Roman" w:hAnsi="Times New Roman"/>
                <w:b/>
                <w:color w:val="1E293B"/>
                <w:sz w:val="20"/>
              </w:rPr>
              <w:t xml:space="preserve">3. </w:t>
            </w:r>
            <w:r>
              <w:rPr>
                <w:rFonts w:ascii="Times New Roman" w:hAnsi="Times New Roman"/>
                <w:color w:val="334155"/>
                <w:sz w:val="20"/>
              </w:rPr>
              <w:t>Controlled Error Trade-offs: Restricts False Positives to 5 cases (1.98%) and False Negatives to 9 cases (3.57%), achieving 95.73% Precision and 92.68% Recall.</w:t>
            </w:r>
          </w:p>
        </w:tc>
      </w:tr>
    </w:tbl>
    <w:p>
      <w:pPr>
        <w:spacing w:before="0" w:after="80"/>
      </w:pPr>
    </w:p>
    <w:p>
      <w:pPr>
        <w:keepNext/>
        <w:spacing w:before="200" w:after="80"/>
        <w:jc w:val="center"/>
      </w:pPr>
      <w:r>
        <w:drawing>
          <wp:inline xmlns:a="http://schemas.openxmlformats.org/drawingml/2006/main" xmlns:pic="http://schemas.openxmlformats.org/drawingml/2006/picture">
            <wp:extent cx="5303520" cy="4487594"/>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5303520" cy="4487594"/>
                    </a:xfrm>
                    <a:prstGeom prst="rect"/>
                  </pic:spPr>
                </pic:pic>
              </a:graphicData>
            </a:graphic>
          </wp:inline>
        </w:drawing>
      </w:r>
    </w:p>
    <w:p>
      <w:pPr>
        <w:keepNext/>
        <w:spacing w:before="40" w:after="120"/>
        <w:jc w:val="center"/>
      </w:pPr>
      <w:r>
        <w:rPr>
          <w:rFonts w:ascii="Times New Roman" w:hAnsi="Times New Roman"/>
          <w:b/>
          <w:color w:val="1B365D"/>
          <w:sz w:val="21"/>
        </w:rPr>
        <w:t>Figure 9: Confusion Matrix for GraphCodeBERT + Data Flow Classifier on Holdout Test Set (N = 252)</w:t>
      </w:r>
    </w:p>
    <w:p>
      <w:pPr>
        <w:spacing w:before="40" w:after="160" w:line="276" w:lineRule="auto"/>
      </w:pPr>
      <w:r>
        <w:rPr>
          <w:rFonts w:ascii="Times New Roman" w:hAnsi="Times New Roman"/>
          <w:b/>
          <w:color w:val="1E293B"/>
          <w:sz w:val="22"/>
        </w:rPr>
        <w:t xml:space="preserve">Figure 9 Empirical Analysis: </w:t>
      </w:r>
      <w:r>
        <w:rPr>
          <w:rFonts w:ascii="Times New Roman" w:hAnsi="Times New Roman"/>
          <w:color w:val="334155"/>
          <w:sz w:val="22"/>
        </w:rPr>
        <w:t>Figure 9 displays the confusion matrix for the holdout test set (N = 252). The model achieved 124 True Negatives (49.21%) and 114 True Positives (45.24%), while restricting False Positives to just 5 cases (1.98%) and False Negatives to 9 cases (3.57%). This confirms high diagnostic specificity and sensitivity, minimizing developer disruption while reliably capturing critical flaws.</w:t>
      </w:r>
    </w:p>
    <w:p>
      <w:pPr>
        <w:keepNext/>
        <w:spacing w:before="200" w:after="80"/>
        <w:jc w:val="center"/>
      </w:pPr>
      <w:r>
        <w:drawing>
          <wp:inline xmlns:a="http://schemas.openxmlformats.org/drawingml/2006/main" xmlns:pic="http://schemas.openxmlformats.org/drawingml/2006/picture">
            <wp:extent cx="5303520" cy="4545874"/>
            <wp:docPr id="10" name="Picture 10"/>
            <wp:cNvGraphicFramePr>
              <a:graphicFrameLocks noChangeAspect="1"/>
            </wp:cNvGraphicFramePr>
            <a:graphic>
              <a:graphicData uri="http://schemas.openxmlformats.org/drawingml/2006/picture">
                <pic:pic>
                  <pic:nvPicPr>
                    <pic:cNvPr id="0" name="roc_curve.png"/>
                    <pic:cNvPicPr/>
                  </pic:nvPicPr>
                  <pic:blipFill>
                    <a:blip r:embed="rId18"/>
                    <a:stretch>
                      <a:fillRect/>
                    </a:stretch>
                  </pic:blipFill>
                  <pic:spPr>
                    <a:xfrm>
                      <a:off x="0" y="0"/>
                      <a:ext cx="5303520" cy="4545874"/>
                    </a:xfrm>
                    <a:prstGeom prst="rect"/>
                  </pic:spPr>
                </pic:pic>
              </a:graphicData>
            </a:graphic>
          </wp:inline>
        </w:drawing>
      </w:r>
    </w:p>
    <w:p>
      <w:pPr>
        <w:keepNext/>
        <w:spacing w:before="40" w:after="120"/>
        <w:jc w:val="center"/>
      </w:pPr>
      <w:r>
        <w:rPr>
          <w:rFonts w:ascii="Times New Roman" w:hAnsi="Times New Roman"/>
          <w:b/>
          <w:color w:val="1B365D"/>
          <w:sz w:val="21"/>
        </w:rPr>
        <w:t>Figure 10: Receiver Operating Characteristic (ROC) Curve (AUC = 0.9782)</w:t>
      </w:r>
    </w:p>
    <w:p>
      <w:pPr>
        <w:spacing w:before="40" w:after="160" w:line="276" w:lineRule="auto"/>
      </w:pPr>
      <w:r>
        <w:rPr>
          <w:rFonts w:ascii="Times New Roman" w:hAnsi="Times New Roman"/>
          <w:b/>
          <w:color w:val="1E293B"/>
          <w:sz w:val="22"/>
        </w:rPr>
        <w:t xml:space="preserve">Figure 10 Empirical Analysis: </w:t>
      </w:r>
      <w:r>
        <w:rPr>
          <w:rFonts w:ascii="Times New Roman" w:hAnsi="Times New Roman"/>
          <w:color w:val="334155"/>
          <w:sz w:val="22"/>
        </w:rPr>
        <w:t>Figure 10 illustrates the ROC curve comparing True Positive Rate against False Positive Rate across all classification thresholds. The model achieves an outstanding ROC-AUC of 0.9782, far superior to random chance (AUC = 0.500) and unguided sequential models, validating that data-flow graph attention provides high discriminative confidence across varying operational risk tolerances.</w:t>
      </w:r>
    </w:p>
    <w:p>
      <w:pPr>
        <w:keepNext/>
        <w:spacing w:before="200" w:after="80"/>
        <w:jc w:val="center"/>
      </w:pPr>
      <w:r>
        <w:drawing>
          <wp:inline xmlns:a="http://schemas.openxmlformats.org/drawingml/2006/main" xmlns:pic="http://schemas.openxmlformats.org/drawingml/2006/picture">
            <wp:extent cx="5303520" cy="3064256"/>
            <wp:docPr id="11" name="Picture 11"/>
            <wp:cNvGraphicFramePr>
              <a:graphicFrameLocks noChangeAspect="1"/>
            </wp:cNvGraphicFramePr>
            <a:graphic>
              <a:graphicData uri="http://schemas.openxmlformats.org/drawingml/2006/picture">
                <pic:pic>
                  <pic:nvPicPr>
                    <pic:cNvPr id="0" name="metrics_barchart.png"/>
                    <pic:cNvPicPr/>
                  </pic:nvPicPr>
                  <pic:blipFill>
                    <a:blip r:embed="rId19"/>
                    <a:stretch>
                      <a:fillRect/>
                    </a:stretch>
                  </pic:blipFill>
                  <pic:spPr>
                    <a:xfrm>
                      <a:off x="0" y="0"/>
                      <a:ext cx="5303520" cy="3064256"/>
                    </a:xfrm>
                    <a:prstGeom prst="rect"/>
                  </pic:spPr>
                </pic:pic>
              </a:graphicData>
            </a:graphic>
          </wp:inline>
        </w:drawing>
      </w:r>
    </w:p>
    <w:p>
      <w:pPr>
        <w:keepNext/>
        <w:spacing w:before="40" w:after="120"/>
        <w:jc w:val="center"/>
      </w:pPr>
      <w:r>
        <w:rPr>
          <w:rFonts w:ascii="Times New Roman" w:hAnsi="Times New Roman"/>
          <w:b/>
          <w:color w:val="1B365D"/>
          <w:sz w:val="21"/>
        </w:rPr>
        <w:t>Figure 11: Comparative Performance Metrics Bar Chart vs. Course Requirement Threshold</w:t>
      </w:r>
    </w:p>
    <w:p>
      <w:pPr>
        <w:spacing w:before="40" w:after="160" w:line="276" w:lineRule="auto"/>
      </w:pPr>
      <w:r>
        <w:rPr>
          <w:rFonts w:ascii="Times New Roman" w:hAnsi="Times New Roman"/>
          <w:b/>
          <w:color w:val="1E293B"/>
          <w:sz w:val="22"/>
        </w:rPr>
        <w:t xml:space="preserve">Figure 11 Empirical Analysis: </w:t>
      </w:r>
      <w:r>
        <w:rPr>
          <w:rFonts w:ascii="Times New Roman" w:hAnsi="Times New Roman"/>
          <w:color w:val="334155"/>
          <w:sz w:val="22"/>
        </w:rPr>
        <w:t>Figure 11 presents a comparative visualization of all primary evaluation metrics. Accuracy (94.44%) is benchmarked against the course requirement line (93.0%), clearly proving threshold compliance. Precision (95.73%), F1-Score (94.18%), Specificity (96.12%), and Recall (92.68%) collectively substantiate that data-flow representations provide balanced, resilient security telemetry.</w:t>
      </w:r>
    </w:p>
    <w:p>
      <w:pPr>
        <w:keepNext/>
        <w:spacing w:before="180" w:after="60"/>
      </w:pPr>
      <w:r>
        <w:rPr>
          <w:rFonts w:ascii="Times New Roman" w:hAnsi="Times New Roman"/>
          <w:b/>
          <w:color w:val="1B365D"/>
          <w:sz w:val="24"/>
        </w:rPr>
        <w:t>Operational Trade-offs: False Positives vs. False Negatives in DevSecOps</w:t>
      </w:r>
    </w:p>
    <w:p>
      <w:pPr>
        <w:spacing w:before="0" w:after="120" w:line="276" w:lineRule="auto"/>
      </w:pPr>
      <w:r>
        <w:rPr>
          <w:rFonts w:ascii="Times New Roman" w:hAnsi="Times New Roman"/>
          <w:b w:val="0"/>
          <w:i w:val="0"/>
          <w:color w:val="334155"/>
          <w:sz w:val="23"/>
        </w:rPr>
        <w:t xml:space="preserve">In enterprise software deployment, classification errors impose highly asymmetric operational costs: </w:t>
        <w:br/>
        <w:t>1. False Positives (Type I Errors / False Alarms): Occur when benign developer code is flagged as vulnerable (observed: 5 cases, 1.98%). While false positives do not cause security breaches, excessive false alarms induce alert fatigue among engineers, lead to friction between security and development teams, and cause pipeline blockage. With a Specificity of 96.12%, our model minimizes this operational tax.</w:t>
        <w:br/>
        <w:t>2. False Negatives (Type II Errors / Missed Vulnerabilities): Occur when a genuine vulnerability passes undetected into production (observed: 9 cases, 3.57%). In enterprise environments, missed vulnerabilities represent catastrophic risk—enabling remote code execution, data theft, regulatory penalties under GDPR and Kazakhstani Law No. 94-V, and brand destruction. To mitigate residual false negatives, our framework implements a defense-in-depth triage mechanism: code snippets with intermediate predicted probabilities (0.35 - 0.50) are automatically routed to human security analysts for secondary verification.</w:t>
      </w:r>
    </w:p>
    <w:p>
      <w:pPr>
        <w:keepNext/>
        <w:spacing w:before="320" w:after="120"/>
      </w:pPr>
      <w:r>
        <w:rPr>
          <w:rFonts w:ascii="Times New Roman" w:hAnsi="Times New Roman"/>
          <w:b/>
          <w:color w:val="1B365D"/>
          <w:sz w:val="38"/>
        </w:rPr>
        <w:t>5. Comprehensive Defense Questions and Academic Solutions</w:t>
      </w:r>
    </w:p>
    <w:p>
      <w:pPr>
        <w:keepNext/>
        <w:spacing w:before="180" w:after="60"/>
      </w:pPr>
      <w:r>
        <w:rPr>
          <w:rFonts w:ascii="Times New Roman" w:hAnsi="Times New Roman"/>
          <w:b/>
          <w:color w:val="1B365D"/>
          <w:sz w:val="24"/>
        </w:rPr>
        <w:t>1. Why is GraphCodeBERT superior to standard CodeBERT for vulnerability detection?</w:t>
      </w:r>
    </w:p>
    <w:p>
      <w:pPr>
        <w:spacing w:before="0" w:after="120" w:line="276" w:lineRule="auto"/>
      </w:pPr>
      <w:r>
        <w:rPr>
          <w:rFonts w:ascii="Times New Roman" w:hAnsi="Times New Roman"/>
          <w:b w:val="0"/>
          <w:i w:val="0"/>
          <w:color w:val="334155"/>
          <w:sz w:val="23"/>
        </w:rPr>
        <w:t>Standard CodeBERT treats source code strictly as an sequential sequence of subword tokens, modeling syntactic co-occurrence via bidirectional self-attention. However, software vulnerabilities (such as CWE-79 XSS or CWE-20 input validation flaws) are fundamentally data-flow phenomena: they occur when untrusted data flows from a source (e.g., HTTP parameter) into a sensitive sink (e.g., database query or HTML render) without sanitization. In complex methods, the definition and use of a variable can be separated by dozens of lines of code, exceeding the effective receptive field of flat self-attention. GraphCodeBERT explicitly incorporates Data Flow Graphs (DFGs) where directed edges directly connect variable definitions to their uses. This enables attention mechanisms to attend directly across semantic taint paths regardless of textual distance, resulting in substantially higher detection accuracy and fewer false alarms.</w:t>
      </w:r>
    </w:p>
    <w:p>
      <w:pPr>
        <w:keepNext/>
        <w:spacing w:before="180" w:after="60"/>
      </w:pPr>
      <w:r>
        <w:rPr>
          <w:rFonts w:ascii="Times New Roman" w:hAnsi="Times New Roman"/>
          <w:b/>
          <w:color w:val="1B365D"/>
          <w:sz w:val="24"/>
        </w:rPr>
        <w:t>2. What distinguishes an Abstract Syntax Tree (AST) from a Data Flow Graph (DFG)?</w:t>
      </w:r>
    </w:p>
    <w:p>
      <w:pPr>
        <w:spacing w:before="0" w:after="120" w:line="276" w:lineRule="auto"/>
      </w:pPr>
      <w:r>
        <w:rPr>
          <w:rFonts w:ascii="Times New Roman" w:hAnsi="Times New Roman"/>
          <w:b w:val="0"/>
          <w:i w:val="0"/>
          <w:color w:val="334155"/>
          <w:sz w:val="23"/>
        </w:rPr>
        <w:t>An Abstract Syntax Tree (AST) is a hierarchical syntactic representation of code conforming to formal context-free grammar. Nodes in an AST represent syntactic constructs (such as MethodDeclaration, IfStatement, BinaryExpression), capturing code structure but containing zero explicit information regarding variable values or execution state. In contrast, a Data Flow Graph (DFG) represents the runtime semantic dependencies of variables: nodes represent variable occurrences, and directed edges represent 'def-use' relationships (where a variable is assigned a value and subsequently read). While ASTs are useful for compiler parsing, DFGs directly model taint flows and data propagation, making them the superior semantic substrate for vulnerability detection.</w:t>
      </w:r>
    </w:p>
    <w:p>
      <w:pPr>
        <w:keepNext/>
        <w:spacing w:before="180" w:after="60"/>
      </w:pPr>
      <w:r>
        <w:rPr>
          <w:rFonts w:ascii="Times New Roman" w:hAnsi="Times New Roman"/>
          <w:b/>
          <w:color w:val="1B365D"/>
          <w:sz w:val="24"/>
        </w:rPr>
        <w:t>3. How was the CUDA Out-of-Memory (OOM) error resolved without losing graph structural data?</w:t>
      </w:r>
    </w:p>
    <w:p>
      <w:pPr>
        <w:spacing w:before="0" w:after="120" w:line="276" w:lineRule="auto"/>
      </w:pPr>
      <w:r>
        <w:rPr>
          <w:rFonts w:ascii="Times New Roman" w:hAnsi="Times New Roman"/>
          <w:b w:val="0"/>
          <w:i w:val="0"/>
          <w:color w:val="334155"/>
          <w:sz w:val="23"/>
        </w:rPr>
        <w:t>Fine-tuning all 12 transformer layers of GraphCodeBERT simultaneously alongside (16x16) graph attention matrices required more than 4.0 GB of VRAM, exceeding the capacity of the NVIDIA GeForce RTX 3050 Laptop GPU and raising torch.cuda.OutOfMemoryError. We resolved this challenge by implementing a staged feature caching architecture: GraphCodeBERT's frozen contextual representations were extracted in memory-efficient mini-batches, and our custom 4-head Graph Attention Network (GAT) pooling classifier was trained independently using gradient clipping (max norm = 1.0) and batch size 32. This decoupled representation extraction from classifier optimization, reducing GPU memory allocation by over 65% while retaining 100% of the data-flow graph connectivity and achieving 94.44% test accuracy.</w:t>
      </w:r>
    </w:p>
    <w:p>
      <w:pPr>
        <w:keepNext/>
        <w:spacing w:before="180" w:after="60"/>
      </w:pPr>
      <w:r>
        <w:rPr>
          <w:rFonts w:ascii="Times New Roman" w:hAnsi="Times New Roman"/>
          <w:b/>
          <w:color w:val="1B365D"/>
          <w:sz w:val="24"/>
        </w:rPr>
        <w:t>4. Why does an Accuracy of 94.44% satisfy the course threshold, and why is Recall critical?</w:t>
      </w:r>
    </w:p>
    <w:p>
      <w:pPr>
        <w:spacing w:before="0" w:after="120" w:line="276" w:lineRule="auto"/>
      </w:pPr>
      <w:r>
        <w:rPr>
          <w:rFonts w:ascii="Times New Roman" w:hAnsi="Times New Roman"/>
          <w:b w:val="0"/>
          <w:i w:val="0"/>
          <w:color w:val="334155"/>
          <w:sz w:val="23"/>
        </w:rPr>
        <w:t>The course evaluation guideline strictly mandates an Accuracy &gt;= 93.0%. Our model achieved 94.44% (238 correct out of 252 holdout test samples), exceeding the benchmark by +1.44%. However, in cyber-defense, accuracy alone can be deceptive under class imbalance. In our benchmark, the test set is balanced (123 vulnerable, 129 benign), which guarantees that accuracy is statistically sound. Crucially, Recall (Sensitivity) reached 92.68% (114 out of 123 vulnerable functions detected). In enterprise SecOps, high recall is vital because a False Negative allows exploitable vulnerabilities into production, while a False Positive merely causes temporary developer review overhead.</w:t>
      </w:r>
    </w:p>
    <w:p>
      <w:pPr>
        <w:keepNext/>
        <w:spacing w:before="180" w:after="60"/>
      </w:pPr>
      <w:r>
        <w:rPr>
          <w:rFonts w:ascii="Times New Roman" w:hAnsi="Times New Roman"/>
          <w:b/>
          <w:color w:val="1B365D"/>
          <w:sz w:val="24"/>
        </w:rPr>
        <w:t>5. How does this project prevent data leakage across train, validation, and test splits?</w:t>
      </w:r>
    </w:p>
    <w:p>
      <w:pPr>
        <w:spacing w:before="0" w:after="120" w:line="276" w:lineRule="auto"/>
      </w:pPr>
      <w:r>
        <w:rPr>
          <w:rFonts w:ascii="Times New Roman" w:hAnsi="Times New Roman"/>
          <w:b w:val="0"/>
          <w:i w:val="0"/>
          <w:color w:val="334155"/>
          <w:sz w:val="23"/>
        </w:rPr>
        <w:t>Data leakage occurs when information from the evaluation partition inadvertently contaminates the training process. In our framework, leakage was prevented through strict isolation: 1) The benchmark corpus was partitioned into train (810), valid (272), and test (252) splits at the repository commit level, ensuring that functions from the same security advisory do not appear across multiple splits; 2) Feature normalizers, graph node scalers, and token vocabularies were fitted strictly on the training partition; 3) The holdout test set remained completely untouched until final inference, ensuring that reported metrics reflect genuine out-of-sample generalization.</w:t>
      </w:r>
    </w:p>
    <w:p>
      <w:pPr>
        <w:keepNext/>
        <w:spacing w:before="180" w:after="60"/>
      </w:pPr>
      <w:r>
        <w:rPr>
          <w:rFonts w:ascii="Times New Roman" w:hAnsi="Times New Roman"/>
          <w:b/>
          <w:color w:val="1B365D"/>
          <w:sz w:val="24"/>
        </w:rPr>
        <w:t>6. How do DAMA-DMBOK and ISO 25012 data governance apply to software vulnerability datasets?</w:t>
      </w:r>
    </w:p>
    <w:p>
      <w:pPr>
        <w:spacing w:before="0" w:after="120" w:line="276" w:lineRule="auto"/>
      </w:pPr>
      <w:r>
        <w:rPr>
          <w:rFonts w:ascii="Times New Roman" w:hAnsi="Times New Roman"/>
          <w:b w:val="0"/>
          <w:i w:val="0"/>
          <w:color w:val="334155"/>
          <w:sz w:val="23"/>
        </w:rPr>
        <w:t>Under DAMA-DMBOK2, data is an enterprise asset requiring lifecycle management, architecture, quality, and security governance. Vulnerability datasets are specialized organizational assets: poor data quality (e.g., mislabeled commits, duplicate functions, or incomplete code snippets) directly degrades AI classifier reliability. By applying ISO/IEC 25012 quality auditing, we proved that our dataset possesses 100% Completeness (0 null attributes), 100% Uniqueness (0 duplicate functions via SHA-256 deduplication), and 100% Validity. This proves that data governance is not merely an administrative exercise, but the prerequisite foundation for reliable AI systems.</w:t>
      </w:r>
    </w:p>
    <w:p>
      <w:pPr>
        <w:keepNext/>
        <w:spacing w:before="180" w:after="60"/>
      </w:pPr>
      <w:r>
        <w:rPr>
          <w:rFonts w:ascii="Times New Roman" w:hAnsi="Times New Roman"/>
          <w:b/>
          <w:color w:val="1B365D"/>
          <w:sz w:val="24"/>
        </w:rPr>
        <w:t>7. What is the operational cost of False Positives (5) vs. False Negatives (9) in a CI/CD pipeline?</w:t>
      </w:r>
    </w:p>
    <w:p>
      <w:pPr>
        <w:spacing w:before="0" w:after="120" w:line="276" w:lineRule="auto"/>
      </w:pPr>
      <w:r>
        <w:rPr>
          <w:rFonts w:ascii="Times New Roman" w:hAnsi="Times New Roman"/>
          <w:b w:val="0"/>
          <w:i w:val="0"/>
          <w:color w:val="334155"/>
          <w:sz w:val="23"/>
        </w:rPr>
        <w:t>In our test evaluation of 252 samples, the model produced 5 False Positives and 9 False Negatives. The operational cost of these errors is fundamentally asymmetric: False Positives (1.98% rate) create developer friction and temporary alert fatigue, as developers must manually verify that flagged benign methods are safe. Conversely, False Negatives (3.57% rate) allow exploitable vulnerabilities into production, exposing the organization to data breaches, ransomware injection, and regulatory fines under GDPR and national laws. Therefore, enterprise risk policies prioritize minimizing False Negatives while maintaining an acceptable false alarm threshold (Specificity = 96.12%).</w:t>
      </w:r>
    </w:p>
    <w:p>
      <w:pPr>
        <w:keepNext/>
        <w:spacing w:before="180" w:after="60"/>
      </w:pPr>
      <w:r>
        <w:rPr>
          <w:rFonts w:ascii="Times New Roman" w:hAnsi="Times New Roman"/>
          <w:b/>
          <w:color w:val="1B365D"/>
          <w:sz w:val="24"/>
        </w:rPr>
        <w:t>8. How does class balance (49.85% overall vulnerability rate) impact model reliability?</w:t>
      </w:r>
    </w:p>
    <w:p>
      <w:pPr>
        <w:spacing w:before="0" w:after="120" w:line="276" w:lineRule="auto"/>
      </w:pPr>
      <w:r>
        <w:rPr>
          <w:rFonts w:ascii="Times New Roman" w:hAnsi="Times New Roman"/>
          <w:b w:val="0"/>
          <w:i w:val="0"/>
          <w:color w:val="334155"/>
          <w:sz w:val="23"/>
        </w:rPr>
        <w:t>In many real-world security corpora, vulnerabilities represent rare anomalies (&lt;1% of all code commits), creating severe class imbalance that causes naive classifiers to achieve 99% accuracy by perpetually predicting 'Benign' (yielding Recall = 0%). The benchmark dataset used in this study was curated from security advisory commits, achieving an overall vulnerability rate of 49.85% (train = 49.75%, valid = 51.10%, test = 48.81%). This balanced distribution eliminates majority-class bias, ensuring that the model learns genuine discriminating syntactic and data-flow patterns rather than exploiting skewed prior distributions.</w:t>
      </w:r>
    </w:p>
    <w:p>
      <w:pPr>
        <w:keepNext/>
        <w:spacing w:before="320" w:after="120"/>
      </w:pPr>
      <w:r>
        <w:rPr>
          <w:rFonts w:ascii="Times New Roman" w:hAnsi="Times New Roman"/>
          <w:b/>
          <w:color w:val="1B365D"/>
          <w:sz w:val="38"/>
        </w:rPr>
        <w:t>6. Conclusion and DevSecOps Recommendations</w:t>
      </w:r>
    </w:p>
    <w:p>
      <w:pPr>
        <w:keepNext/>
        <w:spacing w:before="240" w:after="80"/>
      </w:pPr>
      <w:r>
        <w:rPr>
          <w:rFonts w:ascii="Times New Roman" w:hAnsi="Times New Roman"/>
          <w:b/>
          <w:color w:val="1E293B"/>
          <w:sz w:val="28"/>
        </w:rPr>
        <w:t>Key Findings</w:t>
      </w:r>
    </w:p>
    <w:p>
      <w:pPr>
        <w:spacing w:before="0" w:after="120" w:line="276" w:lineRule="auto"/>
      </w:pPr>
      <w:r>
        <w:rPr>
          <w:rFonts w:ascii="Times New Roman" w:hAnsi="Times New Roman"/>
          <w:b w:val="0"/>
          <w:i w:val="0"/>
          <w:color w:val="334155"/>
          <w:sz w:val="23"/>
        </w:rPr>
        <w:t>The empirical findings of this midterm group project substantiate the following scientific and technical conclusions:</w:t>
      </w:r>
    </w:p>
    <w:p>
      <w:pPr>
        <w:pStyle w:val="ListBullet"/>
        <w:spacing w:before="20" w:after="60" w:line="276" w:lineRule="auto"/>
      </w:pPr>
      <w:r>
        <w:rPr>
          <w:rFonts w:ascii="Times New Roman" w:hAnsi="Times New Roman"/>
          <w:b/>
          <w:color w:val="1E293B"/>
          <w:sz w:val="23"/>
        </w:rPr>
        <w:t xml:space="preserve">Superiority of Graph-Augmented Transformers: </w:t>
      </w:r>
      <w:r>
        <w:rPr>
          <w:rFonts w:ascii="Times New Roman" w:hAnsi="Times New Roman"/>
          <w:color w:val="334155"/>
          <w:sz w:val="23"/>
        </w:rPr>
        <w:t>Integrating variable data-flow graphs (DFGs) with GraphCodeBERT representations enables the model to capture non-local taint flows, achieving 94.44% Test Accuracy and 0.9782 ROC-AUC on holdout Java functions, surpassing flat sequential baselines.</w:t>
      </w:r>
    </w:p>
    <w:p>
      <w:pPr>
        <w:pStyle w:val="ListBullet"/>
        <w:spacing w:before="20" w:after="60" w:line="276" w:lineRule="auto"/>
      </w:pPr>
      <w:r>
        <w:rPr>
          <w:rFonts w:ascii="Times New Roman" w:hAnsi="Times New Roman"/>
          <w:b/>
          <w:color w:val="1E293B"/>
          <w:sz w:val="23"/>
        </w:rPr>
        <w:t xml:space="preserve">Data Governance as Foundation for AI: </w:t>
      </w:r>
      <w:r>
        <w:rPr>
          <w:rFonts w:ascii="Times New Roman" w:hAnsi="Times New Roman"/>
          <w:color w:val="334155"/>
          <w:sz w:val="23"/>
        </w:rPr>
        <w:t>Rigorous adherence to DAMA-DMBOK2 lifecycle principles and ISO/IEC 25012 quality auditing (100% completeness, 0 duplicates, 100% validity) is essential for training robust security models without distribution artifacts or data leakage.</w:t>
      </w:r>
    </w:p>
    <w:p>
      <w:pPr>
        <w:pStyle w:val="ListBullet"/>
        <w:spacing w:before="20" w:after="60" w:line="276" w:lineRule="auto"/>
      </w:pPr>
      <w:r>
        <w:rPr>
          <w:rFonts w:ascii="Times New Roman" w:hAnsi="Times New Roman"/>
          <w:b/>
          <w:color w:val="1E293B"/>
          <w:sz w:val="23"/>
        </w:rPr>
        <w:t xml:space="preserve">Balanced Diagnostic Metrics: </w:t>
      </w:r>
      <w:r>
        <w:rPr>
          <w:rFonts w:ascii="Times New Roman" w:hAnsi="Times New Roman"/>
          <w:color w:val="334155"/>
          <w:sz w:val="23"/>
        </w:rPr>
        <w:t>With 95.73% Precision and 92.68% Recall, the model restricts false alarms to 1.98% while identifying 92.68% of true vulnerabilities, demonstrating operational readiness for enterprise deployment.</w:t>
      </w:r>
    </w:p>
    <w:p>
      <w:pPr>
        <w:keepNext/>
        <w:spacing w:before="240" w:after="80"/>
      </w:pPr>
      <w:r>
        <w:rPr>
          <w:rFonts w:ascii="Times New Roman" w:hAnsi="Times New Roman"/>
          <w:b/>
          <w:color w:val="1E293B"/>
          <w:sz w:val="28"/>
        </w:rPr>
        <w:t>Technical Skills and Competencies Acquired</w:t>
      </w:r>
    </w:p>
    <w:p>
      <w:pPr>
        <w:pStyle w:val="ListBullet"/>
        <w:spacing w:before="20" w:after="60" w:line="276" w:lineRule="auto"/>
      </w:pPr>
      <w:r>
        <w:rPr>
          <w:rFonts w:ascii="Times New Roman" w:hAnsi="Times New Roman"/>
          <w:b/>
          <w:color w:val="1E293B"/>
          <w:sz w:val="23"/>
        </w:rPr>
        <w:t xml:space="preserve">Data Engineering &amp; ETL: </w:t>
      </w:r>
      <w:r>
        <w:rPr>
          <w:rFonts w:ascii="Times New Roman" w:hAnsi="Times New Roman"/>
          <w:color w:val="334155"/>
          <w:sz w:val="23"/>
        </w:rPr>
        <w:t>Architecting automated pipelines for AST lexical parsing, variable def-use extraction, and tensor formatting.</w:t>
      </w:r>
    </w:p>
    <w:p>
      <w:pPr>
        <w:pStyle w:val="ListBullet"/>
        <w:spacing w:before="20" w:after="60" w:line="276" w:lineRule="auto"/>
      </w:pPr>
      <w:r>
        <w:rPr>
          <w:rFonts w:ascii="Times New Roman" w:hAnsi="Times New Roman"/>
          <w:b/>
          <w:color w:val="1E293B"/>
          <w:sz w:val="23"/>
        </w:rPr>
        <w:t xml:space="preserve">Deep Learning for Code: </w:t>
      </w:r>
      <w:r>
        <w:rPr>
          <w:rFonts w:ascii="Times New Roman" w:hAnsi="Times New Roman"/>
          <w:color w:val="334155"/>
          <w:sz w:val="23"/>
        </w:rPr>
        <w:t>Integrating pre-trained language models with Graph Attention Networks (GAT) using PyTorch and Transformers.</w:t>
      </w:r>
    </w:p>
    <w:p>
      <w:pPr>
        <w:pStyle w:val="ListBullet"/>
        <w:spacing w:before="20" w:after="60" w:line="276" w:lineRule="auto"/>
      </w:pPr>
      <w:r>
        <w:rPr>
          <w:rFonts w:ascii="Times New Roman" w:hAnsi="Times New Roman"/>
          <w:b/>
          <w:color w:val="1E293B"/>
          <w:sz w:val="23"/>
        </w:rPr>
        <w:t xml:space="preserve">Hardware &amp; Systems Optimization: </w:t>
      </w:r>
      <w:r>
        <w:rPr>
          <w:rFonts w:ascii="Times New Roman" w:hAnsi="Times New Roman"/>
          <w:color w:val="334155"/>
          <w:sz w:val="23"/>
        </w:rPr>
        <w:t>Overcoming 4GB GPU VRAM limitations via staged representation caching and engineering local proxy tunneling.</w:t>
      </w:r>
    </w:p>
    <w:p>
      <w:pPr>
        <w:pStyle w:val="ListBullet"/>
        <w:spacing w:before="20" w:after="60" w:line="276" w:lineRule="auto"/>
      </w:pPr>
      <w:r>
        <w:rPr>
          <w:rFonts w:ascii="Times New Roman" w:hAnsi="Times New Roman"/>
          <w:b/>
          <w:color w:val="1E293B"/>
          <w:sz w:val="23"/>
        </w:rPr>
        <w:t xml:space="preserve">Data Quality &amp; Governance: </w:t>
      </w:r>
      <w:r>
        <w:rPr>
          <w:rFonts w:ascii="Times New Roman" w:hAnsi="Times New Roman"/>
          <w:color w:val="334155"/>
          <w:sz w:val="23"/>
        </w:rPr>
        <w:t>Executing quantitative ISO 25012 quality profiling and mapping organizational controls under DAMA-DMBOK2.</w:t>
      </w:r>
    </w:p>
    <w:p>
      <w:pPr>
        <w:keepNext/>
        <w:spacing w:before="240" w:after="80"/>
      </w:pPr>
      <w:r>
        <w:rPr>
          <w:rFonts w:ascii="Times New Roman" w:hAnsi="Times New Roman"/>
          <w:b/>
          <w:color w:val="1E293B"/>
          <w:sz w:val="28"/>
        </w:rPr>
        <w:t>Challenges Faced and Engineering Resolutions</w:t>
      </w:r>
    </w:p>
    <w:p>
      <w:pPr>
        <w:pStyle w:val="ListBullet"/>
        <w:spacing w:before="20" w:after="60" w:line="276" w:lineRule="auto"/>
      </w:pPr>
      <w:r>
        <w:rPr>
          <w:rFonts w:ascii="Times New Roman" w:hAnsi="Times New Roman"/>
          <w:b/>
          <w:color w:val="1E293B"/>
          <w:sz w:val="23"/>
        </w:rPr>
        <w:t xml:space="preserve">Challenge: University Firewall TCP 443 Blocking: </w:t>
      </w:r>
      <w:r>
        <w:rPr>
          <w:rFonts w:ascii="Times New Roman" w:hAnsi="Times New Roman"/>
          <w:color w:val="334155"/>
          <w:sz w:val="23"/>
        </w:rPr>
        <w:t>Resolved by authoring github_proxy.py listening on port 8989, tunneling Git traffic to Azure edge CDN 20.205.243.166:443.</w:t>
      </w:r>
    </w:p>
    <w:p>
      <w:pPr>
        <w:pStyle w:val="ListBullet"/>
        <w:spacing w:before="20" w:after="60" w:line="276" w:lineRule="auto"/>
      </w:pPr>
      <w:r>
        <w:rPr>
          <w:rFonts w:ascii="Times New Roman" w:hAnsi="Times New Roman"/>
          <w:b/>
          <w:color w:val="1E293B"/>
          <w:sz w:val="23"/>
        </w:rPr>
        <w:t xml:space="preserve">Challenge: 4.0 GB GPU CUDA Out-of-Memory: </w:t>
      </w:r>
      <w:r>
        <w:rPr>
          <w:rFonts w:ascii="Times New Roman" w:hAnsi="Times New Roman"/>
          <w:color w:val="334155"/>
          <w:sz w:val="23"/>
        </w:rPr>
        <w:t>Resolved by decoupling GraphCodeBERT feature caching from GAT classifier training, utilizing batch size 32 and gradient clipping.</w:t>
      </w:r>
    </w:p>
    <w:p>
      <w:pPr>
        <w:pStyle w:val="ListBullet"/>
        <w:spacing w:before="20" w:after="60" w:line="276" w:lineRule="auto"/>
      </w:pPr>
      <w:r>
        <w:rPr>
          <w:rFonts w:ascii="Times New Roman" w:hAnsi="Times New Roman"/>
          <w:b/>
          <w:color w:val="1E293B"/>
          <w:sz w:val="23"/>
        </w:rPr>
        <w:t xml:space="preserve">Challenge: AST Lexical Discrepancies: </w:t>
      </w:r>
      <w:r>
        <w:rPr>
          <w:rFonts w:ascii="Times New Roman" w:hAnsi="Times New Roman"/>
          <w:color w:val="334155"/>
          <w:sz w:val="23"/>
        </w:rPr>
        <w:t>Resolved by building a robust AST variable tracker handling complex Java expressions, arrays, and chained method invocations.</w:t>
      </w:r>
    </w:p>
    <w:p>
      <w:pPr>
        <w:keepNext/>
        <w:spacing w:before="240" w:after="80"/>
      </w:pPr>
      <w:r>
        <w:rPr>
          <w:rFonts w:ascii="Times New Roman" w:hAnsi="Times New Roman"/>
          <w:b/>
          <w:color w:val="1E293B"/>
          <w:sz w:val="28"/>
        </w:rPr>
        <w:t>Enterprise Recommendations for Production Deployment</w:t>
      </w:r>
    </w:p>
    <w:p>
      <w:pPr>
        <w:pStyle w:val="ListBullet"/>
        <w:spacing w:before="20" w:after="60" w:line="276" w:lineRule="auto"/>
      </w:pPr>
      <w:r>
        <w:rPr>
          <w:rFonts w:ascii="Times New Roman" w:hAnsi="Times New Roman"/>
          <w:b/>
          <w:color w:val="1E293B"/>
          <w:sz w:val="23"/>
        </w:rPr>
        <w:t xml:space="preserve">1. Automated CI/CD Screening Gate: </w:t>
      </w:r>
      <w:r>
        <w:rPr>
          <w:rFonts w:ascii="Times New Roman" w:hAnsi="Times New Roman"/>
          <w:color w:val="334155"/>
          <w:sz w:val="23"/>
        </w:rPr>
        <w:t>Integrate the GraphCodeBERT + Data Flow Classifier into GitHub Actions / GitLab CI pipelines as a mandatory pre-merge gate.</w:t>
      </w:r>
    </w:p>
    <w:p>
      <w:pPr>
        <w:pStyle w:val="ListBullet"/>
        <w:spacing w:before="20" w:after="60" w:line="276" w:lineRule="auto"/>
      </w:pPr>
      <w:r>
        <w:rPr>
          <w:rFonts w:ascii="Times New Roman" w:hAnsi="Times New Roman"/>
          <w:b/>
          <w:color w:val="1E293B"/>
          <w:sz w:val="23"/>
        </w:rPr>
        <w:t xml:space="preserve">2. Human-in-the-Loop (HITL) Triage: </w:t>
      </w:r>
      <w:r>
        <w:rPr>
          <w:rFonts w:ascii="Times New Roman" w:hAnsi="Times New Roman"/>
          <w:color w:val="334155"/>
          <w:sz w:val="23"/>
        </w:rPr>
        <w:t>Deploy an automated triaging threshold: code with predicted vulnerability probability &gt; 0.70 is blocked immediately; code between 0.35 - 0.70 is routed to security analysts; code &lt; 0.35 is approved.</w:t>
      </w:r>
    </w:p>
    <w:p>
      <w:pPr>
        <w:pStyle w:val="ListBullet"/>
        <w:spacing w:before="20" w:after="60" w:line="276" w:lineRule="auto"/>
      </w:pPr>
      <w:r>
        <w:rPr>
          <w:rFonts w:ascii="Times New Roman" w:hAnsi="Times New Roman"/>
          <w:b/>
          <w:color w:val="1E293B"/>
          <w:sz w:val="23"/>
        </w:rPr>
        <w:t xml:space="preserve">3. Continuous Model Retraining: </w:t>
      </w:r>
      <w:r>
        <w:rPr>
          <w:rFonts w:ascii="Times New Roman" w:hAnsi="Times New Roman"/>
          <w:color w:val="334155"/>
          <w:sz w:val="23"/>
        </w:rPr>
        <w:t>Establish quarterly retraining pipelines using newly disclosed enterprise CVE advisories to accommodate emerging vulnerability patterns and prevent concept drift.</w:t>
      </w:r>
    </w:p>
    <w:p>
      <w:pPr>
        <w:pStyle w:val="ListBullet"/>
        <w:spacing w:before="20" w:after="60" w:line="276" w:lineRule="auto"/>
      </w:pPr>
      <w:r>
        <w:rPr>
          <w:rFonts w:ascii="Times New Roman" w:hAnsi="Times New Roman"/>
          <w:b/>
          <w:color w:val="1E293B"/>
          <w:sz w:val="23"/>
        </w:rPr>
        <w:t xml:space="preserve">4. Model Artifact Cryptographic Signing: </w:t>
      </w:r>
      <w:r>
        <w:rPr>
          <w:rFonts w:ascii="Times New Roman" w:hAnsi="Times New Roman"/>
          <w:color w:val="334155"/>
          <w:sz w:val="23"/>
        </w:rPr>
        <w:t>Enforce SHA-256 checksum verification and hardware-backed cryptographic signing for all production model weights to defend against model tampering.</w:t>
      </w:r>
    </w:p>
    <w:p>
      <w:pPr>
        <w:keepNext/>
        <w:spacing w:before="320" w:after="120"/>
      </w:pPr>
      <w:r>
        <w:rPr>
          <w:rFonts w:ascii="Times New Roman" w:hAnsi="Times New Roman"/>
          <w:b/>
          <w:color w:val="1B365D"/>
          <w:sz w:val="38"/>
        </w:rPr>
        <w:t>7. Academic and Regulatory References</w:t>
      </w:r>
    </w:p>
    <w:p>
      <w:pPr>
        <w:spacing w:before="40" w:after="80" w:line="276" w:lineRule="auto"/>
      </w:pPr>
      <w:r>
        <w:rPr>
          <w:rFonts w:ascii="Times New Roman" w:hAnsi="Times New Roman"/>
          <w:color w:val="334155"/>
          <w:sz w:val="21"/>
        </w:rPr>
        <w:t>[1] Shestov, P., et al. (2025). Finetuning Large Language Models for Vulnerability Detection. IEEE Access, vol. 13, pp. 35467–35482. DOI: 10.1109/ACCESS.2025.3546700.</w:t>
      </w:r>
    </w:p>
    <w:p>
      <w:pPr>
        <w:spacing w:before="40" w:after="80" w:line="276" w:lineRule="auto"/>
      </w:pPr>
      <w:r>
        <w:rPr>
          <w:rFonts w:ascii="Times New Roman" w:hAnsi="Times New Roman"/>
          <w:color w:val="334155"/>
          <w:sz w:val="21"/>
        </w:rPr>
        <w:t>[2] Guo, D., Ren, S., Lu, S., Feng, Z., Tang, D., Liu, S., Long, Y., Duan, N., Zhao, A., Xu, B., &amp; Zhou, M. (2021). GraphCodeBERT: Pre-training Code Representations with Data Flow. International Conference on Learning Representations (ICLR 2021).</w:t>
      </w:r>
    </w:p>
    <w:p>
      <w:pPr>
        <w:spacing w:before="40" w:after="80" w:line="276" w:lineRule="auto"/>
      </w:pPr>
      <w:r>
        <w:rPr>
          <w:rFonts w:ascii="Times New Roman" w:hAnsi="Times New Roman"/>
          <w:color w:val="334155"/>
          <w:sz w:val="21"/>
        </w:rPr>
        <w:t>[3] Feng, Z., Guo, D., Tang, D., Duan, N., Feng, X., Gong, M., Shou, L., Qin, B., Liu, T., Sarikaya, R., &amp; Zhou, M. (2020). CodeBERT: A Pre-Trained Model for Programming and Natural Languages. Findings of EMNLP 2020, pp. 1536–1547.</w:t>
      </w:r>
    </w:p>
    <w:p>
      <w:pPr>
        <w:spacing w:before="40" w:after="80" w:line="276" w:lineRule="auto"/>
      </w:pPr>
      <w:r>
        <w:rPr>
          <w:rFonts w:ascii="Times New Roman" w:hAnsi="Times New Roman"/>
          <w:color w:val="334155"/>
          <w:sz w:val="21"/>
        </w:rPr>
        <w:t>[4] DAMA International. (2017). DAMA-DMBOK: Data Management Body of Knowledge (2nd Edition). Technics Publications.</w:t>
      </w:r>
    </w:p>
    <w:p>
      <w:pPr>
        <w:spacing w:before="40" w:after="80" w:line="276" w:lineRule="auto"/>
      </w:pPr>
      <w:r>
        <w:rPr>
          <w:rFonts w:ascii="Times New Roman" w:hAnsi="Times New Roman"/>
          <w:color w:val="334155"/>
          <w:sz w:val="21"/>
        </w:rPr>
        <w:t>[5] International Organization for Standardization. (2008). ISO/IEC 25012:2008 Software engineering — Software product Quality Requirements and Evaluation (SQuaRE) — Data quality model. Geneva, Switzerland.</w:t>
      </w:r>
    </w:p>
    <w:p>
      <w:pPr>
        <w:spacing w:before="40" w:after="80" w:line="276" w:lineRule="auto"/>
      </w:pPr>
      <w:r>
        <w:rPr>
          <w:rFonts w:ascii="Times New Roman" w:hAnsi="Times New Roman"/>
          <w:color w:val="334155"/>
          <w:sz w:val="21"/>
        </w:rPr>
        <w:t>[6] National Institute of Standards and Technology (NIST). (2020). Security and Privacy Controls for Information Systems and Organizations. NIST Special Publication 800-53, Revision 5. https://doi.org/10.6028/NIST.SP.800-53r5.</w:t>
      </w:r>
    </w:p>
    <w:p>
      <w:pPr>
        <w:spacing w:before="40" w:after="80" w:line="276" w:lineRule="auto"/>
      </w:pPr>
      <w:r>
        <w:rPr>
          <w:rFonts w:ascii="Times New Roman" w:hAnsi="Times New Roman"/>
          <w:color w:val="334155"/>
          <w:sz w:val="21"/>
        </w:rPr>
        <w:t>[7] National Institute of Standards and Technology (NIST). (2012). Guide for Conducting Risk Assessments. NIST Special Publication 800-30, Revision 1. https://doi.org/10.6028/NIST.SP.800-30r1.</w:t>
      </w:r>
    </w:p>
    <w:p>
      <w:pPr>
        <w:spacing w:before="40" w:after="80" w:line="276" w:lineRule="auto"/>
      </w:pPr>
      <w:r>
        <w:rPr>
          <w:rFonts w:ascii="Times New Roman" w:hAnsi="Times New Roman"/>
          <w:color w:val="334155"/>
          <w:sz w:val="21"/>
        </w:rPr>
        <w:t>[8] OWASP Foundation. (2021). OWASP Top 10: 2021 - The Ten Most Critical Web Application Security Risks. Open Web Application Security Project. https://owasp.org/Top10/.</w:t>
      </w:r>
    </w:p>
    <w:p>
      <w:pPr>
        <w:spacing w:before="40" w:after="80" w:line="276" w:lineRule="auto"/>
      </w:pPr>
      <w:r>
        <w:rPr>
          <w:rFonts w:ascii="Times New Roman" w:hAnsi="Times New Roman"/>
          <w:color w:val="334155"/>
          <w:sz w:val="21"/>
        </w:rPr>
        <w:t>[9] Veličković, P., Cucurull, G., Casanova, A., Romero, A., Liò, P., &amp; Bengio, Y. (2018). Graph Attention Networks. International Conference on Learning Representations (ICLR 2018).</w:t>
      </w:r>
    </w:p>
    <w:p>
      <w:pPr>
        <w:spacing w:before="40" w:after="80" w:line="276" w:lineRule="auto"/>
      </w:pPr>
      <w:r>
        <w:rPr>
          <w:rFonts w:ascii="Times New Roman" w:hAnsi="Times New Roman"/>
          <w:color w:val="334155"/>
          <w:sz w:val="21"/>
        </w:rPr>
        <w:t>[10] Vaswani, A., Shazeer, N., Parmar, N., Uszkoreit, J., Jones, L., Gomez, A. N., Kaiser, Ł., &amp; Polosukhin, I. (2017). Attention Is All You Need. Advances in Neural Information Processing Systems (NeurIPS 2017), pp. 5998–6008.</w:t>
      </w:r>
    </w:p>
    <w:p>
      <w:pPr>
        <w:spacing w:before="40" w:after="80" w:line="276" w:lineRule="auto"/>
      </w:pPr>
      <w:r>
        <w:rPr>
          <w:rFonts w:ascii="Times New Roman" w:hAnsi="Times New Roman"/>
          <w:color w:val="334155"/>
          <w:sz w:val="21"/>
        </w:rPr>
        <w:t>[11] Parliament of the Republic of Kazakhstan. (2013). Law of the Republic of Kazakhstan No. 94-V 'On Personal Data and their Protection' (with subsequent amendments).</w:t>
      </w:r>
    </w:p>
    <w:p>
      <w:pPr>
        <w:spacing w:before="40" w:after="80" w:line="276" w:lineRule="auto"/>
      </w:pPr>
      <w:r>
        <w:rPr>
          <w:rFonts w:ascii="Times New Roman" w:hAnsi="Times New Roman"/>
          <w:color w:val="334155"/>
          <w:sz w:val="21"/>
        </w:rPr>
        <w:t>[12] Musab, R. (2024). Vulnerability LLM Fine-Tuning Benchmark Datasets. GitHub Repository: https://github.com/rmusab/vul-llm-finetune.</w:t>
      </w:r>
    </w:p>
    <w:p>
      <w:pPr>
        <w:keepNext/>
        <w:spacing w:before="320" w:after="120"/>
      </w:pPr>
      <w:r>
        <w:rPr>
          <w:rFonts w:ascii="Times New Roman" w:hAnsi="Times New Roman"/>
          <w:b/>
          <w:color w:val="1B365D"/>
          <w:sz w:val="38"/>
        </w:rPr>
        <w:t>Appendices</w:t>
      </w:r>
    </w:p>
    <w:p>
      <w:pPr>
        <w:keepNext/>
        <w:spacing w:before="240" w:after="80"/>
      </w:pPr>
      <w:r>
        <w:rPr>
          <w:rFonts w:ascii="Times New Roman" w:hAnsi="Times New Roman"/>
          <w:b/>
          <w:color w:val="1E293B"/>
          <w:sz w:val="28"/>
        </w:rPr>
        <w:t>Appendix A: Team Member Individual Contributions &amp; Git Commit Audit</w:t>
      </w:r>
    </w:p>
    <w:p>
      <w:pPr>
        <w:spacing w:before="0" w:after="120" w:line="276" w:lineRule="auto"/>
      </w:pPr>
      <w:r>
        <w:rPr>
          <w:rFonts w:ascii="Times New Roman" w:hAnsi="Times New Roman"/>
          <w:b w:val="0"/>
          <w:i w:val="0"/>
          <w:color w:val="334155"/>
          <w:sz w:val="23"/>
        </w:rPr>
        <w:t>In accordance with Master's Programme evaluation criteria, each team member's specific contributions, code modules, and Git repository commit audit are recorded below:</w:t>
      </w:r>
    </w:p>
    <w:p>
      <w:pPr>
        <w:pStyle w:val="ListBullet"/>
        <w:spacing w:before="20" w:after="60" w:line="276" w:lineRule="auto"/>
      </w:pPr>
      <w:r>
        <w:rPr>
          <w:rFonts w:ascii="Times New Roman" w:hAnsi="Times New Roman"/>
          <w:b/>
          <w:color w:val="1E293B"/>
          <w:sz w:val="23"/>
        </w:rPr>
        <w:t xml:space="preserve">Bidaishiev Shyntas (25MD0291) — Team Lead &amp; Data Architect: </w:t>
      </w:r>
      <w:r>
        <w:rPr>
          <w:rFonts w:ascii="Times New Roman" w:hAnsi="Times New Roman"/>
          <w:color w:val="334155"/>
          <w:sz w:val="23"/>
        </w:rPr>
        <w:t>Designed the end-to-end pipeline architecture; managed the GitHub repository (https://github.com/Tasik1/kbtu-mood-midterm-team2); engineered the local TCP proxy (github_proxy.py); formalized the 7-stage DAMA-DMBOK data lifecycle; and authored the master runner (run_all.py).</w:t>
      </w:r>
    </w:p>
    <w:p>
      <w:pPr>
        <w:pStyle w:val="ListBullet"/>
        <w:spacing w:before="20" w:after="60" w:line="276" w:lineRule="auto"/>
      </w:pPr>
      <w:r>
        <w:rPr>
          <w:rFonts w:ascii="Times New Roman" w:hAnsi="Times New Roman"/>
          <w:b/>
          <w:color w:val="1E293B"/>
          <w:sz w:val="23"/>
        </w:rPr>
        <w:t xml:space="preserve">Ibragim Anzir (25MD0311) — Lead AI Engineer: </w:t>
      </w:r>
      <w:r>
        <w:rPr>
          <w:rFonts w:ascii="Times New Roman" w:hAnsi="Times New Roman"/>
          <w:color w:val="334155"/>
          <w:sz w:val="23"/>
        </w:rPr>
        <w:t>Integrated the GraphCodeBERT neural backbone (microsoft/graphcodebert-base); implemented the AST variable extractor and DFG def-use builder (models/data_flow_extractor.py); developed the 4-head Graph Attention Pooling classifier (models/graphcodebert_classifier.py); and tuned training hyperparameters.</w:t>
      </w:r>
    </w:p>
    <w:p>
      <w:pPr>
        <w:pStyle w:val="ListBullet"/>
        <w:spacing w:before="20" w:after="60" w:line="276" w:lineRule="auto"/>
      </w:pPr>
      <w:r>
        <w:rPr>
          <w:rFonts w:ascii="Times New Roman" w:hAnsi="Times New Roman"/>
          <w:b/>
          <w:color w:val="1E293B"/>
          <w:sz w:val="23"/>
        </w:rPr>
        <w:t xml:space="preserve">Ardak Aruzhan (25MD0308) — Data Governance Officer: </w:t>
      </w:r>
      <w:r>
        <w:rPr>
          <w:rFonts w:ascii="Times New Roman" w:hAnsi="Times New Roman"/>
          <w:color w:val="334155"/>
          <w:sz w:val="23"/>
        </w:rPr>
        <w:t>Formulated the enterprise Data Governance Charter and RBAC matrix; conducted the ISO/IEC 25012 data quality audit; analyzed the CWE weakness taxonomy distribution; and developed responsible dual-use vulnerability handling policies.</w:t>
      </w:r>
    </w:p>
    <w:p>
      <w:pPr>
        <w:pStyle w:val="ListBullet"/>
        <w:spacing w:before="20" w:after="60" w:line="276" w:lineRule="auto"/>
      </w:pPr>
      <w:r>
        <w:rPr>
          <w:rFonts w:ascii="Times New Roman" w:hAnsi="Times New Roman"/>
          <w:b/>
          <w:color w:val="1E293B"/>
          <w:sz w:val="23"/>
        </w:rPr>
        <w:t xml:space="preserve">Amanbayev Farkhad (25MD0304) — Evaluation Analyst: </w:t>
      </w:r>
      <w:r>
        <w:rPr>
          <w:rFonts w:ascii="Times New Roman" w:hAnsi="Times New Roman"/>
          <w:color w:val="334155"/>
          <w:sz w:val="23"/>
        </w:rPr>
        <w:t>Executed holdout test evaluation across 252 samples; verified syllabus threshold compliance (Accuracy = 94.44% &gt;= 93.0%); generated publication-quality visualizations (ROC curve, confusion matrix, metric barchart); and authored comprehensive report documentation.</w:t>
      </w:r>
    </w:p>
    <w:p>
      <w:pPr>
        <w:keepNext/>
        <w:spacing w:before="240" w:after="80"/>
      </w:pPr>
      <w:r>
        <w:rPr>
          <w:rFonts w:ascii="Times New Roman" w:hAnsi="Times New Roman"/>
          <w:b/>
          <w:color w:val="1E293B"/>
          <w:sz w:val="28"/>
        </w:rPr>
        <w:t>Appendix B: Reproducible Pipeline Source Code &amp; Execution Artifact Inventory</w:t>
      </w:r>
    </w:p>
    <w:p>
      <w:pPr>
        <w:spacing w:before="0" w:after="120" w:line="276" w:lineRule="auto"/>
      </w:pPr>
      <w:r>
        <w:rPr>
          <w:rFonts w:ascii="Times New Roman" w:hAnsi="Times New Roman"/>
          <w:b w:val="0"/>
          <w:i w:val="0"/>
          <w:color w:val="334155"/>
          <w:sz w:val="23"/>
        </w:rPr>
        <w:t>The complete, fully reproducible software suite is encapsulated within the project repository and submission package. Key executable files and artifacts include:</w:t>
      </w:r>
    </w:p>
    <w:p>
      <w:pPr>
        <w:pStyle w:val="ListBullet"/>
        <w:spacing w:before="20" w:after="60" w:line="276" w:lineRule="auto"/>
      </w:pPr>
      <w:r>
        <w:rPr>
          <w:rFonts w:ascii="Times New Roman" w:hAnsi="Times New Roman"/>
          <w:b/>
          <w:color w:val="1E293B"/>
          <w:sz w:val="23"/>
        </w:rPr>
        <w:t xml:space="preserve">run_all.py: </w:t>
      </w:r>
      <w:r>
        <w:rPr>
          <w:rFonts w:ascii="Times New Roman" w:hAnsi="Times New Roman"/>
          <w:color w:val="334155"/>
          <w:sz w:val="23"/>
        </w:rPr>
        <w:t>Master one-click reproducibility script executing ETL, visualization, report generation, and packaging.</w:t>
      </w:r>
    </w:p>
    <w:p>
      <w:pPr>
        <w:pStyle w:val="ListBullet"/>
        <w:spacing w:before="20" w:after="60" w:line="276" w:lineRule="auto"/>
      </w:pPr>
      <w:r>
        <w:rPr>
          <w:rFonts w:ascii="Times New Roman" w:hAnsi="Times New Roman"/>
          <w:b/>
          <w:color w:val="1E293B"/>
          <w:sz w:val="23"/>
        </w:rPr>
        <w:t xml:space="preserve">pipeline/etl_pipeline.py: </w:t>
      </w:r>
      <w:r>
        <w:rPr>
          <w:rFonts w:ascii="Times New Roman" w:hAnsi="Times New Roman"/>
          <w:color w:val="334155"/>
          <w:sz w:val="23"/>
        </w:rPr>
        <w:t>Automated data warehousing, AST-DFG extraction, and ISO 25012 quality auditing script.</w:t>
      </w:r>
    </w:p>
    <w:p>
      <w:pPr>
        <w:pStyle w:val="ListBullet"/>
        <w:spacing w:before="20" w:after="60" w:line="276" w:lineRule="auto"/>
      </w:pPr>
      <w:r>
        <w:rPr>
          <w:rFonts w:ascii="Times New Roman" w:hAnsi="Times New Roman"/>
          <w:b/>
          <w:color w:val="1E293B"/>
          <w:sz w:val="23"/>
        </w:rPr>
        <w:t xml:space="preserve">pipeline/train_eval.py: </w:t>
      </w:r>
      <w:r>
        <w:rPr>
          <w:rFonts w:ascii="Times New Roman" w:hAnsi="Times New Roman"/>
          <w:color w:val="334155"/>
          <w:sz w:val="23"/>
        </w:rPr>
        <w:t>Model training loop, holdout evaluation, and 300-DPI visual evidence generator.</w:t>
      </w:r>
    </w:p>
    <w:p>
      <w:pPr>
        <w:pStyle w:val="ListBullet"/>
        <w:spacing w:before="20" w:after="60" w:line="276" w:lineRule="auto"/>
      </w:pPr>
      <w:r>
        <w:rPr>
          <w:rFonts w:ascii="Times New Roman" w:hAnsi="Times New Roman"/>
          <w:b/>
          <w:color w:val="1E293B"/>
          <w:sz w:val="23"/>
        </w:rPr>
        <w:t xml:space="preserve">models/graphcodebert_classifier.py: </w:t>
      </w:r>
      <w:r>
        <w:rPr>
          <w:rFonts w:ascii="Times New Roman" w:hAnsi="Times New Roman"/>
          <w:color w:val="334155"/>
          <w:sz w:val="23"/>
        </w:rPr>
        <w:t>PyTorch neural network architecture with GraphCodeBERT backbone and 4-head GAT pooling layer.</w:t>
      </w:r>
    </w:p>
    <w:p>
      <w:pPr>
        <w:pStyle w:val="ListBullet"/>
        <w:spacing w:before="20" w:after="60" w:line="276" w:lineRule="auto"/>
      </w:pPr>
      <w:r>
        <w:rPr>
          <w:rFonts w:ascii="Times New Roman" w:hAnsi="Times New Roman"/>
          <w:b/>
          <w:color w:val="1E293B"/>
          <w:sz w:val="23"/>
        </w:rPr>
        <w:t xml:space="preserve">notebooks/midterm_team2_graphcodebert.ipynb: </w:t>
      </w:r>
      <w:r>
        <w:rPr>
          <w:rFonts w:ascii="Times New Roman" w:hAnsi="Times New Roman"/>
          <w:color w:val="334155"/>
          <w:sz w:val="23"/>
        </w:rPr>
        <w:t>Interactive Jupyter Notebook providing cell-by-cell execution and visual inspection.</w:t>
      </w:r>
    </w:p>
    <w:p>
      <w:pPr>
        <w:pStyle w:val="ListBullet"/>
        <w:spacing w:before="20" w:after="60" w:line="276" w:lineRule="auto"/>
      </w:pPr>
      <w:r>
        <w:rPr>
          <w:rFonts w:ascii="Times New Roman" w:hAnsi="Times New Roman"/>
          <w:b/>
          <w:color w:val="1E293B"/>
          <w:sz w:val="23"/>
        </w:rPr>
        <w:t xml:space="preserve">docs/Midterm_Presentation_Team2.pptx: </w:t>
      </w:r>
      <w:r>
        <w:rPr>
          <w:rFonts w:ascii="Times New Roman" w:hAnsi="Times New Roman"/>
          <w:color w:val="334155"/>
          <w:sz w:val="23"/>
        </w:rPr>
        <w:t>Master's defense slide deck containing embedded diagrams, tables, and individual defense roles.</w:t>
      </w:r>
    </w:p>
    <w:p>
      <w:pPr>
        <w:pStyle w:val="ListBullet"/>
        <w:spacing w:before="20" w:after="60" w:line="276" w:lineRule="auto"/>
      </w:pPr>
      <w:r>
        <w:rPr>
          <w:rFonts w:ascii="Times New Roman" w:hAnsi="Times New Roman"/>
          <w:b/>
          <w:color w:val="1E293B"/>
          <w:sz w:val="23"/>
        </w:rPr>
        <w:t xml:space="preserve">results/metrics_summary.json &amp; data_quality_report.json: </w:t>
      </w:r>
      <w:r>
        <w:rPr>
          <w:rFonts w:ascii="Times New Roman" w:hAnsi="Times New Roman"/>
          <w:color w:val="334155"/>
          <w:sz w:val="23"/>
        </w:rPr>
        <w:t>Machine-readable verification telemetry confirming all quantitative achievements.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