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B365D"/>
          <w:sz w:val="26"/>
        </w:rPr>
        <w:t>MANAGEMENT OF ORGANIZATIONAL DATA (MoOD) — 2026</w:t>
        <w:br/>
      </w:r>
      <w:r>
        <w:rPr>
          <w:b/>
          <w:color w:val="0F2042"/>
          <w:sz w:val="36"/>
        </w:rPr>
        <w:t>MIDTERM GROUP PROJECT REPORT: JAVA VULNERABILITY DETECTION</w:t>
        <w:br/>
      </w:r>
      <w:r>
        <w:rPr>
          <w:i/>
          <w:color w:val="4A5568"/>
          <w:sz w:val="24"/>
        </w:rPr>
        <w:t>Theme: GraphCodeBERT + Data Flow Classifier vs. Alternative Model</w:t>
        <w:br/>
      </w:r>
    </w:p>
    <w:p/>
    <w:tbl>
      <w:tblPr>
        <w:tblW w:type="auto" w:w="0"/>
        <w:jc w:val="center"/>
        <w:tblLayout w:type="fixed"/>
        <w:tblLook w:firstColumn="1" w:firstRow="1" w:lastColumn="0" w:lastRow="0" w:noHBand="0" w:noVBand="1" w:val="04A0"/>
      </w:tblPr>
      <w:tblGrid>
        <w:gridCol w:w="3120"/>
        <w:gridCol w:w="3120"/>
        <w:gridCol w:w="3120"/>
      </w:tblGrid>
      <w:tr>
        <w:tc>
          <w:tcPr>
            <w:tcW w:type="dxa" w:w="3120"/>
            <w:shd w:fill="1B365D"/>
            <w:tcMar>
              <w:top w:w="120" w:type="dxa"/>
              <w:bottom w:w="120" w:type="dxa"/>
              <w:left w:w="150" w:type="dxa"/>
              <w:right w:w="150" w:type="dxa"/>
            </w:tcMar>
          </w:tcPr>
          <w:p>
            <w:r>
              <w:rPr>
                <w:b/>
                <w:color w:val="FFFFFF"/>
                <w:sz w:val="20"/>
              </w:rPr>
              <w:t>Student Name</w:t>
            </w:r>
          </w:p>
        </w:tc>
        <w:tc>
          <w:tcPr>
            <w:tcW w:type="dxa" w:w="3120"/>
            <w:shd w:fill="1B365D"/>
            <w:tcMar>
              <w:top w:w="120" w:type="dxa"/>
              <w:bottom w:w="120" w:type="dxa"/>
              <w:left w:w="150" w:type="dxa"/>
              <w:right w:w="150" w:type="dxa"/>
            </w:tcMar>
          </w:tcPr>
          <w:p>
            <w:r>
              <w:rPr>
                <w:b/>
                <w:color w:val="FFFFFF"/>
                <w:sz w:val="20"/>
              </w:rPr>
              <w:t>Student ID</w:t>
            </w:r>
          </w:p>
        </w:tc>
        <w:tc>
          <w:tcPr>
            <w:tcW w:type="dxa" w:w="3120"/>
            <w:shd w:fill="1B365D"/>
            <w:tcMar>
              <w:top w:w="120" w:type="dxa"/>
              <w:bottom w:w="120" w:type="dxa"/>
              <w:left w:w="150" w:type="dxa"/>
              <w:right w:w="150" w:type="dxa"/>
            </w:tcMar>
          </w:tcPr>
          <w:p>
            <w:r>
              <w:rPr>
                <w:b/>
                <w:color w:val="FFFFFF"/>
                <w:sz w:val="20"/>
              </w:rPr>
              <w:t>Project Role &amp; Contribution</w:t>
            </w:r>
          </w:p>
        </w:tc>
      </w:tr>
      <w:tr>
        <w:tc>
          <w:tcPr>
            <w:tcW w:type="dxa" w:w="3120"/>
            <w:shd w:fill="F7FAFC"/>
            <w:tcMar>
              <w:top w:w="80" w:type="dxa"/>
              <w:bottom w:w="80" w:type="dxa"/>
              <w:left w:w="150" w:type="dxa"/>
              <w:right w:w="150" w:type="dxa"/>
            </w:tcMar>
          </w:tcPr>
          <w:p>
            <w:r>
              <w:rPr>
                <w:b/>
                <w:sz w:val="19"/>
              </w:rPr>
              <w:t>Bidaishiev Shyntas</w:t>
            </w:r>
          </w:p>
        </w:tc>
        <w:tc>
          <w:tcPr>
            <w:tcW w:type="dxa" w:w="3120"/>
            <w:shd w:fill="F7FAFC"/>
            <w:tcMar>
              <w:top w:w="80" w:type="dxa"/>
              <w:bottom w:w="80" w:type="dxa"/>
              <w:left w:w="150" w:type="dxa"/>
              <w:right w:w="150" w:type="dxa"/>
            </w:tcMar>
          </w:tcPr>
          <w:p>
            <w:r>
              <w:rPr>
                <w:sz w:val="19"/>
              </w:rPr>
              <w:t>25MD0291</w:t>
            </w:r>
          </w:p>
        </w:tc>
        <w:tc>
          <w:tcPr>
            <w:tcW w:type="dxa" w:w="3120"/>
            <w:shd w:fill="F7FAFC"/>
            <w:tcMar>
              <w:top w:w="80" w:type="dxa"/>
              <w:bottom w:w="80" w:type="dxa"/>
              <w:left w:w="150" w:type="dxa"/>
              <w:right w:w="150" w:type="dxa"/>
            </w:tcMar>
          </w:tcPr>
          <w:p>
            <w:r>
              <w:rPr>
                <w:sz w:val="19"/>
              </w:rPr>
              <w:t>Team Lead, ETL &amp; DFG Engineering, Git Repository Architect</w:t>
            </w:r>
          </w:p>
        </w:tc>
      </w:tr>
      <w:tr>
        <w:tc>
          <w:tcPr>
            <w:tcW w:type="dxa" w:w="3120"/>
            <w:shd w:fill="FFFFFF"/>
            <w:tcMar>
              <w:top w:w="80" w:type="dxa"/>
              <w:bottom w:w="80" w:type="dxa"/>
              <w:left w:w="150" w:type="dxa"/>
              <w:right w:w="150" w:type="dxa"/>
            </w:tcMar>
          </w:tcPr>
          <w:p>
            <w:r>
              <w:rPr>
                <w:b/>
                <w:sz w:val="19"/>
              </w:rPr>
              <w:t>Ibragim Anzir</w:t>
            </w:r>
          </w:p>
        </w:tc>
        <w:tc>
          <w:tcPr>
            <w:tcW w:type="dxa" w:w="3120"/>
            <w:shd w:fill="FFFFFF"/>
            <w:tcMar>
              <w:top w:w="80" w:type="dxa"/>
              <w:bottom w:w="80" w:type="dxa"/>
              <w:left w:w="150" w:type="dxa"/>
              <w:right w:w="150" w:type="dxa"/>
            </w:tcMar>
          </w:tcPr>
          <w:p>
            <w:r>
              <w:rPr>
                <w:sz w:val="19"/>
              </w:rPr>
              <w:t>25MD0311</w:t>
            </w:r>
          </w:p>
        </w:tc>
        <w:tc>
          <w:tcPr>
            <w:tcW w:type="dxa" w:w="3120"/>
            <w:shd w:fill="FFFFFF"/>
            <w:tcMar>
              <w:top w:w="80" w:type="dxa"/>
              <w:bottom w:w="80" w:type="dxa"/>
              <w:left w:w="150" w:type="dxa"/>
              <w:right w:w="150" w:type="dxa"/>
            </w:tcMar>
          </w:tcPr>
          <w:p>
            <w:r>
              <w:rPr>
                <w:sz w:val="19"/>
              </w:rPr>
              <w:t>AI Architect, GraphCodeBERT Integration, Graph Attention Layer</w:t>
            </w:r>
          </w:p>
        </w:tc>
      </w:tr>
      <w:tr>
        <w:tc>
          <w:tcPr>
            <w:tcW w:type="dxa" w:w="3120"/>
            <w:shd w:fill="F7FAFC"/>
            <w:tcMar>
              <w:top w:w="80" w:type="dxa"/>
              <w:bottom w:w="80" w:type="dxa"/>
              <w:left w:w="150" w:type="dxa"/>
              <w:right w:w="150" w:type="dxa"/>
            </w:tcMar>
          </w:tcPr>
          <w:p>
            <w:r>
              <w:rPr>
                <w:b/>
                <w:sz w:val="19"/>
              </w:rPr>
              <w:t>Ardak Aruzhan</w:t>
            </w:r>
          </w:p>
        </w:tc>
        <w:tc>
          <w:tcPr>
            <w:tcW w:type="dxa" w:w="3120"/>
            <w:shd w:fill="F7FAFC"/>
            <w:tcMar>
              <w:top w:w="80" w:type="dxa"/>
              <w:bottom w:w="80" w:type="dxa"/>
              <w:left w:w="150" w:type="dxa"/>
              <w:right w:w="150" w:type="dxa"/>
            </w:tcMar>
          </w:tcPr>
          <w:p>
            <w:r>
              <w:rPr>
                <w:sz w:val="19"/>
              </w:rPr>
              <w:t>25MD0308</w:t>
            </w:r>
          </w:p>
        </w:tc>
        <w:tc>
          <w:tcPr>
            <w:tcW w:type="dxa" w:w="3120"/>
            <w:shd w:fill="F7FAFC"/>
            <w:tcMar>
              <w:top w:w="80" w:type="dxa"/>
              <w:bottom w:w="80" w:type="dxa"/>
              <w:left w:w="150" w:type="dxa"/>
              <w:right w:w="150" w:type="dxa"/>
            </w:tcMar>
          </w:tcPr>
          <w:p>
            <w:r>
              <w:rPr>
                <w:sz w:val="19"/>
              </w:rPr>
              <w:t>Data Governance, Quality Assessment (DAMA/ISO), Ethics &amp; Policy</w:t>
            </w:r>
          </w:p>
        </w:tc>
      </w:tr>
      <w:tr>
        <w:tc>
          <w:tcPr>
            <w:tcW w:type="dxa" w:w="3120"/>
            <w:shd w:fill="FFFFFF"/>
            <w:tcMar>
              <w:top w:w="80" w:type="dxa"/>
              <w:bottom w:w="80" w:type="dxa"/>
              <w:left w:w="150" w:type="dxa"/>
              <w:right w:w="150" w:type="dxa"/>
            </w:tcMar>
          </w:tcPr>
          <w:p>
            <w:r>
              <w:rPr>
                <w:b/>
                <w:sz w:val="19"/>
              </w:rPr>
              <w:t>Amanbayev Farkhad</w:t>
            </w:r>
          </w:p>
        </w:tc>
        <w:tc>
          <w:tcPr>
            <w:tcW w:type="dxa" w:w="3120"/>
            <w:shd w:fill="FFFFFF"/>
            <w:tcMar>
              <w:top w:w="80" w:type="dxa"/>
              <w:bottom w:w="80" w:type="dxa"/>
              <w:left w:w="150" w:type="dxa"/>
              <w:right w:w="150" w:type="dxa"/>
            </w:tcMar>
          </w:tcPr>
          <w:p>
            <w:r>
              <w:rPr>
                <w:sz w:val="19"/>
              </w:rPr>
              <w:t>25MD0304</w:t>
            </w:r>
          </w:p>
        </w:tc>
        <w:tc>
          <w:tcPr>
            <w:tcW w:type="dxa" w:w="3120"/>
            <w:shd w:fill="FFFFFF"/>
            <w:tcMar>
              <w:top w:w="80" w:type="dxa"/>
              <w:bottom w:w="80" w:type="dxa"/>
              <w:left w:w="150" w:type="dxa"/>
              <w:right w:w="150" w:type="dxa"/>
            </w:tcMar>
          </w:tcPr>
          <w:p>
            <w:r>
              <w:rPr>
                <w:sz w:val="19"/>
              </w:rPr>
              <w:t>Alternative Baseline (Frozen+RF), Visualizations &amp; Strategic Analysis</w:t>
            </w:r>
          </w:p>
        </w:tc>
      </w:tr>
    </w:tbl>
    <w:p>
      <w:pPr>
        <w:spacing w:after="240"/>
      </w:pPr>
    </w:p>
    <w:p>
      <w:pPr>
        <w:pStyle w:val="Heading1"/>
        <w:spacing w:before="280" w:after="120"/>
      </w:pPr>
      <w:r>
        <w:t>1. Executive Summary &amp; Project Objectives</w:t>
      </w:r>
    </w:p>
    <w:p>
      <w:r>
        <w:t>Modern enterprise software engineering faces escalating risks from source code vulnerabilities. Effective organizational data management serves as the structural foundation for training, validating, and deploying reliable artificial intelligence systems to automate vulnerability discovery. This project, executed by Team 2 for the Master's Programme course 'Management of Organizational Data' (MoOD 2026), demonstrates the complete data lifecycle for intelligent Java vulnerability detection.</w:t>
      </w:r>
    </w:p>
    <w:p>
      <w:r>
        <w:t>Our team addresses the primary assigned method 'GraphCodeBERT + Data Flow Classifier' and compares it against the approved alternative 'GraphCodeBERT + Frozen Embeddings + Random Forest'. By fusing subword contextual code tokens with structural Data Flow Graphs (DFG) representing variable def-use chains, our primary model attains an exceptional Accuracy of 94.44% on the holdout test set (exceeding the &gt;= 93% requirement) and a ROC-AUC of 0.9782, demonstrating the decisive organizational value of graph-informed data modeling.</w:t>
      </w:r>
    </w:p>
    <w:p>
      <w:pPr>
        <w:pStyle w:val="Heading1"/>
      </w:pPr>
      <w:r>
        <w:t>2. Lecture 1 — Organizational Data Management Lifecycle</w:t>
      </w:r>
    </w:p>
    <w:p>
      <w:r>
        <w:t>In accordance with DAMA-DMBOK2 guidelines, data is treated as an organizational asset that undergoes a formal seven-stage lifecycle from raw git commit extraction to secure archival:</w:t>
      </w:r>
    </w:p>
    <w:p>
      <w:pPr>
        <w:pStyle w:val="ListBullet"/>
      </w:pPr>
      <w:r>
        <w:rPr>
          <w:b/>
        </w:rPr>
        <w:t xml:space="preserve">1. Acquisition: </w:t>
      </w:r>
      <w:r>
        <w:t>Sourcing raw Java functions from curated repositories (Shestov et al., IEEE Access 2025; Musab et al.). Total 1,334 methods extracted.</w:t>
      </w:r>
    </w:p>
    <w:p>
      <w:pPr>
        <w:pStyle w:val="ListBullet"/>
      </w:pPr>
      <w:r>
        <w:rPr>
          <w:b/>
        </w:rPr>
        <w:t xml:space="preserve">2. Validation: </w:t>
      </w:r>
      <w:r>
        <w:t>Rigorous schema conformance checks, binary target verification ({0, 1}), and SHA-256 hash validation preventing corrupted ingestion.</w:t>
      </w:r>
    </w:p>
    <w:p>
      <w:pPr>
        <w:pStyle w:val="ListBullet"/>
      </w:pPr>
      <w:r>
        <w:rPr>
          <w:b/>
        </w:rPr>
        <w:t xml:space="preserve">3. Storage: </w:t>
      </w:r>
      <w:r>
        <w:t>Staged repository storage in version-controlled JSONL formats with strict temporal partitioning across train (810), valid (272), and test (252) splits.</w:t>
      </w:r>
    </w:p>
    <w:p>
      <w:pPr>
        <w:pStyle w:val="ListBullet"/>
      </w:pPr>
      <w:r>
        <w:rPr>
          <w:b/>
        </w:rPr>
        <w:t xml:space="preserve">4. Transformation: </w:t>
      </w:r>
      <w:r>
        <w:t>Tokenization into 768-dimensional latent space, syntactic parsing, variable def-use dependency tracking, and (K x K) adjacency matrix construction.</w:t>
      </w:r>
    </w:p>
    <w:p>
      <w:pPr>
        <w:pStyle w:val="ListBullet"/>
      </w:pPr>
      <w:r>
        <w:rPr>
          <w:b/>
        </w:rPr>
        <w:t xml:space="preserve">5. Model Training: </w:t>
      </w:r>
      <w:r>
        <w:t>Graph attention learning over variable nodes fused with RoBERTa/GraphCodeBERT transformer representations.</w:t>
      </w:r>
    </w:p>
    <w:p>
      <w:pPr>
        <w:pStyle w:val="ListBullet"/>
      </w:pPr>
      <w:r>
        <w:rPr>
          <w:b/>
        </w:rPr>
        <w:t xml:space="preserve">6. Evaluation: </w:t>
      </w:r>
      <w:r>
        <w:t>Multi-metric holdout testing (Accuracy &gt;= 93%, Precision, Recall, F1, ROC-AUC, Confusion Matrix) and latency benchmarking.</w:t>
      </w:r>
    </w:p>
    <w:p>
      <w:pPr>
        <w:pStyle w:val="ListBullet"/>
      </w:pPr>
      <w:r>
        <w:rPr>
          <w:b/>
        </w:rPr>
        <w:t xml:space="preserve">7. Retention &amp; Archival: </w:t>
      </w:r>
      <w:r>
        <w:t>ISO/IEC 27001-aligned retention policies, developer credential stripping, cryptographic hash auditing, and persistent artifact versioning.</w:t>
      </w:r>
    </w:p>
    <w:p>
      <w:pPr>
        <w:pStyle w:val="Heading1"/>
      </w:pPr>
      <w:r>
        <w:t>3. Lecture 2 — Data Governance &amp; Ethical Policies</w:t>
      </w:r>
    </w:p>
    <w:p>
      <w:r>
        <w:t>A robust governance framework guarantees accountability, security, and ethical deployment of intelligent vulnerability models:</w:t>
      </w:r>
    </w:p>
    <w:p>
      <w:pPr>
        <w:pStyle w:val="ListBullet"/>
      </w:pPr>
      <w:r>
        <w:rPr>
          <w:b/>
        </w:rPr>
        <w:t xml:space="preserve">Data Ownership &amp; Accountability: </w:t>
      </w:r>
      <w:r>
        <w:t>Enterprise CISO serves as Data Owner; Lead ML Engineer acts as Data Steward overseeing dataset curation; DevOps acts as Data Custodian.</w:t>
      </w:r>
    </w:p>
    <w:p>
      <w:pPr>
        <w:pStyle w:val="ListBullet"/>
      </w:pPr>
      <w:r>
        <w:rPr>
          <w:b/>
        </w:rPr>
        <w:t xml:space="preserve">Role-Based Access Control (RBAC): </w:t>
      </w:r>
      <w:r>
        <w:t>Training data containing unpatched vulnerability signatures is classified under Restricted Enterprise Tier. CI/CD access requires token authentication.</w:t>
      </w:r>
    </w:p>
    <w:p>
      <w:pPr>
        <w:pStyle w:val="ListBullet"/>
      </w:pPr>
      <w:r>
        <w:rPr>
          <w:b/>
        </w:rPr>
        <w:t xml:space="preserve">Data Usage Policies: </w:t>
      </w:r>
      <w:r>
        <w:t>Dataset usage is strictly restricted to defensive vulnerability remediation, automated QA gating, and static analysis enhancement. Offensive exploitation is explicitly prohibited.</w:t>
      </w:r>
    </w:p>
    <w:p>
      <w:pPr>
        <w:pStyle w:val="ListBullet"/>
      </w:pPr>
      <w:r>
        <w:rPr>
          <w:b/>
        </w:rPr>
        <w:t xml:space="preserve">Dual-Use Ethics &amp; Developer Privacy: </w:t>
      </w:r>
      <w:r>
        <w:t>Models capable of spotting vulnerabilities present dual-use risks. Proprietary author identities are sanitized to eliminate developer appraisal bias and privacy leakage.</w:t>
      </w:r>
    </w:p>
    <w:p>
      <w:pPr>
        <w:pStyle w:val="Heading1"/>
      </w:pPr>
      <w:r>
        <w:t>4. Lecture 3 — Data Modeling &amp; Conceptual Architecture</w:t>
      </w:r>
    </w:p>
    <w:p>
      <w:r>
        <w:t>The conceptual data model captures the interplay between code tokens, data flow graphs, weakness taxonomies, and experimental telemetry. Entities include DATASET_SPLIT, JAVA_FUNCTION, DATA_FLOW_GRAPH, CWE_METADATA, VULNERABILITY_LABEL, MODEL_EXPERIMENT, and EVALUATION_METRIC. This relational structure supports end-to-end traceability from raw commits to production inference gating.</w:t>
      </w:r>
    </w:p>
    <w:p>
      <w:pPr>
        <w:pStyle w:val="Heading1"/>
      </w:pPr>
      <w:r>
        <w:t>5. Lectures 4 &amp; 5 — ETL Pipelines &amp; Data Quality Assessment</w:t>
      </w:r>
    </w:p>
    <w:p>
      <w:r>
        <w:t>Our automated ETL pipeline (midterm/pipeline/etl_pipeline.py) executed comprehensive validation across all 1,334 records. The ISO/IEC 25012 data quality audit verified:</w:t>
      </w:r>
    </w:p>
    <w:tbl>
      <w:tblPr>
        <w:tblW w:type="auto" w:w="0"/>
        <w:jc w:val="center"/>
        <w:tblLook w:firstColumn="1" w:firstRow="1" w:lastColumn="0" w:lastRow="0" w:noHBand="0" w:noVBand="1" w:val="04A0"/>
      </w:tblPr>
      <w:tblGrid>
        <w:gridCol w:w="2340"/>
        <w:gridCol w:w="2340"/>
        <w:gridCol w:w="2340"/>
        <w:gridCol w:w="2340"/>
      </w:tblGrid>
      <w:tr>
        <w:tc>
          <w:tcPr>
            <w:tcW w:type="dxa" w:w="2340"/>
            <w:shd w:fill="2B5C8F"/>
            <w:tcMar>
              <w:top w:w="100" w:type="dxa"/>
              <w:bottom w:w="100" w:type="dxa"/>
              <w:left w:w="120" w:type="dxa"/>
              <w:right w:w="120" w:type="dxa"/>
            </w:tcMar>
          </w:tcPr>
          <w:p>
            <w:r>
              <w:rPr>
                <w:b/>
                <w:color w:val="FFFFFF"/>
                <w:sz w:val="19"/>
              </w:rPr>
              <w:t>Quality Dimension</w:t>
            </w:r>
          </w:p>
        </w:tc>
        <w:tc>
          <w:tcPr>
            <w:tcW w:type="dxa" w:w="2340"/>
            <w:shd w:fill="2B5C8F"/>
            <w:tcMar>
              <w:top w:w="100" w:type="dxa"/>
              <w:bottom w:w="100" w:type="dxa"/>
              <w:left w:w="120" w:type="dxa"/>
              <w:right w:w="120" w:type="dxa"/>
            </w:tcMar>
          </w:tcPr>
          <w:p>
            <w:r>
              <w:rPr>
                <w:b/>
                <w:color w:val="FFFFFF"/>
                <w:sz w:val="19"/>
              </w:rPr>
              <w:t>Evaluation Criteria</w:t>
            </w:r>
          </w:p>
        </w:tc>
        <w:tc>
          <w:tcPr>
            <w:tcW w:type="dxa" w:w="2340"/>
            <w:shd w:fill="2B5C8F"/>
            <w:tcMar>
              <w:top w:w="100" w:type="dxa"/>
              <w:bottom w:w="100" w:type="dxa"/>
              <w:left w:w="120" w:type="dxa"/>
              <w:right w:w="120" w:type="dxa"/>
            </w:tcMar>
          </w:tcPr>
          <w:p>
            <w:r>
              <w:rPr>
                <w:b/>
                <w:color w:val="FFFFFF"/>
                <w:sz w:val="19"/>
              </w:rPr>
              <w:t>Measured Value</w:t>
            </w:r>
          </w:p>
        </w:tc>
        <w:tc>
          <w:tcPr>
            <w:tcW w:type="dxa" w:w="2340"/>
            <w:shd w:fill="2B5C8F"/>
            <w:tcMar>
              <w:top w:w="100" w:type="dxa"/>
              <w:bottom w:w="100" w:type="dxa"/>
              <w:left w:w="120" w:type="dxa"/>
              <w:right w:w="120" w:type="dxa"/>
            </w:tcMar>
          </w:tcPr>
          <w:p>
            <w:r>
              <w:rPr>
                <w:b/>
                <w:color w:val="FFFFFF"/>
                <w:sz w:val="19"/>
              </w:rPr>
              <w:t>Status</w:t>
            </w:r>
          </w:p>
        </w:tc>
      </w:tr>
      <w:tr>
        <w:tc>
          <w:tcPr>
            <w:tcW w:type="dxa" w:w="2340"/>
            <w:shd w:fill="F7FAFC"/>
            <w:tcMar>
              <w:top w:w="80" w:type="dxa"/>
              <w:bottom w:w="80" w:type="dxa"/>
              <w:left w:w="120" w:type="dxa"/>
              <w:right w:w="120" w:type="dxa"/>
            </w:tcMar>
          </w:tcPr>
          <w:p>
            <w:r>
              <w:rPr>
                <w:sz w:val="18"/>
              </w:rPr>
              <w:t>Completeness</w:t>
            </w:r>
          </w:p>
        </w:tc>
        <w:tc>
          <w:tcPr>
            <w:tcW w:type="dxa" w:w="2340"/>
            <w:shd w:fill="F7FAFC"/>
            <w:tcMar>
              <w:top w:w="80" w:type="dxa"/>
              <w:bottom w:w="80" w:type="dxa"/>
              <w:left w:w="120" w:type="dxa"/>
              <w:right w:w="120" w:type="dxa"/>
            </w:tcMar>
          </w:tcPr>
          <w:p>
            <w:r>
              <w:rPr>
                <w:sz w:val="18"/>
              </w:rPr>
              <w:t>Presence of mandatory fields (code, target, idx)</w:t>
            </w:r>
          </w:p>
        </w:tc>
        <w:tc>
          <w:tcPr>
            <w:tcW w:type="dxa" w:w="2340"/>
            <w:shd w:fill="F7FAFC"/>
            <w:tcMar>
              <w:top w:w="80" w:type="dxa"/>
              <w:bottom w:w="80" w:type="dxa"/>
              <w:left w:w="120" w:type="dxa"/>
              <w:right w:w="120" w:type="dxa"/>
            </w:tcMar>
          </w:tcPr>
          <w:p>
            <w:r>
              <w:rPr>
                <w:sz w:val="18"/>
              </w:rPr>
              <w:t>100.0% (1334/1334)</w:t>
            </w:r>
          </w:p>
        </w:tc>
        <w:tc>
          <w:tcPr>
            <w:tcW w:type="dxa" w:w="2340"/>
            <w:shd w:fill="F7FAFC"/>
            <w:tcMar>
              <w:top w:w="80" w:type="dxa"/>
              <w:bottom w:w="80" w:type="dxa"/>
              <w:left w:w="120" w:type="dxa"/>
              <w:right w:w="120" w:type="dxa"/>
            </w:tcMar>
          </w:tcPr>
          <w:p>
            <w:r>
              <w:rPr>
                <w:b/>
                <w:color w:val="1B7A43"/>
                <w:sz w:val="18"/>
              </w:rPr>
              <w:t>PASSED</w:t>
            </w:r>
          </w:p>
        </w:tc>
      </w:tr>
      <w:tr>
        <w:tc>
          <w:tcPr>
            <w:tcW w:type="dxa" w:w="2340"/>
            <w:shd w:fill="FFFFFF"/>
            <w:tcMar>
              <w:top w:w="80" w:type="dxa"/>
              <w:bottom w:w="80" w:type="dxa"/>
              <w:left w:w="120" w:type="dxa"/>
              <w:right w:w="120" w:type="dxa"/>
            </w:tcMar>
          </w:tcPr>
          <w:p>
            <w:r>
              <w:rPr>
                <w:sz w:val="18"/>
              </w:rPr>
              <w:t>Uniqueness</w:t>
            </w:r>
          </w:p>
        </w:tc>
        <w:tc>
          <w:tcPr>
            <w:tcW w:type="dxa" w:w="2340"/>
            <w:shd w:fill="FFFFFF"/>
            <w:tcMar>
              <w:top w:w="80" w:type="dxa"/>
              <w:bottom w:w="80" w:type="dxa"/>
              <w:left w:w="120" w:type="dxa"/>
              <w:right w:w="120" w:type="dxa"/>
            </w:tcMar>
          </w:tcPr>
          <w:p>
            <w:r>
              <w:rPr>
                <w:sz w:val="18"/>
              </w:rPr>
              <w:t>Deduplication via SHA-256 body hash comparison</w:t>
            </w:r>
          </w:p>
        </w:tc>
        <w:tc>
          <w:tcPr>
            <w:tcW w:type="dxa" w:w="2340"/>
            <w:shd w:fill="FFFFFF"/>
            <w:tcMar>
              <w:top w:w="80" w:type="dxa"/>
              <w:bottom w:w="80" w:type="dxa"/>
              <w:left w:w="120" w:type="dxa"/>
              <w:right w:w="120" w:type="dxa"/>
            </w:tcMar>
          </w:tcPr>
          <w:p>
            <w:r>
              <w:rPr>
                <w:sz w:val="18"/>
              </w:rPr>
              <w:t>100.0% (0 duplicates)</w:t>
            </w:r>
          </w:p>
        </w:tc>
        <w:tc>
          <w:tcPr>
            <w:tcW w:type="dxa" w:w="2340"/>
            <w:shd w:fill="FFFFFF"/>
            <w:tcMar>
              <w:top w:w="80" w:type="dxa"/>
              <w:bottom w:w="80" w:type="dxa"/>
              <w:left w:w="120" w:type="dxa"/>
              <w:right w:w="120" w:type="dxa"/>
            </w:tcMar>
          </w:tcPr>
          <w:p>
            <w:r>
              <w:rPr>
                <w:b/>
                <w:color w:val="1B7A43"/>
                <w:sz w:val="18"/>
              </w:rPr>
              <w:t>PASSED</w:t>
            </w:r>
          </w:p>
        </w:tc>
      </w:tr>
      <w:tr>
        <w:tc>
          <w:tcPr>
            <w:tcW w:type="dxa" w:w="2340"/>
            <w:shd w:fill="F7FAFC"/>
            <w:tcMar>
              <w:top w:w="80" w:type="dxa"/>
              <w:bottom w:w="80" w:type="dxa"/>
              <w:left w:w="120" w:type="dxa"/>
              <w:right w:w="120" w:type="dxa"/>
            </w:tcMar>
          </w:tcPr>
          <w:p>
            <w:r>
              <w:rPr>
                <w:sz w:val="18"/>
              </w:rPr>
              <w:t>Validity</w:t>
            </w:r>
          </w:p>
        </w:tc>
        <w:tc>
          <w:tcPr>
            <w:tcW w:type="dxa" w:w="2340"/>
            <w:shd w:fill="F7FAFC"/>
            <w:tcMar>
              <w:top w:w="80" w:type="dxa"/>
              <w:bottom w:w="80" w:type="dxa"/>
              <w:left w:w="120" w:type="dxa"/>
              <w:right w:w="120" w:type="dxa"/>
            </w:tcMar>
          </w:tcPr>
          <w:p>
            <w:r>
              <w:rPr>
                <w:sz w:val="18"/>
              </w:rPr>
              <w:t>Binary target constraints and Java code syntax</w:t>
            </w:r>
          </w:p>
        </w:tc>
        <w:tc>
          <w:tcPr>
            <w:tcW w:type="dxa" w:w="2340"/>
            <w:shd w:fill="F7FAFC"/>
            <w:tcMar>
              <w:top w:w="80" w:type="dxa"/>
              <w:bottom w:w="80" w:type="dxa"/>
              <w:left w:w="120" w:type="dxa"/>
              <w:right w:w="120" w:type="dxa"/>
            </w:tcMar>
          </w:tcPr>
          <w:p>
            <w:r>
              <w:rPr>
                <w:sz w:val="18"/>
              </w:rPr>
              <w:t>100.0% ({0, 1} valid)</w:t>
            </w:r>
          </w:p>
        </w:tc>
        <w:tc>
          <w:tcPr>
            <w:tcW w:type="dxa" w:w="2340"/>
            <w:shd w:fill="F7FAFC"/>
            <w:tcMar>
              <w:top w:w="80" w:type="dxa"/>
              <w:bottom w:w="80" w:type="dxa"/>
              <w:left w:w="120" w:type="dxa"/>
              <w:right w:w="120" w:type="dxa"/>
            </w:tcMar>
          </w:tcPr>
          <w:p>
            <w:r>
              <w:rPr>
                <w:b/>
                <w:color w:val="1B7A43"/>
                <w:sz w:val="18"/>
              </w:rPr>
              <w:t>PASSED</w:t>
            </w:r>
          </w:p>
        </w:tc>
      </w:tr>
      <w:tr>
        <w:tc>
          <w:tcPr>
            <w:tcW w:type="dxa" w:w="2340"/>
            <w:shd w:fill="FFFFFF"/>
            <w:tcMar>
              <w:top w:w="80" w:type="dxa"/>
              <w:bottom w:w="80" w:type="dxa"/>
              <w:left w:w="120" w:type="dxa"/>
              <w:right w:w="120" w:type="dxa"/>
            </w:tcMar>
          </w:tcPr>
          <w:p>
            <w:r>
              <w:rPr>
                <w:sz w:val="18"/>
              </w:rPr>
              <w:t>Consistency</w:t>
            </w:r>
          </w:p>
        </w:tc>
        <w:tc>
          <w:tcPr>
            <w:tcW w:type="dxa" w:w="2340"/>
            <w:shd w:fill="FFFFFF"/>
            <w:tcMar>
              <w:top w:w="80" w:type="dxa"/>
              <w:bottom w:w="80" w:type="dxa"/>
              <w:left w:w="120" w:type="dxa"/>
              <w:right w:w="120" w:type="dxa"/>
            </w:tcMar>
          </w:tcPr>
          <w:p>
            <w:r>
              <w:rPr>
                <w:sz w:val="18"/>
              </w:rPr>
              <w:t>Concordance between status and target labels</w:t>
            </w:r>
          </w:p>
        </w:tc>
        <w:tc>
          <w:tcPr>
            <w:tcW w:type="dxa" w:w="2340"/>
            <w:shd w:fill="FFFFFF"/>
            <w:tcMar>
              <w:top w:w="80" w:type="dxa"/>
              <w:bottom w:w="80" w:type="dxa"/>
              <w:left w:w="120" w:type="dxa"/>
              <w:right w:w="120" w:type="dxa"/>
            </w:tcMar>
          </w:tcPr>
          <w:p>
            <w:r>
              <w:rPr>
                <w:sz w:val="18"/>
              </w:rPr>
              <w:t>100.0% (No mismatches)</w:t>
            </w:r>
          </w:p>
        </w:tc>
        <w:tc>
          <w:tcPr>
            <w:tcW w:type="dxa" w:w="2340"/>
            <w:shd w:fill="FFFFFF"/>
            <w:tcMar>
              <w:top w:w="80" w:type="dxa"/>
              <w:bottom w:w="80" w:type="dxa"/>
              <w:left w:w="120" w:type="dxa"/>
              <w:right w:w="120" w:type="dxa"/>
            </w:tcMar>
          </w:tcPr>
          <w:p>
            <w:r>
              <w:rPr>
                <w:b/>
                <w:color w:val="1B7A43"/>
                <w:sz w:val="18"/>
              </w:rPr>
              <w:t>PASSED</w:t>
            </w:r>
          </w:p>
        </w:tc>
      </w:tr>
    </w:tbl>
    <w:p>
      <w:pPr>
        <w:spacing w:after="160"/>
      </w:pPr>
    </w:p>
    <w:p>
      <w:pPr>
        <w:pStyle w:val="Heading1"/>
      </w:pPr>
      <w:r>
        <w:t>6. Lecture 6 — Data Security &amp; Risk Mitigation</w:t>
      </w:r>
    </w:p>
    <w:p>
      <w:r>
        <w:t>Data security protocols safeguard corporate IP and prevent model exploitation: (1) Encryption at rest (AES-256) and in transit (TLS 1.3); (2) Tokenized secrets and credential scrubbing; (3) Defensive hashing against data poisoning and backdoor trigger injections; (4) Containerized runtime isolation preventing malicious code execution during analysis.</w:t>
      </w:r>
    </w:p>
    <w:p>
      <w:pPr>
        <w:pStyle w:val="Heading1"/>
      </w:pPr>
      <w:r>
        <w:t>7. Lecture 7 — Experimental Results &amp; Strategic Analysis</w:t>
      </w:r>
    </w:p>
    <w:p>
      <w:r>
        <w:t>Experimental comparison on the holdout test set (N=252) confirms the superiority of graph-informed neural representations: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365D"/>
            <w:tcMar>
              <w:top w:w="100" w:type="dxa"/>
              <w:bottom w:w="100" w:type="dxa"/>
              <w:left w:w="120" w:type="dxa"/>
              <w:right w:w="120" w:type="dxa"/>
            </w:tcMar>
          </w:tcPr>
          <w:p>
            <w:r>
              <w:rPr>
                <w:b/>
                <w:color w:val="FFFFFF"/>
                <w:sz w:val="19"/>
              </w:rPr>
              <w:t>Metric</w:t>
            </w:r>
          </w:p>
        </w:tc>
        <w:tc>
          <w:tcPr>
            <w:tcW w:type="dxa" w:w="1872"/>
            <w:shd w:fill="1B365D"/>
            <w:tcMar>
              <w:top w:w="100" w:type="dxa"/>
              <w:bottom w:w="100" w:type="dxa"/>
              <w:left w:w="120" w:type="dxa"/>
              <w:right w:w="120" w:type="dxa"/>
            </w:tcMar>
          </w:tcPr>
          <w:p>
            <w:r>
              <w:rPr>
                <w:b/>
                <w:color w:val="FFFFFF"/>
                <w:sz w:val="19"/>
              </w:rPr>
              <w:t>Primary: GraphCodeBERT+DFG</w:t>
            </w:r>
          </w:p>
        </w:tc>
        <w:tc>
          <w:tcPr>
            <w:tcW w:type="dxa" w:w="1872"/>
            <w:shd w:fill="1B365D"/>
            <w:tcMar>
              <w:top w:w="100" w:type="dxa"/>
              <w:bottom w:w="100" w:type="dxa"/>
              <w:left w:w="120" w:type="dxa"/>
              <w:right w:w="120" w:type="dxa"/>
            </w:tcMar>
          </w:tcPr>
          <w:p>
            <w:r>
              <w:rPr>
                <w:b/>
                <w:color w:val="FFFFFF"/>
                <w:sz w:val="19"/>
              </w:rPr>
              <w:t>Alternative: Frozen+RF</w:t>
            </w:r>
          </w:p>
        </w:tc>
        <w:tc>
          <w:tcPr>
            <w:tcW w:type="dxa" w:w="1872"/>
            <w:shd w:fill="1B365D"/>
            <w:tcMar>
              <w:top w:w="100" w:type="dxa"/>
              <w:bottom w:w="100" w:type="dxa"/>
              <w:left w:w="120" w:type="dxa"/>
              <w:right w:w="120" w:type="dxa"/>
            </w:tcMar>
          </w:tcPr>
          <w:p>
            <w:r>
              <w:rPr>
                <w:b/>
                <w:color w:val="FFFFFF"/>
                <w:sz w:val="19"/>
              </w:rPr>
              <w:t>Delta (Difference)</w:t>
            </w:r>
          </w:p>
        </w:tc>
        <w:tc>
          <w:tcPr>
            <w:tcW w:type="dxa" w:w="1872"/>
            <w:shd w:fill="1B365D"/>
            <w:tcMar>
              <w:top w:w="100" w:type="dxa"/>
              <w:bottom w:w="100" w:type="dxa"/>
              <w:left w:w="120" w:type="dxa"/>
              <w:right w:w="120" w:type="dxa"/>
            </w:tcMar>
          </w:tcPr>
          <w:p>
            <w:r>
              <w:rPr>
                <w:b/>
                <w:color w:val="FFFFFF"/>
                <w:sz w:val="19"/>
              </w:rPr>
              <w:t>Target Threshold</w:t>
            </w:r>
          </w:p>
        </w:tc>
      </w:tr>
      <w:tr>
        <w:tc>
          <w:tcPr>
            <w:tcW w:type="dxa" w:w="1872"/>
            <w:shd w:fill="EBF3FA"/>
            <w:tcMar>
              <w:top w:w="80" w:type="dxa"/>
              <w:bottom w:w="80" w:type="dxa"/>
              <w:left w:w="120" w:type="dxa"/>
              <w:right w:w="120" w:type="dxa"/>
            </w:tcMar>
          </w:tcPr>
          <w:p>
            <w:r>
              <w:rPr>
                <w:sz w:val="18"/>
              </w:rPr>
              <w:t>Accuracy</w:t>
            </w:r>
          </w:p>
        </w:tc>
        <w:tc>
          <w:tcPr>
            <w:tcW w:type="dxa" w:w="1872"/>
            <w:shd w:fill="EBF3FA"/>
            <w:tcMar>
              <w:top w:w="80" w:type="dxa"/>
              <w:bottom w:w="80" w:type="dxa"/>
              <w:left w:w="120" w:type="dxa"/>
              <w:right w:w="120" w:type="dxa"/>
            </w:tcMar>
          </w:tcPr>
          <w:p>
            <w:r>
              <w:rPr>
                <w:b/>
                <w:sz w:val="18"/>
              </w:rPr>
              <w:t>94.44%</w:t>
            </w:r>
          </w:p>
        </w:tc>
        <w:tc>
          <w:tcPr>
            <w:tcW w:type="dxa" w:w="1872"/>
            <w:shd w:fill="EBF3FA"/>
            <w:tcMar>
              <w:top w:w="80" w:type="dxa"/>
              <w:bottom w:w="80" w:type="dxa"/>
              <w:left w:w="120" w:type="dxa"/>
              <w:right w:w="120" w:type="dxa"/>
            </w:tcMar>
          </w:tcPr>
          <w:p>
            <w:r>
              <w:rPr>
                <w:sz w:val="18"/>
              </w:rPr>
              <w:t>88.49%</w:t>
            </w:r>
          </w:p>
        </w:tc>
        <w:tc>
          <w:tcPr>
            <w:tcW w:type="dxa" w:w="1872"/>
            <w:shd w:fill="EBF3FA"/>
            <w:tcMar>
              <w:top w:w="80" w:type="dxa"/>
              <w:bottom w:w="80" w:type="dxa"/>
              <w:left w:w="120" w:type="dxa"/>
              <w:right w:w="120" w:type="dxa"/>
            </w:tcMar>
          </w:tcPr>
          <w:p>
            <w:r>
              <w:rPr>
                <w:sz w:val="18"/>
              </w:rPr>
              <w:t>+5.95%</w:t>
            </w:r>
          </w:p>
        </w:tc>
        <w:tc>
          <w:tcPr>
            <w:tcW w:type="dxa" w:w="1872"/>
            <w:shd w:fill="EBF3FA"/>
            <w:tcMar>
              <w:top w:w="80" w:type="dxa"/>
              <w:bottom w:w="80" w:type="dxa"/>
              <w:left w:w="120" w:type="dxa"/>
              <w:right w:w="120" w:type="dxa"/>
            </w:tcMar>
          </w:tcPr>
          <w:p>
            <w:r>
              <w:rPr>
                <w:b/>
                <w:sz w:val="18"/>
              </w:rPr>
              <w:t>&gt;= 93.0% (EXCEEDED)</w:t>
            </w:r>
          </w:p>
        </w:tc>
      </w:tr>
      <w:tr>
        <w:tc>
          <w:tcPr>
            <w:tcW w:type="dxa" w:w="1872"/>
            <w:shd w:fill="FFFFFF"/>
            <w:tcMar>
              <w:top w:w="80" w:type="dxa"/>
              <w:bottom w:w="80" w:type="dxa"/>
              <w:left w:w="120" w:type="dxa"/>
              <w:right w:w="120" w:type="dxa"/>
            </w:tcMar>
          </w:tcPr>
          <w:p>
            <w:r>
              <w:rPr>
                <w:sz w:val="18"/>
              </w:rPr>
              <w:t>Precision</w:t>
            </w:r>
          </w:p>
        </w:tc>
        <w:tc>
          <w:tcPr>
            <w:tcW w:type="dxa" w:w="1872"/>
            <w:shd w:fill="FFFFFF"/>
            <w:tcMar>
              <w:top w:w="80" w:type="dxa"/>
              <w:bottom w:w="80" w:type="dxa"/>
              <w:left w:w="120" w:type="dxa"/>
              <w:right w:w="120" w:type="dxa"/>
            </w:tcMar>
          </w:tcPr>
          <w:p>
            <w:r>
              <w:rPr>
                <w:b/>
                <w:sz w:val="18"/>
              </w:rPr>
              <w:t>95.73%</w:t>
            </w:r>
          </w:p>
        </w:tc>
        <w:tc>
          <w:tcPr>
            <w:tcW w:type="dxa" w:w="1872"/>
            <w:shd w:fill="FFFFFF"/>
            <w:tcMar>
              <w:top w:w="80" w:type="dxa"/>
              <w:bottom w:w="80" w:type="dxa"/>
              <w:left w:w="120" w:type="dxa"/>
              <w:right w:w="120" w:type="dxa"/>
            </w:tcMar>
          </w:tcPr>
          <w:p>
            <w:r>
              <w:rPr>
                <w:sz w:val="18"/>
              </w:rPr>
              <w:t>89.83%</w:t>
            </w:r>
          </w:p>
        </w:tc>
        <w:tc>
          <w:tcPr>
            <w:tcW w:type="dxa" w:w="1872"/>
            <w:shd w:fill="FFFFFF"/>
            <w:tcMar>
              <w:top w:w="80" w:type="dxa"/>
              <w:bottom w:w="80" w:type="dxa"/>
              <w:left w:w="120" w:type="dxa"/>
              <w:right w:w="120" w:type="dxa"/>
            </w:tcMar>
          </w:tcPr>
          <w:p>
            <w:r>
              <w:rPr>
                <w:sz w:val="18"/>
              </w:rPr>
              <w:t>+5.90%</w:t>
            </w:r>
          </w:p>
        </w:tc>
        <w:tc>
          <w:tcPr>
            <w:tcW w:type="dxa" w:w="1872"/>
            <w:shd w:fill="FFFFFF"/>
            <w:tcMar>
              <w:top w:w="80" w:type="dxa"/>
              <w:bottom w:w="80" w:type="dxa"/>
              <w:left w:w="120" w:type="dxa"/>
              <w:right w:w="120" w:type="dxa"/>
            </w:tcMar>
          </w:tcPr>
          <w:p>
            <w:r>
              <w:rPr>
                <w:b/>
                <w:sz w:val="18"/>
              </w:rPr>
              <w:t>Baseline</w:t>
            </w:r>
          </w:p>
        </w:tc>
      </w:tr>
      <w:tr>
        <w:tc>
          <w:tcPr>
            <w:tcW w:type="dxa" w:w="1872"/>
            <w:shd w:fill="F7FAFC"/>
            <w:tcMar>
              <w:top w:w="80" w:type="dxa"/>
              <w:bottom w:w="80" w:type="dxa"/>
              <w:left w:w="120" w:type="dxa"/>
              <w:right w:w="120" w:type="dxa"/>
            </w:tcMar>
          </w:tcPr>
          <w:p>
            <w:r>
              <w:rPr>
                <w:sz w:val="18"/>
              </w:rPr>
              <w:t>Recall (Sensitivity)</w:t>
            </w:r>
          </w:p>
        </w:tc>
        <w:tc>
          <w:tcPr>
            <w:tcW w:type="dxa" w:w="1872"/>
            <w:shd w:fill="F7FAFC"/>
            <w:tcMar>
              <w:top w:w="80" w:type="dxa"/>
              <w:bottom w:w="80" w:type="dxa"/>
              <w:left w:w="120" w:type="dxa"/>
              <w:right w:w="120" w:type="dxa"/>
            </w:tcMar>
          </w:tcPr>
          <w:p>
            <w:r>
              <w:rPr>
                <w:b/>
                <w:sz w:val="18"/>
              </w:rPr>
              <w:t>92.68%</w:t>
            </w:r>
          </w:p>
        </w:tc>
        <w:tc>
          <w:tcPr>
            <w:tcW w:type="dxa" w:w="1872"/>
            <w:shd w:fill="F7FAFC"/>
            <w:tcMar>
              <w:top w:w="80" w:type="dxa"/>
              <w:bottom w:w="80" w:type="dxa"/>
              <w:left w:w="120" w:type="dxa"/>
              <w:right w:w="120" w:type="dxa"/>
            </w:tcMar>
          </w:tcPr>
          <w:p>
            <w:r>
              <w:rPr>
                <w:sz w:val="18"/>
              </w:rPr>
              <w:t>86.18%</w:t>
            </w:r>
          </w:p>
        </w:tc>
        <w:tc>
          <w:tcPr>
            <w:tcW w:type="dxa" w:w="1872"/>
            <w:shd w:fill="F7FAFC"/>
            <w:tcMar>
              <w:top w:w="80" w:type="dxa"/>
              <w:bottom w:w="80" w:type="dxa"/>
              <w:left w:w="120" w:type="dxa"/>
              <w:right w:w="120" w:type="dxa"/>
            </w:tcMar>
          </w:tcPr>
          <w:p>
            <w:r>
              <w:rPr>
                <w:sz w:val="18"/>
              </w:rPr>
              <w:t>+6.50%</w:t>
            </w:r>
          </w:p>
        </w:tc>
        <w:tc>
          <w:tcPr>
            <w:tcW w:type="dxa" w:w="1872"/>
            <w:shd w:fill="F7FAFC"/>
            <w:tcMar>
              <w:top w:w="80" w:type="dxa"/>
              <w:bottom w:w="80" w:type="dxa"/>
              <w:left w:w="120" w:type="dxa"/>
              <w:right w:w="120" w:type="dxa"/>
            </w:tcMar>
          </w:tcPr>
          <w:p>
            <w:r>
              <w:rPr>
                <w:b/>
                <w:sz w:val="18"/>
              </w:rPr>
              <w:t>Minimizing FN</w:t>
            </w:r>
          </w:p>
        </w:tc>
      </w:tr>
      <w:tr>
        <w:tc>
          <w:tcPr>
            <w:tcW w:type="dxa" w:w="1872"/>
            <w:shd w:fill="FFFFFF"/>
            <w:tcMar>
              <w:top w:w="80" w:type="dxa"/>
              <w:bottom w:w="80" w:type="dxa"/>
              <w:left w:w="120" w:type="dxa"/>
              <w:right w:w="120" w:type="dxa"/>
            </w:tcMar>
          </w:tcPr>
          <w:p>
            <w:r>
              <w:rPr>
                <w:sz w:val="18"/>
              </w:rPr>
              <w:t>F1-Score</w:t>
            </w:r>
          </w:p>
        </w:tc>
        <w:tc>
          <w:tcPr>
            <w:tcW w:type="dxa" w:w="1872"/>
            <w:shd w:fill="FFFFFF"/>
            <w:tcMar>
              <w:top w:w="80" w:type="dxa"/>
              <w:bottom w:w="80" w:type="dxa"/>
              <w:left w:w="120" w:type="dxa"/>
              <w:right w:w="120" w:type="dxa"/>
            </w:tcMar>
          </w:tcPr>
          <w:p>
            <w:r>
              <w:rPr>
                <w:b/>
                <w:sz w:val="18"/>
              </w:rPr>
              <w:t>94.18%</w:t>
            </w:r>
          </w:p>
        </w:tc>
        <w:tc>
          <w:tcPr>
            <w:tcW w:type="dxa" w:w="1872"/>
            <w:shd w:fill="FFFFFF"/>
            <w:tcMar>
              <w:top w:w="80" w:type="dxa"/>
              <w:bottom w:w="80" w:type="dxa"/>
              <w:left w:w="120" w:type="dxa"/>
              <w:right w:w="120" w:type="dxa"/>
            </w:tcMar>
          </w:tcPr>
          <w:p>
            <w:r>
              <w:rPr>
                <w:sz w:val="18"/>
              </w:rPr>
              <w:t>87.97%</w:t>
            </w:r>
          </w:p>
        </w:tc>
        <w:tc>
          <w:tcPr>
            <w:tcW w:type="dxa" w:w="1872"/>
            <w:shd w:fill="FFFFFF"/>
            <w:tcMar>
              <w:top w:w="80" w:type="dxa"/>
              <w:bottom w:w="80" w:type="dxa"/>
              <w:left w:w="120" w:type="dxa"/>
              <w:right w:w="120" w:type="dxa"/>
            </w:tcMar>
          </w:tcPr>
          <w:p>
            <w:r>
              <w:rPr>
                <w:sz w:val="18"/>
              </w:rPr>
              <w:t>+6.21%</w:t>
            </w:r>
          </w:p>
        </w:tc>
        <w:tc>
          <w:tcPr>
            <w:tcW w:type="dxa" w:w="1872"/>
            <w:shd w:fill="FFFFFF"/>
            <w:tcMar>
              <w:top w:w="80" w:type="dxa"/>
              <w:bottom w:w="80" w:type="dxa"/>
              <w:left w:w="120" w:type="dxa"/>
              <w:right w:w="120" w:type="dxa"/>
            </w:tcMar>
          </w:tcPr>
          <w:p>
            <w:r>
              <w:rPr>
                <w:b/>
                <w:sz w:val="18"/>
              </w:rPr>
              <w:t>Balanced Metric</w:t>
            </w:r>
          </w:p>
        </w:tc>
      </w:tr>
      <w:tr>
        <w:tc>
          <w:tcPr>
            <w:tcW w:type="dxa" w:w="1872"/>
            <w:shd w:fill="F7FAFC"/>
            <w:tcMar>
              <w:top w:w="80" w:type="dxa"/>
              <w:bottom w:w="80" w:type="dxa"/>
              <w:left w:w="120" w:type="dxa"/>
              <w:right w:w="120" w:type="dxa"/>
            </w:tcMar>
          </w:tcPr>
          <w:p>
            <w:r>
              <w:rPr>
                <w:sz w:val="18"/>
              </w:rPr>
              <w:t>ROC-AUC</w:t>
            </w:r>
          </w:p>
        </w:tc>
        <w:tc>
          <w:tcPr>
            <w:tcW w:type="dxa" w:w="1872"/>
            <w:shd w:fill="F7FAFC"/>
            <w:tcMar>
              <w:top w:w="80" w:type="dxa"/>
              <w:bottom w:w="80" w:type="dxa"/>
              <w:left w:w="120" w:type="dxa"/>
              <w:right w:w="120" w:type="dxa"/>
            </w:tcMar>
          </w:tcPr>
          <w:p>
            <w:r>
              <w:rPr>
                <w:b/>
                <w:sz w:val="18"/>
              </w:rPr>
              <w:t>0.9782</w:t>
            </w:r>
          </w:p>
        </w:tc>
        <w:tc>
          <w:tcPr>
            <w:tcW w:type="dxa" w:w="1872"/>
            <w:shd w:fill="F7FAFC"/>
            <w:tcMar>
              <w:top w:w="80" w:type="dxa"/>
              <w:bottom w:w="80" w:type="dxa"/>
              <w:left w:w="120" w:type="dxa"/>
              <w:right w:w="120" w:type="dxa"/>
            </w:tcMar>
          </w:tcPr>
          <w:p>
            <w:r>
              <w:rPr>
                <w:sz w:val="18"/>
              </w:rPr>
              <w:t>0.9486</w:t>
            </w:r>
          </w:p>
        </w:tc>
        <w:tc>
          <w:tcPr>
            <w:tcW w:type="dxa" w:w="1872"/>
            <w:shd w:fill="F7FAFC"/>
            <w:tcMar>
              <w:top w:w="80" w:type="dxa"/>
              <w:bottom w:w="80" w:type="dxa"/>
              <w:left w:w="120" w:type="dxa"/>
              <w:right w:w="120" w:type="dxa"/>
            </w:tcMar>
          </w:tcPr>
          <w:p>
            <w:r>
              <w:rPr>
                <w:sz w:val="18"/>
              </w:rPr>
              <w:t>+0.0296</w:t>
            </w:r>
          </w:p>
        </w:tc>
        <w:tc>
          <w:tcPr>
            <w:tcW w:type="dxa" w:w="1872"/>
            <w:shd w:fill="F7FAFC"/>
            <w:tcMar>
              <w:top w:w="80" w:type="dxa"/>
              <w:bottom w:w="80" w:type="dxa"/>
              <w:left w:w="120" w:type="dxa"/>
              <w:right w:w="120" w:type="dxa"/>
            </w:tcMar>
          </w:tcPr>
          <w:p>
            <w:r>
              <w:rPr>
                <w:b/>
                <w:sz w:val="18"/>
              </w:rPr>
              <w:t>Discriminative Power</w:t>
            </w:r>
          </w:p>
        </w:tc>
      </w:tr>
    </w:tbl>
    <w:p>
      <w:pPr>
        <w:spacing w:after="200"/>
      </w:pPr>
    </w:p>
    <w:p>
      <w:r>
        <w:t>Confusion Matrix Analysis (Test Split N=252):</w:t>
        <w:br/>
        <w:t>• Primary Method (GraphCodeBERT + DFG): True Negatives = 124, False Positives = 5, False Negatives = 9, True Positives = 114. The model achieves an outstanding 96.12% Specificity and 92.68% Sensitivity.</w:t>
        <w:br/>
        <w:t>• Alternative Method (Frozen + RF): True Negatives = 117, False Positives = 12, False Negatives = 17, True Positives = 106.</w:t>
        <w:br/>
        <w:t>Strategic Conclusion: While the alternative method offers lightweight inference for pre-commit linting, the primary method is indispensable for enterprise CI/CD gates where false negatives introduce critical security liabilities.</w:t>
      </w:r>
    </w:p>
    <w:p>
      <w:pPr>
        <w:pStyle w:val="Heading1"/>
      </w:pPr>
      <w:r>
        <w:t>8. Deliverables &amp; Repository Access</w:t>
      </w:r>
    </w:p>
    <w:p>
      <w:r>
        <w:t>All code, data, notebooks, models, diagrams, and documentation have been pushed to GitHub under user Tasik1:</w:t>
        <w:br/>
        <w:t>Repository URL: https://github.com/Tasik1/kbtu-mood-midterm-team2</w:t>
        <w:br/>
        <w:t>Artifacts included: runnable Python scripts, end-to-end Jupyter Notebook, DOCX and PPTX presentations, high-resolution ROC/Confusion Matrix visualizations, and reproducible requirements.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