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400"/>
        <w:gridCol w:w="5450"/>
        <w:gridCol w:w="2500"/>
      </w:tblGrid>
      <w:tr>
        <w:tc>
          <w:tcPr>
            <w:tcW w:type="dxa" w:w="1400"/>
            <w:shd w:fill="0E5A52" w:val="clear"/>
            <w:tcMar>
              <w:top w:type="dxa" w:w="100"/>
              <w:left w:type="dxa" w:w="100"/>
              <w:bottom w:type="dxa" w:w="100"/>
              <w:right w:type="dxa" w:w="100"/>
            </w:tcMar>
            <w:vAlign w:val="center"/>
          </w:tcPr>
          <w:p>
            <w:pPr>
              <w:spacing w:after="40" w:before="0"/>
              <w:jc w:val="center"/>
            </w:pPr>
            <w:r>
              <w:rPr>
                <w:b/>
                <w:bCs/>
                <w:i w:val="false"/>
                <w:iCs w:val="false"/>
                <w:color w:val="FFFFFF"/>
                <w:sz w:val="32"/>
                <w:szCs w:val="32"/>
              </w:rPr>
              <w:t xml:space="preserve">RSH</w:t>
            </w:r>
          </w:p>
        </w:tc>
        <w:tc>
          <w:tcPr>
            <w:tcW w:type="dxa" w:w="5450"/>
            <w:tcMar>
              <w:top w:type="dxa" w:w="100"/>
              <w:left w:type="dxa" w:w="200"/>
              <w:bottom w:type="dxa" w:w="100"/>
              <w:right w:type="dxa" w:w="100"/>
            </w:tcMar>
            <w:vAlign w:val="center"/>
          </w:tcPr>
          <w:p>
            <w:pPr>
              <w:spacing w:after="40" w:before="0"/>
              <w:jc w:val="left"/>
            </w:pPr>
            <w:r>
              <w:rPr>
                <w:b/>
                <w:bCs/>
                <w:i w:val="false"/>
                <w:iCs w:val="false"/>
                <w:color w:val="0E5A52"/>
                <w:sz w:val="28"/>
                <w:szCs w:val="28"/>
              </w:rPr>
              <w:t xml:space="preserve">RS SEJAHTERA HUSADA</w:t>
            </w:r>
          </w:p>
          <w:p>
            <w:pPr>
              <w:spacing w:after="40" w:before="0"/>
              <w:jc w:val="left"/>
            </w:pPr>
            <w:r>
              <w:rPr>
                <w:b w:val="false"/>
                <w:bCs w:val="false"/>
                <w:i w:val="false"/>
                <w:iCs w:val="false"/>
                <w:color w:val="666666"/>
                <w:sz w:val="15"/>
                <w:szCs w:val="15"/>
              </w:rPr>
              <w:t xml:space="preserve">Instalasi Laboratorium &amp; Radiologi</w:t>
            </w:r>
          </w:p>
          <w:p>
            <w:pPr>
              <w:spacing w:after="40" w:before="0"/>
              <w:jc w:val="left"/>
            </w:pPr>
            <w:r>
              <w:rPr>
                <w:b w:val="false"/>
                <w:bCs w:val="false"/>
                <w:i w:val="false"/>
                <w:iCs w:val="false"/>
                <w:color w:val="666666"/>
                <w:sz w:val="14"/>
                <w:szCs w:val="14"/>
              </w:rPr>
              <w:t xml:space="preserve">Jl. Ahmad Yani No. 12, Tasikmalaya, Jawa Barat</w:t>
            </w:r>
          </w:p>
        </w:tc>
        <w:tc>
          <w:tcPr>
            <w:tcW w:type="dxa" w:w="2500"/>
            <w:tcMar>
              <w:top w:type="dxa" w:w="100"/>
              <w:left w:type="dxa" w:w="100"/>
              <w:bottom w:type="dxa" w:w="100"/>
              <w:right w:type="dxa" w:w="100"/>
            </w:tcMar>
            <w:vAlign w:val="center"/>
          </w:tcPr>
          <w:p>
            <w:pPr>
              <w:spacing w:after="40" w:before="0"/>
              <w:jc w:val="right"/>
            </w:pPr>
            <w:r>
              <w:rPr>
                <w:b w:val="false"/>
                <w:bCs w:val="false"/>
                <w:i w:val="false"/>
                <w:iCs w:val="false"/>
                <w:color w:val="666666"/>
                <w:sz w:val="14"/>
                <w:szCs w:val="14"/>
              </w:rPr>
              <w:t xml:space="preserve">No. Dokumen</w:t>
            </w:r>
          </w:p>
          <w:p>
            <w:pPr>
              <w:spacing w:after="40" w:before="0"/>
              <w:jc w:val="right"/>
            </w:pPr>
            <w:r>
              <w:rPr>
                <w:b/>
                <w:bCs/>
                <w:i w:val="false"/>
                <w:iCs w:val="false"/>
                <w:color w:val="000000"/>
                <w:sz w:val="15"/>
                <w:szCs w:val="15"/>
              </w:rPr>
              <w:t xml:space="preserve">LAB-RAD/2026/07/0913</w:t>
            </w:r>
          </w:p>
        </w:tc>
      </w:tr>
    </w:tbl>
    <w:p>
      <w:pPr>
        <w:pBdr>
          <w:bottom w:val="single" w:color="0E5A52" w:sz="12" w:space="6"/>
        </w:pBdr>
        <w:spacing w:after="40" w:before="200"/>
        <w:jc w:val="left"/>
      </w:pPr>
    </w:p>
    <w:p>
      <w:pPr>
        <w:spacing w:after="40" w:before="260"/>
        <w:jc w:val="center"/>
      </w:pPr>
      <w:r>
        <w:rPr>
          <w:b/>
          <w:bCs/>
          <w:i w:val="false"/>
          <w:iCs w:val="false"/>
          <w:color w:val="0E5A52"/>
          <w:sz w:val="24"/>
          <w:szCs w:val="24"/>
        </w:rPr>
        <w:t xml:space="preserve">HASIL PEMERIKSAAN PENUNJANG</w:t>
      </w:r>
    </w:p>
    <w:p>
      <w:pPr>
        <w:spacing w:after="200" w:before="0"/>
        <w:jc w:val="center"/>
      </w:pPr>
      <w:r>
        <w:rPr>
          <w:b w:val="false"/>
          <w:bCs w:val="false"/>
          <w:i/>
          <w:iCs/>
          <w:color w:val="666666"/>
          <w:sz w:val="16"/>
          <w:szCs w:val="16"/>
        </w:rPr>
        <w:t xml:space="preserve">Laboratorium — USG Abdomen — MRI Kepala</w:t>
      </w:r>
    </w:p>
    <w:tbl>
      <w:tblPr>
        <w:tblW w:type="dxa" w:w="9350"/>
        <w:tblBorders>
          <w:top w:val="none"/>
          <w:left w:val="none"/>
          <w:bottom w:val="none"/>
          <w:right w:val="none"/>
          <w:insideH w:val="none"/>
          <w:insideV w:val="none"/>
        </w:tblBorders>
      </w:tblPr>
      <w:tblGrid>
        <w:gridCol w:w="1800"/>
        <w:gridCol w:w="7550"/>
      </w:tblGrid>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Nama Pasien</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Budi Santoso</w:t>
            </w:r>
          </w:p>
        </w:tc>
      </w:tr>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No. Rekam Medis</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RM-00219845</w:t>
            </w:r>
          </w:p>
        </w:tc>
      </w:tr>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Tanggal Lahir / Usia</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14 Mei 1985 (41 tahun)</w:t>
            </w:r>
          </w:p>
        </w:tc>
      </w:tr>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Dokter Pengirim</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dr. Andini Prakasa, Sp.PD</w:t>
            </w:r>
          </w:p>
        </w:tc>
      </w:tr>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Diagnosis Klinis</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Gastritis Akut (ICD-10: K29.0)</w:t>
            </w:r>
          </w:p>
        </w:tc>
      </w:tr>
      <w:tr>
        <w:tc>
          <w:tcPr>
            <w:tcW w:type="dxa" w:w="1800"/>
            <w:tcBorders>
              <w:top w:val="none"/>
              <w:left w:val="none"/>
              <w:bottom w:val="none"/>
              <w:right w:val="none"/>
            </w:tcBorders>
            <w:tcMar>
              <w:top w:type="dxa" w:w="25"/>
              <w:left w:type="dxa" w:w="0"/>
              <w:bottom w:type="dxa" w:w="25"/>
              <w:right w:type="dxa" w:w="0"/>
            </w:tcMar>
          </w:tcPr>
          <w:p>
            <w:pPr>
              <w:spacing w:after="40" w:before="0"/>
              <w:jc w:val="left"/>
            </w:pPr>
            <w:r>
              <w:rPr>
                <w:b w:val="false"/>
                <w:bCs w:val="false"/>
                <w:i w:val="false"/>
                <w:iCs w:val="false"/>
                <w:color w:val="666666"/>
                <w:sz w:val="16"/>
                <w:szCs w:val="16"/>
              </w:rPr>
              <w:t xml:space="preserve">Tanggal Pemeriksaan</w:t>
            </w:r>
          </w:p>
        </w:tc>
        <w:tc>
          <w:tcPr>
            <w:tcW w:type="dxa" w:w="7550"/>
            <w:tcBorders>
              <w:top w:val="none"/>
              <w:left w:val="none"/>
              <w:bottom w:val="none"/>
              <w:right w:val="none"/>
            </w:tcBorders>
            <w:tcMar>
              <w:top w:type="dxa" w:w="25"/>
              <w:left w:type="dxa" w:w="0"/>
              <w:bottom w:type="dxa" w:w="25"/>
              <w:right w:type="dxa" w:w="0"/>
            </w:tcMar>
          </w:tcPr>
          <w:p>
            <w:pPr>
              <w:spacing w:after="40" w:before="0"/>
              <w:jc w:val="left"/>
            </w:pPr>
            <w:r>
              <w:rPr>
                <w:b/>
                <w:bCs/>
                <w:i w:val="false"/>
                <w:iCs w:val="false"/>
                <w:color w:val="000000"/>
                <w:sz w:val="16"/>
                <w:szCs w:val="16"/>
              </w:rPr>
              <w:t xml:space="preserve">11 Juli 2026</w:t>
            </w:r>
          </w:p>
        </w:tc>
      </w:tr>
    </w:tbl>
    <w:p>
      <w:pPr>
        <w:shd w:fill="0E5A52" w:val="clear"/>
        <w:spacing w:after="120" w:before="260"/>
      </w:pPr>
      <w:r>
        <w:rPr>
          <w:b/>
          <w:bCs/>
          <w:i w:val="false"/>
          <w:iCs w:val="false"/>
          <w:color w:val="FFFFFF"/>
          <w:sz w:val="19"/>
          <w:szCs w:val="19"/>
        </w:rPr>
        <w:t xml:space="preserve">  A. HASIL PEMERIKSAAN LABORATORIUM — DARAH LENGKAP</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400"/>
        <w:gridCol w:w="2600"/>
        <w:gridCol w:w="1300"/>
        <w:gridCol w:w="1450"/>
      </w:tblGrid>
      <w:tr>
        <w:trPr>
          <w:tblHeader/>
        </w:trPr>
        <w:tc>
          <w:tcPr>
            <w:tcW w:type="dxa" w:w="2600"/>
            <w:shd w:fill="0E5A52" w:val="clear"/>
            <w:tcMar>
              <w:top w:type="dxa" w:w="50"/>
              <w:left w:type="dxa" w:w="80"/>
              <w:bottom w:type="dxa" w:w="50"/>
              <w:right w:type="dxa" w:w="80"/>
            </w:tcMar>
            <w:vAlign w:val="center"/>
          </w:tcPr>
          <w:p>
            <w:pPr>
              <w:spacing w:after="40" w:before="0"/>
              <w:jc w:val="left"/>
            </w:pPr>
            <w:r>
              <w:rPr>
                <w:b/>
                <w:bCs/>
                <w:i w:val="false"/>
                <w:iCs w:val="false"/>
                <w:color w:val="FFFFFF"/>
                <w:sz w:val="15"/>
                <w:szCs w:val="15"/>
              </w:rPr>
              <w:t xml:space="preserve">Parameter</w:t>
            </w:r>
          </w:p>
        </w:tc>
        <w:tc>
          <w:tcPr>
            <w:tcW w:type="dxa" w:w="1400"/>
            <w:shd w:fill="0E5A52" w:val="clear"/>
            <w:tcMar>
              <w:top w:type="dxa" w:w="50"/>
              <w:left w:type="dxa" w:w="80"/>
              <w:bottom w:type="dxa" w:w="50"/>
              <w:right w:type="dxa" w:w="80"/>
            </w:tcMar>
            <w:vAlign w:val="center"/>
          </w:tcPr>
          <w:p>
            <w:pPr>
              <w:spacing w:after="40" w:before="0"/>
              <w:jc w:val="center"/>
            </w:pPr>
            <w:r>
              <w:rPr>
                <w:b/>
                <w:bCs/>
                <w:i w:val="false"/>
                <w:iCs w:val="false"/>
                <w:color w:val="FFFFFF"/>
                <w:sz w:val="15"/>
                <w:szCs w:val="15"/>
              </w:rPr>
              <w:t xml:space="preserve">Hasil</w:t>
            </w:r>
          </w:p>
        </w:tc>
        <w:tc>
          <w:tcPr>
            <w:tcW w:type="dxa" w:w="2600"/>
            <w:shd w:fill="0E5A52" w:val="clear"/>
            <w:tcMar>
              <w:top w:type="dxa" w:w="50"/>
              <w:left w:type="dxa" w:w="80"/>
              <w:bottom w:type="dxa" w:w="50"/>
              <w:right w:type="dxa" w:w="80"/>
            </w:tcMar>
            <w:vAlign w:val="center"/>
          </w:tcPr>
          <w:p>
            <w:pPr>
              <w:spacing w:after="40" w:before="0"/>
              <w:jc w:val="center"/>
            </w:pPr>
            <w:r>
              <w:rPr>
                <w:b/>
                <w:bCs/>
                <w:i w:val="false"/>
                <w:iCs w:val="false"/>
                <w:color w:val="FFFFFF"/>
                <w:sz w:val="15"/>
                <w:szCs w:val="15"/>
              </w:rPr>
              <w:t xml:space="preserve">Nilai Rujukan</w:t>
            </w:r>
          </w:p>
        </w:tc>
        <w:tc>
          <w:tcPr>
            <w:tcW w:type="dxa" w:w="1300"/>
            <w:shd w:fill="0E5A52" w:val="clear"/>
            <w:tcMar>
              <w:top w:type="dxa" w:w="50"/>
              <w:left w:type="dxa" w:w="80"/>
              <w:bottom w:type="dxa" w:w="50"/>
              <w:right w:type="dxa" w:w="80"/>
            </w:tcMar>
            <w:vAlign w:val="center"/>
          </w:tcPr>
          <w:p>
            <w:pPr>
              <w:spacing w:after="40" w:before="0"/>
              <w:jc w:val="center"/>
            </w:pPr>
            <w:r>
              <w:rPr>
                <w:b/>
                <w:bCs/>
                <w:i w:val="false"/>
                <w:iCs w:val="false"/>
                <w:color w:val="FFFFFF"/>
                <w:sz w:val="15"/>
                <w:szCs w:val="15"/>
              </w:rPr>
              <w:t xml:space="preserve">Satuan</w:t>
            </w:r>
          </w:p>
        </w:tc>
        <w:tc>
          <w:tcPr>
            <w:tcW w:type="dxa" w:w="1450"/>
            <w:shd w:fill="0E5A52" w:val="clear"/>
            <w:tcMar>
              <w:top w:type="dxa" w:w="50"/>
              <w:left w:type="dxa" w:w="80"/>
              <w:bottom w:type="dxa" w:w="50"/>
              <w:right w:type="dxa" w:w="80"/>
            </w:tcMar>
            <w:vAlign w:val="center"/>
          </w:tcPr>
          <w:p>
            <w:pPr>
              <w:spacing w:after="40" w:before="0"/>
              <w:jc w:val="center"/>
            </w:pPr>
            <w:r>
              <w:rPr>
                <w:b/>
                <w:bCs/>
                <w:i w:val="false"/>
                <w:iCs w:val="false"/>
                <w:color w:val="FFFFFF"/>
                <w:sz w:val="15"/>
                <w:szCs w:val="15"/>
              </w:rPr>
              <w:t xml:space="preserve">Ket.</w:t>
            </w:r>
          </w:p>
        </w:tc>
      </w:tr>
      <w:tr>
        <w:tc>
          <w:tcPr>
            <w:tcW w:type="dxa" w:w="2600"/>
            <w:shd w:fill="FFFFFF"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Hemoglobin</w:t>
            </w:r>
          </w:p>
        </w:tc>
        <w:tc>
          <w:tcPr>
            <w:tcW w:type="dxa" w:w="14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13.8</w:t>
            </w:r>
          </w:p>
        </w:tc>
        <w:tc>
          <w:tcPr>
            <w:tcW w:type="dxa" w:w="26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13.0 – 17.0</w:t>
            </w:r>
          </w:p>
        </w:tc>
        <w:tc>
          <w:tcPr>
            <w:tcW w:type="dxa" w:w="13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g/dL</w:t>
            </w:r>
          </w:p>
        </w:tc>
        <w:tc>
          <w:tcPr>
            <w:tcW w:type="dxa" w:w="145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r>
        <w:tc>
          <w:tcPr>
            <w:tcW w:type="dxa" w:w="2600"/>
            <w:shd w:fill="E8F2F0"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Leukosit</w:t>
            </w:r>
          </w:p>
        </w:tc>
        <w:tc>
          <w:tcPr>
            <w:tcW w:type="dxa" w:w="14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9.200</w:t>
            </w:r>
          </w:p>
        </w:tc>
        <w:tc>
          <w:tcPr>
            <w:tcW w:type="dxa" w:w="26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4.500 – 11.000</w:t>
            </w:r>
          </w:p>
        </w:tc>
        <w:tc>
          <w:tcPr>
            <w:tcW w:type="dxa" w:w="13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/µL</w:t>
            </w:r>
          </w:p>
        </w:tc>
        <w:tc>
          <w:tcPr>
            <w:tcW w:type="dxa" w:w="145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r>
        <w:tc>
          <w:tcPr>
            <w:tcW w:type="dxa" w:w="2600"/>
            <w:shd w:fill="FFFFFF"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Trombosit</w:t>
            </w:r>
          </w:p>
        </w:tc>
        <w:tc>
          <w:tcPr>
            <w:tcW w:type="dxa" w:w="14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268.000</w:t>
            </w:r>
          </w:p>
        </w:tc>
        <w:tc>
          <w:tcPr>
            <w:tcW w:type="dxa" w:w="26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150.000 – 450.000</w:t>
            </w:r>
          </w:p>
        </w:tc>
        <w:tc>
          <w:tcPr>
            <w:tcW w:type="dxa" w:w="13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/µL</w:t>
            </w:r>
          </w:p>
        </w:tc>
        <w:tc>
          <w:tcPr>
            <w:tcW w:type="dxa" w:w="145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r>
        <w:tc>
          <w:tcPr>
            <w:tcW w:type="dxa" w:w="2600"/>
            <w:shd w:fill="E8F2F0"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Hematokrit</w:t>
            </w:r>
          </w:p>
        </w:tc>
        <w:tc>
          <w:tcPr>
            <w:tcW w:type="dxa" w:w="14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41</w:t>
            </w:r>
          </w:p>
        </w:tc>
        <w:tc>
          <w:tcPr>
            <w:tcW w:type="dxa" w:w="26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40 – 52</w:t>
            </w:r>
          </w:p>
        </w:tc>
        <w:tc>
          <w:tcPr>
            <w:tcW w:type="dxa" w:w="13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w:t>
            </w:r>
          </w:p>
        </w:tc>
        <w:tc>
          <w:tcPr>
            <w:tcW w:type="dxa" w:w="145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r>
        <w:tc>
          <w:tcPr>
            <w:tcW w:type="dxa" w:w="2600"/>
            <w:shd w:fill="FFFFFF"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Laju Endap Darah (LED)</w:t>
            </w:r>
          </w:p>
        </w:tc>
        <w:tc>
          <w:tcPr>
            <w:tcW w:type="dxa" w:w="14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12</w:t>
            </w:r>
          </w:p>
        </w:tc>
        <w:tc>
          <w:tcPr>
            <w:tcW w:type="dxa" w:w="26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0 – 15</w:t>
            </w:r>
          </w:p>
        </w:tc>
        <w:tc>
          <w:tcPr>
            <w:tcW w:type="dxa" w:w="130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mm/jam</w:t>
            </w:r>
          </w:p>
        </w:tc>
        <w:tc>
          <w:tcPr>
            <w:tcW w:type="dxa" w:w="1450"/>
            <w:shd w:fill="FFFFFF"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r>
        <w:tc>
          <w:tcPr>
            <w:tcW w:type="dxa" w:w="2600"/>
            <w:shd w:fill="E8F2F0" w:val="clear"/>
            <w:tcMar>
              <w:top w:type="dxa" w:w="40"/>
              <w:left w:type="dxa" w:w="80"/>
              <w:bottom w:type="dxa" w:w="40"/>
              <w:right w:type="dxa" w:w="80"/>
            </w:tcMar>
            <w:vAlign w:val="center"/>
          </w:tcPr>
          <w:p>
            <w:pPr>
              <w:spacing w:after="40" w:before="0"/>
              <w:jc w:val="left"/>
            </w:pPr>
            <w:r>
              <w:rPr>
                <w:b w:val="false"/>
                <w:bCs w:val="false"/>
                <w:i w:val="false"/>
                <w:iCs w:val="false"/>
                <w:color w:val="000000"/>
                <w:sz w:val="15"/>
                <w:szCs w:val="15"/>
              </w:rPr>
              <w:t xml:space="preserve">Gula Darah Sewaktu</w:t>
            </w:r>
          </w:p>
        </w:tc>
        <w:tc>
          <w:tcPr>
            <w:tcW w:type="dxa" w:w="14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98</w:t>
            </w:r>
          </w:p>
        </w:tc>
        <w:tc>
          <w:tcPr>
            <w:tcW w:type="dxa" w:w="26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70 – 140</w:t>
            </w:r>
          </w:p>
        </w:tc>
        <w:tc>
          <w:tcPr>
            <w:tcW w:type="dxa" w:w="130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mg/dL</w:t>
            </w:r>
          </w:p>
        </w:tc>
        <w:tc>
          <w:tcPr>
            <w:tcW w:type="dxa" w:w="1450"/>
            <w:shd w:fill="E8F2F0" w:val="clear"/>
            <w:tcMar>
              <w:top w:type="dxa" w:w="40"/>
              <w:left w:type="dxa" w:w="80"/>
              <w:bottom w:type="dxa" w:w="40"/>
              <w:right w:type="dxa" w:w="80"/>
            </w:tcMar>
            <w:vAlign w:val="center"/>
          </w:tcPr>
          <w:p>
            <w:pPr>
              <w:spacing w:after="40" w:before="0"/>
              <w:jc w:val="center"/>
            </w:pPr>
            <w:r>
              <w:rPr>
                <w:b w:val="false"/>
                <w:bCs w:val="false"/>
                <w:i w:val="false"/>
                <w:iCs w:val="false"/>
                <w:color w:val="000000"/>
                <w:sz w:val="15"/>
                <w:szCs w:val="15"/>
              </w:rPr>
              <w:t xml:space="preserve">Normal</w:t>
            </w:r>
          </w:p>
        </w:tc>
      </w:tr>
    </w:tbl>
    <w:p>
      <w:pPr>
        <w:spacing w:after="40" w:before="120"/>
        <w:jc w:val="left"/>
      </w:pPr>
      <w:r>
        <w:rPr>
          <w:b/>
          <w:bCs/>
          <w:i w:val="false"/>
          <w:iCs w:val="false"/>
          <w:color w:val="000000"/>
          <w:sz w:val="16"/>
          <w:szCs w:val="16"/>
        </w:rPr>
        <w:t xml:space="preserve">Kesimpulan: </w:t>
      </w:r>
      <w:r>
        <w:rPr>
          <w:b w:val="false"/>
          <w:bCs w:val="false"/>
          <w:i w:val="false"/>
          <w:iCs w:val="false"/>
          <w:color w:val="000000"/>
          <w:sz w:val="16"/>
          <w:szCs w:val="16"/>
        </w:rPr>
        <w:t xml:space="preserve">Seluruh parameter dalam batas normal. Tidak ditemukan tanda infeksi sistemik maupun anemia.</w:t>
      </w:r>
    </w:p>
    <w:p>
      <w:pPr>
        <w:shd w:fill="0E5A52" w:val="clear"/>
        <w:spacing w:after="120" w:before="260"/>
      </w:pPr>
      <w:r>
        <w:rPr>
          <w:b/>
          <w:bCs/>
          <w:i w:val="false"/>
          <w:iCs w:val="false"/>
          <w:color w:val="FFFFFF"/>
          <w:sz w:val="19"/>
          <w:szCs w:val="19"/>
        </w:rPr>
        <w:t xml:space="preserve">  B. HASIL USG ABDOMEN</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tcMar>
              <w:top w:type="dxa" w:w="150"/>
              <w:left w:type="dxa" w:w="150"/>
              <w:bottom w:type="dxa" w:w="150"/>
              <w:right w:type="dxa" w:w="150"/>
            </w:tcMar>
          </w:tcPr>
          <w:p>
            <w:pPr>
              <w:spacing w:after="40" w:before="0"/>
              <w:jc w:val="left"/>
            </w:pPr>
            <w:r>
              <w:rPr>
                <w:b/>
                <w:bCs/>
                <w:i w:val="false"/>
                <w:iCs w:val="false"/>
                <w:color w:val="000000"/>
                <w:sz w:val="16"/>
                <w:szCs w:val="16"/>
              </w:rPr>
              <w:t xml:space="preserve">Klinis: </w:t>
            </w:r>
            <w:r>
              <w:rPr>
                <w:b w:val="false"/>
                <w:bCs w:val="false"/>
                <w:i w:val="false"/>
                <w:iCs w:val="false"/>
                <w:color w:val="000000"/>
                <w:sz w:val="16"/>
                <w:szCs w:val="16"/>
              </w:rPr>
              <w:t xml:space="preserve">Nyeri ulu hati, mual</w:t>
            </w:r>
          </w:p>
          <w:p>
            <w:pPr>
              <w:spacing w:after="40" w:before="80"/>
              <w:jc w:val="left"/>
            </w:pPr>
            <w:r>
              <w:rPr>
                <w:b/>
                <w:bCs/>
                <w:i w:val="false"/>
                <w:iCs w:val="false"/>
                <w:color w:val="000000"/>
                <w:sz w:val="16"/>
                <w:szCs w:val="16"/>
              </w:rPr>
              <w:t xml:space="preserve">Temuan: </w:t>
            </w:r>
            <w:r>
              <w:rPr>
                <w:b w:val="false"/>
                <w:bCs w:val="false"/>
                <w:i w:val="false"/>
                <w:iCs w:val="false"/>
                <w:color w:val="000000"/>
                <w:sz w:val="16"/>
                <w:szCs w:val="16"/>
              </w:rPr>
              <w:t xml:space="preserve">Hepar, kandung empedu, pankreas, limpa, dan kedua ginjal dalam batas normal. Tidak tampak massa, batu, maupun cairan bebas intra-abdomen. Gambaran sesuai dengan proses inflamasi ringan pada mukosa lambung.</w:t>
            </w:r>
          </w:p>
          <w:p>
            <w:pPr>
              <w:spacing w:after="40" w:before="80"/>
              <w:jc w:val="left"/>
            </w:pPr>
            <w:r>
              <w:rPr>
                <w:b/>
                <w:bCs/>
                <w:i w:val="false"/>
                <w:iCs w:val="false"/>
                <w:color w:val="0E5A52"/>
                <w:sz w:val="16"/>
                <w:szCs w:val="16"/>
              </w:rPr>
              <w:t xml:space="preserve">Kesan: </w:t>
            </w:r>
            <w:r>
              <w:rPr>
                <w:b w:val="false"/>
                <w:bCs w:val="false"/>
                <w:i w:val="false"/>
                <w:iCs w:val="false"/>
                <w:color w:val="0E5A52"/>
                <w:sz w:val="16"/>
                <w:szCs w:val="16"/>
              </w:rPr>
              <w:t xml:space="preserve">Tidak tampak kelainan struktural organ intra-abdomen. Sesuai gambaran gastritis.</w:t>
            </w:r>
          </w:p>
        </w:tc>
      </w:tr>
    </w:tbl>
    <w:p>
      <w:pPr>
        <w:shd w:fill="B3261E" w:val="clear"/>
        <w:spacing w:after="120" w:before="260"/>
      </w:pPr>
      <w:r>
        <w:rPr>
          <w:b/>
          <w:bCs/>
          <w:i w:val="false"/>
          <w:iCs w:val="false"/>
          <w:color w:val="FFFFFF"/>
          <w:sz w:val="19"/>
          <w:szCs w:val="19"/>
        </w:rPr>
        <w:t xml:space="preserve">  C. HASIL MRI KEPALA (BRAIN, WITHOUT CONTRAST)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tcMar>
              <w:top w:type="dxa" w:w="150"/>
              <w:left w:type="dxa" w:w="150"/>
              <w:bottom w:type="dxa" w:w="150"/>
              <w:right w:type="dxa" w:w="150"/>
            </w:tcMar>
          </w:tcPr>
          <w:p>
            <w:pPr>
              <w:spacing w:after="40" w:before="0"/>
              <w:jc w:val="left"/>
            </w:pPr>
            <w:r>
              <w:rPr>
                <w:b/>
                <w:bCs/>
                <w:i w:val="false"/>
                <w:iCs w:val="false"/>
                <w:color w:val="000000"/>
                <w:sz w:val="16"/>
                <w:szCs w:val="16"/>
              </w:rPr>
              <w:t xml:space="preserve">Indikasi Pemeriksaan: </w:t>
            </w:r>
            <w:r>
              <w:rPr>
                <w:b w:val="false"/>
                <w:bCs w:val="false"/>
                <w:i w:val="false"/>
                <w:iCs w:val="false"/>
                <w:color w:val="000000"/>
                <w:sz w:val="16"/>
                <w:szCs w:val="16"/>
              </w:rPr>
              <w:t xml:space="preserve">Permintaan keluarga pasien; tidak tercatat keluhan neurologis (nyeri kepala hebat, defisit motorik/sensorik, kejang, atau penurunan kesadaran) pada rekam medis rawat inap.</w:t>
            </w:r>
          </w:p>
          <w:p>
            <w:pPr>
              <w:spacing w:after="40" w:before="80"/>
              <w:jc w:val="left"/>
            </w:pPr>
            <w:r>
              <w:rPr>
                <w:b/>
                <w:bCs/>
                <w:i w:val="false"/>
                <w:iCs w:val="false"/>
                <w:color w:val="000000"/>
                <w:sz w:val="16"/>
                <w:szCs w:val="16"/>
              </w:rPr>
              <w:t xml:space="preserve">Teknik: </w:t>
            </w:r>
            <w:r>
              <w:rPr>
                <w:b w:val="false"/>
                <w:bCs w:val="false"/>
                <w:i w:val="false"/>
                <w:iCs w:val="false"/>
                <w:color w:val="000000"/>
                <w:sz w:val="16"/>
                <w:szCs w:val="16"/>
              </w:rPr>
              <w:t xml:space="preserve">MRI kepala potongan axial, sagital, coronal, sekuens T1W, T2W, FLAIR, DWI — tanpa kontras.</w:t>
            </w:r>
          </w:p>
          <w:p>
            <w:pPr>
              <w:spacing w:after="40" w:before="80"/>
              <w:jc w:val="left"/>
            </w:pPr>
            <w:r>
              <w:rPr>
                <w:b/>
                <w:bCs/>
                <w:i w:val="false"/>
                <w:iCs w:val="false"/>
                <w:color w:val="000000"/>
                <w:sz w:val="16"/>
                <w:szCs w:val="16"/>
              </w:rPr>
              <w:t xml:space="preserve">Temuan: </w:t>
            </w:r>
            <w:r>
              <w:rPr>
                <w:b w:val="false"/>
                <w:bCs w:val="false"/>
                <w:i w:val="false"/>
                <w:iCs w:val="false"/>
                <w:color w:val="000000"/>
                <w:sz w:val="16"/>
                <w:szCs w:val="16"/>
              </w:rPr>
              <w:t xml:space="preserve">Tidak tampak lesi fokal, perdarahan, infark akut, maupun massa intrakranial. Sistem ventrikel dan sulci dalam batas normal sesuai usia. Tidak tampak midline shift.</w:t>
            </w:r>
          </w:p>
          <w:p>
            <w:pPr>
              <w:spacing w:after="40" w:before="80"/>
              <w:jc w:val="left"/>
            </w:pPr>
            <w:r>
              <w:rPr>
                <w:b/>
                <w:bCs/>
                <w:i w:val="false"/>
                <w:iCs w:val="false"/>
                <w:color w:val="B3261E"/>
                <w:sz w:val="16"/>
                <w:szCs w:val="16"/>
              </w:rPr>
              <w:t xml:space="preserve">Kesan: </w:t>
            </w:r>
            <w:r>
              <w:rPr>
                <w:b w:val="false"/>
                <w:bCs w:val="false"/>
                <w:i w:val="false"/>
                <w:iCs w:val="false"/>
                <w:color w:val="B3261E"/>
                <w:sz w:val="16"/>
                <w:szCs w:val="16"/>
              </w:rPr>
              <w:t xml:space="preserve">Studi MRI kepala dalam batas normal, tanpa kelainan struktural bermakna. Tidak ditemukan korelasi radiologis dengan keluhan gastrointestinal pasien.</w:t>
            </w:r>
          </w:p>
        </w:tc>
      </w:tr>
    </w:tbl>
    <w:p>
      <w:pPr>
        <w:spacing w:after="40" w:before="200"/>
        <w:jc w:val="left"/>
      </w:pPr>
      <w:r>
        <w:rPr>
          <w:b/>
          <w:bCs/>
          <w:i w:val="false"/>
          <w:iCs w:val="false"/>
          <w:color w:val="000000"/>
          <w:sz w:val="15"/>
          <w:szCs w:val="15"/>
        </w:rPr>
        <w:t xml:space="preserve">Catatan Radiolog: </w:t>
      </w:r>
      <w:r>
        <w:rPr>
          <w:b w:val="false"/>
          <w:bCs w:val="false"/>
          <w:i/>
          <w:iCs/>
          <w:color w:val="666666"/>
          <w:sz w:val="15"/>
          <w:szCs w:val="15"/>
        </w:rPr>
        <w:t xml:space="preserve">Pemeriksaan MRI kepala tidak menunjukkan temuan patologis dan secara klinis tidak berkorelasi dengan diagnosis utama pasien (Gastritis Akut). Pertimbangkan evaluasi kebutuhan medis (medical necessity) untuk pemeriksaan penunjang lanjutan sejenis di kemudian hari.</w:t>
      </w:r>
    </w:p>
    <w:p>
      <w:pPr>
        <w:spacing w:after="40" w:before="300"/>
        <w:jc w:val="right"/>
      </w:pPr>
      <w:r>
        <w:rPr>
          <w:b w:val="false"/>
          <w:bCs w:val="false"/>
          <w:i w:val="false"/>
          <w:iCs w:val="false"/>
          <w:color w:val="666666"/>
          <w:sz w:val="15"/>
          <w:szCs w:val="15"/>
        </w:rPr>
        <w:t xml:space="preserve">Tasikmalaya, 13 Juli 2026</w:t>
      </w:r>
    </w:p>
    <w:p>
      <w:pPr>
        <w:spacing w:after="40" w:before="500"/>
        <w:jc w:val="right"/>
      </w:pPr>
      <w:r>
        <w:rPr>
          <w:b w:val="false"/>
          <w:bCs w:val="false"/>
          <w:i w:val="false"/>
          <w:iCs w:val="false"/>
          <w:color w:val="000000"/>
          <w:sz w:val="18"/>
          <w:szCs w:val="18"/>
        </w:rPr>
        <w:t xml:space="preserve">_______________________________</w:t>
      </w:r>
    </w:p>
    <w:p>
      <w:pPr>
        <w:spacing w:after="40" w:before="0"/>
        <w:jc w:val="right"/>
      </w:pPr>
      <w:r>
        <w:rPr>
          <w:b/>
          <w:bCs/>
          <w:i w:val="false"/>
          <w:iCs w:val="false"/>
          <w:color w:val="000000"/>
          <w:sz w:val="16"/>
          <w:szCs w:val="16"/>
        </w:rPr>
        <w:t xml:space="preserve">( dr. Farhan Wibowo, Sp.Rad )</w:t>
      </w:r>
    </w:p>
    <w:p>
      <w:pPr>
        <w:spacing w:after="40" w:before="0"/>
        <w:jc w:val="right"/>
      </w:pPr>
      <w:r>
        <w:rPr>
          <w:b w:val="false"/>
          <w:bCs w:val="false"/>
          <w:i w:val="false"/>
          <w:iCs w:val="false"/>
          <w:color w:val="666666"/>
          <w:sz w:val="14"/>
          <w:szCs w:val="14"/>
        </w:rPr>
        <w:t xml:space="preserve">Dokter Spesialis Radiologi</w:t>
      </w:r>
    </w:p>
    <w:p>
      <w:pPr>
        <w:pBdr>
          <w:top w:val="single" w:color="CCCCCC" w:sz="4" w:space="8"/>
        </w:pBdr>
        <w:spacing w:after="40" w:before="500"/>
        <w:jc w:val="left"/>
      </w:pPr>
      <w:r>
        <w:rPr>
          <w:b w:val="false"/>
          <w:bCs w:val="false"/>
          <w:i/>
          <w:iCs/>
          <w:color w:val="666666"/>
          <w:sz w:val="13"/>
          <w:szCs w:val="13"/>
        </w:rPr>
        <w:t xml:space="preserve">Dokumen ini adalah data DUMMY untuk keperluan pengujian sistem (MVP hackathon) — bukan hasil pemeriksaan asli, bukan data pasien/rumah sakit nyata. Dirancang sebagai test case eksplisit: hasil lab &amp; USG mendukung diagnosis Gastritis, sementara hasil MRI Kepala normal dan tidak berkorelasi klinis — dipakai untuk menguji apakah Fuzzy AHP Engine ClariFi menurunkan skor Medical Necessity secara tepat.</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2026-07-23T11:35:52.757Z</dcterms:created>
  <dcterms:modified xsi:type="dcterms:W3CDTF">2026-07-23T11:35:52.758Z</dcterms:modified>
</cp:coreProperties>
</file>

<file path=docProps/custom.xml><?xml version="1.0" encoding="utf-8"?>
<Properties xmlns="http://schemas.openxmlformats.org/officeDocument/2006/custom-properties" xmlns:vt="http://schemas.openxmlformats.org/officeDocument/2006/docPropsVTypes"/>
</file>