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Normal"/>
        <w:keepNext/>
      </w:pPr>
      <w:r>
        <w:rPr>
          <w:b/>
          <w:sz w:val="31"/>
        </w:rPr>
        <w:t>Contents</w:t>
      </w:r>
    </w:p>
    <w:p>
      <w:pPr>
        <w:pStyle w:val="MDNormal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Update this field in Word</w:t>
      </w:r>
      <w:r>
        <w:fldChar w:fldCharType="end"/>
      </w:r>
    </w:p>
    <w:p>
      <w:pPr>
        <w:pStyle w:val="MDNormal"/>
      </w:pPr>
    </w:p>
    <w:p>
      <w:bookmarkStart w:id="1" w:name="Phase_3_Production_Hardening"/>
      <w:pPr>
        <w:pStyle w:val="MDHeading1"/>
      </w:pPr>
      <w:r>
        <w:rPr>
          <w:rFonts w:ascii="Aptos" w:hAnsi="Aptos"/>
          <w:b w:val="0"/>
          <w:i w:val="0"/>
          <w:strike w:val="0"/>
        </w:rPr>
        <w:t>Phase 3 Production Hardening</w:t>
      </w:r>
      <w:bookmarkEnd w:id="1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This document exercises themes, Unicode, RTL, native equations, SVG conversion, and wide-table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landscape sections while preserving native Word semantics.</w:t>
      </w:r>
    </w:p>
    <w:p>
      <w:bookmarkStart w:id="2" w:name="Unicode_and_RTL"/>
      <w:pPr>
        <w:pStyle w:val="MDHeading2"/>
      </w:pPr>
      <w:r>
        <w:rPr>
          <w:rFonts w:ascii="Aptos" w:hAnsi="Aptos"/>
          <w:b w:val="0"/>
          <w:i w:val="0"/>
          <w:strike w:val="0"/>
        </w:rPr>
        <w:t>Unicode and RTL</w:t>
      </w:r>
      <w:bookmarkEnd w:id="2"/>
    </w:p>
    <w:p>
      <w:pPr>
        <w:pStyle w:val="MDNormal"/>
      </w:pPr>
      <w:r>
        <w:rPr>
          <w:rFonts w:ascii="Aptos" w:hAnsi="Aptos" w:eastAsia="Aptos"/>
          <w:b w:val="0"/>
          <w:i w:val="0"/>
          <w:strike w:val="0"/>
        </w:rPr>
        <w:t>English: café, naïve, Δ, 中文内容, 日本語, 한국어, 🚀.</w:t>
      </w:r>
    </w:p>
    <w:p>
      <w:pPr>
        <w:pStyle w:val="MDNormal"/>
        <w:bidi w:val="1"/>
        <w:jc w:val="right"/>
      </w:pPr>
      <w:r>
        <w:rPr>
          <w:rFonts w:ascii="Aptos" w:hAnsi="Aptos" w:cs="Aptos"/>
          <w:b w:val="0"/>
          <w:i w:val="0"/>
          <w:strike w:val="0"/>
          <w:rtl w:val="1"/>
        </w:rPr>
        <w:t>مرحبا بالعالم — هذا سطر عربي لاختبار خصائص Word ثنائية الاتجاه.</w:t>
      </w:r>
    </w:p>
    <w:p>
      <w:bookmarkStart w:id="3" w:name="Native_equation"/>
      <w:pPr>
        <w:pStyle w:val="MDHeading2"/>
      </w:pPr>
      <w:r>
        <w:rPr>
          <w:rFonts w:ascii="Aptos" w:hAnsi="Aptos"/>
          <w:b w:val="0"/>
          <w:i w:val="0"/>
          <w:strike w:val="0"/>
        </w:rPr>
        <w:t>Native equation</w:t>
      </w:r>
      <w:bookmarkEnd w:id="3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x</m:t>
                  </m:r>
                </m:sup>
              </m:sSup>
            </m:e>
          </m:nary>
          <m: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1</m:t>
          </m:r>
          <m:r>
            <m:t xml:space="preserve">,</m:t>
          </m:r>
          <m:r>
            <m:t xml:space="preserve"> </m:t>
          </m:r>
          <m:r>
            <m:t xml:space="preserve">A</m:t>
          </m:r>
          <m: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</m:oMath>
      </m:oMathPara>
    </w:p>
    <w:p>
      <w:bookmarkStart w:id="4" w:name="SVG_architecture"/>
      <w:pPr>
        <w:pStyle w:val="MDHeading2"/>
      </w:pPr>
      <w:r>
        <w:rPr>
          <w:rFonts w:ascii="Aptos" w:hAnsi="Aptos"/>
          <w:b w:val="0"/>
          <w:i w:val="0"/>
          <w:strike w:val="0"/>
        </w:rPr>
        <w:t>SVG architecture</w:t>
      </w:r>
      <w:bookmarkEnd w:id="4"/>
    </w:p>
    <w:p>
      <w:pPr>
        <w:pStyle w:val="MDNormal"/>
        <w:keepNext/>
      </w:pPr>
      <w:r>
        <w:drawing>
          <wp:inline xmlns:a="http://schemas.openxmlformats.org/drawingml/2006/main" xmlns:pic="http://schemas.openxmlformats.org/drawingml/2006/picture">
            <wp:extent cx="5976620" cy="1195324"/>
            <wp:docPr id="1" name="Picture 1" descr="Compiler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28f0e23eb04f55855099abbe5b8dd872212159b0ece9cccc278dcfffeabc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9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Lines/>
      </w:pPr>
      <w:r>
        <w:t>Markdown to native Word compiler</w:t>
      </w:r>
    </w:p>
    <w:p>
      <w:bookmarkStart w:id="5" w:name="Wide_table"/>
      <w:pPr>
        <w:pStyle w:val="MDHeading2"/>
      </w:pPr>
      <w:r>
        <w:rPr>
          <w:rFonts w:ascii="Aptos" w:hAnsi="Aptos"/>
          <w:b w:val="0"/>
          <w:i w:val="0"/>
          <w:strike w:val="0"/>
        </w:rPr>
        <w:t>Wide table</w:t>
      </w:r>
      <w:bookmarkEnd w:id="5"/>
    </w:p>
    <w:p>
      <w:pPr>
        <w:sectPr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rPr>
          <w:tblHeader w:val="true"/>
          <w:cantSplit w:val="1"/>
        </w:trPr>
        <w:tc>
          <w:tcPr>
            <w:tcW w:type="dxa" w:w="17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Component</w:t>
            </w:r>
          </w:p>
        </w:tc>
        <w:tc>
          <w:tcPr>
            <w:tcW w:type="dxa" w:w="20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Input contract</w:t>
            </w:r>
          </w:p>
        </w:tc>
        <w:tc>
          <w:tcPr>
            <w:tcW w:type="dxa" w:w="257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Output contract</w:t>
            </w:r>
          </w:p>
        </w:tc>
        <w:tc>
          <w:tcPr>
            <w:tcW w:type="dxa" w:w="28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Security boundary</w:t>
            </w:r>
          </w:p>
        </w:tc>
        <w:tc>
          <w:tcPr>
            <w:tcW w:type="dxa" w:w="17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Caching</w:t>
            </w:r>
          </w:p>
        </w:tc>
        <w:tc>
          <w:tcPr>
            <w:tcW w:type="dxa" w:w="19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Diagnostics</w:t>
            </w:r>
          </w:p>
        </w:tc>
        <w:tc>
          <w:tcPr>
            <w:tcW w:type="dxa" w:w="12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Phase</w:t>
            </w:r>
          </w:p>
        </w:tc>
      </w:tr>
      <w:tr>
        <w:trPr>
          <w:cantSplit w:val="1"/>
        </w:trPr>
        <w:tc>
          <w:tcPr>
            <w:tcW w:type="dxa" w:w="17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Parser</w:t>
            </w:r>
          </w:p>
        </w:tc>
        <w:tc>
          <w:tcPr>
            <w:tcW w:type="dxa" w:w="20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Markdown</w:t>
            </w:r>
          </w:p>
        </w:tc>
        <w:tc>
          <w:tcPr>
            <w:tcW w:type="dxa" w:w="257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Canonical AST</w:t>
            </w:r>
          </w:p>
        </w:tc>
        <w:tc>
          <w:tcPr>
            <w:tcW w:type="dxa" w:w="28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No code execution</w:t>
            </w:r>
          </w:p>
        </w:tc>
        <w:tc>
          <w:tcPr>
            <w:tcW w:type="dxa" w:w="17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—</w:t>
            </w:r>
          </w:p>
        </w:tc>
        <w:tc>
          <w:tcPr>
            <w:tcW w:type="dxa" w:w="19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PARSE</w:t>
            </w:r>
          </w:p>
        </w:tc>
        <w:tc>
          <w:tcPr>
            <w:tcW w:type="dxa" w:w="12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</w:t>
            </w:r>
          </w:p>
        </w:tc>
      </w:tr>
      <w:tr>
        <w:trPr>
          <w:cantSplit w:val="1"/>
        </w:trPr>
        <w:tc>
          <w:tcPr>
            <w:tcW w:type="dxa" w:w="17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Math</w:t>
            </w:r>
          </w:p>
        </w:tc>
        <w:tc>
          <w:tcPr>
            <w:tcW w:type="dxa" w:w="20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LaTeX subset</w:t>
            </w:r>
          </w:p>
        </w:tc>
        <w:tc>
          <w:tcPr>
            <w:tcW w:type="dxa" w:w="257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OMML</w:t>
            </w:r>
          </w:p>
        </w:tc>
        <w:tc>
          <w:tcPr>
            <w:tcW w:type="dxa" w:w="28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No TeX execution</w:t>
            </w:r>
          </w:p>
        </w:tc>
        <w:tc>
          <w:tcPr>
            <w:tcW w:type="dxa" w:w="17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Per render</w:t>
            </w:r>
          </w:p>
        </w:tc>
        <w:tc>
          <w:tcPr>
            <w:tcW w:type="dxa" w:w="19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MATH</w:t>
            </w:r>
          </w:p>
        </w:tc>
        <w:tc>
          <w:tcPr>
            <w:tcW w:type="dxa" w:w="12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2–3</w:t>
            </w:r>
          </w:p>
        </w:tc>
      </w:tr>
      <w:tr>
        <w:trPr>
          <w:cantSplit w:val="1"/>
        </w:trPr>
        <w:tc>
          <w:tcPr>
            <w:tcW w:type="dxa" w:w="17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Resources</w:t>
            </w:r>
          </w:p>
        </w:tc>
        <w:tc>
          <w:tcPr>
            <w:tcW w:type="dxa" w:w="20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Local/HTTPS image</w:t>
            </w:r>
          </w:p>
        </w:tc>
        <w:tc>
          <w:tcPr>
            <w:tcW w:type="dxa" w:w="257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Safe local bytes</w:t>
            </w:r>
          </w:p>
        </w:tc>
        <w:tc>
          <w:tcPr>
            <w:tcW w:type="dxa" w:w="28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Path/DNS/MIME/size checks</w:t>
            </w:r>
          </w:p>
        </w:tc>
        <w:tc>
          <w:tcPr>
            <w:tcW w:type="dxa" w:w="17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Optional disk</w:t>
            </w:r>
          </w:p>
        </w:tc>
        <w:tc>
          <w:tcPr>
            <w:tcW w:type="dxa" w:w="19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RESOURCE</w:t>
            </w:r>
          </w:p>
        </w:tc>
        <w:tc>
          <w:tcPr>
            <w:tcW w:type="dxa" w:w="12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3</w:t>
            </w:r>
          </w:p>
        </w:tc>
      </w:tr>
      <w:tr>
        <w:trPr>
          <w:cantSplit w:val="1"/>
        </w:trPr>
        <w:tc>
          <w:tcPr>
            <w:tcW w:type="dxa" w:w="17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Renderer</w:t>
            </w:r>
          </w:p>
        </w:tc>
        <w:tc>
          <w:tcPr>
            <w:tcW w:type="dxa" w:w="20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Canonical AST</w:t>
            </w:r>
          </w:p>
        </w:tc>
        <w:tc>
          <w:tcPr>
            <w:tcW w:type="dxa" w:w="257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WordprocessingML</w:t>
            </w:r>
          </w:p>
        </w:tc>
        <w:tc>
          <w:tcPr>
            <w:tcW w:type="dxa" w:w="28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OOXML only</w:t>
            </w:r>
          </w:p>
        </w:tc>
        <w:tc>
          <w:tcPr>
            <w:tcW w:type="dxa" w:w="17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Math cache</w:t>
            </w:r>
          </w:p>
        </w:tc>
        <w:tc>
          <w:tcPr>
            <w:tcW w:type="dxa" w:w="19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DOCX</w:t>
            </w:r>
          </w:p>
        </w:tc>
        <w:tc>
          <w:tcPr>
            <w:tcW w:type="dxa" w:w="12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1–3</w:t>
            </w:r>
          </w:p>
        </w:tc>
      </w:tr>
    </w:tbl>
    <w:p>
      <w:pPr>
        <w:sectPr>
          <w:footerReference w:type="default" r:id="rId11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bookmarkStart w:id="6" w:name="Editable_content"/>
      <w:pPr>
        <w:pStyle w:val="MDHeading2"/>
      </w:pPr>
      <w:r>
        <w:rPr>
          <w:rFonts w:ascii="Aptos" w:hAnsi="Aptos"/>
          <w:b w:val="0"/>
          <w:i w:val="0"/>
          <w:strike w:val="0"/>
        </w:rPr>
        <w:t>Editable content</w:t>
      </w:r>
      <w:bookmarkEnd w:id="6"/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Native numbering remains editable.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Tables remain native Word tables.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Equations remain Office Math rather than screenshots.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Headings remain Word heading styles for TOC rebuilds.</w:t>
      </w:r>
    </w:p>
    <w:sectPr w:rsidR="00FC693F" w:rsidRPr="0006063C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Native editable DOCX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Native editable DOCX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Native editable DOCX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○"/>
      <w:suff w:val="tab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▪"/>
      <w:suff w:val="tab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suff w:val="tab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○"/>
      <w:suff w:val="tab"/>
      <w:pPr>
        <w:tabs>
          <w:tab w:val="num" w:pos="360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▪"/>
      <w:suff w:val="tab"/>
      <w:pPr>
        <w:tabs>
          <w:tab w:val="num" w:pos="432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•"/>
      <w:suff w:val="tab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○"/>
      <w:suff w:val="tab"/>
      <w:pPr>
        <w:tabs>
          <w:tab w:val="num" w:pos="576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▪"/>
      <w:suff w:val="tab"/>
      <w:pPr>
        <w:tabs>
          <w:tab w:val="num" w:pos="6480"/>
        </w:tabs>
        <w:ind w:left="6480" w:hanging="360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69" w:lineRule="auto" w:after="140"/>
    </w:pPr>
    <w:rPr>
      <w:rFonts w:ascii="Aptos" w:hAnsi="Aptos" w:eastAsia="Aptos" w:cs="Aptos"/>
      <w:sz w:val="21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sz w:val="44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sz w:val="34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sz w:val="20"/>
    </w:rPr>
  </w:style>
  <w:style w:type="paragraph" w:customStyle="1" w:styleId="MDQuote">
    <w:name w:val="MD Quote"/>
    <w:basedOn w:val="Quote"/>
    <w:pPr>
      <w:keepLines/>
      <w:ind w:left="32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ascadia Mono" w:hAnsi="Cascadia Mono" w:eastAsia="Cascadia Mono" w:cs="Cascadia Mono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mddocx Phase 3 Demo</dc:title>
  <dc:subject/>
  <dc:creator>OpenAI build validation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