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Normal"/>
        <w:keepNext/>
      </w:pPr>
      <w:r>
        <w:rPr>
          <w:b/>
          <w:sz w:val="31"/>
        </w:rPr>
        <w:t>Contents</w:t>
      </w:r>
    </w:p>
    <w:p>
      <w:pPr>
        <w:pStyle w:val="MDNormal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Update this field in Word</w:t>
      </w:r>
      <w:r>
        <w:fldChar w:fldCharType="end"/>
      </w:r>
    </w:p>
    <w:p>
      <w:pPr>
        <w:pStyle w:val="MDNormal"/>
      </w:pPr>
    </w:p>
    <w:p>
      <w:bookmarkStart w:id="1" w:name="Phase_4_Operational_Maturity"/>
      <w:pPr>
        <w:pStyle w:val="MDHeading1"/>
      </w:pPr>
      <w:r>
        <w:rPr>
          <w:rFonts w:ascii="Aptos" w:hAnsi="Aptos"/>
          <w:b w:val="0"/>
          <w:i w:val="0"/>
          <w:strike w:val="0"/>
        </w:rPr>
        <w:t>Phase 4 Operational Maturity</w:t>
      </w:r>
      <w:bookmarkEnd w:id="1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This document exercises </w:t>
      </w:r>
      <w:r>
        <w:rPr>
          <w:rFonts w:ascii="Aptos" w:hAnsi="Aptos"/>
          <w:b/>
          <w:i w:val="0"/>
          <w:strike w:val="0"/>
        </w:rPr>
        <w:t>native Word structure</w:t>
      </w:r>
      <w:r>
        <w:rPr>
          <w:rFonts w:ascii="Aptos" w:hAnsi="Aptos"/>
          <w:b w:val="0"/>
          <w:i w:val="0"/>
          <w:strike w:val="0"/>
        </w:rPr>
        <w:t>, reproducible packaging, Unicode, RTL text,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editable equations, tables, SVG conversion, and ordinary Markdown semantics.</w:t>
      </w:r>
    </w:p>
    <w:p>
      <w:pPr>
        <w:pStyle w:val="MDNormal"/>
        <w:keepNext/>
      </w:pPr>
      <w:r>
        <w:drawing>
          <wp:inline xmlns:a="http://schemas.openxmlformats.org/drawingml/2006/main" xmlns:pic="http://schemas.openxmlformats.org/drawingml/2006/picture">
            <wp:extent cx="5976620" cy="1680924"/>
            <wp:docPr id="1" name="Picture 1" descr="Compiler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0931f350ec0b540136d4a4bc7e20081d6afa9b8287d06d3568483f84a866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8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Lines/>
      </w:pPr>
      <w:r>
        <w:t>Compiler architecture</w:t>
      </w:r>
    </w:p>
    <w:p>
      <w:bookmarkStart w:id="2" w:name="Editable_mathematics"/>
      <w:pPr>
        <w:pStyle w:val="MDHeading2"/>
      </w:pPr>
      <w:r>
        <w:rPr>
          <w:rFonts w:ascii="Aptos" w:hAnsi="Aptos"/>
          <w:b w:val="0"/>
          <w:i w:val="0"/>
          <w:strike w:val="0"/>
        </w:rPr>
        <w:t>Editable mathematics</w:t>
      </w:r>
      <w:bookmarkEnd w:id="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Inline math remains in the paragraph: </w:t>
      </w:r>
      <m:oMath>
        <m:r>
          <m:t xml:space="preserve">E</m:t>
        </m:r>
        <m:r>
          <m:t xml:space="preserve">=</m:t>
        </m:r>
        <m:r>
          <m:t xml:space="preserve">m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Aptos" w:hAnsi="Aptos"/>
          <w:b w:val="0"/>
          <w:i w:val="0"/>
          <w:strike w:val="0"/>
        </w:rPr>
        <w:t xml:space="preserve"> and </w:t>
      </w:r>
      <m:oMath>
        <m:sSubSup>
          <m:e>
            <m:r>
              <m:t xml:space="preserve">x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</m:oMath>
      <w:r>
        <w:rPr>
          <w:rFonts w:ascii="Aptos" w:hAnsi="Aptos"/>
          <w:b w:val="0"/>
          <w:i w:val="0"/>
          <w:strike w:val="0"/>
        </w:rPr>
        <w:t>.</w:t>
      </w:r>
    </w:p>
    <w:p>
      <w:pPr>
        <w:pStyle w:val="MDEquation"/>
        <w:keepLines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i</m:t>
              </m:r>
            </m:e>
          </m:nary>
          <m:r>
            <m:t xml:space="preserve">=</m:t>
          </m:r>
          <m:f>
            <m:num>
              <m:r>
                <m:t xml:space="preserve">n</m:t>
              </m:r>
              <m:r>
                <m:t xml:space="preserve">(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x</m:t>
                  </m:r>
                </m:sup>
              </m:sSup>
            </m:e>
          </m:nary>
          <m: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r>
            <m:t xml:space="preserve">1</m:t>
          </m:r>
        </m:oMath>
      </m:oMathPara>
    </w:p>
    <w:p>
      <w:bookmarkStart w:id="3" w:name="Native_lists"/>
      <w:pPr>
        <w:pStyle w:val="MDHeading2"/>
      </w:pPr>
      <w:r>
        <w:rPr>
          <w:rFonts w:ascii="Aptos" w:hAnsi="Aptos"/>
          <w:b w:val="0"/>
          <w:i w:val="0"/>
          <w:strike w:val="0"/>
        </w:rPr>
        <w:t>Native lists</w:t>
      </w:r>
      <w:bookmarkEnd w:id="3"/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Parse Markdown.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Build the canonical AST.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Preserve semantics.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Preserve source positions.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Render WordprocessingML and OMML.</w:t>
      </w:r>
    </w:p>
    <w:p>
      <w:bookmarkStart w:id="4" w:name="Unicode_and_RTL"/>
      <w:pPr>
        <w:pStyle w:val="MDHeading2"/>
      </w:pPr>
      <w:r>
        <w:rPr>
          <w:rFonts w:ascii="Aptos" w:hAnsi="Aptos"/>
          <w:b w:val="0"/>
          <w:i w:val="0"/>
          <w:strike w:val="0"/>
        </w:rPr>
        <w:t>Unicode and RTL</w:t>
      </w:r>
      <w:bookmarkEnd w:id="4"/>
    </w:p>
    <w:p>
      <w:pPr>
        <w:pStyle w:val="MDNormal"/>
        <w:bidi w:val="1"/>
        <w:jc w:val="right"/>
      </w:pPr>
      <w:r>
        <w:rPr>
          <w:rFonts w:ascii="Aptos" w:hAnsi="Aptos" w:cs="Aptos"/>
          <w:b w:val="0"/>
          <w:i w:val="0"/>
          <w:strike w:val="0"/>
          <w:rtl w:val="1"/>
        </w:rPr>
        <w:t>English remains left-to-right. العربية تظل نصاً أصلياً قابلاً للتحرير داخل Word.</w:t>
      </w:r>
    </w:p>
    <w:p>
      <w:bookmarkStart w:id="5" w:name="Wide_table"/>
      <w:pPr>
        <w:pStyle w:val="MDHeading2"/>
      </w:pPr>
      <w:r>
        <w:rPr>
          <w:rFonts w:ascii="Aptos" w:hAnsi="Aptos"/>
          <w:b w:val="0"/>
          <w:i w:val="0"/>
          <w:strike w:val="0"/>
        </w:rPr>
        <w:t>Wide table</w:t>
      </w:r>
      <w:bookmarkEnd w:id="5"/>
    </w:p>
    <w:p>
      <w:pPr>
        <w:sectPr>
          <w:headerReference w:type="default" r:id="rId9"/>
          <w:footerReference w:type="default" r:id="rId10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3"/>
        <w:gridCol w:w="1793"/>
        <w:gridCol w:w="1793"/>
        <w:gridCol w:w="1793"/>
        <w:gridCol w:w="1793"/>
        <w:gridCol w:w="1793"/>
        <w:gridCol w:w="1793"/>
        <w:gridCol w:w="1793"/>
      </w:tblGrid>
      <w:tr>
        <w:trPr>
          <w:tblHeader w:val="true"/>
          <w:cantSplit w:val="1"/>
        </w:trPr>
        <w:tc>
          <w:tcPr>
            <w:tcW w:type="dxa" w:w="225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Component</w:t>
            </w:r>
          </w:p>
        </w:tc>
        <w:tc>
          <w:tcPr>
            <w:tcW w:type="dxa" w:w="1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Parser</w:t>
            </w:r>
          </w:p>
        </w:tc>
        <w:tc>
          <w:tcPr>
            <w:tcW w:type="dxa" w:w="177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Normalizer</w:t>
            </w:r>
          </w:p>
        </w:tc>
        <w:tc>
          <w:tcPr>
            <w:tcW w:type="dxa" w:w="15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Renderer</w:t>
            </w:r>
          </w:p>
        </w:tc>
        <w:tc>
          <w:tcPr>
            <w:tcW w:type="dxa" w:w="166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Equations</w:t>
            </w:r>
          </w:p>
        </w:tc>
        <w:tc>
          <w:tcPr>
            <w:tcW w:type="dxa" w:w="205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Resources</w:t>
            </w:r>
          </w:p>
        </w:tc>
        <w:tc>
          <w:tcPr>
            <w:tcW w:type="dxa" w:w="19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Diagnostics</w:t>
            </w:r>
          </w:p>
        </w:tc>
        <w:tc>
          <w:tcPr>
            <w:tcW w:type="dxa" w:w="180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AF0F6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Validation</w:t>
            </w:r>
          </w:p>
        </w:tc>
      </w:tr>
      <w:tr>
        <w:trPr>
          <w:cantSplit w:val="1"/>
        </w:trPr>
        <w:tc>
          <w:tcPr>
            <w:tcW w:type="dxa" w:w="225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Representation</w:t>
            </w:r>
          </w:p>
        </w:tc>
        <w:tc>
          <w:tcPr>
            <w:tcW w:type="dxa" w:w="1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tokens</w:t>
            </w:r>
          </w:p>
        </w:tc>
        <w:tc>
          <w:tcPr>
            <w:tcW w:type="dxa" w:w="177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AST</w:t>
            </w:r>
          </w:p>
        </w:tc>
        <w:tc>
          <w:tcPr>
            <w:tcW w:type="dxa" w:w="15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OOXML</w:t>
            </w:r>
          </w:p>
        </w:tc>
        <w:tc>
          <w:tcPr>
            <w:tcW w:type="dxa" w:w="166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OMML</w:t>
            </w:r>
          </w:p>
        </w:tc>
        <w:tc>
          <w:tcPr>
            <w:tcW w:type="dxa" w:w="205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embedded media</w:t>
            </w:r>
          </w:p>
        </w:tc>
        <w:tc>
          <w:tcPr>
            <w:tcW w:type="dxa" w:w="19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JSON/SARIF</w:t>
            </w:r>
          </w:p>
        </w:tc>
        <w:tc>
          <w:tcPr>
            <w:tcW w:type="dxa" w:w="180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package XML</w:t>
            </w:r>
          </w:p>
        </w:tc>
      </w:tr>
      <w:tr>
        <w:trPr>
          <w:cantSplit w:val="1"/>
        </w:trPr>
        <w:tc>
          <w:tcPr>
            <w:tcW w:type="dxa" w:w="225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Editable</w:t>
            </w:r>
          </w:p>
        </w:tc>
        <w:tc>
          <w:tcPr>
            <w:tcW w:type="dxa" w:w="1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177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15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166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205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image object</w:t>
            </w:r>
          </w:p>
        </w:tc>
        <w:tc>
          <w:tcPr>
            <w:tcW w:type="dxa" w:w="19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n/a</w:t>
            </w:r>
          </w:p>
        </w:tc>
        <w:tc>
          <w:tcPr>
            <w:tcW w:type="dxa" w:w="180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n/a</w:t>
            </w:r>
          </w:p>
        </w:tc>
      </w:tr>
      <w:tr>
        <w:trPr>
          <w:cantSplit w:val="1"/>
        </w:trPr>
        <w:tc>
          <w:tcPr>
            <w:tcW w:type="dxa" w:w="225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Deterministic</w:t>
            </w:r>
          </w:p>
        </w:tc>
        <w:tc>
          <w:tcPr>
            <w:tcW w:type="dxa" w:w="1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177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15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166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205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policy-bound</w:t>
            </w:r>
          </w:p>
        </w:tc>
        <w:tc>
          <w:tcPr>
            <w:tcW w:type="dxa" w:w="19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  <w:tc>
          <w:tcPr>
            <w:tcW w:type="dxa" w:w="180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yes</w:t>
            </w:r>
          </w:p>
        </w:tc>
      </w:tr>
    </w:tbl>
    <w:p>
      <w:pPr>
        <w:sectPr>
          <w:headerReference w:type="default" r:id="rId12"/>
          <w:footerReference w:type="default" r:id="rId13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bookmarkStart w:id="6" w:name="Code_remains_editable"/>
      <w:pPr>
        <w:pStyle w:val="MDHeading2"/>
      </w:pPr>
      <w:r>
        <w:rPr>
          <w:rFonts w:ascii="Aptos" w:hAnsi="Aptos"/>
          <w:b w:val="0"/>
          <w:i w:val="0"/>
          <w:strike w:val="0"/>
        </w:rPr>
        <w:t>Code remains editable</w:t>
      </w:r>
      <w:bookmarkEnd w:id="6"/>
    </w:p>
    <w:p>
      <w:pPr>
        <w:pStyle w:val="MDCode"/>
        <w:keepLines/>
        <w:shd w:fill="F3F3F3"/>
      </w:pPr>
      <w:r>
        <w:rPr>
          <w:rFonts w:ascii="Cascadia Mono" w:hAnsi="Cascadia Mono"/>
        </w:rPr>
        <w:t>from mddocx import render</w:t>
        <w:br/>
        <w:t>render("report.md", "report.docx")</w:t>
      </w:r>
    </w:p>
    <w:p>
      <w:bookmarkStart w:id="7" w:name="Completion"/>
      <w:pPr>
        <w:pStyle w:val="MDHeading1"/>
      </w:pPr>
      <w:r>
        <w:rPr>
          <w:rFonts w:ascii="Aptos" w:hAnsi="Aptos"/>
          <w:b w:val="0"/>
          <w:i w:val="0"/>
          <w:strike w:val="0"/>
        </w:rPr>
        <w:t>Completion</w:t>
      </w:r>
      <w:bookmarkEnd w:id="7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 artifact should reopen as a normal DOCX and all semantic structures should remain native.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Phase 4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Phase 4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Phase 4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Deterministic Markdown → Word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Deterministic Markdown → Word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Deterministic Markdown → Word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suff w:val="tab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suff w:val="tab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suff w:val="tab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suff w:val="tab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suff w:val="tab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suff w:val="tab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suff w:val="tab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suff w:val="tab"/>
      <w:pPr>
        <w:tabs>
          <w:tab w:val="num" w:pos="6480"/>
        </w:tabs>
        <w:ind w:left="6480" w:hanging="360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○"/>
      <w:suff w:val="tab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▪"/>
      <w:suff w:val="tab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suff w:val="tab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○"/>
      <w:suff w:val="tab"/>
      <w:pPr>
        <w:tabs>
          <w:tab w:val="num" w:pos="360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▪"/>
      <w:suff w:val="tab"/>
      <w:pPr>
        <w:tabs>
          <w:tab w:val="num" w:pos="432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•"/>
      <w:suff w:val="tab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○"/>
      <w:suff w:val="tab"/>
      <w:pPr>
        <w:tabs>
          <w:tab w:val="num" w:pos="576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▪"/>
      <w:suff w:val="tab"/>
      <w:pPr>
        <w:tabs>
          <w:tab w:val="num" w:pos="6480"/>
        </w:tabs>
        <w:ind w:left="6480" w:hanging="360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69" w:lineRule="auto" w:after="140"/>
    </w:pPr>
    <w:rPr>
      <w:rFonts w:ascii="Aptos" w:hAnsi="Aptos" w:eastAsia="Aptos" w:cs="Aptos"/>
      <w:sz w:val="21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sz w:val="44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sz w:val="34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sz w:val="20"/>
    </w:rPr>
  </w:style>
  <w:style w:type="paragraph" w:customStyle="1" w:styleId="MDQuote">
    <w:name w:val="MD Quote"/>
    <w:basedOn w:val="Quote"/>
    <w:pPr>
      <w:keepLines/>
      <w:ind w:left="32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ascadia Mono" w:hAnsi="Cascadia Mono" w:eastAsia="Cascadia Mono" w:cs="Cascadia Mono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mddocx Phase 4 Validation</dc:title>
  <dc:subject/>
  <dc:creator>OpenAI build validation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