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DTitle"/>
        <w:spacing w:before="2381"/>
        <w:jc w:val="center"/>
      </w:pPr>
      <w:r>
        <w:t>mddocx Professional Document Acceptance</w:t>
      </w:r>
    </w:p>
    <w:p>
      <w:pPr>
        <w:pStyle w:val="MDSubtitle"/>
        <w:jc w:val="center"/>
      </w:pPr>
      <w:r>
        <w:t>Phase 6 / v0.7.0</w:t>
      </w:r>
    </w:p>
    <w:p>
      <w:pPr>
        <w:pStyle w:val="MDNormal"/>
        <w:jc w:val="center"/>
      </w:pPr>
      <w:r>
        <w:t>Example Author</w:t>
      </w:r>
    </w:p>
    <w:p>
      <w:pPr>
        <w:pStyle w:val="MDNormal"/>
        <w:jc w:val="center"/>
      </w:pPr>
      <w:r>
        <w:t>Open Document Engineering Lab</w:t>
      </w:r>
    </w:p>
    <w:p>
      <w:pPr>
        <w:pStyle w:val="MDNormal"/>
        <w:jc w:val="center"/>
      </w:pPr>
      <w:r>
        <w:fldChar w:fldCharType="begin" w:dirty="true"/>
      </w:r>
      <w:r>
        <w:instrText xml:space="preserve"> DATE \\@ \"MMMM d, yyyy\" 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MDHeading1"/>
      </w:pPr>
      <w:r>
        <w:t>Abstract</w:t>
      </w:r>
    </w:p>
    <w:p>
      <w:pPr>
        <w:pStyle w:val="MDAbstract"/>
      </w:pPr>
      <w:r>
        <w:t>This acceptance document exercises professional Word features while preserving native editable document structures.</w:t>
      </w:r>
    </w:p>
    <w:p>
      <w:pPr>
        <w:pStyle w:val="MDAbstract"/>
      </w:pPr>
      <w:r>
        <w:rPr>
          <w:b/>
        </w:rPr>
        <w:t xml:space="preserve">Keywords: </w:t>
      </w:r>
      <w:r>
        <w:t>Markdown, DOCX, OOXML, automation</w:t>
      </w:r>
    </w:p>
    <w:p>
      <w:pPr>
        <w:pStyle w:val="MDNormal"/>
        <w:keepNext/>
      </w:pPr>
      <w:r>
        <w:rPr>
          <w:b/>
          <w:sz w:val="31"/>
        </w:rPr>
        <w:t>Contents</w:t>
      </w:r>
    </w:p>
    <w:p>
      <w:pPr>
        <w:pStyle w:val="MDNormal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Update this field in Word</w:t>
      </w:r>
      <w:r>
        <w:fldChar w:fldCharType="end"/>
      </w:r>
    </w:p>
    <w:p>
      <w:pPr>
        <w:pStyle w:val="MDNormal"/>
      </w:pPr>
    </w:p>
    <w:p>
      <w:bookmarkStart w:id="1" w:name="sec_intro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Introduction</w:t>
      </w:r>
      <w:bookmarkEnd w:id="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This release builds professional Word semantics on top of the existing compiler. A reviewer can leave a native annotation here</w:t>
      </w:r>
      <w:commentRangeStart w:id="1"/>
      <w:r>
        <w:t>​</w:t>
      </w:r>
      <w:commentRangeEnd w:id="1"/>
      <w:r>
        <w:rPr>
          <w:rStyle w:val="CommentReference"/>
        </w:rPr>
        <w:commentReference w:id="1"/>
      </w:r>
      <w:r>
        <w:rPr>
          <w:rFonts w:ascii="Aptos" w:hAnsi="Aptos"/>
          <w:b w:val="0"/>
          <w:i w:val="0"/>
          <w:strike w:val="0"/>
        </w:rPr>
        <w:t xml:space="preserve"> without changing the visible sentence.</w:t>
      </w:r>
    </w:p>
    <w:p>
      <w:pPr>
        <w:pStyle w:val="MDCalloutNote"/>
      </w:pPr>
      <w:r>
        <w:rPr>
          <w:b/>
        </w:rPr>
        <w:t xml:space="preserve">Note — 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This is a GitHub-style note callout. Its content remains editable Word text.</w:t>
      </w:r>
    </w:p>
    <w:p>
      <w:pPr>
        <w:pStyle w:val="MDCalloutWarning"/>
      </w:pPr>
      <w:r>
        <w:rPr>
          <w:b/>
        </w:rPr>
        <w:t xml:space="preserve">Compatibility boundary — 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The renderer uses safe, bounded parsers and never executes code blocks or arbitrary TeX.</w:t>
      </w:r>
    </w:p>
    <w:p>
      <w:bookmarkStart w:id="2" w:name="Native_fields_and_navigation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Native fields and navigation</w:t>
      </w:r>
      <w:bookmarkEnd w:id="2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header uses native document-property fields and the footer uses native PAGE and NUMPAGES fields. See </w:t>
      </w:r>
      <w:r>
        <w:rPr>
          <w:rFonts w:ascii="Aptos" w:hAnsi="Aptos"/>
        </w:rPr>
        <w:t xml:space="preserve">Section </w:t>
      </w:r>
      <w:r>
        <w:fldChar w:fldCharType="begin" w:dirty="true"/>
      </w:r>
      <w:r>
        <w:instrText xml:space="preserve"> REF sec_results \h </w:instrText>
      </w:r>
      <w:r>
        <w:fldChar w:fldCharType="separate"/>
      </w:r>
      <w:r>
        <w:t>Numbered technical content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 xml:space="preserve"> for the measured results.</w:t>
      </w:r>
    </w:p>
    <w:p>
      <w:bookmarkStart w:id="3" w:name="sec_results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Numbered technical content</w:t>
      </w:r>
      <w:bookmarkEnd w:id="3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bookmarkStart w:id="4" w:name="Equations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Equations</w:t>
      </w:r>
      <w:bookmarkEnd w:id="4"/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following equation remains native OMML while receiving a chapter-scoped number: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r>
                  <m:t xml:space="preserve">E</m:t>
                </m:r>
                <m:r>
                  <m:t xml:space="preserve">=</m:t>
                </m:r>
                <m:r>
                  <m:t xml:space="preserve">m</m:t>
                </m:r>
                <m:sSup>
                  <m:e>
                    <m:r>
                      <m:t xml:space="preserve">c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5" w:name="eq_energy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reference is </w:t>
      </w: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eq_energy \h </w:instrText>
      </w:r>
      <w:r>
        <w:fldChar w:fldCharType="separate"/>
      </w:r>
      <w:r>
        <w:t>2.1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 A second expression verifies that numbering increments: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nary>
                  <m:naryPr>
                    <m:chr m:val="∫"/>
                    <m:limLoc m:val="undOvr"/>
                  </m:naryPr>
                  <m:sub>
                    <m:r>
                      <m:t xml:space="preserve">0</m:t>
                    </m:r>
                  </m:sub>
                  <m:sup>
                    <m:r>
                      <m:t xml:space="preserve">∞</m:t>
                    </m:r>
                  </m:sup>
                  <m:e>
                    <m:sSup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-</m:t>
                        </m:r>
                        <m:r>
                          <m:t xml:space="preserve">x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 xml:space="preserve"> </m:t>
                </m:r>
                <m:r>
                  <m:t xml:space="preserve">d</m:t>
                </m:r>
                <m:r>
                  <m:t xml:space="preserve">x</m:t>
                </m:r>
                <m:r>
                  <m:t xml:space="preserve">=</m:t>
                </m:r>
                <m:r>
                  <m:t xml:space="preserve">1</m:t>
                </m:r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6" w:name="eq_integral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bookmarkEnd w:id="6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See </w:t>
      </w: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eq_integral \h </w:instrText>
      </w:r>
      <w:r>
        <w:fldChar w:fldCharType="separate"/>
      </w:r>
      <w:r>
        <w:t>2.2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</w:t>
      </w:r>
    </w:p>
    <w:p>
      <w:bookmarkStart w:id="7" w:name="Tables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Tables</w:t>
      </w:r>
      <w:bookmarkEnd w:id="7"/>
    </w:p>
    <w:p>
      <w:pPr>
        <w:pStyle w:val="MDCaption"/>
        <w:keepNext/>
        <w:keepLines/>
      </w:pPr>
      <w:r>
        <w:t xml:space="preserve">Table </w:t>
      </w:r>
      <w:bookmarkStart w:id="8" w:name="tbl_results"/>
      <w:r>
        <w:fldChar w:fldCharType="begin" w:dirty="true"/>
      </w:r>
      <w:r>
        <w:instrText xml:space="preserve"> SEQ Section \c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 w:dirty="true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8"/>
      <w:r>
        <w:t xml:space="preserve"> — Professional feature verification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 w:val="1"/>
        </w:trPr>
        <w:tc>
          <w:tcPr>
            <w:tcW w:type="dxa" w:w="32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Feature</w:t>
            </w:r>
          </w:p>
        </w:tc>
        <w:tc>
          <w:tcPr>
            <w:tcW w:type="dxa" w:w="270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  <w:jc w:val="right"/>
            </w:pPr>
            <w:r>
              <w:rPr>
                <w:rFonts w:ascii="Aptos" w:hAnsi="Aptos"/>
                <w:b/>
                <w:i w:val="0"/>
                <w:strike w:val="0"/>
              </w:rPr>
              <w:t>Result</w:t>
            </w:r>
          </w:p>
        </w:tc>
        <w:tc>
          <w:tcPr>
            <w:tcW w:type="dxa" w:w="34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EDEDED"/>
          </w:tcPr>
          <w:p>
            <w:pPr>
              <w:pStyle w:val="MDNormal"/>
            </w:pPr>
            <w:r>
              <w:rPr>
                <w:rFonts w:ascii="Aptos" w:hAnsi="Aptos"/>
                <w:b/>
                <w:i w:val="0"/>
                <w:strike w:val="0"/>
              </w:rPr>
              <w:t>Native structure</w:t>
            </w:r>
          </w:p>
        </w:tc>
      </w:tr>
      <w:tr>
        <w:trPr>
          <w:cantSplit w:val="1"/>
        </w:trPr>
        <w:tc>
          <w:tcPr>
            <w:tcW w:type="dxa" w:w="32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Heading numbering</w:t>
            </w:r>
          </w:p>
        </w:tc>
        <w:tc>
          <w:tcPr>
            <w:tcW w:type="dxa" w:w="270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  <w:tc>
          <w:tcPr>
            <w:tcW w:type="dxa" w:w="34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Word numbering</w:t>
            </w:r>
          </w:p>
        </w:tc>
      </w:tr>
      <w:tr>
        <w:trPr>
          <w:cantSplit w:val="1"/>
        </w:trPr>
        <w:tc>
          <w:tcPr>
            <w:tcW w:type="dxa" w:w="32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Cross references</w:t>
            </w:r>
          </w:p>
        </w:tc>
        <w:tc>
          <w:tcPr>
            <w:tcW w:type="dxa" w:w="270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  <w:tc>
          <w:tcPr>
            <w:tcW w:type="dxa" w:w="34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REF fields</w:t>
            </w:r>
          </w:p>
        </w:tc>
      </w:tr>
      <w:tr>
        <w:trPr>
          <w:cantSplit w:val="1"/>
        </w:trPr>
        <w:tc>
          <w:tcPr>
            <w:tcW w:type="dxa" w:w="32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Comments</w:t>
            </w:r>
          </w:p>
        </w:tc>
        <w:tc>
          <w:tcPr>
            <w:tcW w:type="dxa" w:w="270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  <w:tc>
          <w:tcPr>
            <w:tcW w:type="dxa" w:w="34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comments.xml</w:t>
            </w:r>
          </w:p>
        </w:tc>
      </w:tr>
      <w:tr>
        <w:trPr>
          <w:cantSplit w:val="1"/>
        </w:trPr>
        <w:tc>
          <w:tcPr>
            <w:tcW w:type="dxa" w:w="32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Code</w:t>
            </w:r>
          </w:p>
        </w:tc>
        <w:tc>
          <w:tcPr>
            <w:tcW w:type="dxa" w:w="270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  <w:jc w:val="right"/>
            </w:pPr>
            <w:r>
              <w:rPr>
                <w:rFonts w:ascii="Aptos" w:hAnsi="Aptos"/>
                <w:b w:val="0"/>
                <w:i w:val="0"/>
                <w:strike w:val="0"/>
              </w:rPr>
              <w:t>Pass</w:t>
            </w:r>
          </w:p>
        </w:tc>
        <w:tc>
          <w:tcPr>
            <w:tcW w:type="dxa" w:w="34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MDNormal"/>
            </w:pPr>
            <w:r>
              <w:rPr>
                <w:rFonts w:ascii="Aptos" w:hAnsi="Aptos"/>
                <w:b w:val="0"/>
                <w:i w:val="0"/>
                <w:strike w:val="0"/>
              </w:rPr>
              <w:t>editable runs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As shown in </w:t>
      </w:r>
      <w:r>
        <w:rPr>
          <w:rFonts w:ascii="Aptos" w:hAnsi="Aptos"/>
        </w:rPr>
        <w:t xml:space="preserve">Table </w:t>
      </w:r>
      <w:r>
        <w:fldChar w:fldCharType="begin" w:dirty="true"/>
      </w:r>
      <w:r>
        <w:instrText xml:space="preserve"> REF tbl_results \h </w:instrText>
      </w:r>
      <w:r>
        <w:fldChar w:fldCharType="separate"/>
      </w:r>
      <w:r>
        <w:t>2.1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, the release keeps semantics editable.</w:t>
      </w:r>
    </w:p>
    <w:p>
      <w:bookmarkStart w:id="9" w:name="Code_listings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Code listings</w:t>
      </w:r>
      <w:bookmarkEnd w:id="9"/>
    </w:p>
    <w:p>
      <w:pPr>
        <w:pStyle w:val="MDCaption"/>
        <w:keepNext/>
        <w:keepLines/>
      </w:pPr>
      <w:r>
        <w:t xml:space="preserve">Listing </w:t>
      </w:r>
      <w:bookmarkStart w:id="10" w:name="lst_example"/>
      <w:r>
        <w:fldChar w:fldCharType="begin" w:dirty="true"/>
      </w:r>
      <w:r>
        <w:instrText xml:space="preserve"> SEQ Section \c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 w:dirty="true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bookmarkEnd w:id="10"/>
      <w:r>
        <w:t xml:space="preserve"> — Editable highlighted Python</w:t>
      </w:r>
    </w:p>
    <w:p>
      <w:pPr>
        <w:pStyle w:val="MDCodeLabel"/>
      </w:pPr>
      <w:r>
        <w:t>python</w:t>
      </w:r>
    </w:p>
    <w:p>
      <w:pPr>
        <w:pStyle w:val="MDCode"/>
        <w:keepLines/>
        <w:spacing w:before="0" w:after="0"/>
        <w:shd w:fill="F3F3F3"/>
      </w:pPr>
      <w:r>
        <w:rPr>
          <w:rFonts w:ascii="Consolas" w:hAnsi="Consolas"/>
          <w:color w:val="6E6E6E"/>
        </w:rPr>
        <w:t xml:space="preserve">1  </w:t>
      </w:r>
      <w:r>
        <w:rPr>
          <w:rFonts w:ascii="Consolas" w:hAnsi="Consolas"/>
          <w:b/>
          <w:i w:val="0"/>
          <w:color w:val="007020"/>
        </w:rPr>
        <w:t>from</w:t>
      </w:r>
      <w:r>
        <w:rPr>
          <w:rFonts w:ascii="Consolas" w:hAnsi="Consolas"/>
          <w:b w:val="0"/>
          <w:i w:val="0"/>
          <w:color w:val="BBBBBB"/>
        </w:rPr>
        <w:t xml:space="preserve"> </w:t>
      </w:r>
      <w:r>
        <w:rPr>
          <w:rFonts w:ascii="Consolas" w:hAnsi="Consolas"/>
          <w:b/>
          <w:i w:val="0"/>
          <w:color w:val="0E84B5"/>
        </w:rPr>
        <w:t>pathlib</w:t>
      </w:r>
      <w:r>
        <w:rPr>
          <w:rFonts w:ascii="Consolas" w:hAnsi="Consolas"/>
          <w:b w:val="0"/>
          <w:i w:val="0"/>
          <w:color w:val="BBBBBB"/>
        </w:rPr>
        <w:t xml:space="preserve"> </w:t>
      </w:r>
      <w:r>
        <w:rPr>
          <w:rFonts w:ascii="Consolas" w:hAnsi="Consolas"/>
          <w:b/>
          <w:i w:val="0"/>
          <w:color w:val="007020"/>
        </w:rPr>
        <w:t>import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Path</w:t>
      </w:r>
    </w:p>
    <w:p>
      <w:pPr>
        <w:pStyle w:val="MDCode"/>
        <w:keepLines/>
        <w:spacing w:before="0" w:after="0"/>
        <w:shd w:fill="F3F3F3"/>
      </w:pPr>
      <w:r>
        <w:rPr>
          <w:rFonts w:ascii="Consolas" w:hAnsi="Consolas"/>
          <w:color w:val="6E6E6E"/>
        </w:rPr>
        <w:t xml:space="preserve">2  </w:t>
      </w:r>
    </w:p>
    <w:p>
      <w:pPr>
        <w:pStyle w:val="MDCode"/>
        <w:keepLines/>
        <w:spacing w:before="0" w:after="0"/>
        <w:shd w:fill="FFF2CC"/>
      </w:pPr>
      <w:r>
        <w:rPr>
          <w:rFonts w:ascii="Consolas" w:hAnsi="Consolas"/>
          <w:color w:val="6E6E6E"/>
        </w:rPr>
        <w:t xml:space="preserve">3  </w:t>
      </w:r>
      <w:r>
        <w:rPr>
          <w:rFonts w:ascii="Consolas" w:hAnsi="Consolas"/>
          <w:b/>
          <w:i w:val="0"/>
          <w:color w:val="007020"/>
        </w:rPr>
        <w:t>def</w:t>
      </w:r>
      <w:r>
        <w:rPr>
          <w:rFonts w:ascii="Consolas" w:hAnsi="Consolas"/>
          <w:b w:val="0"/>
          <w:i w:val="0"/>
          <w:color w:val="BBBBBB"/>
        </w:rPr>
        <w:t xml:space="preserve"> </w:t>
      </w:r>
      <w:r>
        <w:rPr>
          <w:rFonts w:ascii="Consolas" w:hAnsi="Consolas"/>
          <w:b w:val="0"/>
          <w:i w:val="0"/>
          <w:color w:val="06287E"/>
        </w:rPr>
        <w:t>build</w:t>
      </w:r>
      <w:r>
        <w:rPr>
          <w:rFonts w:ascii="Consolas" w:hAnsi="Consolas"/>
          <w:b w:val="0"/>
          <w:i w:val="0"/>
        </w:rPr>
        <w:t>(</w:t>
      </w:r>
      <w:r>
        <w:rPr>
          <w:rFonts w:ascii="Consolas" w:hAnsi="Consolas"/>
          <w:b w:val="0"/>
          <w:i w:val="0"/>
        </w:rPr>
        <w:t>source</w:t>
      </w:r>
      <w:r>
        <w:rPr>
          <w:rFonts w:ascii="Consolas" w:hAnsi="Consolas"/>
          <w:b w:val="0"/>
          <w:i w:val="0"/>
        </w:rPr>
        <w:t>: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Path</w:t>
      </w:r>
      <w:r>
        <w:rPr>
          <w:rFonts w:ascii="Consolas" w:hAnsi="Consolas"/>
          <w:b w:val="0"/>
          <w:i w:val="0"/>
        </w:rPr>
        <w:t>)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666666"/>
        </w:rPr>
        <w:t>-</w:t>
      </w:r>
      <w:r>
        <w:rPr>
          <w:rFonts w:ascii="Consolas" w:hAnsi="Consolas"/>
          <w:b w:val="0"/>
          <w:i w:val="0"/>
          <w:color w:val="666666"/>
        </w:rPr>
        <w:t>&gt;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007020"/>
        </w:rPr>
        <w:t>bytes</w:t>
      </w:r>
      <w:r>
        <w:rPr>
          <w:rFonts w:ascii="Consolas" w:hAnsi="Consolas"/>
          <w:b w:val="0"/>
          <w:i w:val="0"/>
        </w:rPr>
        <w:t>:</w:t>
      </w:r>
    </w:p>
    <w:p>
      <w:pPr>
        <w:pStyle w:val="MDCode"/>
        <w:keepLines/>
        <w:spacing w:before="0" w:after="0"/>
        <w:shd w:fill="FFF2CC"/>
      </w:pPr>
      <w:r>
        <w:rPr>
          <w:rFonts w:ascii="Consolas" w:hAnsi="Consolas"/>
          <w:color w:val="6E6E6E"/>
        </w:rPr>
        <w:t xml:space="preserve">4  </w:t>
      </w:r>
      <w:r>
        <w:rPr>
          <w:rFonts w:ascii="Consolas" w:hAnsi="Consolas"/>
          <w:b w:val="0"/>
          <w:i w:val="0"/>
        </w:rPr>
        <w:t xml:space="preserve">    </w:t>
      </w:r>
      <w:r>
        <w:rPr>
          <w:rFonts w:ascii="Consolas" w:hAnsi="Consolas"/>
          <w:b/>
          <w:i w:val="0"/>
          <w:color w:val="007020"/>
        </w:rPr>
        <w:t>return</w:t>
      </w:r>
      <w:r>
        <w:rPr>
          <w:rFonts w:ascii="Consolas" w:hAnsi="Consolas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source</w:t>
      </w:r>
      <w:r>
        <w:rPr>
          <w:rFonts w:ascii="Consolas" w:hAnsi="Consolas"/>
          <w:b w:val="0"/>
          <w:i w:val="0"/>
          <w:color w:val="666666"/>
        </w:rPr>
        <w:t>.</w:t>
      </w:r>
      <w:r>
        <w:rPr>
          <w:rFonts w:ascii="Consolas" w:hAnsi="Consolas"/>
          <w:b w:val="0"/>
          <w:i w:val="0"/>
        </w:rPr>
        <w:t>read_bytes</w:t>
      </w:r>
      <w:r>
        <w:rPr>
          <w:rFonts w:ascii="Consolas" w:hAnsi="Consolas"/>
          <w:b w:val="0"/>
          <w:i w:val="0"/>
        </w:rPr>
        <w:t>(</w:t>
      </w:r>
      <w:r>
        <w:rPr>
          <w:rFonts w:ascii="Consolas" w:hAnsi="Consolas"/>
          <w:b w:val="0"/>
          <w:i w:val="0"/>
        </w:rPr>
        <w:t>)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See </w:t>
      </w:r>
      <w:r>
        <w:rPr>
          <w:rFonts w:ascii="Aptos" w:hAnsi="Aptos"/>
        </w:rPr>
        <w:t xml:space="preserve">Listing </w:t>
      </w:r>
      <w:r>
        <w:fldChar w:fldCharType="begin" w:dirty="true"/>
      </w:r>
      <w:r>
        <w:instrText xml:space="preserve"> REF lst_example \h </w:instrText>
      </w:r>
      <w:r>
        <w:fldChar w:fldCharType="separate"/>
      </w:r>
      <w:r>
        <w:t>2.1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 The code remains text rather than a screenshot.</w:t>
      </w:r>
    </w:p>
    <w:p>
      <w:bookmarkStart w:id="11" w:name="Callouts_and_notes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Callouts and notes</w:t>
      </w:r>
      <w:bookmarkEnd w:id="11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CalloutTip"/>
      </w:pPr>
      <w:r>
        <w:rPr>
          <w:b/>
        </w:rPr>
        <w:t xml:space="preserve">Tip — 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Field templates accept a bounded set of tokens such as PAGE, NUMPAGES, DATE, AUTHOR, TITLE, and FILENAME.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A technical note can still use Markdown notes.</w:t>
      </w:r>
      <w:r>
        <w:rPr>
          <w:rStyle w:val="FootnoteReference"/>
        </w:rPr>
        <w:endnoteReference w:id="1"/>
      </w:r>
    </w:p>
    <w:p>
      <w:bookmarkStart w:id="12" w:name="Publication_semantics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Publication semantics</w:t>
      </w:r>
      <w:bookmarkEnd w:id="12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The document can cite bibliography data </w:t>
      </w:r>
      <w:r>
        <w:rPr>
          <w:rFonts w:ascii="Aptos" w:hAnsi="Aptos"/>
        </w:rPr>
        <w:t>(Knuth, 1984)</w:t>
      </w:r>
      <w:r>
        <w:rPr>
          <w:rFonts w:ascii="Aptos" w:hAnsi="Aptos"/>
          <w:b w:val="0"/>
          <w:i w:val="0"/>
          <w:strike w:val="0"/>
        </w:rPr>
        <w:t xml:space="preserve"> and generate a bibliography. It can also use internal links such as </w:t>
      </w:r>
      <w:hyperlink w:anchor="sec_intro">
        <w:r>
          <w:rPr>
            <w:color w:val="0563C1"/>
            <w:u w:val="single"/>
          </w:rPr>
          <w:t xml:space="preserve">Introduction</w:t>
        </w:r>
      </w:hyperlink>
      <w:r>
        <w:rPr>
          <w:rFonts w:ascii="Aptos" w:hAnsi="Aptos"/>
          <w:b w:val="0"/>
          <w:i w:val="0"/>
          <w:strike w:val="0"/>
        </w:rPr>
        <w:t>.</w:t>
      </w:r>
    </w:p>
    <w:p>
      <w:bookmarkStart w:id="13" w:name="Definition_list"/>
      <w:pPr>
        <w:pStyle w:val="MDHeading2"/>
        <w:numPr>
          <w:ilvl w:val="1"/>
          <w:numId w:val="10"/>
        </w:numPr>
      </w:pPr>
      <w:r>
        <w:rPr>
          <w:rFonts w:ascii="Aptos" w:hAnsi="Aptos"/>
          <w:b w:val="0"/>
          <w:i w:val="0"/>
          <w:strike w:val="0"/>
        </w:rPr>
        <w:t>Definition list</w:t>
      </w:r>
      <w:bookmarkEnd w:id="13"/>
    </w:p>
    <w:p>
      <w:pPr>
        <w:pStyle w:val="MDNormal"/>
        <w:keepNext/>
      </w:pPr>
      <w:r>
        <w:rPr>
          <w:rFonts w:ascii="Aptos" w:hAnsi="Aptos"/>
          <w:b/>
          <w:i w:val="0"/>
          <w:strike w:val="0"/>
        </w:rPr>
        <w:t>Compiler</w:t>
      </w:r>
    </w:p>
    <w:p>
      <w:pPr>
        <w:pStyle w:val="MDNormal"/>
        <w:ind w:left="454"/>
      </w:pPr>
      <w:r>
        <w:rPr>
          <w:rFonts w:ascii="Aptos" w:hAnsi="Aptos"/>
          <w:b w:val="0"/>
          <w:i w:val="0"/>
          <w:strike w:val="0"/>
        </w:rPr>
        <w:t>A deterministic pipeline that maps source semantics into native Word structures.</w:t>
      </w:r>
    </w:p>
    <w:p>
      <w:pPr>
        <w:pStyle w:val="MDNormal"/>
        <w:keepNext/>
      </w:pPr>
      <w:r>
        <w:rPr>
          <w:rFonts w:ascii="Aptos" w:hAnsi="Aptos"/>
          <w:b/>
          <w:i w:val="0"/>
          <w:strike w:val="0"/>
        </w:rPr>
        <w:t>Renderer</w:t>
      </w:r>
    </w:p>
    <w:p>
      <w:pPr>
        <w:pStyle w:val="MDNormal"/>
        <w:ind w:left="454"/>
      </w:pPr>
      <w:r>
        <w:rPr>
          <w:rFonts w:ascii="Aptos" w:hAnsi="Aptos"/>
          <w:b w:val="0"/>
          <w:i w:val="0"/>
          <w:strike w:val="0"/>
        </w:rPr>
        <w:t>The subsystem that turns canonical AST nodes into WordprocessingML, DrawingML, and OMML.</w:t>
      </w:r>
    </w:p>
    <w:p>
      <w:bookmarkStart w:id="14" w:name="Final_verification"/>
      <w:pPr>
        <w:pStyle w:val="MDHeading1"/>
        <w:numPr>
          <w:ilvl w:val="0"/>
          <w:numId w:val="10"/>
        </w:numPr>
      </w:pPr>
      <w:r>
        <w:rPr>
          <w:rFonts w:ascii="Aptos" w:hAnsi="Aptos"/>
          <w:b w:val="0"/>
          <w:i w:val="0"/>
          <w:strike w:val="0"/>
        </w:rPr>
        <w:t>Final verification</w:t>
      </w:r>
      <w:bookmarkEnd w:id="14"/>
    </w:p>
    <w:p>
      <w:pPr>
        <w:pStyle w:val="MDNormal"/>
        <w:keepNext/>
        <w:spacing w:before="0" w:after="0" w:line="2" w:lineRule="auto"/>
      </w:pPr>
      <w:r>
        <w:rPr>
          <w:vanish w:val="1"/>
        </w:rPr>
        <w:fldChar w:fldCharType="begin" w:dirty="true"/>
      </w:r>
      <w:r>
        <w:rPr>
          <w:vanish w:val="1"/>
        </w:rPr>
        <w:instrText xml:space="preserve"> SEQ Section \* ARABIC </w:instrText>
      </w:r>
      <w:r>
        <w:rPr>
          <w:vanish w:val="1"/>
        </w:rPr>
        <w:fldChar w:fldCharType="separate"/>
      </w:r>
      <w:r>
        <w:rPr>
          <w:vanish w:val="1"/>
        </w:rPr>
        <w:t>1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Equation \r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Figure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Table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  <w:r>
        <w:rPr>
          <w:vanish w:val="1"/>
        </w:rPr>
        <w:fldChar w:fldCharType="begin" w:dirty="true"/>
      </w:r>
      <w:r>
        <w:rPr>
          <w:vanish w:val="1"/>
        </w:rPr>
        <w:instrText xml:space="preserve"> SEQ Listing  0 </w:instrText>
      </w:r>
      <w:r>
        <w:rPr>
          <w:vanish w:val="1"/>
        </w:rPr>
        <w:fldChar w:fldCharType="separate"/>
      </w:r>
      <w:r>
        <w:rPr>
          <w:vanish w:val="1"/>
        </w:rPr>
        <w:t>0</w:t>
      </w:r>
      <w:r>
        <w:rPr>
          <w:vanish w:val="1"/>
        </w:rPr>
        <w:fldChar w:fldCharType="end"/>
      </w:r>
    </w:p>
    <w:p>
      <w:pPr>
        <w:pStyle w:val="MDCalloutImportant"/>
      </w:pPr>
      <w:r>
        <w:rPr>
          <w:b/>
        </w:rPr>
        <w:t xml:space="preserve">Important — </w:t>
      </w:r>
      <w:r>
        <w:t xml:space="preserve"> </w:t>
      </w:r>
      <w:r>
        <w:rPr>
          <w:rFonts w:ascii="Aptos" w:hAnsi="Aptos"/>
          <w:b w:val="0"/>
          <w:i w:val="0"/>
          <w:strike w:val="0"/>
        </w:rPr>
        <w:t>A release is accepted only when package validation, structural inspection, regression tests, and rendered-page QA all pass.</w:t>
      </w:r>
    </w:p>
    <w:p>
      <w:pPr>
        <w:pStyle w:val="MDNormal"/>
      </w:pPr>
      <w:r>
        <w:rPr>
          <w:rFonts w:ascii="Aptos" w:hAnsi="Aptos"/>
          <w:b w:val="0"/>
          <w:i w:val="0"/>
          <w:strike w:val="0"/>
        </w:rPr>
        <w:t>The final numbered equation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83"/>
        <w:gridCol w:w="1129"/>
      </w:tblGrid>
      <w:tr>
        <w:trPr>
          <w:cantSplit w:val="1"/>
        </w:trPr>
        <w:tc>
          <w:tcPr>
            <w:tcW w:type="dxa" w:w="4706"/>
          </w:tcPr>
          <w:p>
            <w:pPr>
              <w:pStyle w:val="MDEquation"/>
              <w:keepLines/>
              <w:jc w:val="center"/>
            </w:pPr>
            <m:oMathPara>
              <m:oMath>
                <m:nary>
                  <m:naryPr>
                    <m:chr m:val="∑"/>
                    <m:limLoc m:val="undOvr"/>
                  </m:naryPr>
                  <m:sub>
                    <m:r>
                      <m:t xml:space="preserve">k</m:t>
                    </m:r>
                    <m:r>
                      <m:t xml:space="preserve">=</m:t>
                    </m:r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k</m:t>
                    </m:r>
                  </m:e>
                </m:nary>
                <m:r>
                  <m:t xml:space="preserve">=</m:t>
                </m:r>
                <m:f>
                  <m:num>
                    <m:r>
                      <m:t xml:space="preserve">n</m:t>
                    </m:r>
                    <m:r>
                      <m:t xml:space="preserve">(</m:t>
                    </m:r>
                    <m:r>
                      <m:t xml:space="preserve">n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)</m:t>
                    </m:r>
                  </m:num>
                  <m:den>
                    <m:r>
                      <m:t xml:space="preserve">2</m:t>
                    </m:r>
                  </m:den>
                </m:f>
              </m:oMath>
            </m:oMathPara>
          </w:p>
        </w:tc>
        <w:tc>
          <w:tcPr>
            <w:tcW w:type="dxa" w:w="4706"/>
          </w:tcPr>
          <w:p>
            <w:pPr>
              <w:jc w:val="right"/>
            </w:pPr>
            <w:r>
              <w:t>(</w:t>
            </w:r>
            <w:bookmarkStart w:id="15" w:name="eq_sum"/>
            <w:r>
              <w:fldChar w:fldCharType="begin" w:dirty="true"/>
            </w:r>
            <w:r>
              <w:instrText xml:space="preserve"> SEQ Section \c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t>.</w:t>
            </w:r>
            <w:r>
              <w:fldChar w:fldCharType="begin" w:dirty="true"/>
            </w:r>
            <w:r>
              <w:instrText xml:space="preserve"> SEQ Equation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15"/>
            <w:r>
              <w:t>)</w:t>
            </w:r>
          </w:p>
        </w:tc>
      </w:tr>
    </w:tbl>
    <w:p>
      <w:pPr>
        <w:pStyle w:val="MDNormal"/>
      </w:pPr>
      <w:r>
        <w:rPr>
          <w:rFonts w:ascii="Aptos" w:hAnsi="Aptos"/>
          <w:b w:val="0"/>
          <w:i w:val="0"/>
          <w:strike w:val="0"/>
        </w:rPr>
        <w:t xml:space="preserve">Reference: </w:t>
      </w:r>
      <w:r>
        <w:rPr>
          <w:rFonts w:ascii="Aptos" w:hAnsi="Aptos"/>
        </w:rPr>
        <w:t xml:space="preserve">Equation </w:t>
      </w:r>
      <w:r>
        <w:fldChar w:fldCharType="begin" w:dirty="true"/>
      </w:r>
      <w:r>
        <w:instrText xml:space="preserve"> REF eq_sum \h </w:instrText>
      </w:r>
      <w:r>
        <w:fldChar w:fldCharType="separate"/>
      </w:r>
      <w:r>
        <w:t>5.1</w:t>
      </w:r>
      <w:r>
        <w:fldChar w:fldCharType="end"/>
      </w:r>
      <w:r>
        <w:rPr>
          <w:rFonts w:ascii="Aptos" w:hAnsi="Aptos"/>
          <w:b w:val="0"/>
          <w:i w:val="0"/>
          <w:strike w:val="0"/>
        </w:rPr>
        <w:t>.</w:t>
      </w:r>
    </w:p>
    <w:p>
      <w:pPr>
        <w:pStyle w:val="MDHeading1"/>
      </w:pPr>
      <w:r>
        <w:t>References</w:t>
      </w:r>
    </w:p>
    <w:p>
      <w:pPr>
        <w:pStyle w:val="MDNormal"/>
        <w:ind w:left="340" w:hanging="340"/>
      </w:pPr>
      <w:r>
        <w:rPr>
          <w:rFonts w:ascii="Aptos" w:hAnsi="Aptos"/>
        </w:rPr>
        <w:t>Donald E. Knuth (1984). Literate Programming. The Computer Journal.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mddocx" w:initials="MD" w:date="2000-01-01T00:00:00Z">
    <w:p>
      <w:r>
        <w:t>Confirm the final release number before publishing.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FootnoteReference"/>
        </w:rPr>
        <w:endnoteRef/>
      </w:r>
      <w:r>
        <w:t xml:space="preserve"> </w:t>
      </w:r>
      <w:r>
        <w:t xml:space="preserve">This is rendered as a native Word endnote and may contain inline mathematics such as </w:t>
      </w:r>
      <m:oMath xmlns:m="http://schemas.openxmlformats.org/officeDocument/2006/math"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Engineering draft</w:t>
    </w:r>
    <w:r>
      <w:t xml:space="preserve">  •  </w:t>
    </w:r>
    <w:r>
      <w:t xml:space="preserve">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 w:dirty="true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 w:dirty="true"/>
    </w:r>
    <w:r>
      <w:instrText xml:space="preserve"> DOCPROPERTY "Title" </w:instrText>
    </w:r>
    <w:r>
      <w:fldChar w:fldCharType="separate"/>
    </w:r>
    <w:r>
      <w:t>mddocx Professional Document Acceptance</w:t>
    </w:r>
    <w:r>
      <w:fldChar w:fldCharType="end"/>
    </w:r>
    <w:r>
      <w:t xml:space="preserve"> — </w:t>
    </w:r>
    <w:r>
      <w:fldChar w:fldCharType="begin" w:dirty="true"/>
    </w:r>
    <w:r>
      <w:instrText xml:space="preserve"> AUTHOR </w:instrText>
    </w:r>
    <w:r>
      <w:fldChar w:fldCharType="separate"/>
    </w:r>
    <w:r>
      <w:t>Example Author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 "/>
      <w:suff w:val="space"/>
      <w:pPr>
        <w:ind w:left="0" w:hanging="0"/>
      </w:pPr>
    </w:lvl>
    <w:lvl w:ilvl="1">
      <w:start w:val="1"/>
      <w:numFmt w:val="decimal"/>
      <w:lvlText w:val="%1.%2 "/>
      <w:suff w:val="space"/>
      <w:pPr>
        <w:ind w:left="0" w:hanging="0"/>
      </w:pPr>
    </w:lvl>
    <w:lvl w:ilvl="2">
      <w:start w:val="1"/>
      <w:numFmt w:val="decimal"/>
      <w:lvlText w:val="%1.%2.%3 "/>
      <w:suff w:val="space"/>
      <w:pPr>
        <w:ind w:left="0" w:hanging="0"/>
      </w:pPr>
    </w:lvl>
    <w:lvl w:ilvl="3">
      <w:start w:val="1"/>
      <w:numFmt w:val="decimal"/>
      <w:lvlText w:val=""/>
      <w:suff w:val="space"/>
      <w:pPr>
        <w:ind w:left="0" w:hanging="0"/>
      </w:pPr>
    </w:lvl>
    <w:lvl w:ilvl="4">
      <w:start w:val="1"/>
      <w:numFmt w:val="decimal"/>
      <w:lvlText w:val=""/>
      <w:suff w:val="space"/>
      <w:pPr>
        <w:ind w:left="0" w:hanging="0"/>
      </w:pPr>
    </w:lvl>
    <w:lvl w:ilvl="5">
      <w:start w:val="1"/>
      <w:numFmt w:val="decimal"/>
      <w:lvlText w:val=""/>
      <w:suff w:val="space"/>
      <w:pPr>
        <w:ind w:left="0" w:hanging="0"/>
      </w:pPr>
    </w:lvl>
    <w:lvl w:ilvl="6">
      <w:start w:val="1"/>
      <w:numFmt w:val="decimal"/>
      <w:lvlText w:val=""/>
      <w:suff w:val="space"/>
      <w:pPr>
        <w:ind w:left="0" w:hanging="0"/>
      </w:pPr>
    </w:lvl>
    <w:lvl w:ilvl="7">
      <w:start w:val="1"/>
      <w:numFmt w:val="decimal"/>
      <w:lvlText w:val=""/>
      <w:suff w:val="space"/>
      <w:pPr>
        <w:ind w:left="0" w:hanging="0"/>
      </w:pPr>
    </w:lvl>
    <w:lvl w:ilvl="8">
      <w:start w:val="1"/>
      <w:numFmt w:val="decimal"/>
      <w:lvlText w:val=""/>
      <w:suff w:val="space"/>
      <w:pPr>
        <w:ind w:left="0" w:hanging="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Normal">
    <w:name w:val="MD Normal"/>
    <w:basedOn w:val="Normal"/>
    <w:pPr>
      <w:widowControl/>
      <w:spacing w:line="276" w:lineRule="auto" w:after="120"/>
    </w:pPr>
    <w:rPr>
      <w:rFonts w:ascii="Aptos" w:hAnsi="Aptos" w:eastAsia="Aptos" w:cs="Aptos"/>
      <w:sz w:val="22"/>
    </w:rPr>
  </w:style>
  <w:style w:type="paragraph" w:customStyle="1" w:styleId="MDHeading1">
    <w:name w:val="MD Heading 1"/>
    <w:basedOn w:val="Heading1"/>
    <w:pPr>
      <w:keepNext/>
      <w:keepLines/>
      <w:pageBreakBefore w:val="0"/>
      <w:outlineLvl w:val="0"/>
    </w:pPr>
    <w:rPr>
      <w:rFonts w:ascii="Aptos Display" w:hAnsi="Aptos Display" w:eastAsia="Aptos" w:cs="Aptos"/>
      <w:color w:val="000000"/>
      <w:sz w:val="40"/>
    </w:rPr>
  </w:style>
  <w:style w:type="paragraph" w:customStyle="1" w:styleId="MDHeading2">
    <w:name w:val="MD Heading 2"/>
    <w:basedOn w:val="Heading2"/>
    <w:pPr>
      <w:keepNext/>
      <w:keepLines/>
      <w:outlineLvl w:val="1"/>
    </w:pPr>
    <w:rPr>
      <w:rFonts w:ascii="Aptos Display" w:hAnsi="Aptos Display" w:eastAsia="Aptos" w:cs="Aptos"/>
      <w:color w:val="000000"/>
      <w:sz w:val="32"/>
    </w:rPr>
  </w:style>
  <w:style w:type="paragraph" w:customStyle="1" w:styleId="MDHeading3">
    <w:name w:val="MD Heading 3"/>
    <w:basedOn w:val="Heading3"/>
    <w:pPr>
      <w:keepNext/>
      <w:keepLines/>
      <w:outlineLvl w:val="2"/>
    </w:pPr>
    <w:rPr>
      <w:rFonts w:ascii="Aptos Display" w:hAnsi="Aptos Display" w:eastAsia="Aptos" w:cs="Aptos"/>
      <w:color w:val="000000"/>
      <w:sz w:val="28"/>
    </w:rPr>
  </w:style>
  <w:style w:type="paragraph" w:customStyle="1" w:styleId="MDHeading4">
    <w:name w:val="MD Heading 4"/>
    <w:basedOn w:val="Heading4"/>
    <w:pPr>
      <w:keepNext/>
      <w:keepLines/>
      <w:outlineLvl w:val="3"/>
    </w:pPr>
    <w:rPr>
      <w:rFonts w:ascii="Aptos Display" w:hAnsi="Aptos Display" w:eastAsia="Aptos" w:cs="Aptos"/>
      <w:color w:val="000000"/>
      <w:sz w:val="24"/>
    </w:rPr>
  </w:style>
  <w:style w:type="paragraph" w:customStyle="1" w:styleId="MDHeading5">
    <w:name w:val="MD Heading 5"/>
    <w:basedOn w:val="Heading5"/>
    <w:pPr>
      <w:keepNext/>
      <w:keepLines/>
      <w:outlineLvl w:val="4"/>
    </w:pPr>
    <w:rPr>
      <w:rFonts w:ascii="Aptos Display" w:hAnsi="Aptos Display" w:eastAsia="Aptos" w:cs="Aptos"/>
      <w:color w:val="000000"/>
      <w:sz w:val="22"/>
    </w:rPr>
  </w:style>
  <w:style w:type="paragraph" w:customStyle="1" w:styleId="MDHeading6">
    <w:name w:val="MD Heading 6"/>
    <w:basedOn w:val="Heading6"/>
    <w:pPr>
      <w:keepNext/>
      <w:keepLines/>
      <w:outlineLvl w:val="5"/>
    </w:pPr>
    <w:rPr>
      <w:rFonts w:ascii="Aptos Display" w:hAnsi="Aptos Display" w:eastAsia="Aptos" w:cs="Aptos"/>
      <w:color w:val="000000"/>
      <w:sz w:val="20"/>
    </w:rPr>
  </w:style>
  <w:style w:type="paragraph" w:customStyle="1" w:styleId="MDQuote">
    <w:name w:val="MD Quote"/>
    <w:basedOn w:val="Quote"/>
    <w:pPr>
      <w:keepLines/>
      <w:ind w:left="360"/>
    </w:pPr>
    <w:rPr>
      <w:rFonts w:ascii="Aptos" w:hAnsi="Aptos" w:eastAsia="Aptos" w:cs="Aptos"/>
    </w:rPr>
  </w:style>
  <w:style w:type="paragraph" w:customStyle="1" w:styleId="MDCode">
    <w:name w:val="MD Code"/>
    <w:basedOn w:val="MDNormal"/>
    <w:pPr>
      <w:keepLines/>
      <w:spacing w:before="80" w:after="80"/>
    </w:pPr>
    <w:rPr>
      <w:rFonts w:ascii="Consolas" w:hAnsi="Consolas" w:eastAsia="Consolas" w:cs="Consolas"/>
      <w:sz w:val="18"/>
    </w:rPr>
  </w:style>
  <w:style w:type="paragraph" w:customStyle="1" w:styleId="MDEquation">
    <w:name w:val="MD Equation"/>
    <w:basedOn w:val="MDNormal"/>
    <w:pPr>
      <w:keepLines/>
    </w:pPr>
  </w:style>
  <w:style w:type="paragraph" w:customStyle="1" w:styleId="MDCaption">
    <w:name w:val="MD Caption"/>
    <w:basedOn w:val="MDNormal"/>
    <w:rPr>
      <w:rFonts w:ascii="Aptos" w:hAnsi="Aptos" w:eastAsia="Aptos" w:cs="Aptos"/>
      <w:i/>
      <w:color w:val="000000"/>
      <w:sz w:val="20"/>
    </w:rPr>
  </w:style>
  <w:style w:type="paragraph" w:customStyle="1" w:styleId="FootnoteText">
    <w:name w:val="Footnote Text"/>
    <w:basedOn w:val="MDNormal"/>
    <w:pPr>
      <w:spacing w:after="0"/>
    </w:pPr>
    <w:rPr>
      <w:rFonts w:ascii="Aptos" w:hAnsi="Aptos" w:eastAsia="Aptos" w:cs="Aptos"/>
      <w:sz w:val="18"/>
    </w:rPr>
  </w:style>
  <w:style w:type="character" w:customStyle="1" w:styleId="FootnoteReference">
    <w:name w:val="Footnote Reference"/>
    <w:rPr>
      <w:rFonts w:ascii="Aptos" w:hAnsi="Aptos" w:eastAsia="Aptos" w:cs="Aptos"/>
      <w:vertAlign w:val="superscript"/>
    </w:rPr>
  </w:style>
  <w:style w:type="paragraph" w:customStyle="1" w:styleId="MDTitle">
    <w:name w:val="MD Title"/>
    <w:basedOn w:val="MDNormal"/>
    <w:pPr>
      <w:spacing w:after="240"/>
    </w:pPr>
    <w:rPr>
      <w:rFonts w:ascii="Aptos Display" w:hAnsi="Aptos Display" w:eastAsia="Aptos" w:cs="Aptos"/>
      <w:b/>
      <w:color w:val="000000"/>
      <w:sz w:val="56"/>
    </w:rPr>
  </w:style>
  <w:style w:type="paragraph" w:customStyle="1" w:styleId="MDSubtitle">
    <w:name w:val="MD Subtitle"/>
    <w:basedOn w:val="MDNormal"/>
    <w:pPr>
      <w:spacing w:after="200"/>
    </w:pPr>
    <w:rPr>
      <w:rFonts w:ascii="Aptos" w:hAnsi="Aptos" w:eastAsia="Aptos" w:cs="Aptos"/>
      <w:color w:val="000000"/>
      <w:sz w:val="32"/>
    </w:rPr>
  </w:style>
  <w:style w:type="paragraph" w:customStyle="1" w:styleId="MDAbstract">
    <w:name w:val="MD Abstract"/>
    <w:basedOn w:val="MDNormal"/>
    <w:pPr>
      <w:keepLines/>
      <w:ind w:left="360" w:right="360"/>
    </w:pPr>
    <w:rPr>
      <w:rFonts w:ascii="Aptos" w:hAnsi="Aptos" w:eastAsia="Aptos" w:cs="Aptos"/>
    </w:rPr>
  </w:style>
  <w:style w:type="paragraph" w:customStyle="1" w:styleId="MDCodeLabel">
    <w:name w:val="MD Code Label"/>
    <w:basedOn w:val="MDNormal"/>
    <w:pPr>
      <w:keepNext/>
      <w:spacing w:after="0"/>
    </w:pPr>
    <w:rPr>
      <w:rFonts w:ascii="Consolas" w:hAnsi="Consolas"/>
      <w:b/>
      <w:sz w:val="17"/>
    </w:rPr>
  </w:style>
  <w:style w:type="paragraph" w:customStyle="1" w:styleId="MDCalloutNote">
    <w:name w:val="MD Callout Note"/>
    <w:basedOn w:val="MDNormal"/>
    <w:pPr>
      <w:keepLines/>
      <w:spacing w:before="80" w:after="80"/>
      <w:ind w:left="240" w:right="120"/>
      <w:shd w:val="clear" w:fill="F2F2F2"/>
    </w:pPr>
    <w:rPr>
      <w:rFonts w:ascii="Aptos" w:hAnsi="Aptos" w:eastAsia="Aptos" w:cs="Aptos"/>
    </w:rPr>
  </w:style>
  <w:style w:type="paragraph" w:customStyle="1" w:styleId="MDCalloutTip">
    <w:name w:val="MD Callout Tip"/>
    <w:basedOn w:val="MDNormal"/>
    <w:pPr>
      <w:keepLines/>
      <w:spacing w:before="80" w:after="80"/>
      <w:ind w:left="240" w:right="120"/>
      <w:shd w:val="clear" w:fill="EEF7EE"/>
    </w:pPr>
    <w:rPr>
      <w:rFonts w:ascii="Aptos" w:hAnsi="Aptos" w:eastAsia="Aptos" w:cs="Aptos"/>
    </w:rPr>
  </w:style>
  <w:style w:type="paragraph" w:customStyle="1" w:styleId="MDCalloutImportant">
    <w:name w:val="MD Callout Important"/>
    <w:basedOn w:val="MDNormal"/>
    <w:pPr>
      <w:keepLines/>
      <w:spacing w:before="80" w:after="80"/>
      <w:ind w:left="240" w:right="120"/>
      <w:shd w:val="clear" w:fill="EEF3FA"/>
    </w:pPr>
    <w:rPr>
      <w:rFonts w:ascii="Aptos" w:hAnsi="Aptos" w:eastAsia="Aptos" w:cs="Aptos"/>
    </w:rPr>
  </w:style>
  <w:style w:type="paragraph" w:customStyle="1" w:styleId="MDCalloutWarning">
    <w:name w:val="MD Callout Warning"/>
    <w:basedOn w:val="MDNormal"/>
    <w:pPr>
      <w:keepLines/>
      <w:spacing w:before="80" w:after="80"/>
      <w:ind w:left="240" w:right="120"/>
      <w:shd w:val="clear" w:fill="FFF4E5"/>
    </w:pPr>
    <w:rPr>
      <w:rFonts w:ascii="Aptos" w:hAnsi="Aptos" w:eastAsia="Aptos" w:cs="Aptos"/>
    </w:rPr>
  </w:style>
  <w:style w:type="paragraph" w:customStyle="1" w:styleId="MDCalloutCaution">
    <w:name w:val="MD Callout Caution"/>
    <w:basedOn w:val="MDNormal"/>
    <w:pPr>
      <w:keepLines/>
      <w:spacing w:before="80" w:after="80"/>
      <w:ind w:left="240" w:right="120"/>
      <w:shd w:val="clear" w:fill="FDECEC"/>
    </w:pPr>
    <w:rPr>
      <w:rFonts w:ascii="Aptos" w:hAnsi="Aptos" w:eastAsia="Aptos" w:cs="Aptos"/>
    </w:rPr>
  </w:style>
  <w:style w:type="paragraph" w:customStyle="1" w:styleId="MDCalloutExample">
    <w:name w:val="MD Callout Example"/>
    <w:basedOn w:val="MDNormal"/>
    <w:pPr>
      <w:keepLines/>
      <w:spacing w:before="80" w:after="80"/>
      <w:ind w:left="240" w:right="120"/>
      <w:shd w:val="clear" w:fill="F5F0FA"/>
    </w:pPr>
    <w:rPr>
      <w:rFonts w:ascii="Aptos" w:hAnsi="Aptos" w:eastAsia="Aptos" w:cs="Apto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endnotes" Target="endnotes.xm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mddocx Professional Document Acceptance</dc:title>
  <dc:subject>Professional Word semantics</dc:subject>
  <dc:creator>Example Author</dc:creator>
  <cp:keywords>Markdown, DOCX, OOXML,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