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harts/chart1.xml" ContentType="application/vnd.openxmlformats-officedocument.drawingml.chart+xml"/>
  <Override PartName="/word/charts/chart2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Title"/>
        <w:spacing w:before="2381"/>
        <w:jc w:val="center"/>
      </w:pPr>
      <w:r>
        <w:t>mddocx 1.0 Production Acceptance</w:t>
      </w:r>
    </w:p>
    <w:p>
      <w:pPr>
        <w:pStyle w:val="MDSubtitle"/>
        <w:jc w:val="center"/>
      </w:pPr>
      <w:r>
        <w:t>Stable native Markdown → Word compiler</w:t>
      </w:r>
    </w:p>
    <w:p>
      <w:pPr>
        <w:pStyle w:val="MDNormal"/>
        <w:jc w:val="center"/>
      </w:pPr>
      <w:r>
        <w:t>mddocx</w:t>
      </w:r>
    </w:p>
    <w:p>
      <w:pPr>
        <w:pStyle w:val="MDNormal"/>
        <w:jc w:val="center"/>
      </w:pPr>
      <w:r>
        <w:t>mddocx</w:t>
      </w:r>
    </w:p>
    <w:p>
      <w:pPr>
        <w:pStyle w:val="MDNormal"/>
        <w:jc w:val="center"/>
      </w:pPr>
      <w:r>
        <w:fldChar w:fldCharType="begin" w:dirty="true"/>
      </w:r>
      <w:r>
        <w:instrText xml:space="preserve"> DATE \@ "MMMM d, yyyy"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MDHeading1"/>
      </w:pPr>
      <w:r>
        <w:t>Abstract</w:t>
      </w:r>
    </w:p>
    <w:p>
      <w:pPr>
        <w:pStyle w:val="MDAbstract"/>
      </w:pPr>
      <w:r>
        <w:t>This document validates the stable v1 public API, native Office chart controls, accessibility auditing, package integrity, and deterministic performance gating.</w:t>
      </w:r>
    </w:p>
    <w:p>
      <w:pPr>
        <w:pStyle w:val="MDAbstract"/>
      </w:pPr>
      <w:r>
        <w:rPr>
          <w:b/>
        </w:rPr>
        <w:t xml:space="preserve">Keywords: </w:t>
      </w:r>
      <w:r>
        <w:t>Word, OMML, ChartML, accessibility</w:t>
      </w:r>
    </w:p>
    <w:p>
      <w:pPr>
        <w:pStyle w:val="MDNormal"/>
        <w:keepNext/>
      </w:pPr>
      <w:r>
        <w:rPr>
          <w:b/>
          <w:sz w:val="31"/>
        </w:rPr>
        <w:t>Contents</w:t>
      </w:r>
    </w:p>
    <w:p>
      <w:pPr>
        <w:pStyle w:val="MDNormal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Update this field in Word</w:t>
      </w:r>
      <w:r>
        <w:fldChar w:fldCharType="end"/>
      </w:r>
    </w:p>
    <w:p>
      <w:pPr>
        <w:pStyle w:val="MDNormal"/>
      </w:pPr>
    </w:p>
    <w:p>
      <w:bookmarkStart w:id="1" w:name="Executive_Summary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Executive Summary</w:t>
      </w:r>
      <w:bookmarkEnd w:id="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mddocx 1.0 freezes the public API while preserving native, editable Word semantics.</w:t>
      </w:r>
    </w:p>
    <w:p>
      <w:pPr>
        <w:pStyle w:val="MDCalloutNote"/>
      </w:pPr>
      <w:r>
        <w:rPr>
          <w:b/>
        </w:rPr>
        <w:t xml:space="preserve">Note — 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This acceptance document intentionally combines equations, native tables, task controls, cross-references, charts, code, and accessibility metadata.</w:t>
      </w:r>
    </w:p>
    <w:p>
      <w:bookmarkStart w:id="2" w:name="Stable_API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Stable API</w:t>
      </w:r>
      <w:bookmarkEnd w:id="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public API is machine-readable through </w:t>
      </w:r>
      <w:r>
        <w:rPr>
          <w:rFonts w:ascii="Consolas" w:hAnsi="Consolas"/>
          <w:b w:val="0"/>
          <w:i w:val="0"/>
          <w:strike w:val="0"/>
        </w:rPr>
        <w:t>mddocx api --json</w:t>
      </w:r>
      <w:r>
        <w:rPr>
          <w:rFonts w:ascii="Aptos" w:hAnsi="Aptos"/>
          <w:b w:val="0"/>
          <w:i w:val="0"/>
          <w:strike w:val="0"/>
        </w:rPr>
        <w:t>. Existing rendering and project entry points remain available in the 1.x series.</w:t>
      </w:r>
    </w:p>
    <w:p>
      <w:pPr>
        <w:pStyle w:val="MDNormal"/>
        <w:ind w:left="180"/>
      </w:pPr>
      <w:sdt>
        <w:sdtPr>
          <w:id w:val="1000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Native Word structures</w:t>
      </w:r>
    </w:p>
    <w:p>
      <w:pPr>
        <w:pStyle w:val="MDNormal"/>
        <w:ind w:left="180"/>
      </w:pPr>
      <w:sdt>
        <w:sdtPr>
          <w:id w:val="1001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Editable OMML equations</w:t>
      </w:r>
    </w:p>
    <w:p>
      <w:pPr>
        <w:pStyle w:val="MDNormal"/>
        <w:ind w:left="180"/>
      </w:pPr>
      <w:sdt>
        <w:sdtPr>
          <w:id w:val="1002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Editable Office charts</w:t>
      </w:r>
    </w:p>
    <w:p>
      <w:pPr>
        <w:pStyle w:val="MDNormal"/>
        <w:ind w:left="180"/>
      </w:pPr>
      <w:sdt>
        <w:sdtPr>
          <w:id w:val="1003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Structural accessibility audit</w:t>
      </w:r>
    </w:p>
    <w:p>
      <w:pPr>
        <w:pStyle w:val="MDNormal"/>
        <w:ind w:left="180"/>
      </w:pPr>
      <w:sdt>
        <w:sdtPr>
          <w:id w:val="1004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Deterministic performance gate</w:t>
      </w:r>
    </w:p>
    <w:p>
      <w:bookmarkStart w:id="3" w:name="Native_Mathematics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Native Mathematics</w:t>
      </w:r>
      <w:bookmarkEnd w:id="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quadratic formula remains editable: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r>
                  <m:t xml:space="preserve">x</m:t>
                </m:r>
                <m:r>
                  <m:t xml:space="preserve">=</m:t>
                </m:r>
                <m:f>
                  <m:num>
                    <m:r>
                      <m:t xml:space="preserve">-</m:t>
                    </m:r>
                    <m:r>
                      <m:t xml:space="preserve">b</m:t>
                    </m:r>
                    <m:r>
                      <m:t xml:space="preserve">±</m:t>
                    </m:r>
                    <m:rad>
                      <m:radPr>
                        <m:degHide m:val="1"/>
                      </m:radPr>
                      <m:deg/>
                      <m:e>
                        <m:sSup>
                          <m:e>
                            <m:r>
                              <m:t xml:space="preserve">b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-</m:t>
                        </m:r>
                        <m:r>
                          <m:t xml:space="preserve">4</m:t>
                        </m:r>
                        <m:r>
                          <m:t xml:space="preserve">a</m:t>
                        </m:r>
                        <m:r>
                          <m:t xml:space="preserve">c</m:t>
                        </m:r>
                      </m:e>
                    </m:rad>
                  </m:num>
                  <m:den>
                    <m:r>
                      <m:t xml:space="preserve">2</m:t>
                    </m:r>
                    <m:r>
                      <m:t xml:space="preserve">a</m:t>
                    </m:r>
                  </m:den>
                </m:f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4" w:name="eq_quadratic"/>
            <w:r>
              <w:fldChar w:fldCharType="begin" w:dirty="true"/>
            </w:r>
            <w:r>
              <w:instrText xml:space="preserve"> STYLEREF "MD Heading 1" \n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\r 1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>and a bounded sum is</w:t>
      </w:r>
    </w:p>
    <w:p>
      <w:pPr>
        <w:pStyle w:val="MDEquation"/>
        <w:keepLines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i</m:t>
              </m:r>
            </m:e>
          </m:nary>
          <m:r>
            <m:t xml:space="preserve">=</m:t>
          </m:r>
          <m:f>
            <m:num>
              <m:r>
                <m:t xml:space="preserve">n</m:t>
              </m:r>
              <m:r>
                <m:t xml:space="preserve">(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num>
            <m:den>
              <m:r>
                <m:t xml:space="preserve">2</m:t>
              </m:r>
            </m:den>
          </m:f>
          <m:r>
            <m:t xml:space="preserve">.</m:t>
          </m:r>
        </m:oMath>
      </m:oMathPara>
    </w:p>
    <w:p>
      <w:bookmarkStart w:id="5" w:name="Advanced_Native_Charts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Advanced Native Charts</w:t>
      </w:r>
      <w:bookmarkEnd w:id="5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bookmarkStart w:id="6" w:name="Revenue_with_a_secondary_value_axis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Revenue with a secondary value axis</w:t>
      </w:r>
      <w:bookmarkEnd w:id="6"/>
    </w:p>
    <w:p>
      <w:pPr>
        <w:pStyle w:val="MDNormal"/>
        <w:keepNext/>
        <w:keepLines/>
        <w:jc w:val="center"/>
      </w:pPr>
      <w:r>
        <w:drawing>
          <wp:inline xmlns:a="http://schemas.openxmlformats.org/drawingml/2006/main" xmlns:c="http://schemas.openxmlformats.org/drawingml/2006/chart" distT="0" distB="0" distL="0" distR="0">
            <wp:extent cx="5400000" cy="3060000"/>
            <wp:effectExtent l="0" t="0" r="0" b="0"/>
            <wp:docPr id="1" name="Chart 1" descr="Revenue and margin with a secondary value axis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7" w:name="fig_revenue"/>
      <w:r>
        <w:fldChar w:fldCharType="begin" w:dirty="true"/>
      </w:r>
      <w:r>
        <w:instrText xml:space="preserve"> STYLEREF "MD Heading 1" \n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 w:dirty="true"/>
      </w:r>
      <w:r>
        <w:instrText xml:space="preserve"> SEQ Figure \* ARABIC \r 1 \s 1 </w:instrText>
      </w:r>
      <w:r>
        <w:fldChar w:fldCharType="separate"/>
      </w:r>
      <w:r>
        <w:t>1</w:t>
      </w:r>
      <w:r>
        <w:fldChar w:fldCharType="end"/>
      </w:r>
      <w:bookmarkEnd w:id="7"/>
      <w:r>
        <w:t xml:space="preserve"> — Revenue and margin with a secondary value axis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See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fig_revenue \h </w:instrText>
      </w:r>
      <w:r>
        <w:fldChar w:fldCharType="separate"/>
      </w:r>
      <w:r>
        <w:t>2.1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 The chart remains native ChartML and its data stays editable in the embedded workbook.</w:t>
      </w:r>
    </w:p>
    <w:p>
      <w:bookmarkStart w:id="8" w:name="Bounded_scatter_chart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Bounded scatter chart</w:t>
      </w:r>
      <w:bookmarkEnd w:id="8"/>
    </w:p>
    <w:p>
      <w:pPr>
        <w:pStyle w:val="MDNormal"/>
        <w:keepNext/>
        <w:keepLines/>
        <w:jc w:val="center"/>
      </w:pPr>
      <w:r>
        <w:drawing>
          <wp:inline xmlns:a="http://schemas.openxmlformats.org/drawingml/2006/main" xmlns:c="http://schemas.openxmlformats.org/drawingml/2006/chart" distT="0" distB="0" distL="0" distR="0">
            <wp:extent cx="5400000" cy="3060000"/>
            <wp:effectExtent l="0" t="0" r="0" b="0"/>
            <wp:docPr id="2" name="Chart 2" descr="Measured response by input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13"/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9" w:name="fig_scatter"/>
      <w:r>
        <w:fldChar w:fldCharType="begin" w:dirty="true"/>
      </w:r>
      <w:r>
        <w:instrText xml:space="preserve"> STYLEREF "MD Heading 1" \n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 w:dirty="true"/>
      </w:r>
      <w:r>
        <w:instrText xml:space="preserve"> SEQ Figure \* ARABIC \s 1 </w:instrText>
      </w:r>
      <w:r>
        <w:fldChar w:fldCharType="separate"/>
      </w:r>
      <w:r>
        <w:t>2</w:t>
      </w:r>
      <w:r>
        <w:fldChar w:fldCharType="end"/>
      </w:r>
      <w:bookmarkEnd w:id="9"/>
      <w:r>
        <w:t xml:space="preserve"> — Measured response by input</w:t>
      </w:r>
    </w:p>
    <w:p>
      <w:bookmarkStart w:id="10" w:name="Semantic_Tables_and_References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Semantic Tables and References</w:t>
      </w:r>
      <w:bookmarkEnd w:id="10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Capability</w:t>
            </w:r>
          </w:p>
        </w:tc>
        <w:tc>
          <w:tcPr>
            <w:tcW w:type="dxa" w:w="33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Native Word form</w:t>
            </w:r>
          </w:p>
        </w:tc>
        <w:tc>
          <w:tcPr>
            <w:tcW w:type="dxa" w:w="271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v1 gate</w:t>
            </w:r>
          </w:p>
        </w:tc>
      </w:tr>
      <w:tr>
        <w:trPr>
          <w:cantSplit w:val="1"/>
        </w:trP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Equations</w:t>
            </w:r>
          </w:p>
        </w:tc>
        <w:tc>
          <w:tcPr>
            <w:tcW w:type="dxa" w:w="33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OMML</w:t>
            </w:r>
          </w:p>
        </w:tc>
        <w:tc>
          <w:tcPr>
            <w:tcW w:type="dxa" w:w="271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  <w:tr>
        <w:trPr>
          <w:cantSplit w:val="1"/>
        </w:trP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Charts</w:t>
            </w:r>
          </w:p>
        </w:tc>
        <w:tc>
          <w:tcPr>
            <w:tcW w:type="dxa" w:w="33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ChartML + XLSX</w:t>
            </w:r>
          </w:p>
        </w:tc>
        <w:tc>
          <w:tcPr>
            <w:tcW w:type="dxa" w:w="271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  <w:tr>
        <w:trPr>
          <w:cantSplit w:val="1"/>
        </w:trP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Lists</w:t>
            </w:r>
          </w:p>
        </w:tc>
        <w:tc>
          <w:tcPr>
            <w:tcW w:type="dxa" w:w="33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Word numbering</w:t>
            </w:r>
          </w:p>
        </w:tc>
        <w:tc>
          <w:tcPr>
            <w:tcW w:type="dxa" w:w="271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  <w:tr>
        <w:trPr>
          <w:cantSplit w:val="1"/>
        </w:trP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Tables</w:t>
            </w:r>
          </w:p>
        </w:tc>
        <w:tc>
          <w:tcPr>
            <w:tcW w:type="dxa" w:w="33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Word table</w:t>
            </w:r>
          </w:p>
        </w:tc>
        <w:tc>
          <w:tcPr>
            <w:tcW w:type="dxa" w:w="271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</w:tbl>
    <w:p>
      <w:bookmarkStart w:id="11" w:name="Code_remains_editable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Code remains editable</w:t>
      </w:r>
      <w:bookmarkEnd w:id="11"/>
    </w:p>
    <w:p>
      <w:pPr>
        <w:pStyle w:val="MDCaption"/>
        <w:keepNext/>
        <w:keepLines/>
      </w:pPr>
      <w:r>
        <w:t xml:space="preserve">Listing </w:t>
      </w:r>
      <w:bookmarkStart w:id="12" w:name="lst_smoke"/>
      <w:r>
        <w:fldChar w:fldCharType="begin" w:dirty="true"/>
      </w:r>
      <w:r>
        <w:instrText xml:space="preserve"> STYLEREF "MD Heading 1" \n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 w:dirty="true"/>
      </w:r>
      <w:r>
        <w:instrText xml:space="preserve"> SEQ Listing \* ARABIC \r 1 \s 1 </w:instrText>
      </w:r>
      <w:r>
        <w:fldChar w:fldCharType="separate"/>
      </w:r>
      <w:r>
        <w:t>1</w:t>
      </w:r>
      <w:r>
        <w:fldChar w:fldCharType="end"/>
      </w:r>
      <w:bookmarkEnd w:id="12"/>
      <w:r>
        <w:t xml:space="preserve"> — Deterministic render smoke</w:t>
      </w:r>
    </w:p>
    <w:p>
      <w:pPr>
        <w:pStyle w:val="MDCodeLabel"/>
      </w:pPr>
      <w:r>
        <w:t>python</w:t>
      </w:r>
    </w:p>
    <w:p>
      <w:pPr>
        <w:pStyle w:val="MDCode"/>
        <w:keepLines/>
        <w:spacing w:before="0" w:after="0"/>
        <w:shd w:fill="F3F3F3"/>
      </w:pPr>
      <w:r>
        <w:rPr>
          <w:rFonts w:ascii="Consolas" w:hAnsi="Consolas"/>
          <w:color w:val="6E6E6E"/>
        </w:rPr>
        <w:t xml:space="preserve">1  </w:t>
      </w:r>
      <w:r>
        <w:rPr>
          <w:rFonts w:ascii="Consolas" w:hAnsi="Consolas"/>
          <w:b/>
          <w:i w:val="0"/>
          <w:color w:val="007020"/>
        </w:rPr>
        <w:t>from</w:t>
      </w:r>
      <w:r>
        <w:rPr>
          <w:rFonts w:ascii="Consolas" w:hAnsi="Consolas"/>
          <w:b w:val="0"/>
          <w:i w:val="0"/>
          <w:color w:val="BBBBBB"/>
        </w:rPr>
        <w:t xml:space="preserve"> </w:t>
      </w:r>
      <w:r>
        <w:rPr>
          <w:rFonts w:ascii="Consolas" w:hAnsi="Consolas"/>
          <w:b/>
          <w:i w:val="0"/>
          <w:color w:val="0E84B5"/>
        </w:rPr>
        <w:t>mddocx</w:t>
      </w:r>
      <w:r>
        <w:rPr>
          <w:rFonts w:ascii="Consolas" w:hAnsi="Consolas"/>
          <w:b w:val="0"/>
          <w:i w:val="0"/>
          <w:color w:val="BBBBBB"/>
        </w:rPr>
        <w:t xml:space="preserve"> </w:t>
      </w:r>
      <w:r>
        <w:rPr>
          <w:rFonts w:ascii="Consolas" w:hAnsi="Consolas"/>
          <w:b/>
          <w:i w:val="0"/>
          <w:color w:val="007020"/>
        </w:rPr>
        <w:t>import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render</w:t>
      </w:r>
    </w:p>
    <w:p>
      <w:pPr>
        <w:pStyle w:val="MDCode"/>
        <w:keepLines/>
        <w:spacing w:before="0" w:after="0"/>
        <w:shd w:fill="F3F3F3"/>
      </w:pPr>
      <w:r>
        <w:rPr>
          <w:rFonts w:ascii="Consolas" w:hAnsi="Consolas"/>
          <w:color w:val="6E6E6E"/>
        </w:rPr>
        <w:t xml:space="preserve">2  </w:t>
      </w:r>
      <w:r>
        <w:rPr>
          <w:rFonts w:ascii="Consolas" w:hAnsi="Consolas"/>
          <w:b w:val="0"/>
          <w:i w:val="0"/>
        </w:rPr>
        <w:t>render</w:t>
      </w:r>
      <w:r>
        <w:rPr>
          <w:rFonts w:ascii="Consolas" w:hAnsi="Consolas"/>
          <w:b w:val="0"/>
          <w:i w:val="0"/>
        </w:rPr>
        <w:t>(</w:t>
      </w:r>
      <w:r>
        <w:rPr>
          <w:rFonts w:ascii="Consolas" w:hAnsi="Consolas"/>
          <w:b w:val="0"/>
          <w:i w:val="0"/>
          <w:color w:val="4070A0"/>
        </w:rPr>
        <w:t>"</w:t>
      </w:r>
      <w:r>
        <w:rPr>
          <w:rFonts w:ascii="Consolas" w:hAnsi="Consolas"/>
          <w:b w:val="0"/>
          <w:i w:val="0"/>
          <w:color w:val="4070A0"/>
        </w:rPr>
        <w:t>input.md</w:t>
      </w:r>
      <w:r>
        <w:rPr>
          <w:rFonts w:ascii="Consolas" w:hAnsi="Consolas"/>
          <w:b w:val="0"/>
          <w:i w:val="0"/>
          <w:color w:val="4070A0"/>
        </w:rPr>
        <w:t>"</w:t>
      </w:r>
      <w:r>
        <w:rPr>
          <w:rFonts w:ascii="Consolas" w:hAnsi="Consolas"/>
          <w:b w:val="0"/>
          <w:i w:val="0"/>
        </w:rPr>
        <w:t>,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4070A0"/>
        </w:rPr>
        <w:t>"</w:t>
      </w:r>
      <w:r>
        <w:rPr>
          <w:rFonts w:ascii="Consolas" w:hAnsi="Consolas"/>
          <w:b w:val="0"/>
          <w:i w:val="0"/>
          <w:color w:val="4070A0"/>
        </w:rPr>
        <w:t>output.docx</w:t>
      </w:r>
      <w:r>
        <w:rPr>
          <w:rFonts w:ascii="Consolas" w:hAnsi="Consolas"/>
          <w:b w:val="0"/>
          <w:i w:val="0"/>
          <w:color w:val="4070A0"/>
        </w:rPr>
        <w:t>"</w:t>
      </w:r>
      <w:r>
        <w:rPr>
          <w:rFonts w:ascii="Consolas" w:hAnsi="Consolas"/>
          <w:b w:val="0"/>
          <w:i w:val="0"/>
        </w:rPr>
        <w:t>)</w:t>
      </w:r>
    </w:p>
    <w:p>
      <w:bookmarkStart w:id="13" w:name="Package_Integrity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Package Integrity</w:t>
      </w:r>
      <w:bookmarkEnd w:id="1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release validator checks required OOXML parts, internal relationships, math structure, bookmarks, comments, drawing IDs, note IDs, and native chart-to-workbook relationships.</w:t>
      </w:r>
    </w:p>
    <w:p>
      <w:bookmarkStart w:id="14" w:name="Review_note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Review note</w:t>
      </w:r>
      <w:bookmarkEnd w:id="1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This sentence is marked for review.</w:t>
      </w:r>
      <w:commentRangeStart w:id="1"/>
      <w:r>
        <w:t>​</w:t>
      </w:r>
      <w:commentRangeEnd w:id="1"/>
      <w:r>
        <w:rPr>
          <w:rStyle w:val="CommentReference"/>
        </w:rPr>
        <w:commentReference w:id="1"/>
      </w:r>
    </w:p>
    <w:p>
      <w:bookmarkStart w:id="15" w:name="Accessibility_and_Performance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Accessibility and Performance</w:t>
      </w:r>
      <w:bookmarkEnd w:id="15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accessibility gate checks image/chart alternative text, semantic table headers, heading hierarchy, empty hyperlinks, and document title metadata. The performance gate renders a deterministic technical document and checks elapsed time, traced Python allocation, package structure, and SHA-256 output.</w:t>
      </w:r>
    </w:p>
    <w:p>
      <w:bookmarkStart w:id="16" w:name="Final_acceptance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Final acceptance</w:t>
      </w:r>
      <w:bookmarkEnd w:id="1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v1 release is accepted only when the historical suite, structural inspection, accessibility gate, performance gate, deterministic rebuild, installed-wheel smoke test, and rendered-page QA all pass.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mddocx" w:initials="MD" w:date="2000-01-01T00:00:00Z">
    <w:p>
      <w:r>
        <w:t>Native Word comments remain part of the stable v1 renderer.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 w:dirty="true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 w:dirty="true"/>
    </w:r>
    <w:r>
      <w:instrText xml:space="preserve"> DOCPROPERTY "Title" </w:instrText>
    </w:r>
    <w:r>
      <w:fldChar w:fldCharType="separate"/>
    </w:r>
    <w:r>
      <w:t>mddocx 1.0 Production Acceptance</w:t>
    </w:r>
    <w:r>
      <w:fldChar w:fldCharType="end"/>
    </w:r>
    <w:r>
      <w:t xml:space="preserve"> — </w:t>
    </w:r>
    <w:r>
      <w:fldChar w:fldCharType="begin" w:dirty="true"/>
    </w:r>
    <w:r>
      <w:instrText xml:space="preserve"> STYLEREF "MD Heading 1" </w:instrText>
    </w:r>
    <w:r>
      <w:fldChar w:fldCharType="separate"/>
    </w:r>
    <w:r>
      <w:t>Section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 "/>
      <w:suff w:val="space"/>
      <w:pPr>
        <w:ind w:left="0" w:hanging="0"/>
      </w:pPr>
    </w:lvl>
    <w:lvl w:ilvl="1">
      <w:start w:val="1"/>
      <w:numFmt w:val="decimal"/>
      <w:lvlText w:val="%1.%2 "/>
      <w:suff w:val="space"/>
      <w:pPr>
        <w:ind w:left="0" w:hanging="0"/>
      </w:pPr>
    </w:lvl>
    <w:lvl w:ilvl="2">
      <w:start w:val="1"/>
      <w:numFmt w:val="decimal"/>
      <w:lvlText w:val="%1.%2.%3 "/>
      <w:suff w:val="space"/>
      <w:pPr>
        <w:ind w:left="0" w:hanging="0"/>
      </w:pPr>
    </w:lvl>
    <w:lvl w:ilvl="3">
      <w:start w:val="1"/>
      <w:numFmt w:val="decimal"/>
      <w:lvlText w:val=""/>
      <w:suff w:val="space"/>
      <w:pPr>
        <w:ind w:left="0" w:hanging="0"/>
      </w:pPr>
    </w:lvl>
    <w:lvl w:ilvl="4">
      <w:start w:val="1"/>
      <w:numFmt w:val="decimal"/>
      <w:lvlText w:val=""/>
      <w:suff w:val="space"/>
      <w:pPr>
        <w:ind w:left="0" w:hanging="0"/>
      </w:pPr>
    </w:lvl>
    <w:lvl w:ilvl="5">
      <w:start w:val="1"/>
      <w:numFmt w:val="decimal"/>
      <w:lvlText w:val=""/>
      <w:suff w:val="space"/>
      <w:pPr>
        <w:ind w:left="0" w:hanging="0"/>
      </w:pPr>
    </w:lvl>
    <w:lvl w:ilvl="6">
      <w:start w:val="1"/>
      <w:numFmt w:val="decimal"/>
      <w:lvlText w:val=""/>
      <w:suff w:val="space"/>
      <w:pPr>
        <w:ind w:left="0" w:hanging="0"/>
      </w:pPr>
    </w:lvl>
    <w:lvl w:ilvl="7">
      <w:start w:val="1"/>
      <w:numFmt w:val="decimal"/>
      <w:lvlText w:val=""/>
      <w:suff w:val="space"/>
      <w:pPr>
        <w:ind w:left="0" w:hanging="0"/>
      </w:pPr>
    </w:lvl>
    <w:lvl w:ilvl="8">
      <w:start w:val="1"/>
      <w:numFmt w:val="decimal"/>
      <w:lvlText w:val=""/>
      <w:suff w:val="space"/>
      <w:pPr>
        <w:ind w:left="0" w:hanging="0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76" w:lineRule="auto" w:after="120"/>
    </w:pPr>
    <w:rPr>
      <w:rFonts w:ascii="Aptos" w:hAnsi="Aptos" w:eastAsia="Aptos" w:cs="Aptos"/>
      <w:sz w:val="22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color w:val="000000"/>
      <w:sz w:val="40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color w:val="000000"/>
      <w:sz w:val="32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color w:val="000000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color w:val="000000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color w:val="000000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color w:val="000000"/>
      <w:sz w:val="20"/>
    </w:rPr>
  </w:style>
  <w:style w:type="paragraph" w:customStyle="1" w:styleId="MDQuote">
    <w:name w:val="MD Quote"/>
    <w:basedOn w:val="Quote"/>
    <w:pPr>
      <w:keepLines/>
      <w:ind w:left="36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 w:eastAsia="Consolas" w:cs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MDNormal"/>
    <w:rPr>
      <w:rFonts w:ascii="Aptos" w:hAnsi="Aptos" w:eastAsia="Aptos" w:cs="Aptos"/>
      <w:i/>
      <w:color w:val="000000"/>
      <w:sz w:val="20"/>
    </w:rPr>
  </w:style>
  <w:style w:type="paragraph" w:customStyle="1" w:styleId="FootnoteText">
    <w:name w:val="Footnote Text"/>
    <w:basedOn w:val="MDNormal"/>
    <w:pPr>
      <w:spacing w:after="0"/>
    </w:pPr>
    <w:rPr>
      <w:rFonts w:ascii="Aptos" w:hAnsi="Aptos" w:eastAsia="Aptos" w:cs="Aptos"/>
      <w:sz w:val="18"/>
    </w:rPr>
  </w:style>
  <w:style w:type="character" w:customStyle="1" w:styleId="FootnoteReference">
    <w:name w:val="Footnote Reference"/>
    <w:rPr>
      <w:rFonts w:ascii="Aptos" w:hAnsi="Aptos" w:eastAsia="Aptos" w:cs="Aptos"/>
      <w:vertAlign w:val="superscript"/>
    </w:rPr>
  </w:style>
  <w:style w:type="paragraph" w:customStyle="1" w:styleId="MDTitle">
    <w:name w:val="MD Title"/>
    <w:basedOn w:val="MDNormal"/>
    <w:pPr>
      <w:spacing w:after="240"/>
    </w:pPr>
    <w:rPr>
      <w:rFonts w:ascii="Aptos Display" w:hAnsi="Aptos Display" w:eastAsia="Aptos" w:cs="Aptos"/>
      <w:b/>
      <w:color w:val="000000"/>
      <w:sz w:val="56"/>
    </w:rPr>
  </w:style>
  <w:style w:type="paragraph" w:customStyle="1" w:styleId="MDSubtitle">
    <w:name w:val="MD Subtitle"/>
    <w:basedOn w:val="MDNormal"/>
    <w:pPr>
      <w:spacing w:after="200"/>
    </w:pPr>
    <w:rPr>
      <w:rFonts w:ascii="Aptos" w:hAnsi="Aptos" w:eastAsia="Aptos" w:cs="Aptos"/>
      <w:color w:val="000000"/>
      <w:sz w:val="32"/>
    </w:rPr>
  </w:style>
  <w:style w:type="paragraph" w:customStyle="1" w:styleId="MDAbstract">
    <w:name w:val="MD Abstract"/>
    <w:basedOn w:val="MDNormal"/>
    <w:pPr>
      <w:keepLines/>
      <w:ind w:left="360" w:right="360"/>
    </w:pPr>
    <w:rPr>
      <w:rFonts w:ascii="Aptos" w:hAnsi="Aptos" w:eastAsia="Aptos" w:cs="Aptos"/>
    </w:rPr>
  </w:style>
  <w:style w:type="paragraph" w:customStyle="1" w:styleId="MDCodeLabel">
    <w:name w:val="MD Code Label"/>
    <w:basedOn w:val="MDNormal"/>
    <w:pPr>
      <w:keepNext/>
      <w:spacing w:after="0"/>
    </w:pPr>
    <w:rPr>
      <w:rFonts w:ascii="Consolas" w:hAnsi="Consolas"/>
      <w:b/>
      <w:sz w:val="17"/>
    </w:rPr>
  </w:style>
  <w:style w:type="paragraph" w:customStyle="1" w:styleId="MDCalloutNote">
    <w:name w:val="MD Callout Note"/>
    <w:basedOn w:val="MDNormal"/>
    <w:pPr>
      <w:keepLines/>
      <w:spacing w:before="80" w:after="80"/>
      <w:ind w:left="240" w:right="120"/>
      <w:shd w:val="clear" w:fill="F2F2F2"/>
    </w:pPr>
    <w:rPr>
      <w:rFonts w:ascii="Aptos" w:hAnsi="Aptos" w:eastAsia="Aptos" w:cs="Aptos"/>
    </w:rPr>
  </w:style>
  <w:style w:type="paragraph" w:customStyle="1" w:styleId="MDCalloutTip">
    <w:name w:val="MD Callout Tip"/>
    <w:basedOn w:val="MDNormal"/>
    <w:pPr>
      <w:keepLines/>
      <w:spacing w:before="80" w:after="80"/>
      <w:ind w:left="240" w:right="120"/>
      <w:shd w:val="clear" w:fill="EEF7EE"/>
    </w:pPr>
    <w:rPr>
      <w:rFonts w:ascii="Aptos" w:hAnsi="Aptos" w:eastAsia="Aptos" w:cs="Aptos"/>
    </w:rPr>
  </w:style>
  <w:style w:type="paragraph" w:customStyle="1" w:styleId="MDCalloutImportant">
    <w:name w:val="MD Callout Important"/>
    <w:basedOn w:val="MDNormal"/>
    <w:pPr>
      <w:keepLines/>
      <w:spacing w:before="80" w:after="80"/>
      <w:ind w:left="240" w:right="120"/>
      <w:shd w:val="clear" w:fill="EEF3FA"/>
    </w:pPr>
    <w:rPr>
      <w:rFonts w:ascii="Aptos" w:hAnsi="Aptos" w:eastAsia="Aptos" w:cs="Aptos"/>
    </w:rPr>
  </w:style>
  <w:style w:type="paragraph" w:customStyle="1" w:styleId="MDCalloutWarning">
    <w:name w:val="MD Callout Warning"/>
    <w:basedOn w:val="MDNormal"/>
    <w:pPr>
      <w:keepLines/>
      <w:spacing w:before="80" w:after="80"/>
      <w:ind w:left="240" w:right="120"/>
      <w:shd w:val="clear" w:fill="FFF4E5"/>
    </w:pPr>
    <w:rPr>
      <w:rFonts w:ascii="Aptos" w:hAnsi="Aptos" w:eastAsia="Aptos" w:cs="Aptos"/>
    </w:rPr>
  </w:style>
  <w:style w:type="paragraph" w:customStyle="1" w:styleId="MDCalloutCaution">
    <w:name w:val="MD Callout Caution"/>
    <w:basedOn w:val="MDNormal"/>
    <w:pPr>
      <w:keepLines/>
      <w:spacing w:before="80" w:after="80"/>
      <w:ind w:left="240" w:right="120"/>
      <w:shd w:val="clear" w:fill="FDECEC"/>
    </w:pPr>
    <w:rPr>
      <w:rFonts w:ascii="Aptos" w:hAnsi="Aptos" w:eastAsia="Aptos" w:cs="Aptos"/>
    </w:rPr>
  </w:style>
  <w:style w:type="paragraph" w:customStyle="1" w:styleId="MDCalloutExample">
    <w:name w:val="MD Callout Example"/>
    <w:basedOn w:val="MDNormal"/>
    <w:pPr>
      <w:keepLines/>
      <w:spacing w:before="80" w:after="80"/>
      <w:ind w:left="240" w:right="120"/>
      <w:shd w:val="clear" w:fill="F5F0FA"/>
    </w:pPr>
    <w:rPr>
      <w:rFonts w:ascii="Aptos" w:hAnsi="Aptos" w:eastAsia="Aptos" w:cs="Apto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chart" Target="charts/chart1.xml"/><Relationship Id="rId13" Type="http://schemas.openxmlformats.org/officeDocument/2006/relationships/chart" Target="charts/chart2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10"/>
  <c:chart>
    <c:title>
      <c:tx>
        <c:rich>
          <a:bodyPr/>
          <a:lstStyle/>
          <a:p>
            <a:r>
              <a:rPr lang="en-US"/>
              <a:t>Quarterly performance</a:t>
            </a:r>
          </a:p>
        </c:rich>
      </c:tx>
      <c:layout/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100.0</c:v>
                </c:pt>
                <c:pt idx="1">
                  <c:v>120.0</c:v>
                </c:pt>
                <c:pt idx="2">
                  <c:v>135.0</c:v>
                </c:pt>
                <c:pt idx="3">
                  <c:v>150.0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23456"/>
        <c:axId val="123457"/>
      </c:barChart>
      <c:catAx>
        <c:axId val="123456"/>
        <c:scaling>
          <c:orientation val="minMax"/>
        </c:scaling>
        <c:delete val="0"/>
        <c:axPos val="b"/>
        <c:tickLblPos val="nextTo"/>
        <c:crossAx val="123457"/>
        <c:crosses val="autoZero"/>
        <c:auto val="1"/>
        <c:lblAlgn val="ctr"/>
        <c:lblOffset val="100"/>
        <c:title>
          <c:tx>
            <c:rich>
              <a:bodyPr/>
              <a:lstStyle/>
              <a:p>
                <a:r>
                  <a:rPr lang="en-US"/>
                  <a:t>Quarter</a:t>
                </a:r>
              </a:p>
            </c:rich>
          </c:tx>
          <c:layout/>
          <c:overlay val="0"/>
        </c:title>
      </c:catAx>
      <c:valAx>
        <c:axId val="123457"/>
        <c:scaling>
          <c:orientation val="minMax"/>
          <c:max val="200.0"/>
          <c:min val="0.0"/>
        </c:scaling>
        <c:delete val="0"/>
        <c:axPos val="l"/>
        <c:numFmt formatCode="0" sourceLinked="0"/>
        <c:tickLblPos val="nextTo"/>
        <c:crossAx val="123456"/>
        <c:crosses val="autoZero"/>
        <c:crossBetween val="between"/>
        <c:title>
          <c:tx>
            <c:rich>
              <a:bodyPr/>
              <a:lstStyle/>
              <a:p>
                <a:r>
                  <a:rPr lang="en-US"/>
                  <a:t>Revenue (USD thousands)</a:t>
                </a:r>
              </a:p>
            </c:rich>
          </c:tx>
          <c:layout/>
          <c:overlay val="0"/>
        </c:title>
      </c:valAx>
      <c:barChart>
        <c:barDir val="col"/>
        <c:grouping val="cluster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Margin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20.0</c:v>
                </c:pt>
                <c:pt idx="1">
                  <c:v>24.0</c:v>
                </c:pt>
                <c:pt idx="2">
                  <c:v>30.0</c:v>
                </c:pt>
                <c:pt idx="3">
                  <c:v>32.0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23458"/>
        <c:axId val="123459"/>
      </c:barChart>
      <c:catAx>
        <c:axId val="123458"/>
        <c:scaling>
          <c:orientation val="minMax"/>
        </c:scaling>
        <c:delete val="1"/>
        <c:axPos val="t"/>
        <c:tickLblPos val="none"/>
        <c:crossAx val="123459"/>
        <c:crosses val="autoZero"/>
        <c:auto val="1"/>
        <c:lblAlgn val="ctr"/>
        <c:lblOffset val="100"/>
      </c:catAx>
      <c:valAx>
        <c:axId val="123459"/>
        <c:scaling>
          <c:orientation val="minMax"/>
          <c:max val="40.0"/>
          <c:min val="0.0"/>
        </c:scaling>
        <c:delete val="0"/>
        <c:axPos val="r"/>
        <c:numFmt formatCode="0" sourceLinked="0"/>
        <c:tickLblPos val="nextTo"/>
        <c:crossAx val="123458"/>
        <c:crosses val="max"/>
        <c:crossBetween val="between"/>
        <c:title>
          <c:tx>
            <c:rich>
              <a:bodyPr/>
              <a:lstStyle/>
              <a:p>
                <a:r>
                  <a:rPr lang="en-US"/>
                  <a:t>Margin (%)</a:t>
                </a:r>
              </a:p>
            </c:rich>
          </c:tx>
          <c:layout/>
          <c:overlay val="0"/>
        </c:title>
      </c:valAx>
    </c:plotArea>
    <c:legend>
      <c:legendPos val="b"/>
      <c:layout/>
      <c:overlay val="0"/>
    </c:legend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lang="en-US"/>
              <a:t>Response curve</a:t>
            </a:r>
          </a:p>
        </c:rich>
      </c:tx>
      <c:layout/>
      <c:overlay val="0"/>
    </c:title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Response</c:v>
                </c:pt>
              </c:strCache>
            </c:strRef>
          </c:tx>
          <c:marker>
            <c:symbol val="circle"/>
          </c:marker>
          <c:xVal>
            <c:numRef>
              <c:f>Sheet1!$A$2:$A$7</c:f>
              <c:numCache>
                <c:formatCode>General</c:formatCode>
                <c:ptCount val="6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  <c:pt idx="5">
                  <c:v>5.0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0.0</c:v>
                </c:pt>
                <c:pt idx="1">
                  <c:v>1.2</c:v>
                </c:pt>
                <c:pt idx="2">
                  <c:v>2.8</c:v>
                </c:pt>
                <c:pt idx="3">
                  <c:v>4.1</c:v>
                </c:pt>
                <c:pt idx="4">
                  <c:v>5.0</c:v>
                </c:pt>
                <c:pt idx="5">
                  <c:v>5.4</c:v>
                </c:pt>
              </c:numCache>
            </c:numRef>
          </c:y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223456"/>
        <c:axId val="223457"/>
      </c:scatterChart>
      <c:valAx>
        <c:axId val="223456"/>
        <c:scaling>
          <c:orientation val="minMax"/>
          <c:max val="5.0"/>
          <c:min val="0.0"/>
        </c:scaling>
        <c:delete val="0"/>
        <c:axPos val="b"/>
        <c:majorGridlines/>
        <c:numFmt formatCode="General" sourceLinked="1"/>
        <c:tickLblPos val="nextTo"/>
        <c:crossAx val="223457"/>
        <c:crosses val="autoZero"/>
        <c:crossBetween val="midCat"/>
        <c:title>
          <c:tx>
            <c:rich>
              <a:bodyPr/>
              <a:lstStyle/>
              <a:p>
                <a:r>
                  <a:rPr lang="en-US"/>
                  <a:t>Input</a:t>
                </a:r>
              </a:p>
            </c:rich>
          </c:tx>
          <c:layout/>
          <c:overlay val="0"/>
        </c:title>
      </c:valAx>
      <c:valAx>
        <c:axId val="223457"/>
        <c:scaling>
          <c:orientation val="minMax"/>
          <c:max val="6.0"/>
          <c:min val="0.0"/>
        </c:scaling>
        <c:delete val="0"/>
        <c:axPos val="l"/>
        <c:majorGridlines/>
        <c:numFmt formatCode="0.0" sourceLinked="0"/>
        <c:tickLblPos val="nextTo"/>
        <c:crossAx val="223456"/>
        <c:crosses val="autoZero"/>
        <c:crossBetween val="midCat"/>
        <c:title>
          <c:tx>
            <c:rich>
              <a:bodyPr/>
              <a:lstStyle/>
              <a:p>
                <a:r>
                  <a:rPr lang="en-US"/>
                  <a:t>Response</a:t>
                </a:r>
              </a:p>
            </c:rich>
          </c:tx>
          <c:layout/>
          <c:overlay val="0"/>
        </c:title>
      </c:valAx>
    </c:plotArea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mddocx 1.0 Production Acceptance</dc:title>
  <dc:subject>Stable public API and production release gate</dc:subject>
  <dc:creator>mddocx</dc:creator>
  <cp:keywords>mddocx, docx, omml, chartml, accessibility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